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C96E84">
      <w:pPr>
        <w:rPr>
          <w:rFonts w:eastAsia="仿宋_GB2312"/>
          <w:sz w:val="36"/>
          <w:szCs w:val="36"/>
        </w:rPr>
      </w:pPr>
    </w:p>
    <w:p w14:paraId="4E763E52">
      <w:pPr>
        <w:rPr>
          <w:rFonts w:eastAsia="仿宋_GB2312"/>
          <w:sz w:val="36"/>
          <w:szCs w:val="36"/>
        </w:rPr>
      </w:pPr>
    </w:p>
    <w:p w14:paraId="2B85202D">
      <w:pPr>
        <w:rPr>
          <w:rFonts w:eastAsia="仿宋_GB2312"/>
          <w:sz w:val="36"/>
          <w:szCs w:val="36"/>
        </w:rPr>
      </w:pPr>
    </w:p>
    <w:p w14:paraId="69208EFA">
      <w:pPr>
        <w:rPr>
          <w:rFonts w:eastAsia="仿宋_GB2312"/>
          <w:sz w:val="36"/>
          <w:szCs w:val="36"/>
        </w:rPr>
      </w:pPr>
    </w:p>
    <w:p w14:paraId="41064D16">
      <w:pPr>
        <w:adjustRightInd w:val="0"/>
        <w:snapToGrid w:val="0"/>
        <w:jc w:val="center"/>
        <w:rPr>
          <w:rFonts w:eastAsia="方正小标宋_GBK"/>
          <w:bCs/>
          <w:sz w:val="72"/>
          <w:szCs w:val="72"/>
        </w:rPr>
      </w:pPr>
      <w:r>
        <w:rPr>
          <w:rFonts w:eastAsia="方正小标宋_GBK"/>
          <w:bCs/>
          <w:sz w:val="72"/>
          <w:szCs w:val="72"/>
        </w:rPr>
        <w:t>建设项目环境影响报告表</w:t>
      </w:r>
    </w:p>
    <w:p w14:paraId="31B8B9CC">
      <w:pPr>
        <w:adjustRightInd w:val="0"/>
        <w:snapToGrid w:val="0"/>
        <w:spacing w:before="192" w:beforeLines="80"/>
        <w:jc w:val="center"/>
        <w:rPr>
          <w:rFonts w:eastAsia="楷体_GB2312"/>
          <w:bCs/>
          <w:sz w:val="48"/>
          <w:szCs w:val="48"/>
        </w:rPr>
      </w:pPr>
      <w:r>
        <w:rPr>
          <w:rFonts w:eastAsia="楷体_GB2312"/>
          <w:bCs/>
          <w:sz w:val="48"/>
          <w:szCs w:val="48"/>
        </w:rPr>
        <w:t>（</w:t>
      </w:r>
      <w:r>
        <w:rPr>
          <w:rFonts w:hint="eastAsia" w:eastAsia="楷体_GB2312"/>
          <w:bCs/>
          <w:sz w:val="48"/>
          <w:szCs w:val="48"/>
        </w:rPr>
        <w:t>生态</w:t>
      </w:r>
      <w:r>
        <w:rPr>
          <w:rFonts w:eastAsia="楷体_GB2312"/>
          <w:bCs/>
          <w:sz w:val="48"/>
          <w:szCs w:val="48"/>
        </w:rPr>
        <w:t>影响类）</w:t>
      </w:r>
    </w:p>
    <w:p w14:paraId="1B70DC46">
      <w:pPr>
        <w:adjustRightInd w:val="0"/>
        <w:snapToGrid w:val="0"/>
        <w:spacing w:line="288" w:lineRule="auto"/>
        <w:jc w:val="center"/>
        <w:rPr>
          <w:rFonts w:eastAsia="华文仿宋"/>
          <w:kern w:val="44"/>
          <w:sz w:val="44"/>
          <w:szCs w:val="44"/>
        </w:rPr>
      </w:pPr>
    </w:p>
    <w:p w14:paraId="7F683B15">
      <w:pPr>
        <w:jc w:val="center"/>
        <w:rPr>
          <w:rFonts w:eastAsia="仿宋"/>
          <w:sz w:val="52"/>
          <w:szCs w:val="52"/>
        </w:rPr>
      </w:pPr>
    </w:p>
    <w:p w14:paraId="24AC748A">
      <w:pPr>
        <w:ind w:firstLine="1040"/>
        <w:rPr>
          <w:rFonts w:eastAsia="仿宋"/>
          <w:sz w:val="44"/>
          <w:szCs w:val="44"/>
        </w:rPr>
      </w:pPr>
    </w:p>
    <w:p w14:paraId="25B89311">
      <w:pPr>
        <w:ind w:firstLine="1040"/>
        <w:rPr>
          <w:rFonts w:eastAsia="仿宋"/>
          <w:sz w:val="44"/>
          <w:szCs w:val="44"/>
        </w:rPr>
      </w:pPr>
    </w:p>
    <w:p w14:paraId="1FB2EC0F">
      <w:pPr>
        <w:ind w:firstLine="1040"/>
        <w:rPr>
          <w:rFonts w:eastAsia="仿宋"/>
          <w:sz w:val="44"/>
          <w:szCs w:val="44"/>
        </w:rPr>
      </w:pPr>
    </w:p>
    <w:p w14:paraId="2C2893DB">
      <w:pPr>
        <w:adjustRightInd w:val="0"/>
        <w:snapToGrid w:val="0"/>
        <w:spacing w:line="288" w:lineRule="auto"/>
        <w:rPr>
          <w:rFonts w:eastAsia="仿宋_GB2312"/>
          <w:sz w:val="36"/>
          <w:szCs w:val="36"/>
        </w:rPr>
      </w:pPr>
    </w:p>
    <w:p w14:paraId="5AD9EDAB">
      <w:pPr>
        <w:adjustRightInd w:val="0"/>
        <w:snapToGrid w:val="0"/>
        <w:spacing w:line="360" w:lineRule="auto"/>
        <w:ind w:left="2518" w:leftChars="342" w:hanging="1800" w:hangingChars="500"/>
        <w:rPr>
          <w:rFonts w:eastAsia="仿宋_GB2312"/>
          <w:sz w:val="36"/>
          <w:szCs w:val="36"/>
          <w:u w:val="single"/>
        </w:rPr>
      </w:pPr>
      <w:r>
        <w:rPr>
          <w:rFonts w:eastAsia="仿宋_GB2312"/>
          <w:sz w:val="36"/>
          <w:szCs w:val="36"/>
        </w:rPr>
        <w:t>项目名称：</w:t>
      </w:r>
      <w:r>
        <w:rPr>
          <w:rFonts w:hint="eastAsia" w:eastAsia="仿宋_GB2312"/>
          <w:sz w:val="36"/>
          <w:szCs w:val="36"/>
          <w:u w:val="single"/>
          <w:lang w:val="en-US" w:eastAsia="zh-CN"/>
        </w:rPr>
        <w:t>鹏泰-伊泰化工物料输送管线及管廊建设项目</w:t>
      </w:r>
    </w:p>
    <w:p w14:paraId="16BC00E0">
      <w:pPr>
        <w:adjustRightInd w:val="0"/>
        <w:snapToGrid w:val="0"/>
        <w:spacing w:line="360" w:lineRule="auto"/>
        <w:ind w:firstLine="720" w:firstLineChars="200"/>
        <w:rPr>
          <w:rFonts w:eastAsia="仿宋_GB2312"/>
          <w:sz w:val="36"/>
          <w:szCs w:val="36"/>
        </w:rPr>
      </w:pPr>
      <w:r>
        <w:rPr>
          <w:rFonts w:eastAsia="仿宋_GB2312"/>
          <w:sz w:val="36"/>
          <w:szCs w:val="36"/>
        </w:rPr>
        <w:t>建设单位：</w:t>
      </w:r>
      <w:r>
        <w:rPr>
          <w:rFonts w:hint="eastAsia" w:eastAsia="仿宋_GB2312"/>
          <w:sz w:val="36"/>
          <w:szCs w:val="36"/>
          <w:u w:val="single"/>
          <w:lang w:val="en-US" w:eastAsia="zh-CN"/>
        </w:rPr>
        <w:t>内蒙古伊泰化工</w:t>
      </w:r>
      <w:r>
        <w:rPr>
          <w:rFonts w:eastAsia="仿宋_GB2312"/>
          <w:sz w:val="36"/>
          <w:szCs w:val="36"/>
          <w:u w:val="single"/>
        </w:rPr>
        <w:t>有限</w:t>
      </w:r>
      <w:r>
        <w:rPr>
          <w:rFonts w:hint="eastAsia" w:eastAsia="仿宋_GB2312"/>
          <w:sz w:val="36"/>
          <w:szCs w:val="36"/>
          <w:u w:val="single"/>
          <w:lang w:val="en-US" w:eastAsia="zh-CN"/>
        </w:rPr>
        <w:t>责任</w:t>
      </w:r>
      <w:r>
        <w:rPr>
          <w:rFonts w:eastAsia="仿宋_GB2312"/>
          <w:sz w:val="36"/>
          <w:szCs w:val="36"/>
          <w:u w:val="single"/>
        </w:rPr>
        <w:t>公司</w:t>
      </w:r>
    </w:p>
    <w:p w14:paraId="4104F518">
      <w:pPr>
        <w:adjustRightInd w:val="0"/>
        <w:snapToGrid w:val="0"/>
        <w:spacing w:line="360" w:lineRule="auto"/>
        <w:ind w:firstLine="720" w:firstLineChars="200"/>
        <w:rPr>
          <w:rFonts w:hint="default" w:eastAsia="仿宋_GB2312"/>
          <w:sz w:val="36"/>
          <w:szCs w:val="36"/>
          <w:u w:val="single"/>
          <w:lang w:val="en-US" w:eastAsia="zh-CN"/>
        </w:rPr>
      </w:pPr>
      <w:r>
        <w:rPr>
          <w:rFonts w:hint="eastAsia" w:eastAsia="仿宋_GB2312"/>
          <w:sz w:val="36"/>
          <w:szCs w:val="36"/>
          <w:lang w:val="en-US" w:eastAsia="zh-CN"/>
        </w:rPr>
        <w:t>编制单位</w:t>
      </w:r>
      <w:r>
        <w:rPr>
          <w:rFonts w:eastAsia="仿宋_GB2312"/>
          <w:sz w:val="36"/>
          <w:szCs w:val="36"/>
        </w:rPr>
        <w:t>：</w:t>
      </w:r>
      <w:r>
        <w:rPr>
          <w:rFonts w:hint="eastAsia" w:eastAsia="仿宋_GB2312"/>
          <w:sz w:val="36"/>
          <w:szCs w:val="36"/>
          <w:u w:val="single"/>
          <w:lang w:val="en-US" w:eastAsia="zh-CN"/>
        </w:rPr>
        <w:t>内蒙古尚清环保科技有限公司</w:t>
      </w:r>
    </w:p>
    <w:p w14:paraId="02065963">
      <w:pPr>
        <w:adjustRightInd w:val="0"/>
        <w:snapToGrid w:val="0"/>
        <w:spacing w:line="288" w:lineRule="auto"/>
        <w:ind w:firstLine="1040"/>
        <w:rPr>
          <w:rFonts w:eastAsia="仿宋_GB2312"/>
          <w:sz w:val="36"/>
          <w:szCs w:val="36"/>
          <w:u w:val="single"/>
        </w:rPr>
      </w:pPr>
      <w:bookmarkStart w:id="0" w:name="_Hlk57884087"/>
    </w:p>
    <w:p w14:paraId="63192EE0">
      <w:pPr>
        <w:adjustRightInd w:val="0"/>
        <w:snapToGrid w:val="0"/>
        <w:spacing w:line="288" w:lineRule="auto"/>
        <w:ind w:firstLine="1040"/>
        <w:rPr>
          <w:rFonts w:eastAsia="仿宋_GB2312"/>
          <w:sz w:val="36"/>
          <w:szCs w:val="36"/>
        </w:rPr>
      </w:pPr>
    </w:p>
    <w:p w14:paraId="24916A4B">
      <w:pPr>
        <w:adjustRightInd w:val="0"/>
        <w:snapToGrid w:val="0"/>
        <w:spacing w:line="288" w:lineRule="auto"/>
        <w:ind w:firstLine="1040"/>
        <w:rPr>
          <w:rFonts w:eastAsia="仿宋_GB2312"/>
          <w:sz w:val="36"/>
          <w:szCs w:val="36"/>
        </w:rPr>
      </w:pPr>
    </w:p>
    <w:p w14:paraId="51742F14">
      <w:pPr>
        <w:adjustRightInd w:val="0"/>
        <w:snapToGrid w:val="0"/>
        <w:spacing w:line="288" w:lineRule="auto"/>
        <w:ind w:firstLine="1040"/>
        <w:rPr>
          <w:rFonts w:eastAsia="仿宋_GB2312"/>
          <w:sz w:val="36"/>
          <w:szCs w:val="36"/>
        </w:rPr>
      </w:pPr>
    </w:p>
    <w:p w14:paraId="22B032DB">
      <w:pPr>
        <w:pStyle w:val="6"/>
      </w:pPr>
    </w:p>
    <w:bookmarkEnd w:id="0"/>
    <w:p w14:paraId="2577C96A">
      <w:pPr>
        <w:adjustRightInd w:val="0"/>
        <w:snapToGrid w:val="0"/>
        <w:spacing w:line="288" w:lineRule="auto"/>
        <w:jc w:val="center"/>
        <w:rPr>
          <w:rFonts w:eastAsia="楷体_GB2312"/>
          <w:sz w:val="36"/>
          <w:szCs w:val="36"/>
        </w:rPr>
      </w:pPr>
      <w:r>
        <w:rPr>
          <w:rFonts w:eastAsia="楷体_GB2312"/>
          <w:sz w:val="36"/>
          <w:szCs w:val="36"/>
        </w:rPr>
        <w:t>中华人民共和国生态环境部制</w:t>
      </w:r>
    </w:p>
    <w:p w14:paraId="1F34C5B2">
      <w:pPr>
        <w:adjustRightInd w:val="0"/>
        <w:snapToGrid w:val="0"/>
        <w:spacing w:line="288" w:lineRule="auto"/>
        <w:jc w:val="center"/>
        <w:rPr>
          <w:rFonts w:hint="default" w:eastAsia="楷体_GB2312"/>
          <w:sz w:val="36"/>
          <w:szCs w:val="36"/>
          <w:lang w:val="en-US" w:eastAsia="zh-CN"/>
        </w:rPr>
        <w:sectPr>
          <w:headerReference r:id="rId3" w:type="default"/>
          <w:footerReference r:id="rId4" w:type="default"/>
          <w:pgSz w:w="11906" w:h="16838"/>
          <w:pgMar w:top="1701" w:right="1701" w:bottom="1701" w:left="1701" w:header="851" w:footer="1077" w:gutter="0"/>
          <w:pgNumType w:start="3"/>
          <w:cols w:space="720" w:num="1"/>
          <w:docGrid w:linePitch="312" w:charSpace="0"/>
        </w:sectPr>
      </w:pPr>
      <w:r>
        <w:rPr>
          <w:rFonts w:hint="eastAsia" w:eastAsia="楷体_GB2312"/>
          <w:sz w:val="36"/>
          <w:szCs w:val="36"/>
          <w:lang w:val="en-US" w:eastAsia="zh-CN"/>
        </w:rPr>
        <w:t>2025年12月</w:t>
      </w:r>
    </w:p>
    <w:p w14:paraId="3E67FF28">
      <w:pPr>
        <w:pStyle w:val="18"/>
        <w:jc w:val="center"/>
        <w:outlineLvl w:val="0"/>
        <w:rPr>
          <w:rFonts w:ascii="黑体" w:hAnsi="黑体" w:eastAsia="黑体"/>
          <w:snapToGrid w:val="0"/>
          <w:sz w:val="30"/>
          <w:szCs w:val="30"/>
        </w:rPr>
      </w:pPr>
      <w:r>
        <w:rPr>
          <w:rFonts w:hint="eastAsia" w:ascii="黑体" w:hAnsi="黑体" w:eastAsia="黑体"/>
          <w:snapToGrid w:val="0"/>
          <w:sz w:val="30"/>
          <w:szCs w:val="30"/>
        </w:rPr>
        <w:t>一、建设项目基本情况</w:t>
      </w:r>
    </w:p>
    <w:tbl>
      <w:tblPr>
        <w:tblStyle w:val="19"/>
        <w:tblW w:w="9039" w:type="dxa"/>
        <w:tblInd w:w="16"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795"/>
        <w:gridCol w:w="2289"/>
        <w:gridCol w:w="2217"/>
        <w:gridCol w:w="10"/>
        <w:gridCol w:w="2728"/>
      </w:tblGrid>
      <w:tr w14:paraId="15DF7A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2" w:hRule="atLeast"/>
        </w:trPr>
        <w:tc>
          <w:tcPr>
            <w:tcW w:w="1795" w:type="dxa"/>
            <w:noWrap w:val="0"/>
            <w:tcMar>
              <w:top w:w="16" w:type="dxa"/>
              <w:left w:w="16" w:type="dxa"/>
              <w:right w:w="16" w:type="dxa"/>
            </w:tcMar>
            <w:vAlign w:val="center"/>
          </w:tcPr>
          <w:p w14:paraId="6467A3FC">
            <w:pPr>
              <w:adjustRightInd w:val="0"/>
              <w:snapToGrid w:val="0"/>
              <w:jc w:val="center"/>
              <w:rPr>
                <w:rFonts w:hint="default" w:ascii="Times New Roman" w:hAnsi="Times New Roman" w:cs="Times New Roman"/>
                <w:sz w:val="24"/>
                <w:highlight w:val="none"/>
              </w:rPr>
            </w:pPr>
            <w:r>
              <w:rPr>
                <w:rFonts w:hint="default" w:ascii="Times New Roman" w:hAnsi="Times New Roman" w:cs="Times New Roman"/>
                <w:sz w:val="24"/>
                <w:highlight w:val="none"/>
              </w:rPr>
              <w:t>建设项目名称</w:t>
            </w:r>
          </w:p>
        </w:tc>
        <w:tc>
          <w:tcPr>
            <w:tcW w:w="7244" w:type="dxa"/>
            <w:gridSpan w:val="4"/>
            <w:noWrap w:val="0"/>
            <w:vAlign w:val="center"/>
          </w:tcPr>
          <w:p w14:paraId="031CA427">
            <w:pPr>
              <w:adjustRightInd w:val="0"/>
              <w:snapToGrid w:val="0"/>
              <w:jc w:val="center"/>
              <w:rPr>
                <w:rFonts w:hint="default" w:ascii="Times New Roman" w:hAnsi="Times New Roman" w:cs="Times New Roman"/>
                <w:sz w:val="24"/>
                <w:highlight w:val="none"/>
              </w:rPr>
            </w:pPr>
            <w:r>
              <w:rPr>
                <w:rFonts w:hint="default" w:ascii="Times New Roman" w:hAnsi="Times New Roman" w:cs="Times New Roman"/>
                <w:sz w:val="24"/>
                <w:highlight w:val="none"/>
                <w:lang w:val="en-US" w:eastAsia="zh-CN"/>
              </w:rPr>
              <w:t>鹏泰-伊泰化工物料输送管线及管廊建设项目</w:t>
            </w:r>
          </w:p>
        </w:tc>
      </w:tr>
      <w:tr w14:paraId="7A7E99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5" w:hRule="atLeast"/>
        </w:trPr>
        <w:tc>
          <w:tcPr>
            <w:tcW w:w="1795" w:type="dxa"/>
            <w:noWrap w:val="0"/>
            <w:tcMar>
              <w:top w:w="16" w:type="dxa"/>
              <w:left w:w="16" w:type="dxa"/>
              <w:right w:w="16" w:type="dxa"/>
            </w:tcMar>
            <w:vAlign w:val="center"/>
          </w:tcPr>
          <w:p w14:paraId="334FA798">
            <w:pPr>
              <w:adjustRightInd w:val="0"/>
              <w:snapToGrid w:val="0"/>
              <w:jc w:val="center"/>
              <w:rPr>
                <w:rFonts w:hint="default" w:ascii="Times New Roman" w:hAnsi="Times New Roman" w:cs="Times New Roman"/>
                <w:sz w:val="24"/>
                <w:highlight w:val="none"/>
              </w:rPr>
            </w:pPr>
            <w:r>
              <w:rPr>
                <w:rFonts w:hint="default" w:ascii="Times New Roman" w:hAnsi="Times New Roman" w:cs="Times New Roman"/>
                <w:sz w:val="24"/>
                <w:highlight w:val="none"/>
              </w:rPr>
              <w:t>项目代码</w:t>
            </w:r>
          </w:p>
        </w:tc>
        <w:tc>
          <w:tcPr>
            <w:tcW w:w="7244" w:type="dxa"/>
            <w:gridSpan w:val="4"/>
            <w:noWrap w:val="0"/>
            <w:vAlign w:val="center"/>
          </w:tcPr>
          <w:p w14:paraId="208B8192">
            <w:pPr>
              <w:adjustRightInd w:val="0"/>
              <w:snapToGrid w:val="0"/>
              <w:jc w:val="center"/>
              <w:rPr>
                <w:rFonts w:hint="default" w:ascii="Times New Roman" w:hAnsi="Times New Roman" w:cs="Times New Roman"/>
                <w:sz w:val="24"/>
                <w:highlight w:val="none"/>
              </w:rPr>
            </w:pPr>
            <w:r>
              <w:rPr>
                <w:rFonts w:hint="default" w:ascii="Times New Roman" w:hAnsi="Times New Roman" w:cs="Times New Roman"/>
                <w:sz w:val="24"/>
                <w:highlight w:val="none"/>
              </w:rPr>
              <w:t>2508-150625-07-02-100656</w:t>
            </w:r>
          </w:p>
        </w:tc>
      </w:tr>
      <w:tr w14:paraId="64913E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2" w:hRule="atLeast"/>
        </w:trPr>
        <w:tc>
          <w:tcPr>
            <w:tcW w:w="1795" w:type="dxa"/>
            <w:noWrap w:val="0"/>
            <w:tcMar>
              <w:top w:w="16" w:type="dxa"/>
              <w:left w:w="16" w:type="dxa"/>
              <w:right w:w="16" w:type="dxa"/>
            </w:tcMar>
            <w:vAlign w:val="center"/>
          </w:tcPr>
          <w:p w14:paraId="57576632">
            <w:pPr>
              <w:adjustRightInd w:val="0"/>
              <w:snapToGrid w:val="0"/>
              <w:jc w:val="center"/>
              <w:rPr>
                <w:rFonts w:hint="default" w:ascii="Times New Roman" w:hAnsi="Times New Roman" w:cs="Times New Roman"/>
                <w:sz w:val="24"/>
                <w:highlight w:val="none"/>
              </w:rPr>
            </w:pPr>
            <w:r>
              <w:rPr>
                <w:rFonts w:hint="default" w:ascii="Times New Roman" w:hAnsi="Times New Roman" w:cs="Times New Roman"/>
                <w:sz w:val="24"/>
                <w:highlight w:val="none"/>
              </w:rPr>
              <w:t>建设单位联系人</w:t>
            </w:r>
          </w:p>
        </w:tc>
        <w:tc>
          <w:tcPr>
            <w:tcW w:w="2289" w:type="dxa"/>
            <w:noWrap w:val="0"/>
            <w:vAlign w:val="center"/>
          </w:tcPr>
          <w:p w14:paraId="4902628F">
            <w:pPr>
              <w:adjustRightInd w:val="0"/>
              <w:snapToGrid w:val="0"/>
              <w:jc w:val="center"/>
              <w:rPr>
                <w:rFonts w:hint="default" w:ascii="Times New Roman" w:hAnsi="Times New Roman" w:eastAsia="宋体" w:cs="Times New Roman"/>
                <w:sz w:val="24"/>
                <w:highlight w:val="none"/>
                <w:lang w:eastAsia="zh-CN"/>
              </w:rPr>
            </w:pPr>
            <w:r>
              <w:rPr>
                <w:rFonts w:hint="default" w:ascii="Times New Roman" w:hAnsi="Times New Roman" w:cs="Times New Roman"/>
                <w:sz w:val="24"/>
                <w:highlight w:val="none"/>
                <w:lang w:val="en-US" w:eastAsia="zh-CN"/>
              </w:rPr>
              <w:t>王超</w:t>
            </w:r>
          </w:p>
        </w:tc>
        <w:tc>
          <w:tcPr>
            <w:tcW w:w="2227" w:type="dxa"/>
            <w:gridSpan w:val="2"/>
            <w:noWrap w:val="0"/>
            <w:vAlign w:val="center"/>
          </w:tcPr>
          <w:p w14:paraId="586F499F">
            <w:pPr>
              <w:adjustRightInd w:val="0"/>
              <w:snapToGrid w:val="0"/>
              <w:jc w:val="center"/>
              <w:rPr>
                <w:rFonts w:hint="default" w:ascii="Times New Roman" w:hAnsi="Times New Roman" w:cs="Times New Roman"/>
                <w:sz w:val="24"/>
                <w:highlight w:val="none"/>
              </w:rPr>
            </w:pPr>
            <w:r>
              <w:rPr>
                <w:rFonts w:hint="default" w:ascii="Times New Roman" w:hAnsi="Times New Roman" w:cs="Times New Roman"/>
                <w:sz w:val="24"/>
                <w:highlight w:val="none"/>
              </w:rPr>
              <w:t>联系方式</w:t>
            </w:r>
          </w:p>
        </w:tc>
        <w:tc>
          <w:tcPr>
            <w:tcW w:w="2728" w:type="dxa"/>
            <w:noWrap w:val="0"/>
            <w:vAlign w:val="center"/>
          </w:tcPr>
          <w:p w14:paraId="27F82E0D">
            <w:pPr>
              <w:adjustRightInd w:val="0"/>
              <w:snapToGrid w:val="0"/>
              <w:jc w:val="center"/>
              <w:rPr>
                <w:rFonts w:hint="default" w:ascii="Times New Roman" w:hAnsi="Times New Roman" w:cs="Times New Roman"/>
                <w:color w:val="1900FF"/>
                <w:sz w:val="24"/>
                <w:highlight w:val="none"/>
              </w:rPr>
            </w:pPr>
            <w:r>
              <w:rPr>
                <w:rFonts w:hint="default" w:ascii="Times New Roman" w:hAnsi="Times New Roman" w:eastAsia="宋体" w:cs="Times New Roman"/>
                <w:color w:val="000000"/>
                <w:sz w:val="24"/>
                <w:highlight w:val="none"/>
              </w:rPr>
              <w:t>15149466912</w:t>
            </w:r>
          </w:p>
        </w:tc>
      </w:tr>
      <w:tr w14:paraId="394CC4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2" w:hRule="atLeast"/>
        </w:trPr>
        <w:tc>
          <w:tcPr>
            <w:tcW w:w="1795" w:type="dxa"/>
            <w:noWrap w:val="0"/>
            <w:tcMar>
              <w:top w:w="16" w:type="dxa"/>
              <w:left w:w="16" w:type="dxa"/>
              <w:right w:w="16" w:type="dxa"/>
            </w:tcMar>
            <w:vAlign w:val="center"/>
          </w:tcPr>
          <w:p w14:paraId="5B8DE89C">
            <w:pPr>
              <w:adjustRightInd w:val="0"/>
              <w:snapToGrid w:val="0"/>
              <w:jc w:val="center"/>
              <w:rPr>
                <w:rFonts w:hint="default" w:ascii="Times New Roman" w:hAnsi="Times New Roman" w:cs="Times New Roman"/>
                <w:sz w:val="24"/>
                <w:highlight w:val="none"/>
              </w:rPr>
            </w:pPr>
            <w:r>
              <w:rPr>
                <w:rFonts w:hint="default" w:ascii="Times New Roman" w:hAnsi="Times New Roman" w:cs="Times New Roman"/>
                <w:sz w:val="24"/>
                <w:highlight w:val="none"/>
              </w:rPr>
              <w:t>建设地点</w:t>
            </w:r>
          </w:p>
        </w:tc>
        <w:tc>
          <w:tcPr>
            <w:tcW w:w="7244" w:type="dxa"/>
            <w:gridSpan w:val="4"/>
            <w:noWrap w:val="0"/>
            <w:vAlign w:val="center"/>
          </w:tcPr>
          <w:p w14:paraId="504100E9">
            <w:pPr>
              <w:keepNext w:val="0"/>
              <w:keepLines w:val="0"/>
              <w:widowControl/>
              <w:suppressLineNumbers w:val="0"/>
              <w:jc w:val="center"/>
              <w:rPr>
                <w:rFonts w:hint="default" w:ascii="Times New Roman" w:hAnsi="Times New Roman" w:cs="Times New Roman"/>
                <w:sz w:val="24"/>
                <w:highlight w:val="none"/>
              </w:rPr>
            </w:pPr>
            <w:r>
              <w:rPr>
                <w:rFonts w:hint="eastAsia"/>
                <w:color w:val="000000"/>
                <w:sz w:val="24"/>
                <w:highlight w:val="none"/>
              </w:rPr>
              <w:t>内蒙古鄂尔多斯杭锦旗经济开发区独贵塔拉产业园南项目区</w:t>
            </w:r>
          </w:p>
        </w:tc>
      </w:tr>
      <w:tr w14:paraId="43F772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5" w:hRule="atLeast"/>
        </w:trPr>
        <w:tc>
          <w:tcPr>
            <w:tcW w:w="1795" w:type="dxa"/>
            <w:noWrap w:val="0"/>
            <w:tcMar>
              <w:top w:w="16" w:type="dxa"/>
              <w:left w:w="16" w:type="dxa"/>
              <w:right w:w="16" w:type="dxa"/>
            </w:tcMar>
            <w:vAlign w:val="center"/>
          </w:tcPr>
          <w:p w14:paraId="0D7FCFEE">
            <w:pPr>
              <w:adjustRightInd w:val="0"/>
              <w:snapToGrid w:val="0"/>
              <w:jc w:val="center"/>
              <w:rPr>
                <w:rFonts w:hint="default" w:ascii="Times New Roman" w:hAnsi="Times New Roman" w:cs="Times New Roman"/>
                <w:sz w:val="24"/>
                <w:highlight w:val="none"/>
              </w:rPr>
            </w:pPr>
            <w:r>
              <w:rPr>
                <w:rFonts w:hint="default" w:ascii="Times New Roman" w:hAnsi="Times New Roman" w:cs="Times New Roman"/>
                <w:sz w:val="24"/>
                <w:highlight w:val="none"/>
              </w:rPr>
              <w:t>地理坐标</w:t>
            </w:r>
          </w:p>
        </w:tc>
        <w:tc>
          <w:tcPr>
            <w:tcW w:w="7244" w:type="dxa"/>
            <w:gridSpan w:val="4"/>
            <w:noWrap w:val="0"/>
            <w:vAlign w:val="center"/>
          </w:tcPr>
          <w:p w14:paraId="71CD63CA">
            <w:pPr>
              <w:adjustRightInd w:val="0"/>
              <w:snapToGrid w:val="0"/>
              <w:jc w:val="center"/>
              <w:rPr>
                <w:rFonts w:hint="default" w:ascii="Times New Roman" w:hAnsi="Times New Roman" w:cs="Times New Roman"/>
                <w:sz w:val="24"/>
                <w:highlight w:val="none"/>
                <w:lang w:val="en-US" w:eastAsia="zh-CN"/>
              </w:rPr>
            </w:pPr>
            <w:r>
              <w:rPr>
                <w:rFonts w:hint="default" w:ascii="Times New Roman" w:hAnsi="Times New Roman" w:cs="Times New Roman"/>
                <w:sz w:val="24"/>
                <w:highlight w:val="none"/>
                <w:lang w:val="en-US" w:eastAsia="zh-CN"/>
              </w:rPr>
              <w:t>各管道终起点坐标</w:t>
            </w:r>
          </w:p>
          <w:tbl>
            <w:tblPr>
              <w:tblStyle w:val="19"/>
              <w:tblW w:w="463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6"/>
              <w:gridCol w:w="2187"/>
              <w:gridCol w:w="2325"/>
            </w:tblGrid>
            <w:tr w14:paraId="0BC88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32" w:type="pct"/>
                  <w:noWrap/>
                  <w:vAlign w:val="center"/>
                </w:tcPr>
                <w:p w14:paraId="1E2B79B6">
                  <w:pPr>
                    <w:pStyle w:val="38"/>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名称</w:t>
                  </w:r>
                </w:p>
              </w:tc>
              <w:tc>
                <w:tcPr>
                  <w:tcW w:w="1632" w:type="pct"/>
                  <w:noWrap/>
                  <w:vAlign w:val="center"/>
                </w:tcPr>
                <w:p w14:paraId="29B6497E">
                  <w:pPr>
                    <w:pStyle w:val="38"/>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起点（度）</w:t>
                  </w:r>
                </w:p>
              </w:tc>
              <w:tc>
                <w:tcPr>
                  <w:tcW w:w="1735" w:type="pct"/>
                  <w:noWrap/>
                  <w:vAlign w:val="center"/>
                </w:tcPr>
                <w:p w14:paraId="5A3E3DEA">
                  <w:pPr>
                    <w:pStyle w:val="38"/>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终点（度）</w:t>
                  </w:r>
                </w:p>
              </w:tc>
            </w:tr>
            <w:tr w14:paraId="51EEB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2" w:type="pct"/>
                  <w:noWrap/>
                  <w:vAlign w:val="center"/>
                </w:tcPr>
                <w:p w14:paraId="5995F497">
                  <w:pPr>
                    <w:jc w:val="center"/>
                    <w:rPr>
                      <w:rFonts w:hint="default" w:ascii="Times New Roman" w:hAnsi="Times New Roman" w:cs="Times New Roman"/>
                      <w:color w:val="auto"/>
                      <w:highlight w:val="none"/>
                    </w:rPr>
                  </w:pPr>
                  <w:r>
                    <w:rPr>
                      <w:rFonts w:hint="default" w:ascii="Times New Roman" w:hAnsi="Times New Roman" w:cs="Times New Roman"/>
                      <w:highlight w:val="none"/>
                      <w:lang w:val="en-US" w:eastAsia="zh-CN"/>
                    </w:rPr>
                    <w:t>合成脱碳尾气</w:t>
                  </w:r>
                </w:p>
              </w:tc>
              <w:tc>
                <w:tcPr>
                  <w:tcW w:w="1632" w:type="pct"/>
                  <w:noWrap/>
                  <w:vAlign w:val="center"/>
                </w:tcPr>
                <w:p w14:paraId="3D93E67A">
                  <w:pPr>
                    <w:pStyle w:val="38"/>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108.499034290</w:t>
                  </w:r>
                  <w:r>
                    <w:rPr>
                      <w:rFonts w:hint="eastAsia" w:cs="Times New Roman"/>
                      <w:color w:val="auto"/>
                      <w:highlight w:val="none"/>
                      <w:lang w:eastAsia="zh-CN"/>
                    </w:rPr>
                    <w:t>，</w:t>
                  </w:r>
                </w:p>
                <w:p w14:paraId="14E91801">
                  <w:pPr>
                    <w:pStyle w:val="38"/>
                    <w:rPr>
                      <w:rFonts w:hint="default" w:ascii="Times New Roman" w:hAnsi="Times New Roman" w:cs="Times New Roman"/>
                      <w:color w:val="auto"/>
                      <w:highlight w:val="none"/>
                    </w:rPr>
                  </w:pPr>
                  <w:r>
                    <w:rPr>
                      <w:rFonts w:hint="default" w:ascii="Times New Roman" w:hAnsi="Times New Roman" w:cs="Times New Roman"/>
                      <w:color w:val="auto"/>
                      <w:highlight w:val="none"/>
                    </w:rPr>
                    <w:t>40.027871235</w:t>
                  </w:r>
                </w:p>
              </w:tc>
              <w:tc>
                <w:tcPr>
                  <w:tcW w:w="1735" w:type="pct"/>
                  <w:noWrap/>
                  <w:vAlign w:val="center"/>
                </w:tcPr>
                <w:p w14:paraId="5FDFC2EB">
                  <w:pPr>
                    <w:pStyle w:val="38"/>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108.499985133</w:t>
                  </w:r>
                  <w:r>
                    <w:rPr>
                      <w:rFonts w:hint="eastAsia" w:cs="Times New Roman"/>
                      <w:color w:val="auto"/>
                      <w:highlight w:val="none"/>
                      <w:lang w:eastAsia="zh-CN"/>
                    </w:rPr>
                    <w:t>，</w:t>
                  </w:r>
                </w:p>
                <w:p w14:paraId="127BE2C1">
                  <w:pPr>
                    <w:pStyle w:val="38"/>
                    <w:rPr>
                      <w:rFonts w:hint="default" w:ascii="Times New Roman" w:hAnsi="Times New Roman" w:cs="Times New Roman"/>
                      <w:color w:val="auto"/>
                      <w:highlight w:val="none"/>
                    </w:rPr>
                  </w:pPr>
                  <w:r>
                    <w:rPr>
                      <w:rFonts w:hint="default" w:ascii="Times New Roman" w:hAnsi="Times New Roman" w:cs="Times New Roman"/>
                      <w:color w:val="auto"/>
                      <w:highlight w:val="none"/>
                    </w:rPr>
                    <w:t>40.026430889</w:t>
                  </w:r>
                </w:p>
              </w:tc>
            </w:tr>
            <w:tr w14:paraId="4D51E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32" w:type="pct"/>
                  <w:noWrap/>
                  <w:vAlign w:val="center"/>
                </w:tcPr>
                <w:p w14:paraId="088D44BC">
                  <w:pPr>
                    <w:jc w:val="center"/>
                    <w:rPr>
                      <w:rFonts w:hint="default" w:ascii="Times New Roman" w:hAnsi="Times New Roman" w:cs="Times New Roman"/>
                      <w:color w:val="auto"/>
                      <w:highlight w:val="none"/>
                    </w:rPr>
                  </w:pPr>
                  <w:r>
                    <w:rPr>
                      <w:rFonts w:hint="default" w:ascii="Times New Roman" w:hAnsi="Times New Roman" w:cs="Times New Roman"/>
                      <w:highlight w:val="none"/>
                      <w:lang w:val="en-US" w:eastAsia="zh-CN"/>
                    </w:rPr>
                    <w:t>未变换净化气</w:t>
                  </w:r>
                </w:p>
              </w:tc>
              <w:tc>
                <w:tcPr>
                  <w:tcW w:w="1632" w:type="pct"/>
                  <w:noWrap/>
                  <w:vAlign w:val="center"/>
                </w:tcPr>
                <w:p w14:paraId="76DA05C6">
                  <w:pPr>
                    <w:pStyle w:val="38"/>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108.496523742</w:t>
                  </w:r>
                  <w:r>
                    <w:rPr>
                      <w:rFonts w:hint="eastAsia" w:cs="Times New Roman"/>
                      <w:color w:val="auto"/>
                      <w:highlight w:val="none"/>
                      <w:lang w:eastAsia="zh-CN"/>
                    </w:rPr>
                    <w:t>，</w:t>
                  </w:r>
                </w:p>
                <w:p w14:paraId="17974464">
                  <w:pPr>
                    <w:pStyle w:val="38"/>
                    <w:rPr>
                      <w:rFonts w:hint="default" w:ascii="Times New Roman" w:hAnsi="Times New Roman" w:cs="Times New Roman"/>
                      <w:color w:val="auto"/>
                      <w:highlight w:val="none"/>
                    </w:rPr>
                  </w:pPr>
                  <w:r>
                    <w:rPr>
                      <w:rFonts w:hint="default" w:ascii="Times New Roman" w:hAnsi="Times New Roman" w:cs="Times New Roman"/>
                      <w:color w:val="auto"/>
                      <w:highlight w:val="none"/>
                    </w:rPr>
                    <w:t>40.028025463</w:t>
                  </w:r>
                </w:p>
              </w:tc>
              <w:tc>
                <w:tcPr>
                  <w:tcW w:w="1735" w:type="pct"/>
                  <w:noWrap/>
                  <w:vAlign w:val="center"/>
                </w:tcPr>
                <w:p w14:paraId="0FF2005F">
                  <w:pPr>
                    <w:pStyle w:val="38"/>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108.499991838</w:t>
                  </w:r>
                  <w:r>
                    <w:rPr>
                      <w:rFonts w:hint="eastAsia" w:cs="Times New Roman"/>
                      <w:color w:val="auto"/>
                      <w:highlight w:val="none"/>
                      <w:lang w:eastAsia="zh-CN"/>
                    </w:rPr>
                    <w:t>，</w:t>
                  </w:r>
                </w:p>
                <w:p w14:paraId="1BF88B8D">
                  <w:pPr>
                    <w:pStyle w:val="38"/>
                    <w:rPr>
                      <w:rFonts w:hint="default" w:ascii="Times New Roman" w:hAnsi="Times New Roman" w:cs="Times New Roman"/>
                      <w:color w:val="auto"/>
                      <w:highlight w:val="none"/>
                    </w:rPr>
                  </w:pPr>
                  <w:r>
                    <w:rPr>
                      <w:rFonts w:hint="default" w:ascii="Times New Roman" w:hAnsi="Times New Roman" w:cs="Times New Roman"/>
                      <w:color w:val="auto"/>
                      <w:highlight w:val="none"/>
                    </w:rPr>
                    <w:t>40.026434913</w:t>
                  </w:r>
                </w:p>
              </w:tc>
            </w:tr>
            <w:tr w14:paraId="4C38C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32" w:type="pct"/>
                  <w:noWrap/>
                  <w:vAlign w:val="center"/>
                </w:tcPr>
                <w:p w14:paraId="485C4B81">
                  <w:pPr>
                    <w:jc w:val="center"/>
                    <w:rPr>
                      <w:rFonts w:hint="default" w:ascii="Times New Roman" w:hAnsi="Times New Roman" w:cs="Times New Roman"/>
                      <w:color w:val="auto"/>
                      <w:highlight w:val="none"/>
                    </w:rPr>
                  </w:pPr>
                  <w:r>
                    <w:rPr>
                      <w:rFonts w:hint="default" w:ascii="Times New Roman" w:hAnsi="Times New Roman" w:cs="Times New Roman"/>
                      <w:highlight w:val="none"/>
                      <w:lang w:val="en-US" w:eastAsia="zh-CN"/>
                    </w:rPr>
                    <w:t>尾气</w:t>
                  </w:r>
                </w:p>
              </w:tc>
              <w:tc>
                <w:tcPr>
                  <w:tcW w:w="1632" w:type="pct"/>
                  <w:noWrap/>
                  <w:vAlign w:val="center"/>
                </w:tcPr>
                <w:p w14:paraId="5B931DA1">
                  <w:pPr>
                    <w:pStyle w:val="38"/>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108.499951605</w:t>
                  </w:r>
                  <w:r>
                    <w:rPr>
                      <w:rFonts w:hint="eastAsia" w:cs="Times New Roman"/>
                      <w:color w:val="auto"/>
                      <w:highlight w:val="none"/>
                      <w:lang w:eastAsia="zh-CN"/>
                    </w:rPr>
                    <w:t>，</w:t>
                  </w:r>
                </w:p>
                <w:p w14:paraId="30E87373">
                  <w:pPr>
                    <w:pStyle w:val="38"/>
                    <w:ind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40.026386633</w:t>
                  </w:r>
                </w:p>
              </w:tc>
              <w:tc>
                <w:tcPr>
                  <w:tcW w:w="1735" w:type="pct"/>
                  <w:noWrap/>
                  <w:vAlign w:val="center"/>
                </w:tcPr>
                <w:p w14:paraId="0476F400">
                  <w:pPr>
                    <w:pStyle w:val="38"/>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108.496735637</w:t>
                  </w:r>
                  <w:r>
                    <w:rPr>
                      <w:rFonts w:hint="eastAsia" w:cs="Times New Roman"/>
                      <w:color w:val="auto"/>
                      <w:highlight w:val="none"/>
                      <w:lang w:eastAsia="zh-CN"/>
                    </w:rPr>
                    <w:t>，</w:t>
                  </w:r>
                </w:p>
                <w:p w14:paraId="1F4D118C">
                  <w:pPr>
                    <w:pStyle w:val="38"/>
                    <w:ind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40.028969600</w:t>
                  </w:r>
                </w:p>
              </w:tc>
            </w:tr>
            <w:tr w14:paraId="314D9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32" w:type="pct"/>
                  <w:noWrap/>
                  <w:vAlign w:val="center"/>
                </w:tcPr>
                <w:p w14:paraId="25AFD117">
                  <w:pPr>
                    <w:jc w:val="center"/>
                    <w:rPr>
                      <w:rFonts w:hint="default" w:ascii="Times New Roman" w:hAnsi="Times New Roman" w:cs="Times New Roman"/>
                      <w:color w:val="auto"/>
                      <w:highlight w:val="none"/>
                    </w:rPr>
                  </w:pPr>
                  <w:r>
                    <w:rPr>
                      <w:rFonts w:hint="default" w:ascii="Times New Roman" w:hAnsi="Times New Roman" w:cs="Times New Roman"/>
                      <w:highlight w:val="none"/>
                      <w:lang w:val="en-US" w:eastAsia="zh-CN"/>
                    </w:rPr>
                    <w:t>WTR甲烷气</w:t>
                  </w:r>
                </w:p>
              </w:tc>
              <w:tc>
                <w:tcPr>
                  <w:tcW w:w="1632" w:type="pct"/>
                  <w:noWrap/>
                  <w:vAlign w:val="center"/>
                </w:tcPr>
                <w:p w14:paraId="4C39CE7A">
                  <w:pPr>
                    <w:pStyle w:val="38"/>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108.500077669</w:t>
                  </w:r>
                  <w:r>
                    <w:rPr>
                      <w:rFonts w:hint="eastAsia" w:cs="Times New Roman"/>
                      <w:color w:val="auto"/>
                      <w:highlight w:val="none"/>
                      <w:lang w:eastAsia="zh-CN"/>
                    </w:rPr>
                    <w:t>，</w:t>
                  </w:r>
                </w:p>
                <w:p w14:paraId="664DAF00">
                  <w:pPr>
                    <w:pStyle w:val="38"/>
                    <w:rPr>
                      <w:rFonts w:hint="default" w:ascii="Times New Roman" w:hAnsi="Times New Roman" w:cs="Times New Roman"/>
                      <w:color w:val="auto"/>
                      <w:highlight w:val="none"/>
                    </w:rPr>
                  </w:pPr>
                  <w:r>
                    <w:rPr>
                      <w:rFonts w:hint="default" w:ascii="Times New Roman" w:hAnsi="Times New Roman" w:cs="Times New Roman"/>
                      <w:color w:val="auto"/>
                      <w:highlight w:val="none"/>
                    </w:rPr>
                    <w:t>40.026523425</w:t>
                  </w:r>
                </w:p>
              </w:tc>
              <w:tc>
                <w:tcPr>
                  <w:tcW w:w="1735" w:type="pct"/>
                  <w:noWrap/>
                  <w:vAlign w:val="center"/>
                </w:tcPr>
                <w:p w14:paraId="0420072F">
                  <w:pPr>
                    <w:pStyle w:val="38"/>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108.507275377</w:t>
                  </w:r>
                  <w:r>
                    <w:rPr>
                      <w:rFonts w:hint="eastAsia" w:cs="Times New Roman"/>
                      <w:color w:val="auto"/>
                      <w:highlight w:val="none"/>
                      <w:lang w:eastAsia="zh-CN"/>
                    </w:rPr>
                    <w:t>，</w:t>
                  </w:r>
                </w:p>
                <w:p w14:paraId="0792AF0F">
                  <w:pPr>
                    <w:pStyle w:val="38"/>
                    <w:rPr>
                      <w:rFonts w:hint="default" w:ascii="Times New Roman" w:hAnsi="Times New Roman" w:cs="Times New Roman"/>
                      <w:color w:val="auto"/>
                      <w:highlight w:val="none"/>
                    </w:rPr>
                  </w:pPr>
                  <w:r>
                    <w:rPr>
                      <w:rFonts w:hint="default" w:ascii="Times New Roman" w:hAnsi="Times New Roman" w:cs="Times New Roman"/>
                      <w:color w:val="auto"/>
                      <w:highlight w:val="none"/>
                    </w:rPr>
                    <w:t>40.031288370</w:t>
                  </w:r>
                </w:p>
              </w:tc>
            </w:tr>
            <w:tr w14:paraId="01D66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32" w:type="pct"/>
                  <w:noWrap/>
                  <w:vAlign w:val="center"/>
                </w:tcPr>
                <w:p w14:paraId="54CD739D">
                  <w:pPr>
                    <w:jc w:val="center"/>
                    <w:rPr>
                      <w:rFonts w:hint="default" w:ascii="Times New Roman" w:hAnsi="Times New Roman" w:cs="Times New Roman"/>
                      <w:color w:val="auto"/>
                      <w:highlight w:val="none"/>
                    </w:rPr>
                  </w:pPr>
                  <w:r>
                    <w:rPr>
                      <w:rFonts w:hint="default" w:ascii="Times New Roman" w:hAnsi="Times New Roman" w:cs="Times New Roman"/>
                      <w:highlight w:val="none"/>
                      <w:lang w:val="en-US" w:eastAsia="zh-CN"/>
                    </w:rPr>
                    <w:t>甲烷</w:t>
                  </w:r>
                </w:p>
              </w:tc>
              <w:tc>
                <w:tcPr>
                  <w:tcW w:w="1632" w:type="pct"/>
                  <w:noWrap/>
                  <w:vAlign w:val="center"/>
                </w:tcPr>
                <w:p w14:paraId="48BD5A7F">
                  <w:pPr>
                    <w:pStyle w:val="38"/>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108.500997667</w:t>
                  </w:r>
                  <w:r>
                    <w:rPr>
                      <w:rFonts w:hint="eastAsia" w:cs="Times New Roman"/>
                      <w:color w:val="auto"/>
                      <w:highlight w:val="none"/>
                      <w:lang w:eastAsia="zh-CN"/>
                    </w:rPr>
                    <w:t>，</w:t>
                  </w:r>
                </w:p>
                <w:p w14:paraId="703E54C5">
                  <w:pPr>
                    <w:pStyle w:val="38"/>
                    <w:rPr>
                      <w:rFonts w:hint="default" w:ascii="Times New Roman" w:hAnsi="Times New Roman" w:cs="Times New Roman"/>
                      <w:color w:val="auto"/>
                      <w:highlight w:val="none"/>
                    </w:rPr>
                  </w:pPr>
                  <w:r>
                    <w:rPr>
                      <w:rFonts w:hint="default" w:ascii="Times New Roman" w:hAnsi="Times New Roman" w:cs="Times New Roman"/>
                      <w:color w:val="auto"/>
                      <w:highlight w:val="none"/>
                    </w:rPr>
                    <w:t>40.032633498</w:t>
                  </w:r>
                </w:p>
              </w:tc>
              <w:tc>
                <w:tcPr>
                  <w:tcW w:w="1735" w:type="pct"/>
                  <w:noWrap/>
                  <w:vAlign w:val="center"/>
                </w:tcPr>
                <w:p w14:paraId="06B359AE">
                  <w:pPr>
                    <w:pStyle w:val="38"/>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108.499975745</w:t>
                  </w:r>
                  <w:r>
                    <w:rPr>
                      <w:rFonts w:hint="eastAsia" w:cs="Times New Roman"/>
                      <w:color w:val="auto"/>
                      <w:highlight w:val="none"/>
                      <w:lang w:eastAsia="zh-CN"/>
                    </w:rPr>
                    <w:t>，</w:t>
                  </w:r>
                </w:p>
                <w:p w14:paraId="58D310AE">
                  <w:pPr>
                    <w:pStyle w:val="38"/>
                    <w:rPr>
                      <w:rFonts w:hint="default" w:ascii="Times New Roman" w:hAnsi="Times New Roman" w:cs="Times New Roman"/>
                      <w:color w:val="auto"/>
                      <w:highlight w:val="none"/>
                    </w:rPr>
                  </w:pPr>
                  <w:r>
                    <w:rPr>
                      <w:rFonts w:hint="default" w:ascii="Times New Roman" w:hAnsi="Times New Roman" w:cs="Times New Roman"/>
                      <w:color w:val="auto"/>
                      <w:highlight w:val="none"/>
                    </w:rPr>
                    <w:t>40.026404067</w:t>
                  </w:r>
                </w:p>
              </w:tc>
            </w:tr>
            <w:tr w14:paraId="64121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32" w:type="pct"/>
                  <w:noWrap/>
                  <w:vAlign w:val="center"/>
                </w:tcPr>
                <w:p w14:paraId="5DF3EB88">
                  <w:pPr>
                    <w:jc w:val="center"/>
                    <w:rPr>
                      <w:rFonts w:hint="default" w:ascii="Times New Roman" w:hAnsi="Times New Roman" w:cs="Times New Roman"/>
                      <w:color w:val="auto"/>
                      <w:highlight w:val="none"/>
                      <w:lang w:val="en-US"/>
                    </w:rPr>
                  </w:pPr>
                  <w:r>
                    <w:rPr>
                      <w:rFonts w:hint="default" w:ascii="Times New Roman" w:hAnsi="Times New Roman" w:cs="Times New Roman"/>
                      <w:highlight w:val="none"/>
                      <w:lang w:val="en-US" w:eastAsia="zh-CN"/>
                    </w:rPr>
                    <w:t>低压含烃火炬气</w:t>
                  </w:r>
                </w:p>
              </w:tc>
              <w:tc>
                <w:tcPr>
                  <w:tcW w:w="1632" w:type="pct"/>
                  <w:noWrap/>
                  <w:vAlign w:val="center"/>
                </w:tcPr>
                <w:p w14:paraId="550B2128">
                  <w:pPr>
                    <w:pStyle w:val="38"/>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108.499963675</w:t>
                  </w:r>
                  <w:r>
                    <w:rPr>
                      <w:rFonts w:hint="eastAsia" w:cs="Times New Roman"/>
                      <w:color w:val="auto"/>
                      <w:highlight w:val="none"/>
                      <w:lang w:eastAsia="zh-CN"/>
                    </w:rPr>
                    <w:t>，</w:t>
                  </w:r>
                </w:p>
                <w:p w14:paraId="1C0A35FA">
                  <w:pPr>
                    <w:pStyle w:val="38"/>
                    <w:rPr>
                      <w:rFonts w:hint="default" w:ascii="Times New Roman" w:hAnsi="Times New Roman" w:cs="Times New Roman"/>
                      <w:color w:val="auto"/>
                      <w:highlight w:val="none"/>
                    </w:rPr>
                  </w:pPr>
                  <w:r>
                    <w:rPr>
                      <w:rFonts w:hint="default" w:ascii="Times New Roman" w:hAnsi="Times New Roman" w:cs="Times New Roman"/>
                      <w:color w:val="auto"/>
                      <w:highlight w:val="none"/>
                    </w:rPr>
                    <w:t>40.026416137</w:t>
                  </w:r>
                </w:p>
              </w:tc>
              <w:tc>
                <w:tcPr>
                  <w:tcW w:w="1735" w:type="pct"/>
                  <w:noWrap/>
                  <w:vAlign w:val="center"/>
                </w:tcPr>
                <w:p w14:paraId="1850A18D">
                  <w:pPr>
                    <w:pStyle w:val="38"/>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108.503512238</w:t>
                  </w:r>
                  <w:r>
                    <w:rPr>
                      <w:rFonts w:hint="eastAsia" w:cs="Times New Roman"/>
                      <w:color w:val="auto"/>
                      <w:highlight w:val="none"/>
                      <w:lang w:eastAsia="zh-CN"/>
                    </w:rPr>
                    <w:t>，</w:t>
                  </w:r>
                </w:p>
                <w:p w14:paraId="49605E22">
                  <w:pPr>
                    <w:pStyle w:val="38"/>
                    <w:rPr>
                      <w:rFonts w:hint="default" w:ascii="Times New Roman" w:hAnsi="Times New Roman" w:cs="Times New Roman"/>
                      <w:color w:val="auto"/>
                      <w:highlight w:val="none"/>
                    </w:rPr>
                  </w:pPr>
                  <w:r>
                    <w:rPr>
                      <w:rFonts w:hint="default" w:ascii="Times New Roman" w:hAnsi="Times New Roman" w:cs="Times New Roman"/>
                      <w:color w:val="auto"/>
                      <w:highlight w:val="none"/>
                    </w:rPr>
                    <w:t>40.032984867</w:t>
                  </w:r>
                </w:p>
              </w:tc>
            </w:tr>
            <w:tr w14:paraId="649DC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32" w:type="pct"/>
                  <w:noWrap/>
                  <w:vAlign w:val="center"/>
                </w:tcPr>
                <w:p w14:paraId="118A2FA2">
                  <w:pPr>
                    <w:jc w:val="center"/>
                    <w:rPr>
                      <w:rFonts w:hint="default" w:ascii="Times New Roman" w:hAnsi="Times New Roman" w:cs="Times New Roman"/>
                      <w:color w:val="auto"/>
                      <w:highlight w:val="none"/>
                      <w:lang w:val="en-US"/>
                    </w:rPr>
                  </w:pPr>
                  <w:r>
                    <w:rPr>
                      <w:rFonts w:hint="default" w:ascii="Times New Roman" w:hAnsi="Times New Roman" w:cs="Times New Roman"/>
                      <w:highlight w:val="none"/>
                      <w:lang w:val="en-US" w:eastAsia="zh-CN"/>
                    </w:rPr>
                    <w:t>湿酸火炬气</w:t>
                  </w:r>
                </w:p>
              </w:tc>
              <w:tc>
                <w:tcPr>
                  <w:tcW w:w="1632" w:type="pct"/>
                  <w:noWrap/>
                  <w:vAlign w:val="center"/>
                </w:tcPr>
                <w:p w14:paraId="5D77A31A">
                  <w:pPr>
                    <w:pStyle w:val="38"/>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108.499955628</w:t>
                  </w:r>
                  <w:r>
                    <w:rPr>
                      <w:rFonts w:hint="eastAsia" w:cs="Times New Roman"/>
                      <w:color w:val="auto"/>
                      <w:highlight w:val="none"/>
                      <w:lang w:eastAsia="zh-CN"/>
                    </w:rPr>
                    <w:t>，</w:t>
                  </w:r>
                </w:p>
                <w:p w14:paraId="7C618F57">
                  <w:pPr>
                    <w:pStyle w:val="38"/>
                    <w:rPr>
                      <w:rFonts w:hint="default" w:ascii="Times New Roman" w:hAnsi="Times New Roman" w:cs="Times New Roman"/>
                      <w:color w:val="auto"/>
                      <w:highlight w:val="none"/>
                    </w:rPr>
                  </w:pPr>
                  <w:r>
                    <w:rPr>
                      <w:rFonts w:hint="default" w:ascii="Times New Roman" w:hAnsi="Times New Roman" w:cs="Times New Roman"/>
                      <w:color w:val="auto"/>
                      <w:highlight w:val="none"/>
                    </w:rPr>
                    <w:t>40.026410773</w:t>
                  </w:r>
                </w:p>
              </w:tc>
              <w:tc>
                <w:tcPr>
                  <w:tcW w:w="1735" w:type="pct"/>
                  <w:noWrap/>
                  <w:vAlign w:val="center"/>
                </w:tcPr>
                <w:p w14:paraId="23019825">
                  <w:pPr>
                    <w:pStyle w:val="38"/>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108.495147769</w:t>
                  </w:r>
                  <w:r>
                    <w:rPr>
                      <w:rFonts w:hint="eastAsia" w:cs="Times New Roman"/>
                      <w:color w:val="auto"/>
                      <w:highlight w:val="none"/>
                      <w:lang w:eastAsia="zh-CN"/>
                    </w:rPr>
                    <w:t>，</w:t>
                  </w:r>
                </w:p>
                <w:p w14:paraId="05F98706">
                  <w:pPr>
                    <w:pStyle w:val="38"/>
                    <w:rPr>
                      <w:rFonts w:hint="default" w:ascii="Times New Roman" w:hAnsi="Times New Roman" w:cs="Times New Roman"/>
                      <w:color w:val="auto"/>
                      <w:highlight w:val="none"/>
                    </w:rPr>
                  </w:pPr>
                  <w:r>
                    <w:rPr>
                      <w:rFonts w:hint="default" w:ascii="Times New Roman" w:hAnsi="Times New Roman" w:cs="Times New Roman"/>
                      <w:color w:val="auto"/>
                      <w:highlight w:val="none"/>
                    </w:rPr>
                    <w:t>40.027364298</w:t>
                  </w:r>
                </w:p>
              </w:tc>
            </w:tr>
            <w:tr w14:paraId="576A6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32" w:type="pct"/>
                  <w:noWrap/>
                  <w:vAlign w:val="center"/>
                </w:tcPr>
                <w:p w14:paraId="64CD721B">
                  <w:pPr>
                    <w:jc w:val="center"/>
                    <w:rPr>
                      <w:rFonts w:hint="default" w:ascii="Times New Roman" w:hAnsi="Times New Roman" w:cs="Times New Roman"/>
                      <w:color w:val="auto"/>
                      <w:highlight w:val="none"/>
                    </w:rPr>
                  </w:pPr>
                  <w:r>
                    <w:rPr>
                      <w:rFonts w:hint="default" w:ascii="Times New Roman" w:hAnsi="Times New Roman" w:cs="Times New Roman"/>
                      <w:highlight w:val="none"/>
                      <w:lang w:val="en-US" w:eastAsia="zh-CN"/>
                    </w:rPr>
                    <w:t>中压蒸汽</w:t>
                  </w:r>
                </w:p>
              </w:tc>
              <w:tc>
                <w:tcPr>
                  <w:tcW w:w="1632" w:type="pct"/>
                  <w:noWrap/>
                  <w:vAlign w:val="center"/>
                </w:tcPr>
                <w:p w14:paraId="586E6E96">
                  <w:pPr>
                    <w:pStyle w:val="38"/>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108.497229163</w:t>
                  </w:r>
                  <w:r>
                    <w:rPr>
                      <w:rFonts w:hint="eastAsia" w:cs="Times New Roman"/>
                      <w:color w:val="auto"/>
                      <w:highlight w:val="none"/>
                      <w:lang w:eastAsia="zh-CN"/>
                    </w:rPr>
                    <w:t>，</w:t>
                  </w:r>
                </w:p>
                <w:p w14:paraId="1505759F">
                  <w:pPr>
                    <w:pStyle w:val="38"/>
                    <w:rPr>
                      <w:rFonts w:hint="default" w:ascii="Times New Roman" w:hAnsi="Times New Roman" w:cs="Times New Roman"/>
                      <w:color w:val="auto"/>
                      <w:highlight w:val="none"/>
                    </w:rPr>
                  </w:pPr>
                  <w:r>
                    <w:rPr>
                      <w:rFonts w:hint="default" w:ascii="Times New Roman" w:hAnsi="Times New Roman" w:cs="Times New Roman"/>
                      <w:color w:val="auto"/>
                      <w:highlight w:val="none"/>
                    </w:rPr>
                    <w:t>40.029417529</w:t>
                  </w:r>
                </w:p>
              </w:tc>
              <w:tc>
                <w:tcPr>
                  <w:tcW w:w="1735" w:type="pct"/>
                  <w:noWrap/>
                  <w:vAlign w:val="center"/>
                </w:tcPr>
                <w:p w14:paraId="2393F401">
                  <w:pPr>
                    <w:pStyle w:val="38"/>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108.499989156</w:t>
                  </w:r>
                  <w:r>
                    <w:rPr>
                      <w:rFonts w:hint="eastAsia" w:cs="Times New Roman"/>
                      <w:color w:val="auto"/>
                      <w:highlight w:val="none"/>
                      <w:lang w:eastAsia="zh-CN"/>
                    </w:rPr>
                    <w:t>，</w:t>
                  </w:r>
                </w:p>
                <w:p w14:paraId="7918CC5C">
                  <w:pPr>
                    <w:pStyle w:val="38"/>
                    <w:rPr>
                      <w:rFonts w:hint="default" w:ascii="Times New Roman" w:hAnsi="Times New Roman" w:cs="Times New Roman"/>
                      <w:color w:val="auto"/>
                      <w:highlight w:val="none"/>
                    </w:rPr>
                  </w:pPr>
                  <w:r>
                    <w:rPr>
                      <w:rFonts w:hint="default" w:ascii="Times New Roman" w:hAnsi="Times New Roman" w:cs="Times New Roman"/>
                      <w:color w:val="auto"/>
                      <w:highlight w:val="none"/>
                    </w:rPr>
                    <w:t>40.026414796</w:t>
                  </w:r>
                </w:p>
              </w:tc>
            </w:tr>
            <w:tr w14:paraId="1CD04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32" w:type="pct"/>
                  <w:noWrap/>
                  <w:vAlign w:val="center"/>
                </w:tcPr>
                <w:p w14:paraId="5B6E6532">
                  <w:pPr>
                    <w:jc w:val="center"/>
                    <w:rPr>
                      <w:rFonts w:hint="default" w:ascii="Times New Roman" w:hAnsi="Times New Roman" w:cs="Times New Roman"/>
                      <w:color w:val="auto"/>
                      <w:highlight w:val="none"/>
                    </w:rPr>
                  </w:pPr>
                  <w:r>
                    <w:rPr>
                      <w:rFonts w:hint="default" w:ascii="Times New Roman" w:hAnsi="Times New Roman" w:cs="Times New Roman"/>
                      <w:highlight w:val="none"/>
                      <w:lang w:val="en-US" w:eastAsia="zh-CN"/>
                    </w:rPr>
                    <w:t>凝结水</w:t>
                  </w:r>
                </w:p>
              </w:tc>
              <w:tc>
                <w:tcPr>
                  <w:tcW w:w="1632" w:type="pct"/>
                  <w:noWrap/>
                  <w:vAlign w:val="center"/>
                </w:tcPr>
                <w:p w14:paraId="5B3D0747">
                  <w:pPr>
                    <w:pStyle w:val="38"/>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108.496895228</w:t>
                  </w:r>
                  <w:r>
                    <w:rPr>
                      <w:rFonts w:hint="eastAsia" w:cs="Times New Roman"/>
                      <w:color w:val="auto"/>
                      <w:highlight w:val="none"/>
                      <w:lang w:eastAsia="zh-CN"/>
                    </w:rPr>
                    <w:t>，</w:t>
                  </w:r>
                </w:p>
                <w:p w14:paraId="4F4C204A">
                  <w:pPr>
                    <w:pStyle w:val="38"/>
                    <w:rPr>
                      <w:rFonts w:hint="default" w:ascii="Times New Roman" w:hAnsi="Times New Roman" w:cs="Times New Roman"/>
                      <w:color w:val="auto"/>
                      <w:highlight w:val="none"/>
                    </w:rPr>
                  </w:pPr>
                  <w:r>
                    <w:rPr>
                      <w:rFonts w:hint="default" w:ascii="Times New Roman" w:hAnsi="Times New Roman" w:cs="Times New Roman"/>
                      <w:color w:val="auto"/>
                      <w:highlight w:val="none"/>
                    </w:rPr>
                    <w:t>40.029098346</w:t>
                  </w:r>
                </w:p>
              </w:tc>
              <w:tc>
                <w:tcPr>
                  <w:tcW w:w="1735" w:type="pct"/>
                  <w:noWrap/>
                  <w:vAlign w:val="center"/>
                </w:tcPr>
                <w:p w14:paraId="22413B3C">
                  <w:pPr>
                    <w:pStyle w:val="38"/>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108.500026707</w:t>
                  </w:r>
                  <w:r>
                    <w:rPr>
                      <w:rFonts w:hint="eastAsia" w:cs="Times New Roman"/>
                      <w:color w:val="auto"/>
                      <w:highlight w:val="none"/>
                      <w:lang w:eastAsia="zh-CN"/>
                    </w:rPr>
                    <w:t>，</w:t>
                  </w:r>
                </w:p>
                <w:p w14:paraId="2E29472E">
                  <w:pPr>
                    <w:pStyle w:val="38"/>
                    <w:rPr>
                      <w:rFonts w:hint="default" w:ascii="Times New Roman" w:hAnsi="Times New Roman" w:cs="Times New Roman"/>
                      <w:color w:val="auto"/>
                      <w:highlight w:val="none"/>
                    </w:rPr>
                  </w:pPr>
                  <w:r>
                    <w:rPr>
                      <w:rFonts w:hint="default" w:ascii="Times New Roman" w:hAnsi="Times New Roman" w:cs="Times New Roman"/>
                      <w:color w:val="auto"/>
                      <w:highlight w:val="none"/>
                    </w:rPr>
                    <w:t>40.026460394</w:t>
                  </w:r>
                </w:p>
              </w:tc>
            </w:tr>
            <w:tr w14:paraId="54216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32" w:type="pct"/>
                  <w:noWrap/>
                  <w:vAlign w:val="center"/>
                </w:tcPr>
                <w:p w14:paraId="79C31567">
                  <w:pPr>
                    <w:jc w:val="center"/>
                    <w:rPr>
                      <w:rFonts w:hint="default" w:ascii="Times New Roman" w:hAnsi="Times New Roman" w:cs="Times New Roman"/>
                      <w:color w:val="auto"/>
                      <w:highlight w:val="none"/>
                    </w:rPr>
                  </w:pPr>
                  <w:r>
                    <w:rPr>
                      <w:rFonts w:hint="default" w:ascii="Times New Roman" w:hAnsi="Times New Roman" w:cs="Times New Roman"/>
                      <w:highlight w:val="none"/>
                      <w:lang w:val="en-US" w:eastAsia="zh-CN"/>
                    </w:rPr>
                    <w:t>仪表风</w:t>
                  </w:r>
                </w:p>
              </w:tc>
              <w:tc>
                <w:tcPr>
                  <w:tcW w:w="1632" w:type="pct"/>
                  <w:noWrap/>
                  <w:vAlign w:val="center"/>
                </w:tcPr>
                <w:p w14:paraId="776F2BE3">
                  <w:pPr>
                    <w:pStyle w:val="38"/>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108.496860359</w:t>
                  </w:r>
                  <w:r>
                    <w:rPr>
                      <w:rFonts w:hint="eastAsia" w:cs="Times New Roman"/>
                      <w:color w:val="auto"/>
                      <w:highlight w:val="none"/>
                      <w:lang w:eastAsia="zh-CN"/>
                    </w:rPr>
                    <w:t>，</w:t>
                  </w:r>
                </w:p>
                <w:p w14:paraId="3B8E4677">
                  <w:pPr>
                    <w:pStyle w:val="38"/>
                    <w:rPr>
                      <w:rFonts w:hint="default" w:ascii="Times New Roman" w:hAnsi="Times New Roman" w:cs="Times New Roman"/>
                      <w:color w:val="auto"/>
                      <w:highlight w:val="none"/>
                    </w:rPr>
                  </w:pPr>
                  <w:r>
                    <w:rPr>
                      <w:rFonts w:hint="default" w:ascii="Times New Roman" w:hAnsi="Times New Roman" w:cs="Times New Roman"/>
                      <w:color w:val="auto"/>
                      <w:highlight w:val="none"/>
                    </w:rPr>
                    <w:t>40.02907554</w:t>
                  </w:r>
                </w:p>
              </w:tc>
              <w:tc>
                <w:tcPr>
                  <w:tcW w:w="1735" w:type="pct"/>
                  <w:noWrap/>
                  <w:vAlign w:val="center"/>
                </w:tcPr>
                <w:p w14:paraId="200706AF">
                  <w:pPr>
                    <w:pStyle w:val="38"/>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108.500018660</w:t>
                  </w:r>
                  <w:r>
                    <w:rPr>
                      <w:rFonts w:hint="eastAsia" w:cs="Times New Roman"/>
                      <w:color w:val="auto"/>
                      <w:highlight w:val="none"/>
                      <w:lang w:eastAsia="zh-CN"/>
                    </w:rPr>
                    <w:t>，</w:t>
                  </w:r>
                </w:p>
                <w:p w14:paraId="0B41BA78">
                  <w:pPr>
                    <w:pStyle w:val="38"/>
                    <w:rPr>
                      <w:rFonts w:hint="default" w:ascii="Times New Roman" w:hAnsi="Times New Roman" w:cs="Times New Roman"/>
                      <w:color w:val="auto"/>
                      <w:highlight w:val="none"/>
                    </w:rPr>
                  </w:pPr>
                  <w:r>
                    <w:rPr>
                      <w:rFonts w:hint="default" w:ascii="Times New Roman" w:hAnsi="Times New Roman" w:cs="Times New Roman"/>
                      <w:color w:val="auto"/>
                      <w:highlight w:val="none"/>
                    </w:rPr>
                    <w:t>40.026457711</w:t>
                  </w:r>
                </w:p>
              </w:tc>
            </w:tr>
            <w:tr w14:paraId="0DDF9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32" w:type="pct"/>
                  <w:noWrap/>
                  <w:vAlign w:val="center"/>
                </w:tcPr>
                <w:p w14:paraId="2F57CB5F">
                  <w:pPr>
                    <w:jc w:val="center"/>
                    <w:rPr>
                      <w:rFonts w:hint="default" w:ascii="Times New Roman" w:hAnsi="Times New Roman" w:cs="Times New Roman"/>
                      <w:color w:val="auto"/>
                      <w:highlight w:val="none"/>
                    </w:rPr>
                  </w:pPr>
                  <w:r>
                    <w:rPr>
                      <w:rFonts w:hint="default" w:ascii="Times New Roman" w:hAnsi="Times New Roman" w:cs="Times New Roman"/>
                      <w:highlight w:val="none"/>
                      <w:lang w:val="en-US" w:eastAsia="zh-CN"/>
                    </w:rPr>
                    <w:t>工厂风</w:t>
                  </w:r>
                </w:p>
              </w:tc>
              <w:tc>
                <w:tcPr>
                  <w:tcW w:w="1632" w:type="pct"/>
                  <w:noWrap/>
                  <w:vAlign w:val="center"/>
                </w:tcPr>
                <w:p w14:paraId="4A9ED988">
                  <w:pPr>
                    <w:pStyle w:val="38"/>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108.496849630</w:t>
                  </w:r>
                  <w:r>
                    <w:rPr>
                      <w:rFonts w:hint="eastAsia" w:cs="Times New Roman"/>
                      <w:color w:val="auto"/>
                      <w:highlight w:val="none"/>
                      <w:lang w:eastAsia="zh-CN"/>
                    </w:rPr>
                    <w:t>，</w:t>
                  </w:r>
                </w:p>
                <w:p w14:paraId="7CDC679F">
                  <w:pPr>
                    <w:pStyle w:val="38"/>
                    <w:rPr>
                      <w:rFonts w:hint="default" w:ascii="Times New Roman" w:hAnsi="Times New Roman" w:cs="Times New Roman"/>
                      <w:color w:val="auto"/>
                      <w:highlight w:val="none"/>
                    </w:rPr>
                  </w:pPr>
                  <w:r>
                    <w:rPr>
                      <w:rFonts w:hint="default" w:ascii="Times New Roman" w:hAnsi="Times New Roman" w:cs="Times New Roman"/>
                      <w:color w:val="auto"/>
                      <w:highlight w:val="none"/>
                    </w:rPr>
                    <w:t>40.029072865</w:t>
                  </w:r>
                </w:p>
              </w:tc>
              <w:tc>
                <w:tcPr>
                  <w:tcW w:w="1735" w:type="pct"/>
                  <w:noWrap/>
                  <w:vAlign w:val="center"/>
                </w:tcPr>
                <w:p w14:paraId="783E4C93">
                  <w:pPr>
                    <w:pStyle w:val="38"/>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108.500010614</w:t>
                  </w:r>
                  <w:r>
                    <w:rPr>
                      <w:rFonts w:hint="eastAsia" w:cs="Times New Roman"/>
                      <w:color w:val="auto"/>
                      <w:highlight w:val="none"/>
                      <w:lang w:eastAsia="zh-CN"/>
                    </w:rPr>
                    <w:t>，</w:t>
                  </w:r>
                </w:p>
                <w:p w14:paraId="63C468D1">
                  <w:pPr>
                    <w:pStyle w:val="38"/>
                    <w:rPr>
                      <w:rFonts w:hint="default" w:ascii="Times New Roman" w:hAnsi="Times New Roman" w:cs="Times New Roman"/>
                      <w:color w:val="auto"/>
                      <w:highlight w:val="none"/>
                    </w:rPr>
                  </w:pPr>
                  <w:r>
                    <w:rPr>
                      <w:rFonts w:hint="default" w:ascii="Times New Roman" w:hAnsi="Times New Roman" w:cs="Times New Roman"/>
                      <w:color w:val="auto"/>
                      <w:highlight w:val="none"/>
                    </w:rPr>
                    <w:t>40.026452347</w:t>
                  </w:r>
                </w:p>
              </w:tc>
            </w:tr>
            <w:tr w14:paraId="7F2C4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32" w:type="pct"/>
                  <w:noWrap/>
                  <w:vAlign w:val="center"/>
                </w:tcPr>
                <w:p w14:paraId="08EA60AC">
                  <w:pPr>
                    <w:jc w:val="center"/>
                    <w:rPr>
                      <w:rFonts w:hint="default" w:ascii="Times New Roman" w:hAnsi="Times New Roman" w:cs="Times New Roman"/>
                      <w:color w:val="auto"/>
                      <w:highlight w:val="none"/>
                    </w:rPr>
                  </w:pPr>
                  <w:r>
                    <w:rPr>
                      <w:rFonts w:hint="default" w:ascii="Times New Roman" w:hAnsi="Times New Roman" w:cs="Times New Roman"/>
                      <w:highlight w:val="none"/>
                      <w:lang w:val="en-US" w:eastAsia="zh-CN"/>
                    </w:rPr>
                    <w:t>氮气</w:t>
                  </w:r>
                </w:p>
              </w:tc>
              <w:tc>
                <w:tcPr>
                  <w:tcW w:w="1632" w:type="pct"/>
                  <w:noWrap/>
                  <w:vAlign w:val="center"/>
                </w:tcPr>
                <w:p w14:paraId="58C8DF79">
                  <w:pPr>
                    <w:pStyle w:val="38"/>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108.496860359</w:t>
                  </w:r>
                  <w:r>
                    <w:rPr>
                      <w:rFonts w:hint="eastAsia" w:cs="Times New Roman"/>
                      <w:color w:val="auto"/>
                      <w:highlight w:val="none"/>
                      <w:lang w:eastAsia="zh-CN"/>
                    </w:rPr>
                    <w:t>，</w:t>
                  </w:r>
                </w:p>
                <w:p w14:paraId="2B335544">
                  <w:pPr>
                    <w:pStyle w:val="38"/>
                    <w:rPr>
                      <w:rFonts w:hint="default" w:ascii="Times New Roman" w:hAnsi="Times New Roman" w:cs="Times New Roman"/>
                      <w:color w:val="auto"/>
                      <w:highlight w:val="none"/>
                    </w:rPr>
                  </w:pPr>
                  <w:r>
                    <w:rPr>
                      <w:rFonts w:hint="default" w:ascii="Times New Roman" w:hAnsi="Times New Roman" w:cs="Times New Roman"/>
                      <w:color w:val="auto"/>
                      <w:highlight w:val="none"/>
                    </w:rPr>
                    <w:t>40.029075547</w:t>
                  </w:r>
                </w:p>
              </w:tc>
              <w:tc>
                <w:tcPr>
                  <w:tcW w:w="1735" w:type="pct"/>
                  <w:noWrap/>
                  <w:vAlign w:val="center"/>
                </w:tcPr>
                <w:p w14:paraId="4A6A25D8">
                  <w:pPr>
                    <w:pStyle w:val="38"/>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108.500021343</w:t>
                  </w:r>
                  <w:r>
                    <w:rPr>
                      <w:rFonts w:hint="eastAsia" w:cs="Times New Roman"/>
                      <w:color w:val="auto"/>
                      <w:highlight w:val="none"/>
                      <w:lang w:eastAsia="zh-CN"/>
                    </w:rPr>
                    <w:t>，</w:t>
                  </w:r>
                </w:p>
                <w:p w14:paraId="33ECC239">
                  <w:pPr>
                    <w:pStyle w:val="38"/>
                    <w:rPr>
                      <w:rFonts w:hint="default" w:ascii="Times New Roman" w:hAnsi="Times New Roman" w:cs="Times New Roman"/>
                      <w:color w:val="auto"/>
                      <w:highlight w:val="none"/>
                    </w:rPr>
                  </w:pPr>
                  <w:r>
                    <w:rPr>
                      <w:rFonts w:hint="default" w:ascii="Times New Roman" w:hAnsi="Times New Roman" w:cs="Times New Roman"/>
                      <w:color w:val="auto"/>
                      <w:highlight w:val="none"/>
                    </w:rPr>
                    <w:t>40.026455029</w:t>
                  </w:r>
                </w:p>
              </w:tc>
            </w:tr>
            <w:tr w14:paraId="5A433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32" w:type="pct"/>
                  <w:noWrap/>
                  <w:vAlign w:val="center"/>
                </w:tcPr>
                <w:p w14:paraId="0D096A24">
                  <w:pPr>
                    <w:jc w:val="center"/>
                    <w:rPr>
                      <w:rFonts w:hint="default" w:ascii="Times New Roman" w:hAnsi="Times New Roman" w:cs="Times New Roman"/>
                      <w:color w:val="auto"/>
                      <w:highlight w:val="none"/>
                    </w:rPr>
                  </w:pPr>
                  <w:r>
                    <w:rPr>
                      <w:rFonts w:hint="default" w:ascii="Times New Roman" w:hAnsi="Times New Roman" w:cs="Times New Roman"/>
                      <w:highlight w:val="none"/>
                      <w:lang w:val="en-US" w:eastAsia="zh-CN"/>
                    </w:rPr>
                    <w:t>黄河水</w:t>
                  </w:r>
                </w:p>
              </w:tc>
              <w:tc>
                <w:tcPr>
                  <w:tcW w:w="1632" w:type="pct"/>
                  <w:noWrap/>
                  <w:vAlign w:val="center"/>
                </w:tcPr>
                <w:p w14:paraId="1B7BF895">
                  <w:pPr>
                    <w:pStyle w:val="38"/>
                    <w:rPr>
                      <w:rFonts w:hint="eastAsia" w:ascii="Times New Roman" w:hAnsi="Times New Roman" w:eastAsia="宋体" w:cs="Times New Roman"/>
                      <w:highlight w:val="none"/>
                      <w:lang w:eastAsia="zh-CN"/>
                    </w:rPr>
                  </w:pPr>
                  <w:r>
                    <w:rPr>
                      <w:rFonts w:hint="default" w:ascii="Times New Roman" w:hAnsi="Times New Roman" w:cs="Times New Roman"/>
                      <w:highlight w:val="none"/>
                    </w:rPr>
                    <w:t>108.508656715</w:t>
                  </w:r>
                  <w:r>
                    <w:rPr>
                      <w:rFonts w:hint="eastAsia" w:cs="Times New Roman"/>
                      <w:highlight w:val="none"/>
                      <w:lang w:eastAsia="zh-CN"/>
                    </w:rPr>
                    <w:t>，</w:t>
                  </w:r>
                </w:p>
                <w:p w14:paraId="0E9D3714">
                  <w:pPr>
                    <w:pStyle w:val="38"/>
                    <w:rPr>
                      <w:rFonts w:hint="default" w:ascii="Times New Roman" w:hAnsi="Times New Roman" w:cs="Times New Roman"/>
                      <w:color w:val="auto"/>
                      <w:highlight w:val="none"/>
                    </w:rPr>
                  </w:pPr>
                  <w:r>
                    <w:rPr>
                      <w:rFonts w:hint="default" w:ascii="Times New Roman" w:hAnsi="Times New Roman" w:cs="Times New Roman"/>
                      <w:highlight w:val="none"/>
                    </w:rPr>
                    <w:t>40.035823985</w:t>
                  </w:r>
                </w:p>
              </w:tc>
              <w:tc>
                <w:tcPr>
                  <w:tcW w:w="1735" w:type="pct"/>
                  <w:noWrap/>
                  <w:vAlign w:val="center"/>
                </w:tcPr>
                <w:p w14:paraId="38B8EE6E">
                  <w:pPr>
                    <w:pStyle w:val="38"/>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108.499991838</w:t>
                  </w:r>
                  <w:r>
                    <w:rPr>
                      <w:rFonts w:hint="eastAsia" w:cs="Times New Roman"/>
                      <w:color w:val="auto"/>
                      <w:highlight w:val="none"/>
                      <w:lang w:eastAsia="zh-CN"/>
                    </w:rPr>
                    <w:t>，</w:t>
                  </w:r>
                </w:p>
                <w:p w14:paraId="49969035">
                  <w:pPr>
                    <w:pStyle w:val="38"/>
                    <w:rPr>
                      <w:rFonts w:hint="default" w:ascii="Times New Roman" w:hAnsi="Times New Roman" w:cs="Times New Roman"/>
                      <w:color w:val="auto"/>
                      <w:highlight w:val="none"/>
                    </w:rPr>
                  </w:pPr>
                  <w:r>
                    <w:rPr>
                      <w:rFonts w:hint="default" w:ascii="Times New Roman" w:hAnsi="Times New Roman" w:cs="Times New Roman"/>
                      <w:color w:val="auto"/>
                      <w:highlight w:val="none"/>
                    </w:rPr>
                    <w:t>40.026387974</w:t>
                  </w:r>
                </w:p>
              </w:tc>
            </w:tr>
            <w:tr w14:paraId="41A69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32" w:type="pct"/>
                  <w:noWrap/>
                  <w:vAlign w:val="center"/>
                </w:tcPr>
                <w:p w14:paraId="1C85AFF0">
                  <w:pPr>
                    <w:jc w:val="center"/>
                    <w:rPr>
                      <w:rFonts w:hint="default" w:ascii="Times New Roman" w:hAnsi="Times New Roman" w:cs="Times New Roman"/>
                      <w:color w:val="auto"/>
                      <w:highlight w:val="none"/>
                    </w:rPr>
                  </w:pPr>
                  <w:r>
                    <w:rPr>
                      <w:rFonts w:hint="default" w:ascii="Times New Roman" w:hAnsi="Times New Roman" w:cs="Times New Roman"/>
                      <w:highlight w:val="none"/>
                      <w:lang w:val="en-US" w:eastAsia="zh-CN"/>
                    </w:rPr>
                    <w:t>回用水</w:t>
                  </w:r>
                </w:p>
              </w:tc>
              <w:tc>
                <w:tcPr>
                  <w:tcW w:w="1632" w:type="pct"/>
                  <w:noWrap/>
                  <w:vAlign w:val="center"/>
                </w:tcPr>
                <w:p w14:paraId="6DB0DDB5">
                  <w:pPr>
                    <w:pStyle w:val="38"/>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108.497335110</w:t>
                  </w:r>
                  <w:r>
                    <w:rPr>
                      <w:rFonts w:hint="eastAsia" w:cs="Times New Roman"/>
                      <w:color w:val="auto"/>
                      <w:highlight w:val="none"/>
                      <w:lang w:eastAsia="zh-CN"/>
                    </w:rPr>
                    <w:t>，</w:t>
                  </w:r>
                </w:p>
                <w:p w14:paraId="195F2DBB">
                  <w:pPr>
                    <w:pStyle w:val="38"/>
                    <w:rPr>
                      <w:rFonts w:hint="default" w:ascii="Times New Roman" w:hAnsi="Times New Roman" w:cs="Times New Roman"/>
                      <w:color w:val="auto"/>
                      <w:highlight w:val="none"/>
                    </w:rPr>
                  </w:pPr>
                  <w:r>
                    <w:rPr>
                      <w:rFonts w:hint="default" w:ascii="Times New Roman" w:hAnsi="Times New Roman" w:cs="Times New Roman"/>
                      <w:color w:val="auto"/>
                      <w:highlight w:val="none"/>
                    </w:rPr>
                    <w:t>40.029386684</w:t>
                  </w:r>
                </w:p>
              </w:tc>
              <w:tc>
                <w:tcPr>
                  <w:tcW w:w="1735" w:type="pct"/>
                  <w:noWrap/>
                  <w:vAlign w:val="center"/>
                </w:tcPr>
                <w:p w14:paraId="7C38040A">
                  <w:pPr>
                    <w:pStyle w:val="38"/>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108.499967698</w:t>
                  </w:r>
                  <w:r>
                    <w:rPr>
                      <w:rFonts w:hint="eastAsia" w:cs="Times New Roman"/>
                      <w:color w:val="auto"/>
                      <w:highlight w:val="none"/>
                      <w:lang w:eastAsia="zh-CN"/>
                    </w:rPr>
                    <w:t>，</w:t>
                  </w:r>
                </w:p>
                <w:p w14:paraId="1ACF6B47">
                  <w:pPr>
                    <w:pStyle w:val="38"/>
                    <w:rPr>
                      <w:rFonts w:hint="default" w:ascii="Times New Roman" w:hAnsi="Times New Roman" w:cs="Times New Roman"/>
                      <w:color w:val="auto"/>
                      <w:highlight w:val="none"/>
                    </w:rPr>
                  </w:pPr>
                  <w:r>
                    <w:rPr>
                      <w:rFonts w:hint="default" w:ascii="Times New Roman" w:hAnsi="Times New Roman" w:cs="Times New Roman"/>
                      <w:color w:val="auto"/>
                      <w:highlight w:val="none"/>
                    </w:rPr>
                    <w:t>40.026401385</w:t>
                  </w:r>
                </w:p>
              </w:tc>
            </w:tr>
            <w:tr w14:paraId="08EC3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1632" w:type="pct"/>
                  <w:noWrap/>
                  <w:vAlign w:val="center"/>
                </w:tcPr>
                <w:p w14:paraId="655C22D4">
                  <w:pPr>
                    <w:jc w:val="center"/>
                    <w:rPr>
                      <w:rFonts w:hint="default" w:ascii="Times New Roman" w:hAnsi="Times New Roman" w:cs="Times New Roman"/>
                      <w:color w:val="auto"/>
                      <w:highlight w:val="none"/>
                    </w:rPr>
                  </w:pPr>
                  <w:r>
                    <w:rPr>
                      <w:rFonts w:hint="default" w:ascii="Times New Roman" w:hAnsi="Times New Roman" w:cs="Times New Roman"/>
                      <w:highlight w:val="none"/>
                      <w:lang w:val="en-US" w:eastAsia="zh-CN"/>
                    </w:rPr>
                    <w:t>污水1</w:t>
                  </w:r>
                </w:p>
              </w:tc>
              <w:tc>
                <w:tcPr>
                  <w:tcW w:w="1632" w:type="pct"/>
                  <w:noWrap/>
                  <w:vAlign w:val="center"/>
                </w:tcPr>
                <w:p w14:paraId="3E8F9F44">
                  <w:pPr>
                    <w:pStyle w:val="38"/>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108.499979768</w:t>
                  </w:r>
                  <w:r>
                    <w:rPr>
                      <w:rFonts w:hint="eastAsia" w:cs="Times New Roman"/>
                      <w:color w:val="auto"/>
                      <w:highlight w:val="none"/>
                      <w:lang w:eastAsia="zh-CN"/>
                    </w:rPr>
                    <w:t>，</w:t>
                  </w:r>
                </w:p>
                <w:p w14:paraId="33F84AFF">
                  <w:pPr>
                    <w:pStyle w:val="38"/>
                    <w:rPr>
                      <w:rFonts w:hint="default" w:ascii="Times New Roman" w:hAnsi="Times New Roman" w:cs="Times New Roman"/>
                      <w:color w:val="auto"/>
                      <w:highlight w:val="none"/>
                    </w:rPr>
                  </w:pPr>
                  <w:r>
                    <w:rPr>
                      <w:rFonts w:hint="default" w:ascii="Times New Roman" w:hAnsi="Times New Roman" w:cs="Times New Roman"/>
                      <w:color w:val="auto"/>
                      <w:highlight w:val="none"/>
                    </w:rPr>
                    <w:t>40.026426866</w:t>
                  </w:r>
                </w:p>
              </w:tc>
              <w:tc>
                <w:tcPr>
                  <w:tcW w:w="1735" w:type="pct"/>
                  <w:noWrap/>
                  <w:vAlign w:val="center"/>
                </w:tcPr>
                <w:p w14:paraId="3EE66453">
                  <w:pPr>
                    <w:pStyle w:val="38"/>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108.499989156</w:t>
                  </w:r>
                  <w:r>
                    <w:rPr>
                      <w:rFonts w:hint="eastAsia" w:cs="Times New Roman"/>
                      <w:color w:val="auto"/>
                      <w:highlight w:val="none"/>
                      <w:lang w:eastAsia="zh-CN"/>
                    </w:rPr>
                    <w:t>，</w:t>
                  </w:r>
                </w:p>
                <w:p w14:paraId="45C50E43">
                  <w:pPr>
                    <w:pStyle w:val="38"/>
                    <w:rPr>
                      <w:rFonts w:hint="default" w:ascii="Times New Roman" w:hAnsi="Times New Roman" w:cs="Times New Roman"/>
                      <w:color w:val="auto"/>
                      <w:highlight w:val="none"/>
                    </w:rPr>
                  </w:pPr>
                  <w:r>
                    <w:rPr>
                      <w:rFonts w:hint="default" w:ascii="Times New Roman" w:hAnsi="Times New Roman" w:cs="Times New Roman"/>
                      <w:color w:val="auto"/>
                      <w:highlight w:val="none"/>
                    </w:rPr>
                    <w:t>40.033291980</w:t>
                  </w:r>
                </w:p>
              </w:tc>
            </w:tr>
            <w:tr w14:paraId="2954F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32" w:type="pct"/>
                  <w:noWrap/>
                  <w:vAlign w:val="center"/>
                </w:tcPr>
                <w:p w14:paraId="0516AFBB">
                  <w:pPr>
                    <w:jc w:val="center"/>
                    <w:rPr>
                      <w:rFonts w:hint="default" w:ascii="Times New Roman" w:hAnsi="Times New Roman" w:cs="Times New Roman"/>
                      <w:color w:val="auto"/>
                      <w:highlight w:val="none"/>
                    </w:rPr>
                  </w:pPr>
                  <w:r>
                    <w:rPr>
                      <w:rFonts w:hint="default" w:ascii="Times New Roman" w:hAnsi="Times New Roman" w:cs="Times New Roman"/>
                      <w:highlight w:val="none"/>
                      <w:lang w:val="en-US" w:eastAsia="zh-CN"/>
                    </w:rPr>
                    <w:t>污水2</w:t>
                  </w:r>
                </w:p>
              </w:tc>
              <w:tc>
                <w:tcPr>
                  <w:tcW w:w="1632" w:type="pct"/>
                  <w:noWrap/>
                  <w:vAlign w:val="center"/>
                </w:tcPr>
                <w:p w14:paraId="0056D7B4">
                  <w:pPr>
                    <w:pStyle w:val="38"/>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108.500033412</w:t>
                  </w:r>
                  <w:r>
                    <w:rPr>
                      <w:rFonts w:hint="eastAsia" w:cs="Times New Roman"/>
                      <w:color w:val="auto"/>
                      <w:highlight w:val="none"/>
                      <w:lang w:eastAsia="zh-CN"/>
                    </w:rPr>
                    <w:t>，</w:t>
                  </w:r>
                </w:p>
                <w:p w14:paraId="0E0E5DA2">
                  <w:pPr>
                    <w:pStyle w:val="38"/>
                    <w:rPr>
                      <w:rFonts w:hint="default" w:ascii="Times New Roman" w:hAnsi="Times New Roman" w:cs="Times New Roman"/>
                      <w:color w:val="auto"/>
                      <w:highlight w:val="none"/>
                    </w:rPr>
                  </w:pPr>
                  <w:r>
                    <w:rPr>
                      <w:rFonts w:hint="default" w:ascii="Times New Roman" w:hAnsi="Times New Roman" w:cs="Times New Roman"/>
                      <w:color w:val="auto"/>
                      <w:highlight w:val="none"/>
                    </w:rPr>
                    <w:t>40.026463076</w:t>
                  </w:r>
                </w:p>
              </w:tc>
              <w:tc>
                <w:tcPr>
                  <w:tcW w:w="1735" w:type="pct"/>
                  <w:noWrap/>
                  <w:vAlign w:val="center"/>
                </w:tcPr>
                <w:p w14:paraId="7957851B">
                  <w:pPr>
                    <w:pStyle w:val="38"/>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108.492043112</w:t>
                  </w:r>
                  <w:r>
                    <w:rPr>
                      <w:rFonts w:hint="eastAsia" w:cs="Times New Roman"/>
                      <w:color w:val="auto"/>
                      <w:highlight w:val="none"/>
                      <w:lang w:eastAsia="zh-CN"/>
                    </w:rPr>
                    <w:t>，</w:t>
                  </w:r>
                </w:p>
                <w:p w14:paraId="37665A95">
                  <w:pPr>
                    <w:pStyle w:val="38"/>
                    <w:rPr>
                      <w:rFonts w:hint="default" w:ascii="Times New Roman" w:hAnsi="Times New Roman" w:cs="Times New Roman"/>
                      <w:color w:val="auto"/>
                      <w:highlight w:val="none"/>
                    </w:rPr>
                  </w:pPr>
                  <w:r>
                    <w:rPr>
                      <w:rFonts w:hint="default" w:ascii="Times New Roman" w:hAnsi="Times New Roman" w:cs="Times New Roman"/>
                      <w:color w:val="auto"/>
                      <w:highlight w:val="none"/>
                    </w:rPr>
                    <w:t>40.025309726</w:t>
                  </w:r>
                </w:p>
              </w:tc>
            </w:tr>
            <w:tr w14:paraId="4716C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32" w:type="pct"/>
                  <w:noWrap/>
                  <w:vAlign w:val="center"/>
                </w:tcPr>
                <w:p w14:paraId="1BF770EE">
                  <w:pPr>
                    <w:jc w:val="center"/>
                    <w:rPr>
                      <w:rFonts w:hint="default" w:ascii="Times New Roman" w:hAnsi="Times New Roman" w:cs="Times New Roman"/>
                      <w:color w:val="auto"/>
                      <w:highlight w:val="none"/>
                    </w:rPr>
                  </w:pPr>
                  <w:r>
                    <w:rPr>
                      <w:rFonts w:hint="default" w:ascii="Times New Roman" w:hAnsi="Times New Roman" w:cs="Times New Roman"/>
                      <w:highlight w:val="none"/>
                      <w:lang w:val="en-US" w:eastAsia="zh-CN"/>
                    </w:rPr>
                    <w:t>清净废水</w:t>
                  </w:r>
                </w:p>
              </w:tc>
              <w:tc>
                <w:tcPr>
                  <w:tcW w:w="1632" w:type="pct"/>
                  <w:noWrap/>
                  <w:vAlign w:val="center"/>
                </w:tcPr>
                <w:p w14:paraId="155FDD65">
                  <w:pPr>
                    <w:pStyle w:val="38"/>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108.500062917</w:t>
                  </w:r>
                  <w:r>
                    <w:rPr>
                      <w:rFonts w:hint="eastAsia" w:cs="Times New Roman"/>
                      <w:color w:val="auto"/>
                      <w:highlight w:val="none"/>
                      <w:lang w:eastAsia="zh-CN"/>
                    </w:rPr>
                    <w:t>，</w:t>
                  </w:r>
                </w:p>
                <w:p w14:paraId="272AA417">
                  <w:pPr>
                    <w:pStyle w:val="38"/>
                    <w:rPr>
                      <w:rFonts w:hint="default" w:ascii="Times New Roman" w:hAnsi="Times New Roman" w:cs="Times New Roman"/>
                      <w:color w:val="auto"/>
                      <w:highlight w:val="none"/>
                    </w:rPr>
                  </w:pPr>
                  <w:r>
                    <w:rPr>
                      <w:rFonts w:hint="default" w:ascii="Times New Roman" w:hAnsi="Times New Roman" w:cs="Times New Roman"/>
                      <w:color w:val="auto"/>
                      <w:highlight w:val="none"/>
                    </w:rPr>
                    <w:t>40.026465758</w:t>
                  </w:r>
                </w:p>
              </w:tc>
              <w:tc>
                <w:tcPr>
                  <w:tcW w:w="1735" w:type="pct"/>
                  <w:noWrap/>
                  <w:vAlign w:val="center"/>
                </w:tcPr>
                <w:p w14:paraId="3258B9AA">
                  <w:pPr>
                    <w:pStyle w:val="38"/>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108.506698702</w:t>
                  </w:r>
                  <w:r>
                    <w:rPr>
                      <w:rFonts w:hint="eastAsia" w:cs="Times New Roman"/>
                      <w:color w:val="auto"/>
                      <w:highlight w:val="none"/>
                      <w:lang w:eastAsia="zh-CN"/>
                    </w:rPr>
                    <w:t>，</w:t>
                  </w:r>
                </w:p>
                <w:p w14:paraId="0D09CDDE">
                  <w:pPr>
                    <w:pStyle w:val="38"/>
                    <w:rPr>
                      <w:rFonts w:hint="default" w:ascii="Times New Roman" w:hAnsi="Times New Roman" w:cs="Times New Roman"/>
                      <w:color w:val="auto"/>
                      <w:highlight w:val="none"/>
                    </w:rPr>
                  </w:pPr>
                  <w:r>
                    <w:rPr>
                      <w:rFonts w:hint="default" w:ascii="Times New Roman" w:hAnsi="Times New Roman" w:cs="Times New Roman"/>
                      <w:color w:val="auto"/>
                      <w:highlight w:val="none"/>
                    </w:rPr>
                    <w:t>40.031352743</w:t>
                  </w:r>
                </w:p>
              </w:tc>
            </w:tr>
            <w:tr w14:paraId="198FF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32" w:type="pct"/>
                  <w:noWrap/>
                  <w:vAlign w:val="center"/>
                </w:tcPr>
                <w:p w14:paraId="378CE10E">
                  <w:pPr>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酸性气</w:t>
                  </w:r>
                </w:p>
              </w:tc>
              <w:tc>
                <w:tcPr>
                  <w:tcW w:w="1632" w:type="pct"/>
                  <w:noWrap/>
                  <w:vAlign w:val="center"/>
                </w:tcPr>
                <w:p w14:paraId="13416557">
                  <w:pPr>
                    <w:pStyle w:val="38"/>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108.499952276</w:t>
                  </w:r>
                  <w:r>
                    <w:rPr>
                      <w:rFonts w:hint="eastAsia" w:cs="Times New Roman"/>
                      <w:color w:val="auto"/>
                      <w:highlight w:val="none"/>
                      <w:lang w:eastAsia="zh-CN"/>
                    </w:rPr>
                    <w:t>，</w:t>
                  </w:r>
                </w:p>
                <w:p w14:paraId="1DD7BF16">
                  <w:pPr>
                    <w:pStyle w:val="38"/>
                    <w:rPr>
                      <w:rFonts w:hint="default" w:ascii="Times New Roman" w:hAnsi="Times New Roman" w:cs="Times New Roman"/>
                      <w:color w:val="auto"/>
                      <w:highlight w:val="none"/>
                    </w:rPr>
                  </w:pPr>
                  <w:r>
                    <w:rPr>
                      <w:rFonts w:hint="default" w:ascii="Times New Roman" w:hAnsi="Times New Roman" w:cs="Times New Roman"/>
                      <w:color w:val="auto"/>
                      <w:highlight w:val="none"/>
                    </w:rPr>
                    <w:t>40.026383280</w:t>
                  </w:r>
                </w:p>
              </w:tc>
              <w:tc>
                <w:tcPr>
                  <w:tcW w:w="1735" w:type="pct"/>
                  <w:noWrap/>
                  <w:vAlign w:val="center"/>
                </w:tcPr>
                <w:p w14:paraId="1F29F2DD">
                  <w:pPr>
                    <w:pStyle w:val="38"/>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108.493794595</w:t>
                  </w:r>
                  <w:r>
                    <w:rPr>
                      <w:rFonts w:hint="eastAsia" w:cs="Times New Roman"/>
                      <w:color w:val="auto"/>
                      <w:highlight w:val="none"/>
                      <w:lang w:eastAsia="zh-CN"/>
                    </w:rPr>
                    <w:t>，</w:t>
                  </w:r>
                </w:p>
                <w:p w14:paraId="41C8DD4E">
                  <w:pPr>
                    <w:pStyle w:val="38"/>
                    <w:rPr>
                      <w:rFonts w:hint="default" w:ascii="Times New Roman" w:hAnsi="Times New Roman" w:cs="Times New Roman"/>
                      <w:color w:val="auto"/>
                      <w:highlight w:val="none"/>
                    </w:rPr>
                  </w:pPr>
                  <w:r>
                    <w:rPr>
                      <w:rFonts w:hint="default" w:ascii="Times New Roman" w:hAnsi="Times New Roman" w:cs="Times New Roman"/>
                      <w:color w:val="auto"/>
                      <w:highlight w:val="none"/>
                    </w:rPr>
                    <w:t>40.026864066</w:t>
                  </w:r>
                </w:p>
              </w:tc>
            </w:tr>
            <w:tr w14:paraId="55BC4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32" w:type="pct"/>
                  <w:noWrap/>
                  <w:vAlign w:val="center"/>
                </w:tcPr>
                <w:p w14:paraId="4915B484">
                  <w:pPr>
                    <w:jc w:val="center"/>
                    <w:rPr>
                      <w:rFonts w:hint="default" w:ascii="Times New Roman" w:hAnsi="Times New Roman" w:cs="Times New Roman"/>
                      <w:color w:val="auto"/>
                      <w:highlight w:val="none"/>
                    </w:rPr>
                  </w:pPr>
                  <w:r>
                    <w:rPr>
                      <w:rFonts w:hint="default" w:ascii="Times New Roman" w:hAnsi="Times New Roman" w:cs="Times New Roman"/>
                      <w:highlight w:val="none"/>
                      <w:lang w:val="en-US" w:eastAsia="zh-CN"/>
                    </w:rPr>
                    <w:t>冷冻水来</w:t>
                  </w:r>
                </w:p>
              </w:tc>
              <w:tc>
                <w:tcPr>
                  <w:tcW w:w="1632" w:type="pct"/>
                  <w:noWrap/>
                  <w:vAlign w:val="center"/>
                </w:tcPr>
                <w:p w14:paraId="0D645BA5">
                  <w:pPr>
                    <w:pStyle w:val="38"/>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108.494813834</w:t>
                  </w:r>
                  <w:r>
                    <w:rPr>
                      <w:rFonts w:hint="eastAsia" w:cs="Times New Roman"/>
                      <w:color w:val="auto"/>
                      <w:highlight w:val="none"/>
                      <w:lang w:eastAsia="zh-CN"/>
                    </w:rPr>
                    <w:t>，</w:t>
                  </w:r>
                </w:p>
                <w:p w14:paraId="26EBA50B">
                  <w:pPr>
                    <w:pStyle w:val="38"/>
                    <w:rPr>
                      <w:rFonts w:hint="default" w:ascii="Times New Roman" w:hAnsi="Times New Roman" w:cs="Times New Roman"/>
                      <w:color w:val="auto"/>
                      <w:highlight w:val="none"/>
                    </w:rPr>
                  </w:pPr>
                  <w:r>
                    <w:rPr>
                      <w:rFonts w:hint="default" w:ascii="Times New Roman" w:hAnsi="Times New Roman" w:cs="Times New Roman"/>
                      <w:color w:val="auto"/>
                      <w:highlight w:val="none"/>
                    </w:rPr>
                    <w:t>40.030427381</w:t>
                  </w:r>
                </w:p>
              </w:tc>
              <w:tc>
                <w:tcPr>
                  <w:tcW w:w="1735" w:type="pct"/>
                  <w:noWrap/>
                  <w:vAlign w:val="center"/>
                </w:tcPr>
                <w:p w14:paraId="077F4E0D">
                  <w:pPr>
                    <w:pStyle w:val="38"/>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108.499947582</w:t>
                  </w:r>
                  <w:r>
                    <w:rPr>
                      <w:rFonts w:hint="eastAsia" w:cs="Times New Roman"/>
                      <w:color w:val="auto"/>
                      <w:highlight w:val="none"/>
                      <w:lang w:eastAsia="zh-CN"/>
                    </w:rPr>
                    <w:t>，</w:t>
                  </w:r>
                </w:p>
                <w:p w14:paraId="49D27F2D">
                  <w:pPr>
                    <w:pStyle w:val="38"/>
                    <w:rPr>
                      <w:rFonts w:hint="default" w:ascii="Times New Roman" w:hAnsi="Times New Roman" w:cs="Times New Roman"/>
                      <w:color w:val="auto"/>
                      <w:highlight w:val="none"/>
                    </w:rPr>
                  </w:pPr>
                  <w:r>
                    <w:rPr>
                      <w:rFonts w:hint="default" w:ascii="Times New Roman" w:hAnsi="Times New Roman" w:cs="Times New Roman"/>
                      <w:color w:val="auto"/>
                      <w:highlight w:val="none"/>
                    </w:rPr>
                    <w:t>40.026383951</w:t>
                  </w:r>
                </w:p>
              </w:tc>
            </w:tr>
            <w:tr w14:paraId="32E04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32" w:type="pct"/>
                  <w:noWrap/>
                  <w:vAlign w:val="center"/>
                </w:tcPr>
                <w:p w14:paraId="6E5D9355">
                  <w:pPr>
                    <w:jc w:val="center"/>
                    <w:rPr>
                      <w:rFonts w:hint="default" w:ascii="Times New Roman" w:hAnsi="Times New Roman" w:cs="Times New Roman"/>
                      <w:color w:val="auto"/>
                      <w:highlight w:val="none"/>
                    </w:rPr>
                  </w:pPr>
                  <w:r>
                    <w:rPr>
                      <w:rFonts w:hint="default" w:ascii="Times New Roman" w:hAnsi="Times New Roman" w:cs="Times New Roman"/>
                      <w:highlight w:val="none"/>
                      <w:lang w:val="en-US" w:eastAsia="zh-CN"/>
                    </w:rPr>
                    <w:t>冷冻水回</w:t>
                  </w:r>
                </w:p>
              </w:tc>
              <w:tc>
                <w:tcPr>
                  <w:tcW w:w="1632" w:type="pct"/>
                  <w:noWrap/>
                  <w:vAlign w:val="center"/>
                </w:tcPr>
                <w:p w14:paraId="2D45E1A2">
                  <w:pPr>
                    <w:pStyle w:val="38"/>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108.499938194</w:t>
                  </w:r>
                  <w:r>
                    <w:rPr>
                      <w:rFonts w:hint="eastAsia" w:cs="Times New Roman"/>
                      <w:color w:val="auto"/>
                      <w:highlight w:val="none"/>
                      <w:lang w:eastAsia="zh-CN"/>
                    </w:rPr>
                    <w:t>，</w:t>
                  </w:r>
                </w:p>
                <w:p w14:paraId="291AD766">
                  <w:pPr>
                    <w:pStyle w:val="38"/>
                    <w:rPr>
                      <w:rFonts w:hint="default" w:ascii="Times New Roman" w:hAnsi="Times New Roman" w:cs="Times New Roman"/>
                      <w:color w:val="auto"/>
                      <w:highlight w:val="none"/>
                    </w:rPr>
                  </w:pPr>
                  <w:r>
                    <w:rPr>
                      <w:rFonts w:hint="default" w:ascii="Times New Roman" w:hAnsi="Times New Roman" w:cs="Times New Roman"/>
                      <w:color w:val="auto"/>
                      <w:highlight w:val="none"/>
                    </w:rPr>
                    <w:t>40.026381268</w:t>
                  </w:r>
                </w:p>
              </w:tc>
              <w:tc>
                <w:tcPr>
                  <w:tcW w:w="1735" w:type="pct"/>
                  <w:noWrap/>
                  <w:vAlign w:val="center"/>
                </w:tcPr>
                <w:p w14:paraId="4AF73BF9">
                  <w:pPr>
                    <w:pStyle w:val="38"/>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108.494823222</w:t>
                  </w:r>
                  <w:r>
                    <w:rPr>
                      <w:rFonts w:hint="eastAsia" w:cs="Times New Roman"/>
                      <w:color w:val="auto"/>
                      <w:highlight w:val="none"/>
                      <w:lang w:eastAsia="zh-CN"/>
                    </w:rPr>
                    <w:t>，</w:t>
                  </w:r>
                </w:p>
                <w:p w14:paraId="2A0C8C2E">
                  <w:pPr>
                    <w:pStyle w:val="38"/>
                    <w:rPr>
                      <w:rFonts w:hint="default" w:ascii="Times New Roman" w:hAnsi="Times New Roman" w:cs="Times New Roman"/>
                      <w:color w:val="auto"/>
                      <w:highlight w:val="none"/>
                    </w:rPr>
                  </w:pPr>
                  <w:r>
                    <w:rPr>
                      <w:rFonts w:hint="default" w:ascii="Times New Roman" w:hAnsi="Times New Roman" w:cs="Times New Roman"/>
                      <w:color w:val="auto"/>
                      <w:highlight w:val="none"/>
                    </w:rPr>
                    <w:t>40.030434086</w:t>
                  </w:r>
                </w:p>
              </w:tc>
            </w:tr>
            <w:tr w14:paraId="4334F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632" w:type="pct"/>
                  <w:noWrap/>
                  <w:vAlign w:val="center"/>
                </w:tcPr>
                <w:p w14:paraId="7512515E">
                  <w:pPr>
                    <w:jc w:val="center"/>
                    <w:rPr>
                      <w:rFonts w:hint="default" w:ascii="Times New Roman" w:hAnsi="Times New Roman" w:cs="Times New Roman"/>
                      <w:color w:val="auto"/>
                      <w:highlight w:val="none"/>
                    </w:rPr>
                  </w:pPr>
                  <w:r>
                    <w:rPr>
                      <w:rFonts w:hint="default" w:ascii="Times New Roman" w:hAnsi="Times New Roman" w:cs="Times New Roman"/>
                      <w:highlight w:val="none"/>
                      <w:lang w:val="en-US" w:eastAsia="zh-CN"/>
                    </w:rPr>
                    <w:t>富甲烷气</w:t>
                  </w:r>
                </w:p>
              </w:tc>
              <w:tc>
                <w:tcPr>
                  <w:tcW w:w="1632" w:type="pct"/>
                  <w:noWrap/>
                  <w:vAlign w:val="center"/>
                </w:tcPr>
                <w:p w14:paraId="1E06E256">
                  <w:pPr>
                    <w:pStyle w:val="38"/>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108.499991838</w:t>
                  </w:r>
                  <w:r>
                    <w:rPr>
                      <w:rFonts w:hint="eastAsia" w:cs="Times New Roman"/>
                      <w:color w:val="auto"/>
                      <w:highlight w:val="none"/>
                      <w:lang w:eastAsia="zh-CN"/>
                    </w:rPr>
                    <w:t>，</w:t>
                  </w:r>
                </w:p>
                <w:p w14:paraId="1C8CD14F">
                  <w:pPr>
                    <w:pStyle w:val="38"/>
                    <w:rPr>
                      <w:rFonts w:hint="default" w:ascii="Times New Roman" w:hAnsi="Times New Roman" w:cs="Times New Roman"/>
                      <w:color w:val="auto"/>
                      <w:highlight w:val="none"/>
                    </w:rPr>
                  </w:pPr>
                  <w:r>
                    <w:rPr>
                      <w:rFonts w:hint="default" w:ascii="Times New Roman" w:hAnsi="Times New Roman" w:cs="Times New Roman"/>
                      <w:color w:val="auto"/>
                      <w:highlight w:val="none"/>
                    </w:rPr>
                    <w:t>40.026434913</w:t>
                  </w:r>
                </w:p>
              </w:tc>
              <w:tc>
                <w:tcPr>
                  <w:tcW w:w="1735" w:type="pct"/>
                  <w:noWrap/>
                  <w:vAlign w:val="center"/>
                </w:tcPr>
                <w:p w14:paraId="2B07A6EA">
                  <w:pPr>
                    <w:pStyle w:val="38"/>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108.496687025</w:t>
                  </w:r>
                  <w:r>
                    <w:rPr>
                      <w:rFonts w:hint="eastAsia" w:cs="Times New Roman"/>
                      <w:color w:val="auto"/>
                      <w:highlight w:val="none"/>
                      <w:lang w:eastAsia="zh-CN"/>
                    </w:rPr>
                    <w:t>，</w:t>
                  </w:r>
                </w:p>
                <w:p w14:paraId="262A3839">
                  <w:pPr>
                    <w:pStyle w:val="38"/>
                    <w:rPr>
                      <w:rFonts w:hint="default" w:ascii="Times New Roman" w:hAnsi="Times New Roman" w:cs="Times New Roman"/>
                      <w:color w:val="auto"/>
                      <w:highlight w:val="none"/>
                    </w:rPr>
                  </w:pPr>
                  <w:r>
                    <w:rPr>
                      <w:rFonts w:hint="default" w:ascii="Times New Roman" w:hAnsi="Times New Roman" w:cs="Times New Roman"/>
                      <w:color w:val="auto"/>
                      <w:highlight w:val="none"/>
                    </w:rPr>
                    <w:t>40.027827582</w:t>
                  </w:r>
                </w:p>
              </w:tc>
            </w:tr>
            <w:tr w14:paraId="5EAEC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32" w:type="pct"/>
                  <w:noWrap/>
                  <w:vAlign w:val="center"/>
                </w:tcPr>
                <w:p w14:paraId="185E9124">
                  <w:pPr>
                    <w:jc w:val="center"/>
                    <w:rPr>
                      <w:rFonts w:hint="default" w:ascii="Times New Roman" w:hAnsi="Times New Roman" w:cs="Times New Roman"/>
                      <w:color w:val="auto"/>
                      <w:highlight w:val="none"/>
                    </w:rPr>
                  </w:pPr>
                  <w:r>
                    <w:rPr>
                      <w:rFonts w:hint="default" w:ascii="Times New Roman" w:hAnsi="Times New Roman" w:cs="Times New Roman"/>
                      <w:highlight w:val="none"/>
                      <w:lang w:val="en-US" w:eastAsia="zh-CN"/>
                    </w:rPr>
                    <w:t>真空泵尾气</w:t>
                  </w:r>
                </w:p>
              </w:tc>
              <w:tc>
                <w:tcPr>
                  <w:tcW w:w="1632" w:type="pct"/>
                  <w:noWrap/>
                  <w:vAlign w:val="center"/>
                </w:tcPr>
                <w:p w14:paraId="5453A301">
                  <w:pPr>
                    <w:pStyle w:val="38"/>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108.499971722</w:t>
                  </w:r>
                  <w:r>
                    <w:rPr>
                      <w:rFonts w:hint="eastAsia" w:cs="Times New Roman"/>
                      <w:color w:val="auto"/>
                      <w:highlight w:val="none"/>
                      <w:lang w:eastAsia="zh-CN"/>
                    </w:rPr>
                    <w:t>，</w:t>
                  </w:r>
                </w:p>
                <w:p w14:paraId="6718D4FC">
                  <w:pPr>
                    <w:pStyle w:val="38"/>
                    <w:rPr>
                      <w:rFonts w:hint="default" w:ascii="Times New Roman" w:hAnsi="Times New Roman" w:cs="Times New Roman"/>
                      <w:color w:val="auto"/>
                      <w:highlight w:val="none"/>
                    </w:rPr>
                  </w:pPr>
                  <w:r>
                    <w:rPr>
                      <w:rFonts w:hint="default" w:ascii="Times New Roman" w:hAnsi="Times New Roman" w:cs="Times New Roman"/>
                      <w:color w:val="auto"/>
                      <w:highlight w:val="none"/>
                    </w:rPr>
                    <w:t>40.026381268</w:t>
                  </w:r>
                </w:p>
              </w:tc>
              <w:tc>
                <w:tcPr>
                  <w:tcW w:w="1735" w:type="pct"/>
                  <w:noWrap/>
                  <w:vAlign w:val="center"/>
                </w:tcPr>
                <w:p w14:paraId="6819E4F9">
                  <w:pPr>
                    <w:pStyle w:val="38"/>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108.492898737</w:t>
                  </w:r>
                  <w:r>
                    <w:rPr>
                      <w:rFonts w:hint="eastAsia" w:cs="Times New Roman"/>
                      <w:color w:val="auto"/>
                      <w:highlight w:val="none"/>
                      <w:lang w:eastAsia="zh-CN"/>
                    </w:rPr>
                    <w:t>，</w:t>
                  </w:r>
                </w:p>
                <w:p w14:paraId="584B8389">
                  <w:pPr>
                    <w:pStyle w:val="38"/>
                    <w:rPr>
                      <w:rFonts w:hint="default" w:ascii="Times New Roman" w:hAnsi="Times New Roman" w:cs="Times New Roman"/>
                      <w:color w:val="auto"/>
                      <w:highlight w:val="none"/>
                    </w:rPr>
                  </w:pPr>
                  <w:r>
                    <w:rPr>
                      <w:rFonts w:hint="default" w:ascii="Times New Roman" w:hAnsi="Times New Roman" w:cs="Times New Roman"/>
                      <w:color w:val="auto"/>
                      <w:highlight w:val="none"/>
                    </w:rPr>
                    <w:t>40.027483656</w:t>
                  </w:r>
                </w:p>
              </w:tc>
            </w:tr>
            <w:tr w14:paraId="2CD78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32" w:type="pct"/>
                  <w:noWrap/>
                  <w:vAlign w:val="center"/>
                </w:tcPr>
                <w:p w14:paraId="6A743451">
                  <w:pPr>
                    <w:jc w:val="center"/>
                    <w:rPr>
                      <w:rFonts w:hint="default" w:ascii="Times New Roman" w:hAnsi="Times New Roman" w:cs="Times New Roman"/>
                      <w:color w:val="auto"/>
                      <w:highlight w:val="none"/>
                    </w:rPr>
                  </w:pPr>
                  <w:r>
                    <w:rPr>
                      <w:rFonts w:hint="default" w:ascii="Times New Roman" w:hAnsi="Times New Roman" w:cs="Times New Roman"/>
                      <w:highlight w:val="none"/>
                      <w:lang w:val="en-US" w:eastAsia="zh-CN"/>
                    </w:rPr>
                    <w:t>CO</w:t>
                  </w:r>
                  <w:r>
                    <w:rPr>
                      <w:rFonts w:hint="default" w:ascii="Times New Roman" w:hAnsi="Times New Roman" w:cs="Times New Roman"/>
                      <w:highlight w:val="none"/>
                      <w:vertAlign w:val="subscript"/>
                      <w:lang w:val="en-US" w:eastAsia="zh-CN"/>
                    </w:rPr>
                    <w:t>2</w:t>
                  </w:r>
                  <w:r>
                    <w:rPr>
                      <w:rFonts w:hint="default" w:ascii="Times New Roman" w:hAnsi="Times New Roman" w:cs="Times New Roman"/>
                      <w:highlight w:val="none"/>
                      <w:lang w:val="en-US" w:eastAsia="zh-CN"/>
                    </w:rPr>
                    <w:t>管线</w:t>
                  </w:r>
                </w:p>
              </w:tc>
              <w:tc>
                <w:tcPr>
                  <w:tcW w:w="1632" w:type="pct"/>
                  <w:noWrap/>
                  <w:vAlign w:val="center"/>
                </w:tcPr>
                <w:p w14:paraId="1B0D8D58">
                  <w:pPr>
                    <w:pStyle w:val="38"/>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108.498960529</w:t>
                  </w:r>
                  <w:r>
                    <w:rPr>
                      <w:rFonts w:hint="eastAsia" w:cs="Times New Roman"/>
                      <w:color w:val="auto"/>
                      <w:highlight w:val="none"/>
                      <w:lang w:eastAsia="zh-CN"/>
                    </w:rPr>
                    <w:t>，</w:t>
                  </w:r>
                </w:p>
                <w:p w14:paraId="005A26C6">
                  <w:pPr>
                    <w:pStyle w:val="38"/>
                    <w:rPr>
                      <w:rFonts w:hint="default" w:ascii="Times New Roman" w:hAnsi="Times New Roman" w:cs="Times New Roman"/>
                      <w:color w:val="auto"/>
                      <w:highlight w:val="none"/>
                    </w:rPr>
                  </w:pPr>
                  <w:r>
                    <w:rPr>
                      <w:rFonts w:hint="default" w:ascii="Times New Roman" w:hAnsi="Times New Roman" w:cs="Times New Roman"/>
                      <w:color w:val="auto"/>
                      <w:highlight w:val="none"/>
                    </w:rPr>
                    <w:t>40.027934267</w:t>
                  </w:r>
                </w:p>
              </w:tc>
              <w:tc>
                <w:tcPr>
                  <w:tcW w:w="1735" w:type="pct"/>
                  <w:noWrap/>
                  <w:vAlign w:val="center"/>
                </w:tcPr>
                <w:p w14:paraId="0B48EDBA">
                  <w:pPr>
                    <w:pStyle w:val="38"/>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108.499970381</w:t>
                  </w:r>
                  <w:r>
                    <w:rPr>
                      <w:rFonts w:hint="eastAsia" w:cs="Times New Roman"/>
                      <w:color w:val="auto"/>
                      <w:highlight w:val="none"/>
                      <w:lang w:eastAsia="zh-CN"/>
                    </w:rPr>
                    <w:t>，</w:t>
                  </w:r>
                </w:p>
                <w:p w14:paraId="31EA404E">
                  <w:pPr>
                    <w:pStyle w:val="38"/>
                    <w:rPr>
                      <w:rFonts w:hint="default" w:ascii="Times New Roman" w:hAnsi="Times New Roman" w:cs="Times New Roman"/>
                      <w:color w:val="auto"/>
                      <w:highlight w:val="none"/>
                    </w:rPr>
                  </w:pPr>
                  <w:r>
                    <w:rPr>
                      <w:rFonts w:hint="default" w:ascii="Times New Roman" w:hAnsi="Times New Roman" w:cs="Times New Roman"/>
                      <w:color w:val="auto"/>
                      <w:highlight w:val="none"/>
                    </w:rPr>
                    <w:t>40.026416137</w:t>
                  </w:r>
                </w:p>
              </w:tc>
            </w:tr>
          </w:tbl>
          <w:p w14:paraId="0F39B38C">
            <w:pPr>
              <w:adjustRightInd w:val="0"/>
              <w:snapToGrid w:val="0"/>
              <w:jc w:val="center"/>
              <w:rPr>
                <w:rFonts w:hint="default" w:ascii="Times New Roman" w:hAnsi="Times New Roman" w:cs="Times New Roman"/>
                <w:sz w:val="24"/>
                <w:highlight w:val="none"/>
                <w:lang w:val="en-US" w:eastAsia="zh-CN"/>
              </w:rPr>
            </w:pPr>
          </w:p>
        </w:tc>
      </w:tr>
      <w:tr w14:paraId="452F17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15" w:hRule="atLeast"/>
        </w:trPr>
        <w:tc>
          <w:tcPr>
            <w:tcW w:w="1795" w:type="dxa"/>
            <w:noWrap w:val="0"/>
            <w:tcMar>
              <w:top w:w="16" w:type="dxa"/>
              <w:left w:w="16" w:type="dxa"/>
              <w:right w:w="16" w:type="dxa"/>
            </w:tcMar>
            <w:vAlign w:val="center"/>
          </w:tcPr>
          <w:p w14:paraId="2F708011">
            <w:pPr>
              <w:adjustRightInd w:val="0"/>
              <w:snapToGrid w:val="0"/>
              <w:jc w:val="center"/>
              <w:rPr>
                <w:rFonts w:hint="default" w:ascii="Times New Roman" w:hAnsi="Times New Roman" w:cs="Times New Roman"/>
                <w:sz w:val="24"/>
                <w:highlight w:val="none"/>
              </w:rPr>
            </w:pPr>
            <w:r>
              <w:rPr>
                <w:rFonts w:hint="default" w:ascii="Times New Roman" w:hAnsi="Times New Roman" w:cs="Times New Roman"/>
                <w:sz w:val="24"/>
                <w:highlight w:val="none"/>
              </w:rPr>
              <w:t>建设项目</w:t>
            </w:r>
          </w:p>
          <w:p w14:paraId="513365A8">
            <w:pPr>
              <w:adjustRightInd w:val="0"/>
              <w:snapToGrid w:val="0"/>
              <w:jc w:val="center"/>
              <w:rPr>
                <w:rFonts w:hint="default" w:ascii="Times New Roman" w:hAnsi="Times New Roman" w:cs="Times New Roman"/>
                <w:sz w:val="24"/>
                <w:highlight w:val="none"/>
              </w:rPr>
            </w:pPr>
            <w:r>
              <w:rPr>
                <w:rFonts w:hint="default" w:ascii="Times New Roman" w:hAnsi="Times New Roman" w:cs="Times New Roman"/>
                <w:sz w:val="24"/>
                <w:highlight w:val="none"/>
              </w:rPr>
              <w:t>行业类别</w:t>
            </w:r>
          </w:p>
        </w:tc>
        <w:tc>
          <w:tcPr>
            <w:tcW w:w="2289" w:type="dxa"/>
            <w:noWrap w:val="0"/>
            <w:vAlign w:val="center"/>
          </w:tcPr>
          <w:p w14:paraId="626D9748">
            <w:pPr>
              <w:adjustRightInd w:val="0"/>
              <w:snapToGrid w:val="0"/>
              <w:jc w:val="center"/>
              <w:rPr>
                <w:rFonts w:hint="default" w:ascii="Times New Roman" w:hAnsi="Times New Roman" w:cs="Times New Roman"/>
                <w:sz w:val="24"/>
                <w:highlight w:val="none"/>
              </w:rPr>
            </w:pPr>
            <w:r>
              <w:rPr>
                <w:rFonts w:hint="eastAsia" w:ascii="Times New Roman" w:hAnsi="Times New Roman" w:cs="Times New Roman"/>
                <w:sz w:val="24"/>
                <w:highlight w:val="none"/>
                <w:lang w:val="en-US" w:eastAsia="zh-CN"/>
              </w:rPr>
              <w:t>五十二、交通运输业、管道运输业</w:t>
            </w:r>
            <w:r>
              <w:rPr>
                <w:rFonts w:hint="eastAsia" w:cs="Times New Roman"/>
                <w:sz w:val="24"/>
                <w:highlight w:val="none"/>
                <w:lang w:val="en-US" w:eastAsia="zh-CN"/>
              </w:rPr>
              <w:t>，</w:t>
            </w:r>
            <w:r>
              <w:rPr>
                <w:rFonts w:hint="default" w:ascii="Times New Roman" w:hAnsi="Times New Roman" w:cs="Times New Roman"/>
                <w:sz w:val="24"/>
                <w:highlight w:val="none"/>
              </w:rPr>
              <w:t>148</w:t>
            </w:r>
            <w:r>
              <w:rPr>
                <w:rFonts w:hint="eastAsia" w:cs="Times New Roman"/>
                <w:sz w:val="24"/>
                <w:highlight w:val="none"/>
                <w:lang w:val="en-US" w:eastAsia="zh-CN"/>
              </w:rPr>
              <w:t>.</w:t>
            </w:r>
            <w:r>
              <w:rPr>
                <w:rFonts w:hint="default" w:ascii="Times New Roman" w:hAnsi="Times New Roman" w:cs="Times New Roman"/>
                <w:sz w:val="24"/>
                <w:highlight w:val="none"/>
              </w:rPr>
              <w:t>危险化学品输送管线</w:t>
            </w:r>
            <w:r>
              <w:rPr>
                <w:rFonts w:hint="eastAsia" w:cs="Times New Roman"/>
                <w:sz w:val="24"/>
                <w:highlight w:val="none"/>
                <w:lang w:eastAsia="zh-CN"/>
              </w:rPr>
              <w:t>（</w:t>
            </w:r>
            <w:r>
              <w:rPr>
                <w:rFonts w:hint="default" w:ascii="Times New Roman" w:hAnsi="Times New Roman" w:cs="Times New Roman"/>
                <w:sz w:val="24"/>
                <w:highlight w:val="none"/>
              </w:rPr>
              <w:t>不含企业厂区内管</w:t>
            </w:r>
          </w:p>
          <w:p w14:paraId="0B7709C4">
            <w:pPr>
              <w:adjustRightInd w:val="0"/>
              <w:snapToGrid w:val="0"/>
              <w:jc w:val="center"/>
              <w:rPr>
                <w:rFonts w:hint="default" w:ascii="Times New Roman" w:hAnsi="Times New Roman" w:cs="Times New Roman"/>
                <w:sz w:val="24"/>
                <w:highlight w:val="none"/>
              </w:rPr>
            </w:pPr>
            <w:r>
              <w:rPr>
                <w:rFonts w:hint="default" w:ascii="Times New Roman" w:hAnsi="Times New Roman" w:cs="Times New Roman"/>
                <w:sz w:val="24"/>
                <w:highlight w:val="none"/>
              </w:rPr>
              <w:t>线</w:t>
            </w:r>
            <w:r>
              <w:rPr>
                <w:rFonts w:hint="eastAsia" w:cs="Times New Roman"/>
                <w:sz w:val="24"/>
                <w:highlight w:val="none"/>
                <w:lang w:eastAsia="zh-CN"/>
              </w:rPr>
              <w:t>）——</w:t>
            </w:r>
            <w:r>
              <w:rPr>
                <w:rFonts w:hint="default" w:ascii="Times New Roman" w:hAnsi="Times New Roman" w:cs="Times New Roman"/>
                <w:sz w:val="24"/>
                <w:highlight w:val="none"/>
              </w:rPr>
              <w:t>其他。</w:t>
            </w:r>
          </w:p>
        </w:tc>
        <w:tc>
          <w:tcPr>
            <w:tcW w:w="2217" w:type="dxa"/>
            <w:noWrap w:val="0"/>
            <w:vAlign w:val="center"/>
          </w:tcPr>
          <w:p w14:paraId="035FD284">
            <w:pPr>
              <w:adjustRightInd w:val="0"/>
              <w:snapToGrid w:val="0"/>
              <w:jc w:val="center"/>
              <w:rPr>
                <w:rFonts w:hint="default" w:ascii="Times New Roman" w:hAnsi="Times New Roman" w:cs="Times New Roman"/>
                <w:sz w:val="24"/>
                <w:highlight w:val="none"/>
              </w:rPr>
            </w:pPr>
            <w:r>
              <w:rPr>
                <w:rFonts w:hint="default" w:ascii="Times New Roman" w:hAnsi="Times New Roman" w:cs="Times New Roman"/>
                <w:sz w:val="24"/>
                <w:highlight w:val="none"/>
              </w:rPr>
              <w:t>用地（用海）面积（m</w:t>
            </w:r>
            <w:r>
              <w:rPr>
                <w:rFonts w:hint="default" w:ascii="Times New Roman" w:hAnsi="Times New Roman" w:cs="Times New Roman"/>
                <w:sz w:val="24"/>
                <w:highlight w:val="none"/>
                <w:vertAlign w:val="superscript"/>
              </w:rPr>
              <w:t>2</w:t>
            </w:r>
            <w:r>
              <w:rPr>
                <w:rFonts w:hint="default" w:ascii="Times New Roman" w:hAnsi="Times New Roman" w:cs="Times New Roman"/>
                <w:sz w:val="24"/>
                <w:highlight w:val="none"/>
              </w:rPr>
              <w:t>）/长度（km）</w:t>
            </w:r>
          </w:p>
        </w:tc>
        <w:tc>
          <w:tcPr>
            <w:tcW w:w="2738" w:type="dxa"/>
            <w:gridSpan w:val="2"/>
            <w:noWrap w:val="0"/>
            <w:vAlign w:val="center"/>
          </w:tcPr>
          <w:p w14:paraId="7A8E7467">
            <w:pPr>
              <w:adjustRightInd w:val="0"/>
              <w:snapToGrid w:val="0"/>
              <w:jc w:val="center"/>
              <w:rPr>
                <w:rFonts w:hint="default" w:ascii="Times New Roman" w:hAnsi="Times New Roman" w:cs="Times New Roman"/>
                <w:sz w:val="24"/>
                <w:highlight w:val="none"/>
                <w:lang w:val="en-US"/>
              </w:rPr>
            </w:pPr>
            <w:r>
              <w:rPr>
                <w:rFonts w:hint="eastAsia" w:ascii="Times New Roman" w:hAnsi="Times New Roman" w:cs="Times New Roman"/>
                <w:sz w:val="24"/>
                <w:highlight w:val="none"/>
                <w:lang w:val="en-US" w:eastAsia="zh-CN"/>
              </w:rPr>
              <w:t>16.333km</w:t>
            </w:r>
          </w:p>
        </w:tc>
      </w:tr>
      <w:tr w14:paraId="59DB35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4" w:hRule="atLeast"/>
        </w:trPr>
        <w:tc>
          <w:tcPr>
            <w:tcW w:w="1795" w:type="dxa"/>
            <w:noWrap w:val="0"/>
            <w:tcMar>
              <w:top w:w="16" w:type="dxa"/>
              <w:left w:w="16" w:type="dxa"/>
              <w:right w:w="16" w:type="dxa"/>
            </w:tcMar>
            <w:vAlign w:val="center"/>
          </w:tcPr>
          <w:p w14:paraId="787D3EFE">
            <w:pPr>
              <w:adjustRightInd w:val="0"/>
              <w:snapToGrid w:val="0"/>
              <w:jc w:val="center"/>
              <w:rPr>
                <w:rFonts w:hint="default" w:ascii="Times New Roman" w:hAnsi="Times New Roman" w:cs="Times New Roman"/>
                <w:sz w:val="24"/>
                <w:highlight w:val="none"/>
              </w:rPr>
            </w:pPr>
            <w:r>
              <w:rPr>
                <w:rFonts w:hint="default" w:ascii="Times New Roman" w:hAnsi="Times New Roman" w:cs="Times New Roman"/>
                <w:sz w:val="24"/>
                <w:highlight w:val="none"/>
              </w:rPr>
              <w:t>建设性质</w:t>
            </w:r>
          </w:p>
        </w:tc>
        <w:tc>
          <w:tcPr>
            <w:tcW w:w="2289" w:type="dxa"/>
            <w:noWrap w:val="0"/>
            <w:vAlign w:val="center"/>
          </w:tcPr>
          <w:p w14:paraId="4C64361C">
            <w:pPr>
              <w:adjustRightInd w:val="0"/>
              <w:snapToGrid w:val="0"/>
              <w:jc w:val="center"/>
              <w:rPr>
                <w:rFonts w:hint="default" w:ascii="Times New Roman" w:hAnsi="Times New Roman" w:cs="Times New Roman"/>
                <w:sz w:val="24"/>
                <w:highlight w:val="none"/>
              </w:rPr>
            </w:pPr>
            <w:r>
              <w:rPr>
                <w:rFonts w:hint="eastAsia" w:cs="Times New Roman"/>
                <w:sz w:val="24"/>
                <w:highlight w:val="none"/>
                <w:lang w:eastAsia="zh-CN"/>
              </w:rPr>
              <w:t>□</w:t>
            </w:r>
            <w:r>
              <w:rPr>
                <w:rFonts w:hint="default" w:ascii="Times New Roman" w:hAnsi="Times New Roman" w:cs="Times New Roman"/>
                <w:sz w:val="24"/>
                <w:highlight w:val="none"/>
              </w:rPr>
              <w:t>新建（迁建）</w:t>
            </w:r>
          </w:p>
          <w:p w14:paraId="69E6A6CC">
            <w:pPr>
              <w:adjustRightInd w:val="0"/>
              <w:snapToGrid w:val="0"/>
              <w:jc w:val="center"/>
              <w:rPr>
                <w:rFonts w:hint="default" w:ascii="Times New Roman" w:hAnsi="Times New Roman" w:cs="Times New Roman"/>
                <w:sz w:val="24"/>
                <w:highlight w:val="none"/>
              </w:rPr>
            </w:pPr>
            <w:r>
              <w:rPr>
                <w:rFonts w:hint="eastAsia" w:cs="Times New Roman"/>
                <w:sz w:val="24"/>
                <w:highlight w:val="none"/>
                <w:lang w:eastAsia="zh-CN"/>
              </w:rPr>
              <w:t>□</w:t>
            </w:r>
            <w:r>
              <w:rPr>
                <w:rFonts w:hint="default" w:ascii="Times New Roman" w:hAnsi="Times New Roman" w:cs="Times New Roman"/>
                <w:sz w:val="24"/>
                <w:highlight w:val="none"/>
              </w:rPr>
              <w:t>改建</w:t>
            </w:r>
          </w:p>
          <w:p w14:paraId="4FAB168A">
            <w:pPr>
              <w:adjustRightInd w:val="0"/>
              <w:snapToGrid w:val="0"/>
              <w:jc w:val="center"/>
              <w:rPr>
                <w:rFonts w:hint="default" w:ascii="Times New Roman" w:hAnsi="Times New Roman" w:cs="Times New Roman"/>
                <w:sz w:val="24"/>
                <w:highlight w:val="none"/>
              </w:rPr>
            </w:pPr>
            <w:r>
              <w:rPr>
                <w:rFonts w:hint="eastAsia" w:cs="Times New Roman"/>
                <w:sz w:val="24"/>
                <w:highlight w:val="none"/>
                <w:lang w:eastAsia="zh-CN"/>
              </w:rPr>
              <w:t>□</w:t>
            </w:r>
            <w:r>
              <w:rPr>
                <w:rFonts w:hint="default" w:ascii="Times New Roman" w:hAnsi="Times New Roman" w:cs="Times New Roman"/>
                <w:sz w:val="24"/>
                <w:highlight w:val="none"/>
              </w:rPr>
              <w:t>扩建</w:t>
            </w:r>
          </w:p>
          <w:p w14:paraId="489C7D30">
            <w:pPr>
              <w:adjustRightInd w:val="0"/>
              <w:snapToGrid w:val="0"/>
              <w:jc w:val="center"/>
              <w:rPr>
                <w:rFonts w:hint="default" w:ascii="Times New Roman" w:hAnsi="Times New Roman" w:cs="Times New Roman"/>
                <w:sz w:val="24"/>
                <w:highlight w:val="none"/>
              </w:rPr>
            </w:pPr>
            <w:r>
              <w:rPr>
                <w:rFonts w:hint="eastAsia" w:cs="Times New Roman"/>
                <w:sz w:val="24"/>
                <w:highlight w:val="none"/>
                <w:lang w:eastAsia="zh-CN"/>
              </w:rPr>
              <w:t>☑</w:t>
            </w:r>
            <w:r>
              <w:rPr>
                <w:rFonts w:hint="default" w:ascii="Times New Roman" w:hAnsi="Times New Roman" w:cs="Times New Roman"/>
                <w:sz w:val="24"/>
                <w:highlight w:val="none"/>
              </w:rPr>
              <w:t>技术改造</w:t>
            </w:r>
          </w:p>
        </w:tc>
        <w:tc>
          <w:tcPr>
            <w:tcW w:w="2217" w:type="dxa"/>
            <w:noWrap w:val="0"/>
            <w:vAlign w:val="center"/>
          </w:tcPr>
          <w:p w14:paraId="43F1F5C7">
            <w:pPr>
              <w:adjustRightInd w:val="0"/>
              <w:snapToGrid w:val="0"/>
              <w:jc w:val="center"/>
              <w:rPr>
                <w:rFonts w:hint="default" w:ascii="Times New Roman" w:hAnsi="Times New Roman" w:cs="Times New Roman"/>
                <w:sz w:val="24"/>
                <w:highlight w:val="none"/>
              </w:rPr>
            </w:pPr>
            <w:r>
              <w:rPr>
                <w:rFonts w:hint="default" w:ascii="Times New Roman" w:hAnsi="Times New Roman" w:cs="Times New Roman"/>
                <w:sz w:val="24"/>
                <w:highlight w:val="none"/>
              </w:rPr>
              <w:t>建设项目</w:t>
            </w:r>
          </w:p>
          <w:p w14:paraId="2D772C26">
            <w:pPr>
              <w:adjustRightInd w:val="0"/>
              <w:snapToGrid w:val="0"/>
              <w:jc w:val="center"/>
              <w:rPr>
                <w:rFonts w:hint="default" w:ascii="Times New Roman" w:hAnsi="Times New Roman" w:cs="Times New Roman"/>
                <w:sz w:val="24"/>
                <w:highlight w:val="none"/>
              </w:rPr>
            </w:pPr>
            <w:r>
              <w:rPr>
                <w:rFonts w:hint="default" w:ascii="Times New Roman" w:hAnsi="Times New Roman" w:cs="Times New Roman"/>
                <w:sz w:val="24"/>
                <w:highlight w:val="none"/>
              </w:rPr>
              <w:t>申报情形</w:t>
            </w:r>
          </w:p>
        </w:tc>
        <w:tc>
          <w:tcPr>
            <w:tcW w:w="2738" w:type="dxa"/>
            <w:gridSpan w:val="2"/>
            <w:noWrap w:val="0"/>
            <w:vAlign w:val="center"/>
          </w:tcPr>
          <w:p w14:paraId="2BF593D4">
            <w:pPr>
              <w:adjustRightInd w:val="0"/>
              <w:snapToGrid w:val="0"/>
              <w:jc w:val="left"/>
              <w:rPr>
                <w:rFonts w:hint="default" w:ascii="Times New Roman" w:hAnsi="Times New Roman" w:cs="Times New Roman"/>
                <w:sz w:val="24"/>
                <w:highlight w:val="none"/>
              </w:rPr>
            </w:pPr>
            <w:r>
              <w:rPr>
                <w:rFonts w:hint="eastAsia" w:cs="Times New Roman"/>
                <w:sz w:val="24"/>
                <w:highlight w:val="none"/>
                <w:lang w:eastAsia="zh-CN"/>
              </w:rPr>
              <w:t>☑</w:t>
            </w:r>
            <w:r>
              <w:rPr>
                <w:rFonts w:hint="default" w:ascii="Times New Roman" w:hAnsi="Times New Roman" w:cs="Times New Roman"/>
                <w:sz w:val="24"/>
                <w:highlight w:val="none"/>
              </w:rPr>
              <w:t>首次申报项目</w:t>
            </w:r>
          </w:p>
          <w:p w14:paraId="4C96817B">
            <w:pPr>
              <w:adjustRightInd w:val="0"/>
              <w:snapToGrid w:val="0"/>
              <w:jc w:val="left"/>
              <w:rPr>
                <w:rFonts w:hint="default" w:ascii="Times New Roman" w:hAnsi="Times New Roman" w:cs="Times New Roman"/>
                <w:sz w:val="24"/>
                <w:highlight w:val="none"/>
              </w:rPr>
            </w:pPr>
            <w:r>
              <w:rPr>
                <w:rFonts w:hint="eastAsia" w:cs="Times New Roman"/>
                <w:sz w:val="24"/>
                <w:highlight w:val="none"/>
                <w:lang w:eastAsia="zh-CN"/>
              </w:rPr>
              <w:t>□</w:t>
            </w:r>
            <w:r>
              <w:rPr>
                <w:rFonts w:hint="default" w:ascii="Times New Roman" w:hAnsi="Times New Roman" w:cs="Times New Roman"/>
                <w:sz w:val="24"/>
                <w:highlight w:val="none"/>
              </w:rPr>
              <w:t>不予批准后再次申报项目</w:t>
            </w:r>
          </w:p>
          <w:p w14:paraId="63B1B592">
            <w:pPr>
              <w:adjustRightInd w:val="0"/>
              <w:snapToGrid w:val="0"/>
              <w:jc w:val="left"/>
              <w:rPr>
                <w:rFonts w:hint="default" w:ascii="Times New Roman" w:hAnsi="Times New Roman" w:cs="Times New Roman"/>
                <w:sz w:val="24"/>
                <w:highlight w:val="none"/>
              </w:rPr>
            </w:pPr>
            <w:r>
              <w:rPr>
                <w:rFonts w:hint="eastAsia" w:cs="Times New Roman"/>
                <w:sz w:val="24"/>
                <w:highlight w:val="none"/>
                <w:lang w:eastAsia="zh-CN"/>
              </w:rPr>
              <w:t>□</w:t>
            </w:r>
            <w:r>
              <w:rPr>
                <w:rFonts w:hint="default" w:ascii="Times New Roman" w:hAnsi="Times New Roman" w:cs="Times New Roman"/>
                <w:sz w:val="24"/>
                <w:highlight w:val="none"/>
              </w:rPr>
              <w:t>超五年重新审核项目</w:t>
            </w:r>
          </w:p>
          <w:p w14:paraId="45B1876A">
            <w:pPr>
              <w:adjustRightInd w:val="0"/>
              <w:snapToGrid w:val="0"/>
              <w:rPr>
                <w:rFonts w:hint="default" w:ascii="Times New Roman" w:hAnsi="Times New Roman" w:cs="Times New Roman"/>
                <w:sz w:val="24"/>
                <w:highlight w:val="none"/>
              </w:rPr>
            </w:pPr>
            <w:r>
              <w:rPr>
                <w:rFonts w:hint="eastAsia" w:cs="Times New Roman"/>
                <w:sz w:val="24"/>
                <w:highlight w:val="none"/>
                <w:lang w:eastAsia="zh-CN"/>
              </w:rPr>
              <w:t>□</w:t>
            </w:r>
            <w:r>
              <w:rPr>
                <w:rFonts w:hint="default" w:ascii="Times New Roman" w:hAnsi="Times New Roman" w:cs="Times New Roman"/>
                <w:sz w:val="24"/>
                <w:highlight w:val="none"/>
              </w:rPr>
              <w:t>重大变动重新报批项目</w:t>
            </w:r>
          </w:p>
        </w:tc>
      </w:tr>
      <w:tr w14:paraId="161772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62" w:hRule="atLeast"/>
        </w:trPr>
        <w:tc>
          <w:tcPr>
            <w:tcW w:w="1795" w:type="dxa"/>
            <w:noWrap w:val="0"/>
            <w:tcMar>
              <w:top w:w="16" w:type="dxa"/>
              <w:left w:w="16" w:type="dxa"/>
              <w:right w:w="16" w:type="dxa"/>
            </w:tcMar>
            <w:vAlign w:val="center"/>
          </w:tcPr>
          <w:p w14:paraId="265EEA38">
            <w:pPr>
              <w:adjustRightInd w:val="0"/>
              <w:snapToGrid w:val="0"/>
              <w:jc w:val="center"/>
              <w:rPr>
                <w:rFonts w:hint="default" w:ascii="Times New Roman" w:hAnsi="Times New Roman" w:cs="Times New Roman"/>
                <w:sz w:val="24"/>
                <w:highlight w:val="none"/>
              </w:rPr>
            </w:pPr>
            <w:r>
              <w:rPr>
                <w:rFonts w:hint="default" w:ascii="Times New Roman" w:hAnsi="Times New Roman" w:cs="Times New Roman"/>
                <w:sz w:val="24"/>
                <w:highlight w:val="none"/>
              </w:rPr>
              <w:t>项目审批（核准/</w:t>
            </w:r>
          </w:p>
          <w:p w14:paraId="1DAA4E1A">
            <w:pPr>
              <w:adjustRightInd w:val="0"/>
              <w:snapToGrid w:val="0"/>
              <w:jc w:val="center"/>
              <w:rPr>
                <w:rFonts w:hint="default" w:ascii="Times New Roman" w:hAnsi="Times New Roman" w:cs="Times New Roman"/>
                <w:sz w:val="24"/>
                <w:highlight w:val="none"/>
              </w:rPr>
            </w:pPr>
            <w:r>
              <w:rPr>
                <w:rFonts w:hint="default" w:ascii="Times New Roman" w:hAnsi="Times New Roman" w:cs="Times New Roman"/>
                <w:sz w:val="24"/>
                <w:highlight w:val="none"/>
              </w:rPr>
              <w:t>备案）部门（选填）</w:t>
            </w:r>
          </w:p>
        </w:tc>
        <w:tc>
          <w:tcPr>
            <w:tcW w:w="2289" w:type="dxa"/>
            <w:noWrap w:val="0"/>
            <w:vAlign w:val="center"/>
          </w:tcPr>
          <w:p w14:paraId="2CAC7C68">
            <w:pPr>
              <w:adjustRightInd w:val="0"/>
              <w:snapToGrid w:val="0"/>
              <w:jc w:val="center"/>
              <w:rPr>
                <w:rFonts w:hint="default" w:ascii="Times New Roman" w:hAnsi="Times New Roman" w:cs="Times New Roman"/>
                <w:sz w:val="24"/>
                <w:highlight w:val="none"/>
              </w:rPr>
            </w:pPr>
            <w:r>
              <w:rPr>
                <w:rFonts w:hint="default" w:ascii="Times New Roman" w:hAnsi="Times New Roman" w:cs="Times New Roman"/>
                <w:sz w:val="24"/>
                <w:highlight w:val="none"/>
                <w:lang w:val="en-US" w:eastAsia="zh-CN"/>
              </w:rPr>
              <w:t>杭锦旗工信和科技局</w:t>
            </w:r>
          </w:p>
        </w:tc>
        <w:tc>
          <w:tcPr>
            <w:tcW w:w="2217" w:type="dxa"/>
            <w:noWrap w:val="0"/>
            <w:vAlign w:val="center"/>
          </w:tcPr>
          <w:p w14:paraId="2B08706F">
            <w:pPr>
              <w:adjustRightInd w:val="0"/>
              <w:snapToGrid w:val="0"/>
              <w:jc w:val="center"/>
              <w:rPr>
                <w:rFonts w:hint="default" w:ascii="Times New Roman" w:hAnsi="Times New Roman" w:cs="Times New Roman"/>
                <w:sz w:val="24"/>
                <w:highlight w:val="none"/>
              </w:rPr>
            </w:pPr>
            <w:r>
              <w:rPr>
                <w:rFonts w:hint="default" w:ascii="Times New Roman" w:hAnsi="Times New Roman" w:cs="Times New Roman"/>
                <w:sz w:val="24"/>
                <w:highlight w:val="none"/>
              </w:rPr>
              <w:t>项目审批（核准/</w:t>
            </w:r>
          </w:p>
          <w:p w14:paraId="4B619928">
            <w:pPr>
              <w:adjustRightInd w:val="0"/>
              <w:snapToGrid w:val="0"/>
              <w:jc w:val="center"/>
              <w:rPr>
                <w:rFonts w:hint="default" w:ascii="Times New Roman" w:hAnsi="Times New Roman" w:cs="Times New Roman"/>
                <w:sz w:val="24"/>
                <w:highlight w:val="none"/>
              </w:rPr>
            </w:pPr>
            <w:r>
              <w:rPr>
                <w:rFonts w:hint="default" w:ascii="Times New Roman" w:hAnsi="Times New Roman" w:cs="Times New Roman"/>
                <w:sz w:val="24"/>
                <w:highlight w:val="none"/>
              </w:rPr>
              <w:t>备案）文号（选填）</w:t>
            </w:r>
          </w:p>
        </w:tc>
        <w:tc>
          <w:tcPr>
            <w:tcW w:w="2738" w:type="dxa"/>
            <w:gridSpan w:val="2"/>
            <w:noWrap w:val="0"/>
            <w:vAlign w:val="center"/>
          </w:tcPr>
          <w:p w14:paraId="2F679353">
            <w:pPr>
              <w:adjustRightInd w:val="0"/>
              <w:snapToGrid w:val="0"/>
              <w:jc w:val="center"/>
              <w:rPr>
                <w:rFonts w:hint="default" w:ascii="Times New Roman" w:hAnsi="Times New Roman" w:cs="Times New Roman"/>
                <w:sz w:val="24"/>
                <w:highlight w:val="none"/>
              </w:rPr>
            </w:pPr>
            <w:r>
              <w:rPr>
                <w:rFonts w:hint="default" w:ascii="Times New Roman" w:hAnsi="Times New Roman" w:cs="Times New Roman"/>
                <w:sz w:val="24"/>
                <w:highlight w:val="none"/>
              </w:rPr>
              <w:t>2508-150625-07-02-100656</w:t>
            </w:r>
          </w:p>
        </w:tc>
      </w:tr>
      <w:tr w14:paraId="75B833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5" w:hRule="atLeast"/>
        </w:trPr>
        <w:tc>
          <w:tcPr>
            <w:tcW w:w="1795" w:type="dxa"/>
            <w:noWrap w:val="0"/>
            <w:tcMar>
              <w:top w:w="16" w:type="dxa"/>
              <w:left w:w="16" w:type="dxa"/>
              <w:right w:w="16" w:type="dxa"/>
            </w:tcMar>
            <w:vAlign w:val="center"/>
          </w:tcPr>
          <w:p w14:paraId="2AE499B3">
            <w:pPr>
              <w:adjustRightInd w:val="0"/>
              <w:snapToGrid w:val="0"/>
              <w:jc w:val="center"/>
              <w:rPr>
                <w:rFonts w:hint="default" w:ascii="Times New Roman" w:hAnsi="Times New Roman" w:cs="Times New Roman"/>
                <w:sz w:val="24"/>
                <w:highlight w:val="none"/>
              </w:rPr>
            </w:pPr>
            <w:r>
              <w:rPr>
                <w:rFonts w:hint="default" w:ascii="Times New Roman" w:hAnsi="Times New Roman" w:cs="Times New Roman"/>
                <w:sz w:val="24"/>
                <w:highlight w:val="none"/>
              </w:rPr>
              <w:t>总投资（万元）</w:t>
            </w:r>
          </w:p>
        </w:tc>
        <w:tc>
          <w:tcPr>
            <w:tcW w:w="2289" w:type="dxa"/>
            <w:noWrap w:val="0"/>
            <w:vAlign w:val="center"/>
          </w:tcPr>
          <w:p w14:paraId="3F34ADDF">
            <w:pPr>
              <w:adjustRightInd w:val="0"/>
              <w:snapToGrid w:val="0"/>
              <w:jc w:val="center"/>
              <w:rPr>
                <w:rFonts w:hint="default" w:ascii="Times New Roman" w:hAnsi="Times New Roman" w:eastAsia="宋体" w:cs="Times New Roman"/>
                <w:sz w:val="24"/>
                <w:highlight w:val="none"/>
                <w:lang w:val="en-US" w:eastAsia="zh-CN"/>
              </w:rPr>
            </w:pPr>
            <w:r>
              <w:rPr>
                <w:rFonts w:hint="default" w:ascii="Times New Roman" w:hAnsi="Times New Roman" w:cs="Times New Roman"/>
                <w:sz w:val="24"/>
                <w:highlight w:val="none"/>
                <w:lang w:val="en-US" w:eastAsia="zh-CN"/>
              </w:rPr>
              <w:t>4191.02</w:t>
            </w:r>
          </w:p>
        </w:tc>
        <w:tc>
          <w:tcPr>
            <w:tcW w:w="2217" w:type="dxa"/>
            <w:noWrap w:val="0"/>
            <w:tcMar>
              <w:top w:w="16" w:type="dxa"/>
              <w:left w:w="16" w:type="dxa"/>
              <w:right w:w="16" w:type="dxa"/>
            </w:tcMar>
            <w:vAlign w:val="center"/>
          </w:tcPr>
          <w:p w14:paraId="7BF2CA16">
            <w:pPr>
              <w:adjustRightInd w:val="0"/>
              <w:snapToGrid w:val="0"/>
              <w:jc w:val="center"/>
              <w:rPr>
                <w:rFonts w:hint="default" w:ascii="Times New Roman" w:hAnsi="Times New Roman" w:cs="Times New Roman"/>
                <w:sz w:val="24"/>
                <w:highlight w:val="none"/>
              </w:rPr>
            </w:pPr>
            <w:r>
              <w:rPr>
                <w:rFonts w:hint="default" w:ascii="Times New Roman" w:hAnsi="Times New Roman" w:cs="Times New Roman"/>
                <w:sz w:val="24"/>
                <w:highlight w:val="none"/>
              </w:rPr>
              <w:t>环保投资（万元）</w:t>
            </w:r>
          </w:p>
        </w:tc>
        <w:tc>
          <w:tcPr>
            <w:tcW w:w="2738" w:type="dxa"/>
            <w:gridSpan w:val="2"/>
            <w:noWrap w:val="0"/>
            <w:vAlign w:val="center"/>
          </w:tcPr>
          <w:p w14:paraId="49B66C60">
            <w:pPr>
              <w:adjustRightInd w:val="0"/>
              <w:snapToGrid w:val="0"/>
              <w:jc w:val="center"/>
              <w:rPr>
                <w:rFonts w:hint="default" w:ascii="Times New Roman" w:hAnsi="Times New Roman" w:eastAsia="宋体" w:cs="Times New Roman"/>
                <w:sz w:val="24"/>
                <w:highlight w:val="none"/>
                <w:lang w:val="en-US" w:eastAsia="zh-CN"/>
              </w:rPr>
            </w:pPr>
            <w:r>
              <w:rPr>
                <w:rFonts w:hint="eastAsia" w:ascii="Times New Roman" w:hAnsi="Times New Roman" w:cs="Times New Roman"/>
                <w:sz w:val="24"/>
                <w:highlight w:val="none"/>
                <w:lang w:val="en-US" w:eastAsia="zh-CN"/>
              </w:rPr>
              <w:t>50</w:t>
            </w:r>
          </w:p>
        </w:tc>
      </w:tr>
      <w:tr w14:paraId="140FCA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1795" w:type="dxa"/>
            <w:noWrap w:val="0"/>
            <w:tcMar>
              <w:top w:w="16" w:type="dxa"/>
              <w:left w:w="16" w:type="dxa"/>
              <w:right w:w="16" w:type="dxa"/>
            </w:tcMar>
            <w:vAlign w:val="center"/>
          </w:tcPr>
          <w:p w14:paraId="5BD48E1D">
            <w:pPr>
              <w:adjustRightInd w:val="0"/>
              <w:snapToGrid w:val="0"/>
              <w:jc w:val="center"/>
              <w:rPr>
                <w:rFonts w:hint="default" w:ascii="Times New Roman" w:hAnsi="Times New Roman" w:cs="Times New Roman"/>
                <w:color w:val="1900FF"/>
                <w:sz w:val="24"/>
                <w:highlight w:val="none"/>
              </w:rPr>
            </w:pPr>
            <w:r>
              <w:rPr>
                <w:rFonts w:hint="default" w:ascii="Times New Roman" w:hAnsi="Times New Roman" w:cs="Times New Roman"/>
                <w:sz w:val="24"/>
                <w:highlight w:val="none"/>
              </w:rPr>
              <w:t>环保投资占比（%）</w:t>
            </w:r>
          </w:p>
        </w:tc>
        <w:tc>
          <w:tcPr>
            <w:tcW w:w="2289" w:type="dxa"/>
            <w:noWrap w:val="0"/>
            <w:vAlign w:val="center"/>
          </w:tcPr>
          <w:p w14:paraId="7D8F49B4">
            <w:pPr>
              <w:adjustRightInd w:val="0"/>
              <w:snapToGrid w:val="0"/>
              <w:jc w:val="center"/>
              <w:rPr>
                <w:rFonts w:hint="default" w:ascii="Times New Roman" w:hAnsi="Times New Roman" w:eastAsia="宋体" w:cs="Times New Roman"/>
                <w:sz w:val="24"/>
                <w:highlight w:val="none"/>
                <w:lang w:val="en-US" w:eastAsia="zh-CN"/>
              </w:rPr>
            </w:pPr>
            <w:r>
              <w:rPr>
                <w:rFonts w:hint="eastAsia" w:ascii="Times New Roman" w:hAnsi="Times New Roman" w:cs="Times New Roman"/>
                <w:sz w:val="24"/>
                <w:highlight w:val="none"/>
                <w:lang w:val="en-US" w:eastAsia="zh-CN"/>
              </w:rPr>
              <w:t>1.19</w:t>
            </w:r>
          </w:p>
        </w:tc>
        <w:tc>
          <w:tcPr>
            <w:tcW w:w="2217" w:type="dxa"/>
            <w:noWrap w:val="0"/>
            <w:tcMar>
              <w:top w:w="16" w:type="dxa"/>
              <w:left w:w="16" w:type="dxa"/>
              <w:right w:w="16" w:type="dxa"/>
            </w:tcMar>
            <w:vAlign w:val="center"/>
          </w:tcPr>
          <w:p w14:paraId="7E3D6D22">
            <w:pPr>
              <w:adjustRightInd w:val="0"/>
              <w:snapToGrid w:val="0"/>
              <w:jc w:val="center"/>
              <w:rPr>
                <w:rFonts w:hint="default" w:ascii="Times New Roman" w:hAnsi="Times New Roman" w:cs="Times New Roman"/>
                <w:sz w:val="24"/>
                <w:highlight w:val="none"/>
              </w:rPr>
            </w:pPr>
            <w:r>
              <w:rPr>
                <w:rFonts w:hint="default" w:ascii="Times New Roman" w:hAnsi="Times New Roman" w:cs="Times New Roman"/>
                <w:sz w:val="24"/>
                <w:highlight w:val="none"/>
              </w:rPr>
              <w:t>施工工期</w:t>
            </w:r>
          </w:p>
        </w:tc>
        <w:tc>
          <w:tcPr>
            <w:tcW w:w="2738" w:type="dxa"/>
            <w:gridSpan w:val="2"/>
            <w:noWrap w:val="0"/>
            <w:vAlign w:val="center"/>
          </w:tcPr>
          <w:p w14:paraId="21E92287">
            <w:pPr>
              <w:adjustRightInd w:val="0"/>
              <w:snapToGrid w:val="0"/>
              <w:jc w:val="center"/>
              <w:rPr>
                <w:rFonts w:hint="default" w:ascii="Times New Roman" w:hAnsi="Times New Roman" w:cs="Times New Roman"/>
                <w:sz w:val="24"/>
                <w:highlight w:val="none"/>
              </w:rPr>
            </w:pPr>
            <w:r>
              <w:rPr>
                <w:rFonts w:hint="default" w:ascii="Times New Roman" w:hAnsi="Times New Roman" w:cs="Times New Roman"/>
                <w:sz w:val="24"/>
                <w:highlight w:val="none"/>
              </w:rPr>
              <w:t>12个月</w:t>
            </w:r>
          </w:p>
        </w:tc>
      </w:tr>
      <w:tr w14:paraId="311FC4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11" w:hRule="atLeast"/>
        </w:trPr>
        <w:tc>
          <w:tcPr>
            <w:tcW w:w="1795" w:type="dxa"/>
            <w:noWrap w:val="0"/>
            <w:tcMar>
              <w:top w:w="16" w:type="dxa"/>
              <w:left w:w="16" w:type="dxa"/>
              <w:right w:w="16" w:type="dxa"/>
            </w:tcMar>
            <w:vAlign w:val="center"/>
          </w:tcPr>
          <w:p w14:paraId="13F82667">
            <w:pPr>
              <w:adjustRightInd w:val="0"/>
              <w:snapToGrid w:val="0"/>
              <w:jc w:val="center"/>
              <w:rPr>
                <w:rFonts w:hint="default" w:ascii="Times New Roman" w:hAnsi="Times New Roman" w:cs="Times New Roman"/>
                <w:sz w:val="24"/>
                <w:highlight w:val="none"/>
              </w:rPr>
            </w:pPr>
            <w:r>
              <w:rPr>
                <w:rFonts w:hint="default" w:ascii="Times New Roman" w:hAnsi="Times New Roman" w:cs="Times New Roman"/>
                <w:sz w:val="24"/>
                <w:highlight w:val="none"/>
              </w:rPr>
              <w:t>是否开工建设</w:t>
            </w:r>
          </w:p>
        </w:tc>
        <w:tc>
          <w:tcPr>
            <w:tcW w:w="7244" w:type="dxa"/>
            <w:gridSpan w:val="4"/>
            <w:noWrap w:val="0"/>
            <w:vAlign w:val="center"/>
          </w:tcPr>
          <w:p w14:paraId="00BE032F">
            <w:pPr>
              <w:adjustRightInd w:val="0"/>
              <w:snapToGrid w:val="0"/>
              <w:ind w:firstLine="105"/>
              <w:jc w:val="left"/>
              <w:rPr>
                <w:rFonts w:hint="default" w:ascii="Times New Roman" w:hAnsi="Times New Roman" w:cs="Times New Roman"/>
                <w:sz w:val="24"/>
                <w:highlight w:val="none"/>
              </w:rPr>
            </w:pPr>
            <w:r>
              <w:rPr>
                <w:rFonts w:hint="eastAsia" w:cs="Times New Roman"/>
                <w:sz w:val="24"/>
                <w:highlight w:val="none"/>
                <w:lang w:eastAsia="zh-CN"/>
              </w:rPr>
              <w:t>☑</w:t>
            </w:r>
            <w:r>
              <w:rPr>
                <w:rFonts w:hint="default" w:ascii="Times New Roman" w:hAnsi="Times New Roman" w:cs="Times New Roman"/>
                <w:sz w:val="24"/>
                <w:highlight w:val="none"/>
              </w:rPr>
              <w:t>否</w:t>
            </w:r>
          </w:p>
          <w:p w14:paraId="3234492D">
            <w:pPr>
              <w:adjustRightInd w:val="0"/>
              <w:snapToGrid w:val="0"/>
              <w:ind w:firstLine="92"/>
              <w:jc w:val="left"/>
              <w:rPr>
                <w:rFonts w:hint="default" w:ascii="Times New Roman" w:hAnsi="Times New Roman" w:cs="Times New Roman"/>
                <w:sz w:val="24"/>
                <w:highlight w:val="none"/>
              </w:rPr>
            </w:pPr>
            <w:r>
              <w:rPr>
                <w:rFonts w:hint="eastAsia" w:cs="Times New Roman"/>
                <w:sz w:val="24"/>
                <w:highlight w:val="none"/>
                <w:lang w:eastAsia="zh-CN"/>
              </w:rPr>
              <w:t>□</w:t>
            </w:r>
            <w:r>
              <w:rPr>
                <w:rFonts w:hint="default" w:ascii="Times New Roman" w:hAnsi="Times New Roman" w:cs="Times New Roman"/>
                <w:sz w:val="24"/>
                <w:highlight w:val="none"/>
              </w:rPr>
              <w:t>是：</w:t>
            </w:r>
          </w:p>
        </w:tc>
      </w:tr>
      <w:tr w14:paraId="7C7E20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795" w:type="dxa"/>
            <w:noWrap w:val="0"/>
            <w:tcMar>
              <w:top w:w="16" w:type="dxa"/>
              <w:left w:w="16" w:type="dxa"/>
              <w:right w:w="16" w:type="dxa"/>
            </w:tcMar>
            <w:vAlign w:val="center"/>
          </w:tcPr>
          <w:p w14:paraId="3C25BA13">
            <w:pPr>
              <w:autoSpaceDE w:val="0"/>
              <w:autoSpaceDN w:val="0"/>
              <w:adjustRightInd w:val="0"/>
              <w:snapToGrid w:val="0"/>
              <w:jc w:val="center"/>
              <w:rPr>
                <w:rFonts w:hint="default" w:ascii="Times New Roman" w:hAnsi="Times New Roman" w:cs="Times New Roman"/>
                <w:kern w:val="0"/>
                <w:szCs w:val="21"/>
                <w:highlight w:val="none"/>
              </w:rPr>
            </w:pPr>
            <w:r>
              <w:rPr>
                <w:rFonts w:hint="default" w:ascii="Times New Roman" w:hAnsi="Times New Roman" w:cs="Times New Roman"/>
                <w:kern w:val="0"/>
                <w:sz w:val="24"/>
                <w:highlight w:val="none"/>
              </w:rPr>
              <w:t>专项评价设置情况</w:t>
            </w:r>
          </w:p>
        </w:tc>
        <w:tc>
          <w:tcPr>
            <w:tcW w:w="7244" w:type="dxa"/>
            <w:gridSpan w:val="4"/>
            <w:noWrap w:val="0"/>
            <w:tcMar>
              <w:top w:w="16" w:type="dxa"/>
              <w:left w:w="16" w:type="dxa"/>
              <w:right w:w="16" w:type="dxa"/>
            </w:tcMar>
            <w:vAlign w:val="center"/>
          </w:tcPr>
          <w:p w14:paraId="2D44FC9E">
            <w:pPr>
              <w:autoSpaceDE w:val="0"/>
              <w:autoSpaceDN w:val="0"/>
              <w:adjustRightInd w:val="0"/>
              <w:snapToGrid w:val="0"/>
              <w:spacing w:line="360" w:lineRule="auto"/>
              <w:ind w:firstLine="480" w:firstLineChars="200"/>
              <w:rPr>
                <w:rFonts w:hint="default" w:ascii="Times New Roman" w:hAnsi="Times New Roman" w:cs="Times New Roman"/>
                <w:kern w:val="0"/>
                <w:sz w:val="24"/>
                <w:highlight w:val="none"/>
              </w:rPr>
            </w:pPr>
            <w:r>
              <w:rPr>
                <w:rFonts w:hint="default" w:ascii="Times New Roman" w:hAnsi="Times New Roman" w:cs="Times New Roman"/>
                <w:sz w:val="24"/>
                <w:szCs w:val="32"/>
                <w:highlight w:val="none"/>
                <w:lang w:val="en-US" w:eastAsia="zh-CN"/>
              </w:rPr>
              <w:t>本项目部分管线位于厂区外，属于</w:t>
            </w:r>
            <w:r>
              <w:rPr>
                <w:rFonts w:hint="default" w:ascii="Times New Roman" w:hAnsi="Times New Roman" w:cs="Times New Roman"/>
                <w:sz w:val="24"/>
                <w:szCs w:val="32"/>
                <w:highlight w:val="none"/>
              </w:rPr>
              <w:t>危险化学品输送管线（不含企业厂区内管线），</w:t>
            </w:r>
            <w:r>
              <w:rPr>
                <w:rFonts w:hint="eastAsia" w:cs="Times New Roman"/>
                <w:sz w:val="24"/>
                <w:szCs w:val="32"/>
                <w:highlight w:val="none"/>
                <w:lang w:eastAsia="zh-CN"/>
              </w:rPr>
              <w:t>因此</w:t>
            </w:r>
            <w:r>
              <w:rPr>
                <w:rFonts w:hint="default" w:ascii="Times New Roman" w:hAnsi="Times New Roman" w:cs="Times New Roman"/>
                <w:sz w:val="24"/>
                <w:szCs w:val="32"/>
                <w:highlight w:val="none"/>
              </w:rPr>
              <w:t>需要设置环境风险专项评价。</w:t>
            </w:r>
            <w:r>
              <w:rPr>
                <w:rFonts w:hint="default" w:ascii="Times New Roman" w:hAnsi="Times New Roman" w:cs="Times New Roman"/>
                <w:kern w:val="0"/>
                <w:sz w:val="24"/>
                <w:highlight w:val="none"/>
              </w:rPr>
              <w:t>专项评价判定</w:t>
            </w:r>
            <w:r>
              <w:rPr>
                <w:rFonts w:hint="eastAsia" w:cs="Times New Roman"/>
                <w:kern w:val="0"/>
                <w:sz w:val="24"/>
                <w:highlight w:val="none"/>
                <w:lang w:eastAsia="zh-CN"/>
              </w:rPr>
              <w:t>标准</w:t>
            </w:r>
            <w:r>
              <w:rPr>
                <w:rFonts w:hint="default" w:ascii="Times New Roman" w:hAnsi="Times New Roman" w:cs="Times New Roman"/>
                <w:kern w:val="0"/>
                <w:sz w:val="24"/>
                <w:highlight w:val="none"/>
              </w:rPr>
              <w:t>见表1-1。</w:t>
            </w:r>
          </w:p>
          <w:p w14:paraId="45EC8803">
            <w:pPr>
              <w:autoSpaceDE w:val="0"/>
              <w:autoSpaceDN w:val="0"/>
              <w:adjustRightInd w:val="0"/>
              <w:snapToGrid w:val="0"/>
              <w:spacing w:line="360" w:lineRule="auto"/>
              <w:jc w:val="center"/>
              <w:rPr>
                <w:rFonts w:hint="default" w:ascii="Times New Roman" w:hAnsi="Times New Roman" w:cs="Times New Roman"/>
                <w:b/>
                <w:bCs/>
                <w:sz w:val="21"/>
                <w:szCs w:val="21"/>
                <w:highlight w:val="none"/>
              </w:rPr>
            </w:pPr>
            <w:r>
              <w:rPr>
                <w:rFonts w:hint="default" w:ascii="Times New Roman" w:hAnsi="Times New Roman" w:cs="Times New Roman"/>
                <w:b/>
                <w:bCs/>
                <w:sz w:val="21"/>
                <w:szCs w:val="21"/>
                <w:highlight w:val="none"/>
              </w:rPr>
              <w:t xml:space="preserve">表1-1 </w:t>
            </w:r>
            <w:r>
              <w:rPr>
                <w:rFonts w:hint="eastAsia" w:cs="Times New Roman"/>
                <w:b/>
                <w:bCs/>
                <w:sz w:val="21"/>
                <w:szCs w:val="21"/>
                <w:highlight w:val="none"/>
                <w:lang w:val="en-US" w:eastAsia="zh-CN"/>
              </w:rPr>
              <w:t xml:space="preserve"> </w:t>
            </w:r>
            <w:r>
              <w:rPr>
                <w:rFonts w:hint="default" w:ascii="Times New Roman" w:hAnsi="Times New Roman" w:cs="Times New Roman"/>
                <w:b/>
                <w:bCs/>
                <w:sz w:val="21"/>
                <w:szCs w:val="21"/>
                <w:highlight w:val="none"/>
              </w:rPr>
              <w:t xml:space="preserve"> 专项评价设置原则表</w:t>
            </w:r>
          </w:p>
          <w:tbl>
            <w:tblPr>
              <w:tblStyle w:val="19"/>
              <w:tblW w:w="487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6"/>
              <w:gridCol w:w="3994"/>
              <w:gridCol w:w="1131"/>
              <w:gridCol w:w="925"/>
            </w:tblGrid>
            <w:tr w14:paraId="112E0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695" w:type="pct"/>
                  <w:noWrap w:val="0"/>
                  <w:vAlign w:val="center"/>
                </w:tcPr>
                <w:p w14:paraId="3CFC68C5">
                  <w:pPr>
                    <w:kinsoku w:val="0"/>
                    <w:autoSpaceDE w:val="0"/>
                    <w:autoSpaceDN w:val="0"/>
                    <w:adjustRightInd w:val="0"/>
                    <w:snapToGrid w:val="0"/>
                    <w:jc w:val="center"/>
                    <w:textAlignment w:val="baseline"/>
                    <w:rPr>
                      <w:rFonts w:hint="default" w:ascii="Times New Roman" w:hAnsi="Times New Roman" w:eastAsia="Arial" w:cs="Times New Roman"/>
                      <w:b w:val="0"/>
                      <w:bCs w:val="0"/>
                      <w:kern w:val="0"/>
                      <w:szCs w:val="21"/>
                      <w:highlight w:val="none"/>
                    </w:rPr>
                  </w:pPr>
                  <w:r>
                    <w:rPr>
                      <w:rFonts w:hint="default" w:ascii="Times New Roman" w:hAnsi="Times New Roman" w:eastAsia="Arial" w:cs="Times New Roman"/>
                      <w:b w:val="0"/>
                      <w:bCs w:val="0"/>
                      <w:kern w:val="0"/>
                      <w:szCs w:val="21"/>
                      <w:highlight w:val="none"/>
                      <w:lang w:bidi="ar"/>
                    </w:rPr>
                    <w:t>专项评价的类别</w:t>
                  </w:r>
                </w:p>
              </w:tc>
              <w:tc>
                <w:tcPr>
                  <w:tcW w:w="2842" w:type="pct"/>
                  <w:noWrap w:val="0"/>
                  <w:vAlign w:val="center"/>
                </w:tcPr>
                <w:p w14:paraId="5315FD0A">
                  <w:pPr>
                    <w:kinsoku w:val="0"/>
                    <w:autoSpaceDE w:val="0"/>
                    <w:autoSpaceDN w:val="0"/>
                    <w:adjustRightInd w:val="0"/>
                    <w:snapToGrid w:val="0"/>
                    <w:jc w:val="center"/>
                    <w:textAlignment w:val="baseline"/>
                    <w:rPr>
                      <w:rFonts w:hint="default" w:ascii="Times New Roman" w:hAnsi="Times New Roman" w:cs="Times New Roman"/>
                      <w:b w:val="0"/>
                      <w:bCs w:val="0"/>
                      <w:kern w:val="0"/>
                      <w:szCs w:val="21"/>
                      <w:highlight w:val="none"/>
                    </w:rPr>
                  </w:pPr>
                  <w:r>
                    <w:rPr>
                      <w:rFonts w:hint="default" w:ascii="Times New Roman" w:hAnsi="Times New Roman" w:eastAsia="Arial" w:cs="Times New Roman"/>
                      <w:b w:val="0"/>
                      <w:bCs w:val="0"/>
                      <w:kern w:val="0"/>
                      <w:szCs w:val="21"/>
                      <w:highlight w:val="none"/>
                      <w:lang w:bidi="ar"/>
                    </w:rPr>
                    <w:t>涉及项目类别</w:t>
                  </w:r>
                </w:p>
              </w:tc>
              <w:tc>
                <w:tcPr>
                  <w:tcW w:w="805" w:type="pct"/>
                  <w:noWrap w:val="0"/>
                  <w:vAlign w:val="center"/>
                </w:tcPr>
                <w:p w14:paraId="38E333AB">
                  <w:pPr>
                    <w:kinsoku w:val="0"/>
                    <w:autoSpaceDE w:val="0"/>
                    <w:autoSpaceDN w:val="0"/>
                    <w:adjustRightInd w:val="0"/>
                    <w:snapToGrid w:val="0"/>
                    <w:jc w:val="center"/>
                    <w:textAlignment w:val="baseline"/>
                    <w:rPr>
                      <w:rFonts w:hint="default" w:ascii="Times New Roman" w:hAnsi="Times New Roman" w:cs="Times New Roman"/>
                      <w:b w:val="0"/>
                      <w:bCs w:val="0"/>
                      <w:kern w:val="0"/>
                      <w:szCs w:val="21"/>
                      <w:highlight w:val="none"/>
                    </w:rPr>
                  </w:pPr>
                  <w:r>
                    <w:rPr>
                      <w:rFonts w:hint="default" w:ascii="Times New Roman" w:hAnsi="Times New Roman" w:eastAsia="Arial" w:cs="Times New Roman"/>
                      <w:b w:val="0"/>
                      <w:bCs w:val="0"/>
                      <w:kern w:val="0"/>
                      <w:szCs w:val="21"/>
                      <w:highlight w:val="none"/>
                      <w:lang w:bidi="ar"/>
                    </w:rPr>
                    <w:t>本项目情况</w:t>
                  </w:r>
                </w:p>
              </w:tc>
              <w:tc>
                <w:tcPr>
                  <w:tcW w:w="655" w:type="pct"/>
                  <w:noWrap w:val="0"/>
                  <w:vAlign w:val="center"/>
                </w:tcPr>
                <w:p w14:paraId="7FF8D4C0">
                  <w:pPr>
                    <w:kinsoku w:val="0"/>
                    <w:autoSpaceDE w:val="0"/>
                    <w:autoSpaceDN w:val="0"/>
                    <w:adjustRightInd w:val="0"/>
                    <w:snapToGrid w:val="0"/>
                    <w:jc w:val="center"/>
                    <w:textAlignment w:val="baseline"/>
                    <w:rPr>
                      <w:rFonts w:hint="default" w:ascii="Times New Roman" w:hAnsi="Times New Roman" w:eastAsia="Arial" w:cs="Times New Roman"/>
                      <w:b w:val="0"/>
                      <w:bCs w:val="0"/>
                      <w:kern w:val="0"/>
                      <w:szCs w:val="21"/>
                      <w:highlight w:val="none"/>
                    </w:rPr>
                  </w:pPr>
                  <w:r>
                    <w:rPr>
                      <w:rFonts w:hint="default" w:ascii="Times New Roman" w:hAnsi="Times New Roman" w:eastAsia="Arial" w:cs="Times New Roman"/>
                      <w:b w:val="0"/>
                      <w:bCs w:val="0"/>
                      <w:kern w:val="0"/>
                      <w:szCs w:val="21"/>
                      <w:highlight w:val="none"/>
                      <w:lang w:bidi="ar"/>
                    </w:rPr>
                    <w:t>是否设置专项评价</w:t>
                  </w:r>
                </w:p>
              </w:tc>
            </w:tr>
            <w:tr w14:paraId="46D28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6" w:hRule="atLeast"/>
                <w:jc w:val="center"/>
              </w:trPr>
              <w:tc>
                <w:tcPr>
                  <w:tcW w:w="695" w:type="pct"/>
                  <w:noWrap w:val="0"/>
                  <w:vAlign w:val="center"/>
                </w:tcPr>
                <w:p w14:paraId="37B421B1">
                  <w:pPr>
                    <w:kinsoku w:val="0"/>
                    <w:autoSpaceDE w:val="0"/>
                    <w:autoSpaceDN w:val="0"/>
                    <w:adjustRightInd w:val="0"/>
                    <w:snapToGrid w:val="0"/>
                    <w:jc w:val="center"/>
                    <w:textAlignment w:val="baseline"/>
                    <w:rPr>
                      <w:rFonts w:hint="default" w:ascii="Times New Roman" w:hAnsi="Times New Roman" w:cs="Times New Roman"/>
                      <w:b w:val="0"/>
                      <w:bCs w:val="0"/>
                      <w:kern w:val="0"/>
                      <w:szCs w:val="21"/>
                      <w:highlight w:val="none"/>
                    </w:rPr>
                  </w:pPr>
                  <w:r>
                    <w:rPr>
                      <w:rFonts w:hint="default" w:ascii="Times New Roman" w:hAnsi="Times New Roman" w:eastAsia="Arial" w:cs="Times New Roman"/>
                      <w:b w:val="0"/>
                      <w:bCs w:val="0"/>
                      <w:kern w:val="0"/>
                      <w:szCs w:val="21"/>
                      <w:highlight w:val="none"/>
                      <w:lang w:bidi="ar"/>
                    </w:rPr>
                    <w:t>地表水</w:t>
                  </w:r>
                </w:p>
              </w:tc>
              <w:tc>
                <w:tcPr>
                  <w:tcW w:w="2842" w:type="pct"/>
                  <w:noWrap w:val="0"/>
                  <w:vAlign w:val="center"/>
                </w:tcPr>
                <w:p w14:paraId="6903673F">
                  <w:pPr>
                    <w:kinsoku w:val="0"/>
                    <w:autoSpaceDE w:val="0"/>
                    <w:autoSpaceDN w:val="0"/>
                    <w:adjustRightInd w:val="0"/>
                    <w:snapToGrid w:val="0"/>
                    <w:jc w:val="center"/>
                    <w:textAlignment w:val="baseline"/>
                    <w:rPr>
                      <w:rFonts w:hint="default" w:ascii="Times New Roman" w:hAnsi="Times New Roman" w:eastAsia="Arial" w:cs="Times New Roman"/>
                      <w:b w:val="0"/>
                      <w:bCs w:val="0"/>
                      <w:kern w:val="0"/>
                      <w:szCs w:val="21"/>
                      <w:highlight w:val="none"/>
                      <w:lang w:bidi="ar"/>
                    </w:rPr>
                  </w:pPr>
                  <w:r>
                    <w:rPr>
                      <w:rFonts w:hint="default" w:ascii="Times New Roman" w:hAnsi="Times New Roman" w:eastAsia="Arial" w:cs="Times New Roman"/>
                      <w:b w:val="0"/>
                      <w:bCs w:val="0"/>
                      <w:kern w:val="0"/>
                      <w:szCs w:val="21"/>
                      <w:highlight w:val="none"/>
                      <w:lang w:bidi="ar"/>
                    </w:rPr>
                    <w:t>水力发电：引水式发电、涉及调峰发电的项目；</w:t>
                  </w:r>
                </w:p>
                <w:p w14:paraId="1CE77B96">
                  <w:pPr>
                    <w:kinsoku w:val="0"/>
                    <w:autoSpaceDE w:val="0"/>
                    <w:autoSpaceDN w:val="0"/>
                    <w:adjustRightInd w:val="0"/>
                    <w:snapToGrid w:val="0"/>
                    <w:jc w:val="center"/>
                    <w:textAlignment w:val="baseline"/>
                    <w:rPr>
                      <w:rFonts w:hint="default" w:ascii="Times New Roman" w:hAnsi="Times New Roman" w:eastAsia="Arial" w:cs="Times New Roman"/>
                      <w:b w:val="0"/>
                      <w:bCs w:val="0"/>
                      <w:kern w:val="0"/>
                      <w:szCs w:val="21"/>
                      <w:highlight w:val="none"/>
                      <w:lang w:bidi="ar"/>
                    </w:rPr>
                  </w:pPr>
                  <w:r>
                    <w:rPr>
                      <w:rFonts w:hint="default" w:ascii="Times New Roman" w:hAnsi="Times New Roman" w:eastAsia="Arial" w:cs="Times New Roman"/>
                      <w:b w:val="0"/>
                      <w:bCs w:val="0"/>
                      <w:kern w:val="0"/>
                      <w:szCs w:val="21"/>
                      <w:highlight w:val="none"/>
                      <w:lang w:bidi="ar"/>
                    </w:rPr>
                    <w:t>人工湖、人工湿地：全部；</w:t>
                  </w:r>
                </w:p>
                <w:p w14:paraId="439BCEA7">
                  <w:pPr>
                    <w:kinsoku w:val="0"/>
                    <w:autoSpaceDE w:val="0"/>
                    <w:autoSpaceDN w:val="0"/>
                    <w:adjustRightInd w:val="0"/>
                    <w:snapToGrid w:val="0"/>
                    <w:jc w:val="center"/>
                    <w:textAlignment w:val="baseline"/>
                    <w:rPr>
                      <w:rFonts w:hint="default" w:ascii="Times New Roman" w:hAnsi="Times New Roman" w:eastAsia="Arial" w:cs="Times New Roman"/>
                      <w:b w:val="0"/>
                      <w:bCs w:val="0"/>
                      <w:kern w:val="0"/>
                      <w:szCs w:val="21"/>
                      <w:highlight w:val="none"/>
                      <w:lang w:bidi="ar"/>
                    </w:rPr>
                  </w:pPr>
                  <w:r>
                    <w:rPr>
                      <w:rFonts w:hint="default" w:ascii="Times New Roman" w:hAnsi="Times New Roman" w:eastAsia="Arial" w:cs="Times New Roman"/>
                      <w:b w:val="0"/>
                      <w:bCs w:val="0"/>
                      <w:kern w:val="0"/>
                      <w:szCs w:val="21"/>
                      <w:highlight w:val="none"/>
                      <w:lang w:bidi="ar"/>
                    </w:rPr>
                    <w:t>水库：全部；</w:t>
                  </w:r>
                </w:p>
                <w:p w14:paraId="6132393D">
                  <w:pPr>
                    <w:kinsoku w:val="0"/>
                    <w:autoSpaceDE w:val="0"/>
                    <w:autoSpaceDN w:val="0"/>
                    <w:adjustRightInd w:val="0"/>
                    <w:snapToGrid w:val="0"/>
                    <w:jc w:val="center"/>
                    <w:textAlignment w:val="baseline"/>
                    <w:rPr>
                      <w:rFonts w:hint="default" w:ascii="Times New Roman" w:hAnsi="Times New Roman" w:eastAsia="Arial" w:cs="Times New Roman"/>
                      <w:b w:val="0"/>
                      <w:bCs w:val="0"/>
                      <w:kern w:val="0"/>
                      <w:szCs w:val="21"/>
                      <w:highlight w:val="none"/>
                      <w:lang w:bidi="ar"/>
                    </w:rPr>
                  </w:pPr>
                  <w:r>
                    <w:rPr>
                      <w:rFonts w:hint="default" w:ascii="Times New Roman" w:hAnsi="Times New Roman" w:eastAsia="Arial" w:cs="Times New Roman"/>
                      <w:b w:val="0"/>
                      <w:bCs w:val="0"/>
                      <w:kern w:val="0"/>
                      <w:szCs w:val="21"/>
                      <w:highlight w:val="none"/>
                      <w:lang w:bidi="ar"/>
                    </w:rPr>
                    <w:t>引水工程：全部（配套的管线工程等除外）；</w:t>
                  </w:r>
                </w:p>
                <w:p w14:paraId="453BD706">
                  <w:pPr>
                    <w:kinsoku w:val="0"/>
                    <w:autoSpaceDE w:val="0"/>
                    <w:autoSpaceDN w:val="0"/>
                    <w:adjustRightInd w:val="0"/>
                    <w:snapToGrid w:val="0"/>
                    <w:jc w:val="center"/>
                    <w:textAlignment w:val="baseline"/>
                    <w:rPr>
                      <w:rFonts w:hint="default" w:ascii="Times New Roman" w:hAnsi="Times New Roman" w:eastAsia="Arial" w:cs="Times New Roman"/>
                      <w:b w:val="0"/>
                      <w:bCs w:val="0"/>
                      <w:kern w:val="0"/>
                      <w:szCs w:val="21"/>
                      <w:highlight w:val="none"/>
                      <w:lang w:bidi="ar"/>
                    </w:rPr>
                  </w:pPr>
                  <w:r>
                    <w:rPr>
                      <w:rFonts w:hint="default" w:ascii="Times New Roman" w:hAnsi="Times New Roman" w:eastAsia="Arial" w:cs="Times New Roman"/>
                      <w:b w:val="0"/>
                      <w:bCs w:val="0"/>
                      <w:kern w:val="0"/>
                      <w:szCs w:val="21"/>
                      <w:highlight w:val="none"/>
                      <w:lang w:bidi="ar"/>
                    </w:rPr>
                    <w:t>防洪除涝工程：包含水库的项目；</w:t>
                  </w:r>
                </w:p>
                <w:p w14:paraId="1574575E">
                  <w:pPr>
                    <w:kinsoku w:val="0"/>
                    <w:autoSpaceDE w:val="0"/>
                    <w:autoSpaceDN w:val="0"/>
                    <w:adjustRightInd w:val="0"/>
                    <w:snapToGrid w:val="0"/>
                    <w:jc w:val="center"/>
                    <w:textAlignment w:val="baseline"/>
                    <w:rPr>
                      <w:rFonts w:hint="eastAsia" w:ascii="Times New Roman" w:hAnsi="Times New Roman" w:eastAsia="宋体" w:cs="Times New Roman"/>
                      <w:b w:val="0"/>
                      <w:bCs w:val="0"/>
                      <w:kern w:val="0"/>
                      <w:szCs w:val="21"/>
                      <w:highlight w:val="none"/>
                      <w:lang w:eastAsia="zh-CN"/>
                    </w:rPr>
                  </w:pPr>
                  <w:r>
                    <w:rPr>
                      <w:rFonts w:hint="default" w:ascii="Times New Roman" w:hAnsi="Times New Roman" w:eastAsia="Arial" w:cs="Times New Roman"/>
                      <w:b w:val="0"/>
                      <w:bCs w:val="0"/>
                      <w:kern w:val="0"/>
                      <w:szCs w:val="21"/>
                      <w:highlight w:val="none"/>
                      <w:lang w:bidi="ar"/>
                    </w:rPr>
                    <w:t>河湖整治：涉及清淤且底泥存在重金属污染的项目</w:t>
                  </w:r>
                  <w:r>
                    <w:rPr>
                      <w:rFonts w:hint="eastAsia" w:eastAsia="宋体" w:cs="Times New Roman"/>
                      <w:b w:val="0"/>
                      <w:bCs w:val="0"/>
                      <w:kern w:val="0"/>
                      <w:szCs w:val="21"/>
                      <w:highlight w:val="none"/>
                      <w:lang w:eastAsia="zh-CN" w:bidi="ar"/>
                    </w:rPr>
                    <w:t>。</w:t>
                  </w:r>
                </w:p>
              </w:tc>
              <w:tc>
                <w:tcPr>
                  <w:tcW w:w="805" w:type="pct"/>
                  <w:noWrap w:val="0"/>
                  <w:vAlign w:val="center"/>
                </w:tcPr>
                <w:p w14:paraId="5BA1E600">
                  <w:pPr>
                    <w:kinsoku w:val="0"/>
                    <w:autoSpaceDE w:val="0"/>
                    <w:autoSpaceDN w:val="0"/>
                    <w:adjustRightInd w:val="0"/>
                    <w:snapToGrid w:val="0"/>
                    <w:jc w:val="center"/>
                    <w:textAlignment w:val="baseline"/>
                    <w:rPr>
                      <w:rFonts w:hint="default" w:ascii="Times New Roman" w:hAnsi="Times New Roman" w:cs="Times New Roman"/>
                      <w:b w:val="0"/>
                      <w:bCs w:val="0"/>
                      <w:kern w:val="0"/>
                      <w:szCs w:val="21"/>
                      <w:highlight w:val="none"/>
                    </w:rPr>
                  </w:pPr>
                  <w:r>
                    <w:rPr>
                      <w:rFonts w:hint="default" w:ascii="Times New Roman" w:hAnsi="Times New Roman" w:eastAsia="Arial" w:cs="Times New Roman"/>
                      <w:b w:val="0"/>
                      <w:bCs w:val="0"/>
                      <w:kern w:val="0"/>
                      <w:szCs w:val="21"/>
                      <w:highlight w:val="none"/>
                      <w:lang w:bidi="ar"/>
                    </w:rPr>
                    <w:t>本项目不涉及</w:t>
                  </w:r>
                </w:p>
              </w:tc>
              <w:tc>
                <w:tcPr>
                  <w:tcW w:w="655" w:type="pct"/>
                  <w:noWrap w:val="0"/>
                  <w:vAlign w:val="center"/>
                </w:tcPr>
                <w:p w14:paraId="2990A8FE">
                  <w:pPr>
                    <w:kinsoku w:val="0"/>
                    <w:autoSpaceDE w:val="0"/>
                    <w:autoSpaceDN w:val="0"/>
                    <w:adjustRightInd w:val="0"/>
                    <w:snapToGrid w:val="0"/>
                    <w:jc w:val="center"/>
                    <w:textAlignment w:val="baseline"/>
                    <w:rPr>
                      <w:rFonts w:hint="default" w:ascii="Times New Roman" w:hAnsi="Times New Roman" w:eastAsia="Arial" w:cs="Times New Roman"/>
                      <w:b w:val="0"/>
                      <w:bCs w:val="0"/>
                      <w:kern w:val="0"/>
                      <w:szCs w:val="21"/>
                      <w:highlight w:val="none"/>
                    </w:rPr>
                  </w:pPr>
                  <w:r>
                    <w:rPr>
                      <w:rFonts w:hint="default" w:ascii="Times New Roman" w:hAnsi="Times New Roman" w:eastAsia="Arial" w:cs="Times New Roman"/>
                      <w:b w:val="0"/>
                      <w:bCs w:val="0"/>
                      <w:kern w:val="0"/>
                      <w:szCs w:val="21"/>
                      <w:highlight w:val="none"/>
                      <w:lang w:bidi="ar"/>
                    </w:rPr>
                    <w:t>否</w:t>
                  </w:r>
                </w:p>
              </w:tc>
            </w:tr>
            <w:tr w14:paraId="5DAF0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695" w:type="pct"/>
                  <w:noWrap w:val="0"/>
                  <w:vAlign w:val="center"/>
                </w:tcPr>
                <w:p w14:paraId="1ADD8ADE">
                  <w:pPr>
                    <w:kinsoku w:val="0"/>
                    <w:autoSpaceDE w:val="0"/>
                    <w:autoSpaceDN w:val="0"/>
                    <w:adjustRightInd w:val="0"/>
                    <w:snapToGrid w:val="0"/>
                    <w:jc w:val="center"/>
                    <w:textAlignment w:val="baseline"/>
                    <w:rPr>
                      <w:rFonts w:hint="default" w:ascii="Times New Roman" w:hAnsi="Times New Roman" w:cs="Times New Roman"/>
                      <w:b w:val="0"/>
                      <w:bCs w:val="0"/>
                      <w:kern w:val="0"/>
                      <w:szCs w:val="21"/>
                      <w:highlight w:val="none"/>
                    </w:rPr>
                  </w:pPr>
                  <w:r>
                    <w:rPr>
                      <w:rFonts w:hint="default" w:ascii="Times New Roman" w:hAnsi="Times New Roman" w:cs="Times New Roman"/>
                      <w:b w:val="0"/>
                      <w:bCs w:val="0"/>
                      <w:kern w:val="0"/>
                      <w:szCs w:val="21"/>
                      <w:highlight w:val="none"/>
                    </w:rPr>
                    <w:t>地下水</w:t>
                  </w:r>
                </w:p>
              </w:tc>
              <w:tc>
                <w:tcPr>
                  <w:tcW w:w="2842" w:type="pct"/>
                  <w:noWrap w:val="0"/>
                  <w:vAlign w:val="center"/>
                </w:tcPr>
                <w:p w14:paraId="0FD5468F">
                  <w:pPr>
                    <w:kinsoku w:val="0"/>
                    <w:autoSpaceDE w:val="0"/>
                    <w:autoSpaceDN w:val="0"/>
                    <w:adjustRightInd w:val="0"/>
                    <w:snapToGrid w:val="0"/>
                    <w:jc w:val="center"/>
                    <w:textAlignment w:val="baseline"/>
                    <w:rPr>
                      <w:rFonts w:hint="default" w:ascii="Times New Roman" w:hAnsi="Times New Roman" w:eastAsia="Arial" w:cs="Times New Roman"/>
                      <w:b w:val="0"/>
                      <w:bCs w:val="0"/>
                      <w:kern w:val="0"/>
                      <w:szCs w:val="21"/>
                      <w:highlight w:val="none"/>
                      <w:lang w:bidi="ar"/>
                    </w:rPr>
                  </w:pPr>
                  <w:r>
                    <w:rPr>
                      <w:rFonts w:hint="default" w:ascii="Times New Roman" w:hAnsi="Times New Roman" w:eastAsia="Arial" w:cs="Times New Roman"/>
                      <w:b w:val="0"/>
                      <w:bCs w:val="0"/>
                      <w:kern w:val="0"/>
                      <w:szCs w:val="21"/>
                      <w:highlight w:val="none"/>
                      <w:lang w:bidi="ar"/>
                    </w:rPr>
                    <w:t>陆地石油</w:t>
                  </w:r>
                  <w:r>
                    <w:rPr>
                      <w:rFonts w:hint="eastAsia" w:eastAsia="宋体" w:cs="Times New Roman"/>
                      <w:b w:val="0"/>
                      <w:bCs w:val="0"/>
                      <w:kern w:val="0"/>
                      <w:szCs w:val="21"/>
                      <w:highlight w:val="none"/>
                      <w:lang w:eastAsia="zh-CN" w:bidi="ar"/>
                    </w:rPr>
                    <w:t>及</w:t>
                  </w:r>
                  <w:r>
                    <w:rPr>
                      <w:rFonts w:hint="default" w:ascii="Times New Roman" w:hAnsi="Times New Roman" w:eastAsia="Arial" w:cs="Times New Roman"/>
                      <w:b w:val="0"/>
                      <w:bCs w:val="0"/>
                      <w:kern w:val="0"/>
                      <w:szCs w:val="21"/>
                      <w:highlight w:val="none"/>
                      <w:lang w:bidi="ar"/>
                    </w:rPr>
                    <w:t>天然气开采：全部；</w:t>
                  </w:r>
                </w:p>
                <w:p w14:paraId="772C6C49">
                  <w:pPr>
                    <w:kinsoku w:val="0"/>
                    <w:autoSpaceDE w:val="0"/>
                    <w:autoSpaceDN w:val="0"/>
                    <w:adjustRightInd w:val="0"/>
                    <w:snapToGrid w:val="0"/>
                    <w:jc w:val="center"/>
                    <w:textAlignment w:val="baseline"/>
                    <w:rPr>
                      <w:rFonts w:hint="default" w:ascii="Times New Roman" w:hAnsi="Times New Roman" w:eastAsia="Arial" w:cs="Times New Roman"/>
                      <w:b w:val="0"/>
                      <w:bCs w:val="0"/>
                      <w:kern w:val="0"/>
                      <w:szCs w:val="21"/>
                      <w:highlight w:val="none"/>
                      <w:lang w:bidi="ar"/>
                    </w:rPr>
                  </w:pPr>
                  <w:r>
                    <w:rPr>
                      <w:rFonts w:hint="default" w:ascii="Times New Roman" w:hAnsi="Times New Roman" w:eastAsia="Arial" w:cs="Times New Roman"/>
                      <w:b w:val="0"/>
                      <w:bCs w:val="0"/>
                      <w:kern w:val="0"/>
                      <w:szCs w:val="21"/>
                      <w:highlight w:val="none"/>
                      <w:lang w:bidi="ar"/>
                    </w:rPr>
                    <w:t>地下水（含矿泉水）开采：全部；</w:t>
                  </w:r>
                </w:p>
                <w:p w14:paraId="701FBA6B">
                  <w:pPr>
                    <w:kinsoku w:val="0"/>
                    <w:autoSpaceDE w:val="0"/>
                    <w:autoSpaceDN w:val="0"/>
                    <w:adjustRightInd w:val="0"/>
                    <w:snapToGrid w:val="0"/>
                    <w:jc w:val="center"/>
                    <w:textAlignment w:val="baseline"/>
                    <w:rPr>
                      <w:rFonts w:hint="eastAsia" w:ascii="Times New Roman" w:hAnsi="Times New Roman" w:eastAsia="宋体" w:cs="Times New Roman"/>
                      <w:b w:val="0"/>
                      <w:bCs w:val="0"/>
                      <w:kern w:val="0"/>
                      <w:szCs w:val="21"/>
                      <w:highlight w:val="none"/>
                      <w:lang w:eastAsia="zh-CN"/>
                    </w:rPr>
                  </w:pPr>
                  <w:r>
                    <w:rPr>
                      <w:rFonts w:hint="default" w:ascii="Times New Roman" w:hAnsi="Times New Roman" w:eastAsia="Arial" w:cs="Times New Roman"/>
                      <w:b w:val="0"/>
                      <w:bCs w:val="0"/>
                      <w:kern w:val="0"/>
                      <w:szCs w:val="21"/>
                      <w:highlight w:val="none"/>
                      <w:lang w:bidi="ar"/>
                    </w:rPr>
                    <w:t>水利、水电、交通等：含穿越可溶岩地层隧道的项目</w:t>
                  </w:r>
                  <w:r>
                    <w:rPr>
                      <w:rFonts w:hint="eastAsia" w:eastAsia="宋体" w:cs="Times New Roman"/>
                      <w:b w:val="0"/>
                      <w:bCs w:val="0"/>
                      <w:kern w:val="0"/>
                      <w:szCs w:val="21"/>
                      <w:highlight w:val="none"/>
                      <w:lang w:eastAsia="zh-CN" w:bidi="ar"/>
                    </w:rPr>
                    <w:t>。</w:t>
                  </w:r>
                </w:p>
              </w:tc>
              <w:tc>
                <w:tcPr>
                  <w:tcW w:w="805" w:type="pct"/>
                  <w:noWrap w:val="0"/>
                  <w:vAlign w:val="center"/>
                </w:tcPr>
                <w:p w14:paraId="67C249D9">
                  <w:pPr>
                    <w:kinsoku w:val="0"/>
                    <w:autoSpaceDE w:val="0"/>
                    <w:autoSpaceDN w:val="0"/>
                    <w:adjustRightInd w:val="0"/>
                    <w:snapToGrid w:val="0"/>
                    <w:jc w:val="center"/>
                    <w:textAlignment w:val="baseline"/>
                    <w:rPr>
                      <w:rFonts w:hint="default" w:ascii="Times New Roman" w:hAnsi="Times New Roman" w:cs="Times New Roman"/>
                      <w:b w:val="0"/>
                      <w:bCs w:val="0"/>
                      <w:kern w:val="0"/>
                      <w:szCs w:val="21"/>
                      <w:highlight w:val="none"/>
                    </w:rPr>
                  </w:pPr>
                  <w:r>
                    <w:rPr>
                      <w:rFonts w:hint="default" w:ascii="Times New Roman" w:hAnsi="Times New Roman" w:eastAsia="Arial" w:cs="Times New Roman"/>
                      <w:b w:val="0"/>
                      <w:bCs w:val="0"/>
                      <w:kern w:val="0"/>
                      <w:szCs w:val="21"/>
                      <w:highlight w:val="none"/>
                      <w:lang w:bidi="ar"/>
                    </w:rPr>
                    <w:t>本项目不涉及</w:t>
                  </w:r>
                </w:p>
              </w:tc>
              <w:tc>
                <w:tcPr>
                  <w:tcW w:w="655" w:type="pct"/>
                  <w:noWrap w:val="0"/>
                  <w:vAlign w:val="center"/>
                </w:tcPr>
                <w:p w14:paraId="7BF13767">
                  <w:pPr>
                    <w:kinsoku w:val="0"/>
                    <w:autoSpaceDE w:val="0"/>
                    <w:autoSpaceDN w:val="0"/>
                    <w:adjustRightInd w:val="0"/>
                    <w:snapToGrid w:val="0"/>
                    <w:jc w:val="center"/>
                    <w:textAlignment w:val="baseline"/>
                    <w:rPr>
                      <w:rFonts w:hint="default" w:ascii="Times New Roman" w:hAnsi="Times New Roman" w:cs="Times New Roman"/>
                      <w:b w:val="0"/>
                      <w:bCs w:val="0"/>
                      <w:kern w:val="0"/>
                      <w:szCs w:val="21"/>
                      <w:highlight w:val="none"/>
                    </w:rPr>
                  </w:pPr>
                  <w:r>
                    <w:rPr>
                      <w:rFonts w:hint="default" w:ascii="Times New Roman" w:hAnsi="Times New Roman" w:eastAsia="Arial" w:cs="Times New Roman"/>
                      <w:b w:val="0"/>
                      <w:bCs w:val="0"/>
                      <w:kern w:val="0"/>
                      <w:szCs w:val="21"/>
                      <w:highlight w:val="none"/>
                      <w:lang w:bidi="ar"/>
                    </w:rPr>
                    <w:t>否</w:t>
                  </w:r>
                </w:p>
              </w:tc>
            </w:tr>
            <w:tr w14:paraId="5122F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7" w:hRule="atLeast"/>
                <w:jc w:val="center"/>
              </w:trPr>
              <w:tc>
                <w:tcPr>
                  <w:tcW w:w="695" w:type="pct"/>
                  <w:noWrap w:val="0"/>
                  <w:vAlign w:val="center"/>
                </w:tcPr>
                <w:p w14:paraId="4EA3F29C">
                  <w:pPr>
                    <w:kinsoku w:val="0"/>
                    <w:autoSpaceDE w:val="0"/>
                    <w:autoSpaceDN w:val="0"/>
                    <w:adjustRightInd w:val="0"/>
                    <w:snapToGrid w:val="0"/>
                    <w:jc w:val="center"/>
                    <w:textAlignment w:val="baseline"/>
                    <w:rPr>
                      <w:rFonts w:hint="default" w:ascii="Times New Roman" w:hAnsi="Times New Roman" w:cs="Times New Roman"/>
                      <w:b w:val="0"/>
                      <w:bCs w:val="0"/>
                      <w:kern w:val="0"/>
                      <w:szCs w:val="21"/>
                      <w:highlight w:val="none"/>
                    </w:rPr>
                  </w:pPr>
                  <w:r>
                    <w:rPr>
                      <w:rFonts w:hint="default" w:ascii="Times New Roman" w:hAnsi="Times New Roman" w:eastAsia="Arial" w:cs="Times New Roman"/>
                      <w:b w:val="0"/>
                      <w:bCs w:val="0"/>
                      <w:kern w:val="0"/>
                      <w:szCs w:val="21"/>
                      <w:highlight w:val="none"/>
                      <w:lang w:bidi="ar"/>
                    </w:rPr>
                    <w:t>生态</w:t>
                  </w:r>
                </w:p>
              </w:tc>
              <w:tc>
                <w:tcPr>
                  <w:tcW w:w="2842" w:type="pct"/>
                  <w:noWrap w:val="0"/>
                  <w:vAlign w:val="center"/>
                </w:tcPr>
                <w:p w14:paraId="065CB9DA">
                  <w:pPr>
                    <w:kinsoku w:val="0"/>
                    <w:autoSpaceDE w:val="0"/>
                    <w:autoSpaceDN w:val="0"/>
                    <w:adjustRightInd w:val="0"/>
                    <w:snapToGrid w:val="0"/>
                    <w:jc w:val="center"/>
                    <w:textAlignment w:val="baseline"/>
                    <w:rPr>
                      <w:rFonts w:hint="eastAsia" w:ascii="Times New Roman" w:hAnsi="Times New Roman" w:eastAsia="宋体" w:cs="Times New Roman"/>
                      <w:b w:val="0"/>
                      <w:bCs w:val="0"/>
                      <w:kern w:val="0"/>
                      <w:szCs w:val="21"/>
                      <w:highlight w:val="none"/>
                      <w:lang w:eastAsia="zh-CN"/>
                    </w:rPr>
                  </w:pPr>
                  <w:r>
                    <w:rPr>
                      <w:rFonts w:hint="default" w:ascii="Times New Roman" w:hAnsi="Times New Roman" w:eastAsia="Arial" w:cs="Times New Roman"/>
                      <w:b w:val="0"/>
                      <w:bCs w:val="0"/>
                      <w:kern w:val="0"/>
                      <w:szCs w:val="21"/>
                      <w:highlight w:val="none"/>
                      <w:lang w:bidi="ar"/>
                    </w:rPr>
                    <w:t>涉及环境敏感区（不包括饮用水水源保护区，以居住、医疗卫生、文化教育科研、行政办公为主要功能的区域，以及文物保护单位）的项目</w:t>
                  </w:r>
                  <w:r>
                    <w:rPr>
                      <w:rFonts w:hint="eastAsia" w:eastAsia="宋体" w:cs="Times New Roman"/>
                      <w:b w:val="0"/>
                      <w:bCs w:val="0"/>
                      <w:kern w:val="0"/>
                      <w:szCs w:val="21"/>
                      <w:highlight w:val="none"/>
                      <w:lang w:eastAsia="zh-CN" w:bidi="ar"/>
                    </w:rPr>
                    <w:t>。</w:t>
                  </w:r>
                </w:p>
              </w:tc>
              <w:tc>
                <w:tcPr>
                  <w:tcW w:w="805" w:type="pct"/>
                  <w:noWrap w:val="0"/>
                  <w:vAlign w:val="center"/>
                </w:tcPr>
                <w:p w14:paraId="6B2DF58C">
                  <w:pPr>
                    <w:kinsoku w:val="0"/>
                    <w:autoSpaceDE w:val="0"/>
                    <w:autoSpaceDN w:val="0"/>
                    <w:adjustRightInd w:val="0"/>
                    <w:snapToGrid w:val="0"/>
                    <w:jc w:val="center"/>
                    <w:textAlignment w:val="baseline"/>
                    <w:rPr>
                      <w:rFonts w:hint="default" w:ascii="Times New Roman" w:hAnsi="Times New Roman" w:cs="Times New Roman"/>
                      <w:b w:val="0"/>
                      <w:bCs w:val="0"/>
                      <w:kern w:val="0"/>
                      <w:szCs w:val="21"/>
                      <w:highlight w:val="none"/>
                    </w:rPr>
                  </w:pPr>
                  <w:r>
                    <w:rPr>
                      <w:rFonts w:hint="default" w:ascii="Times New Roman" w:hAnsi="Times New Roman" w:eastAsia="Arial" w:cs="Times New Roman"/>
                      <w:b w:val="0"/>
                      <w:bCs w:val="0"/>
                      <w:kern w:val="0"/>
                      <w:szCs w:val="21"/>
                      <w:highlight w:val="none"/>
                      <w:lang w:bidi="ar"/>
                    </w:rPr>
                    <w:t>本项目不涉及</w:t>
                  </w:r>
                </w:p>
              </w:tc>
              <w:tc>
                <w:tcPr>
                  <w:tcW w:w="655" w:type="pct"/>
                  <w:noWrap w:val="0"/>
                  <w:vAlign w:val="center"/>
                </w:tcPr>
                <w:p w14:paraId="267D1273">
                  <w:pPr>
                    <w:kinsoku w:val="0"/>
                    <w:autoSpaceDE w:val="0"/>
                    <w:autoSpaceDN w:val="0"/>
                    <w:adjustRightInd w:val="0"/>
                    <w:snapToGrid w:val="0"/>
                    <w:jc w:val="center"/>
                    <w:textAlignment w:val="baseline"/>
                    <w:rPr>
                      <w:rFonts w:hint="default" w:ascii="Times New Roman" w:hAnsi="Times New Roman" w:eastAsia="Arial" w:cs="Times New Roman"/>
                      <w:b w:val="0"/>
                      <w:bCs w:val="0"/>
                      <w:kern w:val="0"/>
                      <w:szCs w:val="21"/>
                      <w:highlight w:val="none"/>
                    </w:rPr>
                  </w:pPr>
                  <w:r>
                    <w:rPr>
                      <w:rFonts w:hint="default" w:ascii="Times New Roman" w:hAnsi="Times New Roman" w:eastAsia="Arial" w:cs="Times New Roman"/>
                      <w:b w:val="0"/>
                      <w:bCs w:val="0"/>
                      <w:kern w:val="0"/>
                      <w:szCs w:val="21"/>
                      <w:highlight w:val="none"/>
                      <w:lang w:bidi="ar"/>
                    </w:rPr>
                    <w:t>否</w:t>
                  </w:r>
                </w:p>
              </w:tc>
            </w:tr>
            <w:tr w14:paraId="1761C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7" w:hRule="atLeast"/>
                <w:jc w:val="center"/>
              </w:trPr>
              <w:tc>
                <w:tcPr>
                  <w:tcW w:w="695" w:type="pct"/>
                  <w:noWrap w:val="0"/>
                  <w:vAlign w:val="center"/>
                </w:tcPr>
                <w:p w14:paraId="6A609365">
                  <w:pPr>
                    <w:kinsoku w:val="0"/>
                    <w:autoSpaceDE w:val="0"/>
                    <w:autoSpaceDN w:val="0"/>
                    <w:adjustRightInd w:val="0"/>
                    <w:snapToGrid w:val="0"/>
                    <w:jc w:val="center"/>
                    <w:textAlignment w:val="baseline"/>
                    <w:rPr>
                      <w:rFonts w:hint="default" w:ascii="Times New Roman" w:hAnsi="Times New Roman" w:cs="Times New Roman"/>
                      <w:b w:val="0"/>
                      <w:bCs w:val="0"/>
                      <w:kern w:val="0"/>
                      <w:szCs w:val="21"/>
                      <w:highlight w:val="none"/>
                    </w:rPr>
                  </w:pPr>
                  <w:r>
                    <w:rPr>
                      <w:rFonts w:hint="default" w:ascii="Times New Roman" w:hAnsi="Times New Roman" w:cs="Times New Roman"/>
                      <w:b w:val="0"/>
                      <w:bCs w:val="0"/>
                      <w:kern w:val="0"/>
                      <w:szCs w:val="21"/>
                      <w:highlight w:val="none"/>
                    </w:rPr>
                    <w:t>大气</w:t>
                  </w:r>
                </w:p>
              </w:tc>
              <w:tc>
                <w:tcPr>
                  <w:tcW w:w="2842" w:type="pct"/>
                  <w:noWrap w:val="0"/>
                  <w:vAlign w:val="center"/>
                </w:tcPr>
                <w:p w14:paraId="003E93B5">
                  <w:pPr>
                    <w:kinsoku w:val="0"/>
                    <w:autoSpaceDE w:val="0"/>
                    <w:autoSpaceDN w:val="0"/>
                    <w:adjustRightInd w:val="0"/>
                    <w:snapToGrid w:val="0"/>
                    <w:jc w:val="center"/>
                    <w:textAlignment w:val="baseline"/>
                    <w:rPr>
                      <w:rFonts w:hint="default" w:ascii="Times New Roman" w:hAnsi="Times New Roman" w:cs="Times New Roman"/>
                      <w:b w:val="0"/>
                      <w:bCs w:val="0"/>
                      <w:kern w:val="0"/>
                      <w:szCs w:val="21"/>
                      <w:highlight w:val="none"/>
                    </w:rPr>
                  </w:pPr>
                  <w:r>
                    <w:rPr>
                      <w:rFonts w:hint="default" w:ascii="Times New Roman" w:hAnsi="Times New Roman" w:eastAsia="Arial" w:cs="Times New Roman"/>
                      <w:b w:val="0"/>
                      <w:bCs w:val="0"/>
                      <w:kern w:val="0"/>
                      <w:szCs w:val="21"/>
                      <w:highlight w:val="none"/>
                    </w:rPr>
                    <w:t>油气、液体化工码头</w:t>
                  </w:r>
                  <w:r>
                    <w:rPr>
                      <w:rFonts w:hint="default" w:ascii="Times New Roman" w:hAnsi="Times New Roman" w:cs="Times New Roman"/>
                      <w:b w:val="0"/>
                      <w:bCs w:val="0"/>
                      <w:kern w:val="0"/>
                      <w:szCs w:val="21"/>
                      <w:highlight w:val="none"/>
                    </w:rPr>
                    <w:t>：</w:t>
                  </w:r>
                  <w:r>
                    <w:rPr>
                      <w:rFonts w:hint="default" w:ascii="Times New Roman" w:hAnsi="Times New Roman" w:eastAsia="Arial" w:cs="Times New Roman"/>
                      <w:b w:val="0"/>
                      <w:bCs w:val="0"/>
                      <w:kern w:val="0"/>
                      <w:szCs w:val="21"/>
                      <w:highlight w:val="none"/>
                    </w:rPr>
                    <w:t>全部</w:t>
                  </w:r>
                  <w:r>
                    <w:rPr>
                      <w:rFonts w:hint="default" w:ascii="Times New Roman" w:hAnsi="Times New Roman" w:cs="Times New Roman"/>
                      <w:b w:val="0"/>
                      <w:bCs w:val="0"/>
                      <w:kern w:val="0"/>
                      <w:szCs w:val="21"/>
                      <w:highlight w:val="none"/>
                    </w:rPr>
                    <w:t>；</w:t>
                  </w:r>
                </w:p>
                <w:p w14:paraId="0CE0C462">
                  <w:pPr>
                    <w:kinsoku w:val="0"/>
                    <w:autoSpaceDE w:val="0"/>
                    <w:autoSpaceDN w:val="0"/>
                    <w:adjustRightInd w:val="0"/>
                    <w:snapToGrid w:val="0"/>
                    <w:jc w:val="center"/>
                    <w:textAlignment w:val="baseline"/>
                    <w:rPr>
                      <w:rFonts w:hint="eastAsia" w:ascii="Times New Roman" w:hAnsi="Times New Roman" w:eastAsia="宋体" w:cs="Times New Roman"/>
                      <w:b w:val="0"/>
                      <w:bCs w:val="0"/>
                      <w:kern w:val="0"/>
                      <w:szCs w:val="21"/>
                      <w:highlight w:val="none"/>
                      <w:lang w:eastAsia="zh-CN"/>
                    </w:rPr>
                  </w:pPr>
                  <w:r>
                    <w:rPr>
                      <w:rFonts w:hint="default" w:ascii="Times New Roman" w:hAnsi="Times New Roman" w:eastAsia="Arial" w:cs="Times New Roman"/>
                      <w:b w:val="0"/>
                      <w:bCs w:val="0"/>
                      <w:kern w:val="0"/>
                      <w:szCs w:val="21"/>
                      <w:highlight w:val="none"/>
                    </w:rPr>
                    <w:t>干散货</w:t>
                  </w:r>
                  <w:r>
                    <w:rPr>
                      <w:rFonts w:hint="default" w:ascii="Times New Roman" w:hAnsi="Times New Roman" w:cs="Times New Roman"/>
                      <w:b w:val="0"/>
                      <w:bCs w:val="0"/>
                      <w:kern w:val="0"/>
                      <w:szCs w:val="21"/>
                      <w:highlight w:val="none"/>
                    </w:rPr>
                    <w:t>（</w:t>
                  </w:r>
                  <w:r>
                    <w:rPr>
                      <w:rFonts w:hint="default" w:ascii="Times New Roman" w:hAnsi="Times New Roman" w:eastAsia="Arial" w:cs="Times New Roman"/>
                      <w:b w:val="0"/>
                      <w:bCs w:val="0"/>
                      <w:kern w:val="0"/>
                      <w:szCs w:val="21"/>
                      <w:highlight w:val="none"/>
                    </w:rPr>
                    <w:t>含煤炭、矿石</w:t>
                  </w:r>
                  <w:r>
                    <w:rPr>
                      <w:rFonts w:hint="default" w:ascii="Times New Roman" w:hAnsi="Times New Roman" w:cs="Times New Roman"/>
                      <w:b w:val="0"/>
                      <w:bCs w:val="0"/>
                      <w:kern w:val="0"/>
                      <w:szCs w:val="21"/>
                      <w:highlight w:val="none"/>
                    </w:rPr>
                    <w:t>）</w:t>
                  </w:r>
                  <w:r>
                    <w:rPr>
                      <w:rFonts w:hint="default" w:ascii="Times New Roman" w:hAnsi="Times New Roman" w:eastAsia="Arial" w:cs="Times New Roman"/>
                      <w:b w:val="0"/>
                      <w:bCs w:val="0"/>
                      <w:kern w:val="0"/>
                      <w:szCs w:val="21"/>
                      <w:highlight w:val="none"/>
                    </w:rPr>
                    <w:t>、件杂、多用途、通用码头</w:t>
                  </w:r>
                  <w:r>
                    <w:rPr>
                      <w:rFonts w:hint="default" w:ascii="Times New Roman" w:hAnsi="Times New Roman" w:cs="Times New Roman"/>
                      <w:b w:val="0"/>
                      <w:bCs w:val="0"/>
                      <w:kern w:val="0"/>
                      <w:szCs w:val="21"/>
                      <w:highlight w:val="none"/>
                    </w:rPr>
                    <w:t>：</w:t>
                  </w:r>
                  <w:r>
                    <w:rPr>
                      <w:rFonts w:hint="default" w:ascii="Times New Roman" w:hAnsi="Times New Roman" w:eastAsia="Arial" w:cs="Times New Roman"/>
                      <w:b w:val="0"/>
                      <w:bCs w:val="0"/>
                      <w:kern w:val="0"/>
                      <w:szCs w:val="21"/>
                      <w:highlight w:val="none"/>
                    </w:rPr>
                    <w:t>涉及粉尘、挥发性有机物排放的项目</w:t>
                  </w:r>
                  <w:r>
                    <w:rPr>
                      <w:rFonts w:hint="eastAsia" w:eastAsia="宋体" w:cs="Times New Roman"/>
                      <w:b w:val="0"/>
                      <w:bCs w:val="0"/>
                      <w:kern w:val="0"/>
                      <w:szCs w:val="21"/>
                      <w:highlight w:val="none"/>
                      <w:lang w:eastAsia="zh-CN"/>
                    </w:rPr>
                    <w:t>。</w:t>
                  </w:r>
                </w:p>
              </w:tc>
              <w:tc>
                <w:tcPr>
                  <w:tcW w:w="805" w:type="pct"/>
                  <w:noWrap w:val="0"/>
                  <w:vAlign w:val="center"/>
                </w:tcPr>
                <w:p w14:paraId="5A1F8B3F">
                  <w:pPr>
                    <w:kinsoku w:val="0"/>
                    <w:autoSpaceDE w:val="0"/>
                    <w:autoSpaceDN w:val="0"/>
                    <w:adjustRightInd w:val="0"/>
                    <w:snapToGrid w:val="0"/>
                    <w:jc w:val="center"/>
                    <w:textAlignment w:val="baseline"/>
                    <w:rPr>
                      <w:rFonts w:hint="default" w:ascii="Times New Roman" w:hAnsi="Times New Roman" w:cs="Times New Roman"/>
                      <w:b w:val="0"/>
                      <w:bCs w:val="0"/>
                      <w:kern w:val="0"/>
                      <w:szCs w:val="21"/>
                      <w:highlight w:val="none"/>
                    </w:rPr>
                  </w:pPr>
                  <w:r>
                    <w:rPr>
                      <w:rFonts w:hint="default" w:ascii="Times New Roman" w:hAnsi="Times New Roman" w:eastAsia="Arial" w:cs="Times New Roman"/>
                      <w:b w:val="0"/>
                      <w:bCs w:val="0"/>
                      <w:kern w:val="0"/>
                      <w:szCs w:val="21"/>
                      <w:highlight w:val="none"/>
                      <w:lang w:bidi="ar"/>
                    </w:rPr>
                    <w:t>本项目不涉及</w:t>
                  </w:r>
                </w:p>
              </w:tc>
              <w:tc>
                <w:tcPr>
                  <w:tcW w:w="655" w:type="pct"/>
                  <w:noWrap w:val="0"/>
                  <w:vAlign w:val="center"/>
                </w:tcPr>
                <w:p w14:paraId="165AB232">
                  <w:pPr>
                    <w:kinsoku w:val="0"/>
                    <w:autoSpaceDE w:val="0"/>
                    <w:autoSpaceDN w:val="0"/>
                    <w:adjustRightInd w:val="0"/>
                    <w:snapToGrid w:val="0"/>
                    <w:jc w:val="center"/>
                    <w:textAlignment w:val="baseline"/>
                    <w:rPr>
                      <w:rFonts w:hint="default" w:ascii="Times New Roman" w:hAnsi="Times New Roman" w:eastAsia="Arial" w:cs="Times New Roman"/>
                      <w:b w:val="0"/>
                      <w:bCs w:val="0"/>
                      <w:kern w:val="0"/>
                      <w:szCs w:val="21"/>
                      <w:highlight w:val="none"/>
                    </w:rPr>
                  </w:pPr>
                  <w:r>
                    <w:rPr>
                      <w:rFonts w:hint="default" w:ascii="Times New Roman" w:hAnsi="Times New Roman" w:eastAsia="Arial" w:cs="Times New Roman"/>
                      <w:b w:val="0"/>
                      <w:bCs w:val="0"/>
                      <w:kern w:val="0"/>
                      <w:szCs w:val="21"/>
                      <w:highlight w:val="none"/>
                      <w:lang w:bidi="ar"/>
                    </w:rPr>
                    <w:t>否</w:t>
                  </w:r>
                </w:p>
              </w:tc>
            </w:tr>
            <w:tr w14:paraId="1C3A4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jc w:val="center"/>
              </w:trPr>
              <w:tc>
                <w:tcPr>
                  <w:tcW w:w="695" w:type="pct"/>
                  <w:noWrap w:val="0"/>
                  <w:vAlign w:val="center"/>
                </w:tcPr>
                <w:p w14:paraId="2A9EFAA4">
                  <w:pPr>
                    <w:kinsoku w:val="0"/>
                    <w:autoSpaceDE w:val="0"/>
                    <w:autoSpaceDN w:val="0"/>
                    <w:adjustRightInd w:val="0"/>
                    <w:snapToGrid w:val="0"/>
                    <w:jc w:val="center"/>
                    <w:textAlignment w:val="baseline"/>
                    <w:rPr>
                      <w:rFonts w:hint="default" w:ascii="Times New Roman" w:hAnsi="Times New Roman" w:cs="Times New Roman"/>
                      <w:b w:val="0"/>
                      <w:bCs w:val="0"/>
                      <w:kern w:val="0"/>
                      <w:szCs w:val="21"/>
                      <w:highlight w:val="none"/>
                    </w:rPr>
                  </w:pPr>
                  <w:r>
                    <w:rPr>
                      <w:rFonts w:hint="default" w:ascii="Times New Roman" w:hAnsi="Times New Roman" w:eastAsia="Arial" w:cs="Times New Roman"/>
                      <w:b w:val="0"/>
                      <w:bCs w:val="0"/>
                      <w:kern w:val="0"/>
                      <w:szCs w:val="21"/>
                      <w:highlight w:val="none"/>
                      <w:lang w:bidi="ar"/>
                    </w:rPr>
                    <w:t>噪声</w:t>
                  </w:r>
                </w:p>
              </w:tc>
              <w:tc>
                <w:tcPr>
                  <w:tcW w:w="2842" w:type="pct"/>
                  <w:noWrap w:val="0"/>
                  <w:vAlign w:val="center"/>
                </w:tcPr>
                <w:p w14:paraId="01FBDAC6">
                  <w:pPr>
                    <w:kinsoku w:val="0"/>
                    <w:autoSpaceDE w:val="0"/>
                    <w:autoSpaceDN w:val="0"/>
                    <w:adjustRightInd w:val="0"/>
                    <w:snapToGrid w:val="0"/>
                    <w:jc w:val="center"/>
                    <w:textAlignment w:val="baseline"/>
                    <w:rPr>
                      <w:rFonts w:hint="default" w:ascii="Times New Roman" w:hAnsi="Times New Roman" w:cs="Times New Roman"/>
                      <w:b w:val="0"/>
                      <w:bCs w:val="0"/>
                      <w:kern w:val="0"/>
                      <w:szCs w:val="21"/>
                      <w:highlight w:val="none"/>
                    </w:rPr>
                  </w:pPr>
                  <w:r>
                    <w:rPr>
                      <w:rFonts w:hint="default" w:ascii="Times New Roman" w:hAnsi="Times New Roman" w:eastAsia="Arial" w:cs="Times New Roman"/>
                      <w:b w:val="0"/>
                      <w:bCs w:val="0"/>
                      <w:kern w:val="0"/>
                      <w:szCs w:val="21"/>
                      <w:highlight w:val="none"/>
                    </w:rPr>
                    <w:t>公路、铁路、机场等交通运输业涉及环境敏感区</w:t>
                  </w:r>
                  <w:r>
                    <w:rPr>
                      <w:rFonts w:hint="default" w:ascii="Times New Roman" w:hAnsi="Times New Roman" w:cs="Times New Roman"/>
                      <w:b w:val="0"/>
                      <w:bCs w:val="0"/>
                      <w:kern w:val="0"/>
                      <w:szCs w:val="21"/>
                      <w:highlight w:val="none"/>
                    </w:rPr>
                    <w:t>（</w:t>
                  </w:r>
                  <w:r>
                    <w:rPr>
                      <w:rFonts w:hint="default" w:ascii="Times New Roman" w:hAnsi="Times New Roman" w:eastAsia="Arial" w:cs="Times New Roman"/>
                      <w:b w:val="0"/>
                      <w:bCs w:val="0"/>
                      <w:kern w:val="0"/>
                      <w:szCs w:val="21"/>
                      <w:highlight w:val="none"/>
                    </w:rPr>
                    <w:t>以居住、医疗卫生、文化教育、科研、行政办公为主要功能的区域</w:t>
                  </w:r>
                  <w:r>
                    <w:rPr>
                      <w:rFonts w:hint="default" w:ascii="Times New Roman" w:hAnsi="Times New Roman" w:cs="Times New Roman"/>
                      <w:b w:val="0"/>
                      <w:bCs w:val="0"/>
                      <w:kern w:val="0"/>
                      <w:szCs w:val="21"/>
                      <w:highlight w:val="none"/>
                    </w:rPr>
                    <w:t>）</w:t>
                  </w:r>
                  <w:r>
                    <w:rPr>
                      <w:rFonts w:hint="default" w:ascii="Times New Roman" w:hAnsi="Times New Roman" w:eastAsia="Arial" w:cs="Times New Roman"/>
                      <w:b w:val="0"/>
                      <w:bCs w:val="0"/>
                      <w:kern w:val="0"/>
                      <w:szCs w:val="21"/>
                      <w:highlight w:val="none"/>
                    </w:rPr>
                    <w:t>的项目</w:t>
                  </w:r>
                  <w:r>
                    <w:rPr>
                      <w:rFonts w:hint="default" w:ascii="Times New Roman" w:hAnsi="Times New Roman" w:cs="Times New Roman"/>
                      <w:b w:val="0"/>
                      <w:bCs w:val="0"/>
                      <w:kern w:val="0"/>
                      <w:szCs w:val="21"/>
                      <w:highlight w:val="none"/>
                    </w:rPr>
                    <w:t>；</w:t>
                  </w:r>
                </w:p>
                <w:p w14:paraId="2EB747C0">
                  <w:pPr>
                    <w:kinsoku w:val="0"/>
                    <w:autoSpaceDE w:val="0"/>
                    <w:autoSpaceDN w:val="0"/>
                    <w:adjustRightInd w:val="0"/>
                    <w:snapToGrid w:val="0"/>
                    <w:jc w:val="center"/>
                    <w:textAlignment w:val="baseline"/>
                    <w:rPr>
                      <w:rFonts w:hint="eastAsia" w:ascii="Times New Roman" w:hAnsi="Times New Roman" w:eastAsia="宋体" w:cs="Times New Roman"/>
                      <w:b w:val="0"/>
                      <w:bCs w:val="0"/>
                      <w:kern w:val="0"/>
                      <w:szCs w:val="21"/>
                      <w:highlight w:val="none"/>
                      <w:lang w:eastAsia="zh-CN"/>
                    </w:rPr>
                  </w:pPr>
                  <w:r>
                    <w:rPr>
                      <w:rFonts w:hint="default" w:ascii="Times New Roman" w:hAnsi="Times New Roman" w:eastAsia="Arial" w:cs="Times New Roman"/>
                      <w:b w:val="0"/>
                      <w:bCs w:val="0"/>
                      <w:kern w:val="0"/>
                      <w:szCs w:val="21"/>
                      <w:highlight w:val="none"/>
                    </w:rPr>
                    <w:t>城市道路</w:t>
                  </w:r>
                  <w:r>
                    <w:rPr>
                      <w:rFonts w:hint="eastAsia" w:eastAsia="宋体" w:cs="Times New Roman"/>
                      <w:b w:val="0"/>
                      <w:bCs w:val="0"/>
                      <w:kern w:val="0"/>
                      <w:szCs w:val="21"/>
                      <w:highlight w:val="none"/>
                      <w:lang w:eastAsia="zh-CN"/>
                    </w:rPr>
                    <w:t>（</w:t>
                  </w:r>
                  <w:r>
                    <w:rPr>
                      <w:rFonts w:hint="default" w:ascii="Times New Roman" w:hAnsi="Times New Roman" w:eastAsia="Arial" w:cs="Times New Roman"/>
                      <w:b w:val="0"/>
                      <w:bCs w:val="0"/>
                      <w:kern w:val="0"/>
                      <w:szCs w:val="21"/>
                      <w:highlight w:val="none"/>
                    </w:rPr>
                    <w:t>不含维护，不含支路、人行天桥、人行地道</w:t>
                  </w:r>
                  <w:r>
                    <w:rPr>
                      <w:rFonts w:hint="eastAsia" w:eastAsia="宋体" w:cs="Times New Roman"/>
                      <w:b w:val="0"/>
                      <w:bCs w:val="0"/>
                      <w:kern w:val="0"/>
                      <w:szCs w:val="21"/>
                      <w:highlight w:val="none"/>
                      <w:lang w:eastAsia="zh-CN"/>
                    </w:rPr>
                    <w:t>）</w:t>
                  </w:r>
                  <w:r>
                    <w:rPr>
                      <w:rFonts w:hint="default" w:ascii="Times New Roman" w:hAnsi="Times New Roman" w:cs="Times New Roman"/>
                      <w:b w:val="0"/>
                      <w:bCs w:val="0"/>
                      <w:kern w:val="0"/>
                      <w:szCs w:val="21"/>
                      <w:highlight w:val="none"/>
                    </w:rPr>
                    <w:t>：</w:t>
                  </w:r>
                  <w:r>
                    <w:rPr>
                      <w:rFonts w:hint="default" w:ascii="Times New Roman" w:hAnsi="Times New Roman" w:eastAsia="Arial" w:cs="Times New Roman"/>
                      <w:b w:val="0"/>
                      <w:bCs w:val="0"/>
                      <w:kern w:val="0"/>
                      <w:szCs w:val="21"/>
                      <w:highlight w:val="none"/>
                    </w:rPr>
                    <w:t>全部</w:t>
                  </w:r>
                  <w:r>
                    <w:rPr>
                      <w:rFonts w:hint="eastAsia" w:eastAsia="宋体" w:cs="Times New Roman"/>
                      <w:b w:val="0"/>
                      <w:bCs w:val="0"/>
                      <w:kern w:val="0"/>
                      <w:szCs w:val="21"/>
                      <w:highlight w:val="none"/>
                      <w:lang w:eastAsia="zh-CN"/>
                    </w:rPr>
                    <w:t>。</w:t>
                  </w:r>
                </w:p>
              </w:tc>
              <w:tc>
                <w:tcPr>
                  <w:tcW w:w="805" w:type="pct"/>
                  <w:noWrap w:val="0"/>
                  <w:vAlign w:val="center"/>
                </w:tcPr>
                <w:p w14:paraId="4169D265">
                  <w:pPr>
                    <w:kinsoku w:val="0"/>
                    <w:autoSpaceDE w:val="0"/>
                    <w:autoSpaceDN w:val="0"/>
                    <w:adjustRightInd w:val="0"/>
                    <w:snapToGrid w:val="0"/>
                    <w:jc w:val="center"/>
                    <w:textAlignment w:val="baseline"/>
                    <w:rPr>
                      <w:rFonts w:hint="default" w:ascii="Times New Roman" w:hAnsi="Times New Roman" w:eastAsia="Arial" w:cs="Times New Roman"/>
                      <w:b w:val="0"/>
                      <w:bCs w:val="0"/>
                      <w:kern w:val="0"/>
                      <w:szCs w:val="21"/>
                      <w:highlight w:val="none"/>
                    </w:rPr>
                  </w:pPr>
                  <w:r>
                    <w:rPr>
                      <w:rFonts w:hint="default" w:ascii="Times New Roman" w:hAnsi="Times New Roman" w:eastAsia="Arial" w:cs="Times New Roman"/>
                      <w:b w:val="0"/>
                      <w:bCs w:val="0"/>
                      <w:kern w:val="0"/>
                      <w:szCs w:val="21"/>
                      <w:highlight w:val="none"/>
                      <w:lang w:bidi="ar"/>
                    </w:rPr>
                    <w:t>本项目不涉及</w:t>
                  </w:r>
                </w:p>
              </w:tc>
              <w:tc>
                <w:tcPr>
                  <w:tcW w:w="655" w:type="pct"/>
                  <w:noWrap w:val="0"/>
                  <w:vAlign w:val="center"/>
                </w:tcPr>
                <w:p w14:paraId="59422A63">
                  <w:pPr>
                    <w:kinsoku w:val="0"/>
                    <w:autoSpaceDE w:val="0"/>
                    <w:autoSpaceDN w:val="0"/>
                    <w:adjustRightInd w:val="0"/>
                    <w:snapToGrid w:val="0"/>
                    <w:jc w:val="center"/>
                    <w:textAlignment w:val="baseline"/>
                    <w:rPr>
                      <w:rFonts w:hint="default" w:ascii="Times New Roman" w:hAnsi="Times New Roman" w:eastAsia="Arial" w:cs="Times New Roman"/>
                      <w:b w:val="0"/>
                      <w:bCs w:val="0"/>
                      <w:kern w:val="0"/>
                      <w:szCs w:val="21"/>
                      <w:highlight w:val="none"/>
                    </w:rPr>
                  </w:pPr>
                  <w:r>
                    <w:rPr>
                      <w:rFonts w:hint="default" w:ascii="Times New Roman" w:hAnsi="Times New Roman" w:eastAsia="Arial" w:cs="Times New Roman"/>
                      <w:b w:val="0"/>
                      <w:bCs w:val="0"/>
                      <w:kern w:val="0"/>
                      <w:szCs w:val="21"/>
                      <w:highlight w:val="none"/>
                      <w:lang w:bidi="ar"/>
                    </w:rPr>
                    <w:t>否</w:t>
                  </w:r>
                </w:p>
              </w:tc>
            </w:tr>
            <w:tr w14:paraId="4FE1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2" w:hRule="atLeast"/>
                <w:jc w:val="center"/>
              </w:trPr>
              <w:tc>
                <w:tcPr>
                  <w:tcW w:w="695" w:type="pct"/>
                  <w:noWrap w:val="0"/>
                  <w:vAlign w:val="center"/>
                </w:tcPr>
                <w:p w14:paraId="3971C4CA">
                  <w:pPr>
                    <w:kinsoku w:val="0"/>
                    <w:autoSpaceDE w:val="0"/>
                    <w:autoSpaceDN w:val="0"/>
                    <w:adjustRightInd w:val="0"/>
                    <w:snapToGrid w:val="0"/>
                    <w:jc w:val="center"/>
                    <w:textAlignment w:val="baseline"/>
                    <w:rPr>
                      <w:rFonts w:hint="default" w:ascii="Times New Roman" w:hAnsi="Times New Roman" w:eastAsia="Arial" w:cs="Times New Roman"/>
                      <w:b w:val="0"/>
                      <w:bCs w:val="0"/>
                      <w:kern w:val="0"/>
                      <w:szCs w:val="21"/>
                      <w:highlight w:val="none"/>
                      <w:lang w:bidi="ar"/>
                    </w:rPr>
                  </w:pPr>
                  <w:r>
                    <w:rPr>
                      <w:rFonts w:hint="default" w:ascii="Times New Roman" w:hAnsi="Times New Roman" w:eastAsia="Arial" w:cs="Times New Roman"/>
                      <w:b w:val="0"/>
                      <w:bCs w:val="0"/>
                      <w:kern w:val="0"/>
                      <w:szCs w:val="21"/>
                      <w:highlight w:val="none"/>
                      <w:lang w:bidi="ar"/>
                    </w:rPr>
                    <w:t>环境风险</w:t>
                  </w:r>
                </w:p>
              </w:tc>
              <w:tc>
                <w:tcPr>
                  <w:tcW w:w="2842" w:type="pct"/>
                  <w:noWrap w:val="0"/>
                  <w:vAlign w:val="center"/>
                </w:tcPr>
                <w:p w14:paraId="168DF929">
                  <w:pPr>
                    <w:kinsoku w:val="0"/>
                    <w:autoSpaceDE w:val="0"/>
                    <w:autoSpaceDN w:val="0"/>
                    <w:adjustRightInd w:val="0"/>
                    <w:snapToGrid w:val="0"/>
                    <w:jc w:val="center"/>
                    <w:textAlignment w:val="baseline"/>
                    <w:rPr>
                      <w:rFonts w:hint="default" w:ascii="Times New Roman" w:hAnsi="Times New Roman" w:eastAsia="Arial" w:cs="Times New Roman"/>
                      <w:b w:val="0"/>
                      <w:bCs w:val="0"/>
                      <w:kern w:val="0"/>
                      <w:szCs w:val="21"/>
                      <w:highlight w:val="none"/>
                      <w:lang w:bidi="ar"/>
                    </w:rPr>
                  </w:pPr>
                  <w:r>
                    <w:rPr>
                      <w:rFonts w:hint="default" w:ascii="Times New Roman" w:hAnsi="Times New Roman" w:eastAsia="Arial" w:cs="Times New Roman"/>
                      <w:b w:val="0"/>
                      <w:bCs w:val="0"/>
                      <w:kern w:val="0"/>
                      <w:szCs w:val="21"/>
                      <w:highlight w:val="none"/>
                      <w:lang w:bidi="ar"/>
                    </w:rPr>
                    <w:t>石油</w:t>
                  </w:r>
                  <w:r>
                    <w:rPr>
                      <w:rFonts w:hint="eastAsia" w:eastAsia="宋体" w:cs="Times New Roman"/>
                      <w:b w:val="0"/>
                      <w:bCs w:val="0"/>
                      <w:kern w:val="0"/>
                      <w:szCs w:val="21"/>
                      <w:highlight w:val="none"/>
                      <w:lang w:eastAsia="zh-CN" w:bidi="ar"/>
                    </w:rPr>
                    <w:t>及</w:t>
                  </w:r>
                  <w:r>
                    <w:rPr>
                      <w:rFonts w:hint="default" w:ascii="Times New Roman" w:hAnsi="Times New Roman" w:eastAsia="Arial" w:cs="Times New Roman"/>
                      <w:b w:val="0"/>
                      <w:bCs w:val="0"/>
                      <w:kern w:val="0"/>
                      <w:szCs w:val="21"/>
                      <w:highlight w:val="none"/>
                      <w:lang w:bidi="ar"/>
                    </w:rPr>
                    <w:t>天然气开采：全部；</w:t>
                  </w:r>
                </w:p>
                <w:p w14:paraId="7775F59A">
                  <w:pPr>
                    <w:kinsoku w:val="0"/>
                    <w:autoSpaceDE w:val="0"/>
                    <w:autoSpaceDN w:val="0"/>
                    <w:adjustRightInd w:val="0"/>
                    <w:snapToGrid w:val="0"/>
                    <w:jc w:val="center"/>
                    <w:textAlignment w:val="baseline"/>
                    <w:rPr>
                      <w:rFonts w:hint="default" w:ascii="Times New Roman" w:hAnsi="Times New Roman" w:eastAsia="Arial" w:cs="Times New Roman"/>
                      <w:b w:val="0"/>
                      <w:bCs w:val="0"/>
                      <w:kern w:val="0"/>
                      <w:szCs w:val="21"/>
                      <w:highlight w:val="none"/>
                      <w:lang w:bidi="ar"/>
                    </w:rPr>
                  </w:pPr>
                  <w:r>
                    <w:rPr>
                      <w:rFonts w:hint="default" w:ascii="Times New Roman" w:hAnsi="Times New Roman" w:eastAsia="Arial" w:cs="Times New Roman"/>
                      <w:b w:val="0"/>
                      <w:bCs w:val="0"/>
                      <w:kern w:val="0"/>
                      <w:szCs w:val="21"/>
                      <w:highlight w:val="none"/>
                      <w:lang w:bidi="ar"/>
                    </w:rPr>
                    <w:t>油气、液体化工码头：全部；</w:t>
                  </w:r>
                </w:p>
                <w:p w14:paraId="7E4FAAB7">
                  <w:pPr>
                    <w:kinsoku w:val="0"/>
                    <w:autoSpaceDE w:val="0"/>
                    <w:autoSpaceDN w:val="0"/>
                    <w:adjustRightInd w:val="0"/>
                    <w:snapToGrid w:val="0"/>
                    <w:jc w:val="center"/>
                    <w:textAlignment w:val="baseline"/>
                    <w:rPr>
                      <w:rFonts w:hint="eastAsia" w:ascii="Times New Roman" w:hAnsi="Times New Roman" w:eastAsia="宋体" w:cs="Times New Roman"/>
                      <w:b w:val="0"/>
                      <w:bCs w:val="0"/>
                      <w:kern w:val="0"/>
                      <w:szCs w:val="21"/>
                      <w:highlight w:val="none"/>
                      <w:lang w:eastAsia="zh-CN" w:bidi="ar"/>
                    </w:rPr>
                  </w:pPr>
                  <w:r>
                    <w:rPr>
                      <w:rFonts w:hint="default" w:ascii="Times New Roman" w:hAnsi="Times New Roman" w:eastAsia="Arial" w:cs="Times New Roman"/>
                      <w:b w:val="0"/>
                      <w:bCs w:val="0"/>
                      <w:kern w:val="0"/>
                      <w:szCs w:val="21"/>
                      <w:highlight w:val="none"/>
                      <w:lang w:bidi="ar"/>
                    </w:rPr>
                    <w:t>原油、成品油、天然气管线</w:t>
                  </w:r>
                  <w:r>
                    <w:rPr>
                      <w:rFonts w:hint="eastAsia" w:eastAsia="宋体" w:cs="Times New Roman"/>
                      <w:b w:val="0"/>
                      <w:bCs w:val="0"/>
                      <w:kern w:val="0"/>
                      <w:szCs w:val="21"/>
                      <w:highlight w:val="none"/>
                      <w:lang w:eastAsia="zh-CN" w:bidi="ar"/>
                    </w:rPr>
                    <w:t>（</w:t>
                  </w:r>
                  <w:r>
                    <w:rPr>
                      <w:rFonts w:hint="default" w:ascii="Times New Roman" w:hAnsi="Times New Roman" w:eastAsia="Arial" w:cs="Times New Roman"/>
                      <w:b w:val="0"/>
                      <w:bCs w:val="0"/>
                      <w:kern w:val="0"/>
                      <w:szCs w:val="21"/>
                      <w:highlight w:val="none"/>
                      <w:lang w:bidi="ar"/>
                    </w:rPr>
                    <w:t>不含城镇天然气管线、企业厂区内管线</w:t>
                  </w:r>
                  <w:r>
                    <w:rPr>
                      <w:rFonts w:hint="eastAsia" w:eastAsia="宋体" w:cs="Times New Roman"/>
                      <w:b w:val="0"/>
                      <w:bCs w:val="0"/>
                      <w:kern w:val="0"/>
                      <w:szCs w:val="21"/>
                      <w:highlight w:val="none"/>
                      <w:lang w:eastAsia="zh-CN" w:bidi="ar"/>
                    </w:rPr>
                    <w:t>）</w:t>
                  </w:r>
                  <w:r>
                    <w:rPr>
                      <w:rFonts w:hint="default" w:ascii="Times New Roman" w:hAnsi="Times New Roman" w:eastAsia="Arial" w:cs="Times New Roman"/>
                      <w:b w:val="0"/>
                      <w:bCs w:val="0"/>
                      <w:kern w:val="0"/>
                      <w:szCs w:val="21"/>
                      <w:highlight w:val="none"/>
                      <w:lang w:bidi="ar"/>
                    </w:rPr>
                    <w:t>，危险化学品输送管线</w:t>
                  </w:r>
                  <w:r>
                    <w:rPr>
                      <w:rFonts w:hint="eastAsia" w:eastAsia="宋体" w:cs="Times New Roman"/>
                      <w:b w:val="0"/>
                      <w:bCs w:val="0"/>
                      <w:kern w:val="0"/>
                      <w:szCs w:val="21"/>
                      <w:highlight w:val="none"/>
                      <w:lang w:eastAsia="zh-CN" w:bidi="ar"/>
                    </w:rPr>
                    <w:t>（</w:t>
                  </w:r>
                  <w:r>
                    <w:rPr>
                      <w:rFonts w:hint="default" w:ascii="Times New Roman" w:hAnsi="Times New Roman" w:eastAsia="Arial" w:cs="Times New Roman"/>
                      <w:b w:val="0"/>
                      <w:bCs w:val="0"/>
                      <w:kern w:val="0"/>
                      <w:szCs w:val="21"/>
                      <w:highlight w:val="none"/>
                      <w:lang w:bidi="ar"/>
                    </w:rPr>
                    <w:t>不含企业厂区内管线</w:t>
                  </w:r>
                  <w:r>
                    <w:rPr>
                      <w:rFonts w:hint="eastAsia" w:eastAsia="宋体" w:cs="Times New Roman"/>
                      <w:b w:val="0"/>
                      <w:bCs w:val="0"/>
                      <w:kern w:val="0"/>
                      <w:szCs w:val="21"/>
                      <w:highlight w:val="none"/>
                      <w:lang w:eastAsia="zh-CN" w:bidi="ar"/>
                    </w:rPr>
                    <w:t>）</w:t>
                  </w:r>
                  <w:r>
                    <w:rPr>
                      <w:rFonts w:hint="default" w:ascii="Times New Roman" w:hAnsi="Times New Roman" w:eastAsia="Arial" w:cs="Times New Roman"/>
                      <w:b w:val="0"/>
                      <w:bCs w:val="0"/>
                      <w:kern w:val="0"/>
                      <w:szCs w:val="21"/>
                      <w:highlight w:val="none"/>
                      <w:lang w:bidi="ar"/>
                    </w:rPr>
                    <w:t>：全部</w:t>
                  </w:r>
                  <w:r>
                    <w:rPr>
                      <w:rFonts w:hint="eastAsia" w:eastAsia="宋体" w:cs="Times New Roman"/>
                      <w:b w:val="0"/>
                      <w:bCs w:val="0"/>
                      <w:kern w:val="0"/>
                      <w:szCs w:val="21"/>
                      <w:highlight w:val="none"/>
                      <w:lang w:eastAsia="zh-CN" w:bidi="ar"/>
                    </w:rPr>
                    <w:t>。</w:t>
                  </w:r>
                </w:p>
              </w:tc>
              <w:tc>
                <w:tcPr>
                  <w:tcW w:w="805" w:type="pct"/>
                  <w:noWrap w:val="0"/>
                  <w:vAlign w:val="center"/>
                </w:tcPr>
                <w:p w14:paraId="73DFDEF5">
                  <w:pPr>
                    <w:kinsoku w:val="0"/>
                    <w:autoSpaceDE w:val="0"/>
                    <w:autoSpaceDN w:val="0"/>
                    <w:adjustRightInd w:val="0"/>
                    <w:snapToGrid w:val="0"/>
                    <w:jc w:val="center"/>
                    <w:textAlignment w:val="baseline"/>
                    <w:rPr>
                      <w:rFonts w:hint="default" w:ascii="Times New Roman" w:hAnsi="Times New Roman" w:eastAsia="Arial" w:cs="Times New Roman"/>
                      <w:b w:val="0"/>
                      <w:bCs w:val="0"/>
                      <w:kern w:val="0"/>
                      <w:szCs w:val="21"/>
                      <w:highlight w:val="none"/>
                      <w:lang w:bidi="ar"/>
                    </w:rPr>
                  </w:pPr>
                  <w:r>
                    <w:rPr>
                      <w:rFonts w:hint="default" w:ascii="Times New Roman" w:hAnsi="Times New Roman" w:cs="Times New Roman"/>
                      <w:b w:val="0"/>
                      <w:bCs w:val="0"/>
                      <w:kern w:val="0"/>
                      <w:szCs w:val="21"/>
                      <w:highlight w:val="none"/>
                      <w:lang w:val="en-US" w:eastAsia="zh-CN" w:bidi="ar"/>
                    </w:rPr>
                    <w:t>本项目</w:t>
                  </w:r>
                  <w:r>
                    <w:rPr>
                      <w:rFonts w:hint="default" w:ascii="Times New Roman" w:hAnsi="Times New Roman" w:eastAsia="宋体" w:cs="Times New Roman"/>
                      <w:b w:val="0"/>
                      <w:bCs w:val="0"/>
                      <w:kern w:val="0"/>
                      <w:szCs w:val="21"/>
                      <w:highlight w:val="none"/>
                      <w:lang w:val="en-US" w:eastAsia="zh-CN" w:bidi="ar"/>
                    </w:rPr>
                    <w:t>WTR甲烷气</w:t>
                  </w:r>
                  <w:r>
                    <w:rPr>
                      <w:rFonts w:hint="default" w:ascii="Times New Roman" w:hAnsi="Times New Roman" w:eastAsia="Arial" w:cs="Times New Roman"/>
                      <w:b w:val="0"/>
                      <w:bCs w:val="0"/>
                      <w:kern w:val="0"/>
                      <w:szCs w:val="21"/>
                      <w:highlight w:val="none"/>
                      <w:lang w:bidi="ar"/>
                    </w:rPr>
                    <w:t>属于危险化学品</w:t>
                  </w:r>
                  <w:r>
                    <w:rPr>
                      <w:rFonts w:hint="eastAsia" w:eastAsia="宋体" w:cs="Times New Roman"/>
                      <w:b w:val="0"/>
                      <w:bCs w:val="0"/>
                      <w:kern w:val="0"/>
                      <w:szCs w:val="21"/>
                      <w:highlight w:val="none"/>
                      <w:lang w:eastAsia="zh-CN" w:bidi="ar"/>
                    </w:rPr>
                    <w:t>，</w:t>
                  </w:r>
                  <w:r>
                    <w:rPr>
                      <w:rFonts w:hint="default" w:ascii="Times New Roman" w:hAnsi="Times New Roman" w:eastAsia="Arial" w:cs="Times New Roman"/>
                      <w:b w:val="0"/>
                      <w:bCs w:val="0"/>
                      <w:kern w:val="0"/>
                      <w:szCs w:val="21"/>
                      <w:highlight w:val="none"/>
                      <w:lang w:bidi="ar"/>
                    </w:rPr>
                    <w:t>输送管线</w:t>
                  </w:r>
                  <w:r>
                    <w:rPr>
                      <w:rFonts w:hint="default" w:ascii="Times New Roman" w:hAnsi="Times New Roman" w:eastAsia="宋体" w:cs="Times New Roman"/>
                      <w:b w:val="0"/>
                      <w:bCs w:val="0"/>
                      <w:kern w:val="0"/>
                      <w:szCs w:val="21"/>
                      <w:highlight w:val="none"/>
                      <w:lang w:val="en-US" w:eastAsia="zh-CN" w:bidi="ar"/>
                    </w:rPr>
                    <w:t>位于厂区外</w:t>
                  </w:r>
                  <w:r>
                    <w:rPr>
                      <w:rFonts w:hint="eastAsia" w:cs="Times New Roman"/>
                      <w:b w:val="0"/>
                      <w:bCs w:val="0"/>
                      <w:kern w:val="0"/>
                      <w:szCs w:val="21"/>
                      <w:highlight w:val="none"/>
                      <w:lang w:val="en-US" w:eastAsia="zh-CN" w:bidi="ar"/>
                    </w:rPr>
                    <w:t>。</w:t>
                  </w:r>
                </w:p>
              </w:tc>
              <w:tc>
                <w:tcPr>
                  <w:tcW w:w="655" w:type="pct"/>
                  <w:noWrap w:val="0"/>
                  <w:vAlign w:val="center"/>
                </w:tcPr>
                <w:p w14:paraId="6D7C5D84">
                  <w:pPr>
                    <w:kinsoku w:val="0"/>
                    <w:autoSpaceDE w:val="0"/>
                    <w:autoSpaceDN w:val="0"/>
                    <w:adjustRightInd w:val="0"/>
                    <w:snapToGrid w:val="0"/>
                    <w:jc w:val="center"/>
                    <w:textAlignment w:val="baseline"/>
                    <w:rPr>
                      <w:rFonts w:hint="default" w:ascii="Times New Roman" w:hAnsi="Times New Roman" w:eastAsia="Arial" w:cs="Times New Roman"/>
                      <w:b w:val="0"/>
                      <w:bCs w:val="0"/>
                      <w:kern w:val="0"/>
                      <w:szCs w:val="21"/>
                      <w:highlight w:val="none"/>
                      <w:lang w:bidi="ar"/>
                    </w:rPr>
                  </w:pPr>
                  <w:r>
                    <w:rPr>
                      <w:rFonts w:hint="default" w:ascii="Times New Roman" w:hAnsi="Times New Roman" w:eastAsia="Arial" w:cs="Times New Roman"/>
                      <w:b w:val="0"/>
                      <w:bCs w:val="0"/>
                      <w:kern w:val="0"/>
                      <w:szCs w:val="21"/>
                      <w:highlight w:val="none"/>
                      <w:lang w:bidi="ar"/>
                    </w:rPr>
                    <w:t>是</w:t>
                  </w:r>
                </w:p>
              </w:tc>
            </w:tr>
            <w:tr w14:paraId="5F9EF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5000" w:type="pct"/>
                  <w:gridSpan w:val="4"/>
                  <w:noWrap w:val="0"/>
                  <w:vAlign w:val="center"/>
                </w:tcPr>
                <w:p w14:paraId="53D6A47A">
                  <w:pPr>
                    <w:kinsoku w:val="0"/>
                    <w:autoSpaceDE w:val="0"/>
                    <w:autoSpaceDN w:val="0"/>
                    <w:adjustRightInd w:val="0"/>
                    <w:snapToGrid w:val="0"/>
                    <w:jc w:val="center"/>
                    <w:textAlignment w:val="baseline"/>
                    <w:rPr>
                      <w:rFonts w:hint="default" w:ascii="Times New Roman" w:hAnsi="Times New Roman" w:eastAsia="宋体" w:cs="Times New Roman"/>
                      <w:b w:val="0"/>
                      <w:bCs w:val="0"/>
                      <w:kern w:val="0"/>
                      <w:szCs w:val="21"/>
                      <w:highlight w:val="none"/>
                      <w:lang w:val="en-US" w:eastAsia="zh-CN" w:bidi="ar"/>
                    </w:rPr>
                  </w:pPr>
                  <w:r>
                    <w:rPr>
                      <w:rFonts w:hint="default" w:ascii="Times New Roman" w:hAnsi="Times New Roman" w:eastAsia="宋体" w:cs="Times New Roman"/>
                      <w:b w:val="0"/>
                      <w:bCs w:val="0"/>
                      <w:kern w:val="0"/>
                      <w:szCs w:val="21"/>
                      <w:highlight w:val="none"/>
                      <w:lang w:val="en-US" w:eastAsia="zh-CN" w:bidi="ar"/>
                    </w:rPr>
                    <w:t>注：</w:t>
                  </w:r>
                  <w:r>
                    <w:rPr>
                      <w:rFonts w:hint="eastAsia" w:cs="Times New Roman"/>
                      <w:b w:val="0"/>
                      <w:bCs w:val="0"/>
                      <w:kern w:val="0"/>
                      <w:szCs w:val="21"/>
                      <w:highlight w:val="none"/>
                      <w:lang w:val="en-US" w:eastAsia="zh-CN" w:bidi="ar"/>
                    </w:rPr>
                    <w:t>“</w:t>
                  </w:r>
                  <w:r>
                    <w:rPr>
                      <w:rFonts w:hint="default" w:ascii="Times New Roman" w:hAnsi="Times New Roman" w:eastAsia="宋体" w:cs="Times New Roman"/>
                      <w:b w:val="0"/>
                      <w:bCs w:val="0"/>
                      <w:kern w:val="0"/>
                      <w:szCs w:val="21"/>
                      <w:highlight w:val="none"/>
                      <w:lang w:val="en-US" w:eastAsia="zh-CN" w:bidi="ar"/>
                    </w:rPr>
                    <w:t>涉及敏感区</w:t>
                  </w:r>
                  <w:r>
                    <w:rPr>
                      <w:rFonts w:hint="eastAsia" w:cs="Times New Roman"/>
                      <w:b w:val="0"/>
                      <w:bCs w:val="0"/>
                      <w:kern w:val="0"/>
                      <w:szCs w:val="21"/>
                      <w:highlight w:val="none"/>
                      <w:lang w:val="en-US" w:eastAsia="zh-CN" w:bidi="ar"/>
                    </w:rPr>
                    <w:t>”</w:t>
                  </w:r>
                  <w:r>
                    <w:rPr>
                      <w:rFonts w:hint="default" w:ascii="Times New Roman" w:hAnsi="Times New Roman" w:eastAsia="宋体" w:cs="Times New Roman"/>
                      <w:b w:val="0"/>
                      <w:bCs w:val="0"/>
                      <w:kern w:val="0"/>
                      <w:szCs w:val="21"/>
                      <w:highlight w:val="none"/>
                      <w:lang w:val="en-US" w:eastAsia="zh-CN" w:bidi="ar"/>
                    </w:rPr>
                    <w:t>是指建设项目位于、穿</w:t>
                  </w:r>
                  <w:r>
                    <w:rPr>
                      <w:rFonts w:hint="eastAsia" w:cs="Times New Roman"/>
                      <w:b w:val="0"/>
                      <w:bCs w:val="0"/>
                      <w:kern w:val="0"/>
                      <w:szCs w:val="21"/>
                      <w:highlight w:val="none"/>
                      <w:lang w:val="en-US" w:eastAsia="zh-CN" w:bidi="ar"/>
                    </w:rPr>
                    <w:t>（</w:t>
                  </w:r>
                  <w:r>
                    <w:rPr>
                      <w:rFonts w:hint="default" w:ascii="Times New Roman" w:hAnsi="Times New Roman" w:eastAsia="宋体" w:cs="Times New Roman"/>
                      <w:b w:val="0"/>
                      <w:bCs w:val="0"/>
                      <w:kern w:val="0"/>
                      <w:szCs w:val="21"/>
                      <w:highlight w:val="none"/>
                      <w:lang w:val="en-US" w:eastAsia="zh-CN" w:bidi="ar"/>
                    </w:rPr>
                    <w:t>跨</w:t>
                  </w:r>
                  <w:r>
                    <w:rPr>
                      <w:rFonts w:hint="eastAsia" w:cs="Times New Roman"/>
                      <w:b w:val="0"/>
                      <w:bCs w:val="0"/>
                      <w:kern w:val="0"/>
                      <w:szCs w:val="21"/>
                      <w:highlight w:val="none"/>
                      <w:lang w:val="en-US" w:eastAsia="zh-CN" w:bidi="ar"/>
                    </w:rPr>
                    <w:t>）</w:t>
                  </w:r>
                  <w:r>
                    <w:rPr>
                      <w:rFonts w:hint="default" w:ascii="Times New Roman" w:hAnsi="Times New Roman" w:eastAsia="宋体" w:cs="Times New Roman"/>
                      <w:b w:val="0"/>
                      <w:bCs w:val="0"/>
                      <w:kern w:val="0"/>
                      <w:szCs w:val="21"/>
                      <w:highlight w:val="none"/>
                      <w:lang w:val="en-US" w:eastAsia="zh-CN" w:bidi="ar"/>
                    </w:rPr>
                    <w:t>越</w:t>
                  </w:r>
                  <w:r>
                    <w:rPr>
                      <w:rFonts w:hint="eastAsia" w:cs="Times New Roman"/>
                      <w:b w:val="0"/>
                      <w:bCs w:val="0"/>
                      <w:kern w:val="0"/>
                      <w:szCs w:val="21"/>
                      <w:highlight w:val="none"/>
                      <w:lang w:val="en-US" w:eastAsia="zh-CN" w:bidi="ar"/>
                    </w:rPr>
                    <w:t>（</w:t>
                  </w:r>
                  <w:r>
                    <w:rPr>
                      <w:rFonts w:hint="default" w:ascii="Times New Roman" w:hAnsi="Times New Roman" w:eastAsia="宋体" w:cs="Times New Roman"/>
                      <w:b w:val="0"/>
                      <w:bCs w:val="0"/>
                      <w:kern w:val="0"/>
                      <w:szCs w:val="21"/>
                      <w:highlight w:val="none"/>
                      <w:lang w:val="en-US" w:eastAsia="zh-CN" w:bidi="ar"/>
                    </w:rPr>
                    <w:t>无害化通过的除外</w:t>
                  </w:r>
                  <w:r>
                    <w:rPr>
                      <w:rFonts w:hint="eastAsia" w:cs="Times New Roman"/>
                      <w:b w:val="0"/>
                      <w:bCs w:val="0"/>
                      <w:kern w:val="0"/>
                      <w:szCs w:val="21"/>
                      <w:highlight w:val="none"/>
                      <w:lang w:val="en-US" w:eastAsia="zh-CN" w:bidi="ar"/>
                    </w:rPr>
                    <w:t>）</w:t>
                  </w:r>
                  <w:r>
                    <w:rPr>
                      <w:rFonts w:hint="default" w:ascii="Times New Roman" w:hAnsi="Times New Roman" w:eastAsia="宋体" w:cs="Times New Roman"/>
                      <w:b w:val="0"/>
                      <w:bCs w:val="0"/>
                      <w:kern w:val="0"/>
                      <w:szCs w:val="21"/>
                      <w:highlight w:val="none"/>
                      <w:lang w:val="en-US" w:eastAsia="zh-CN" w:bidi="ar"/>
                    </w:rPr>
                    <w:t>环境敏感区，或环境影响范围涵盖环境敏感区。环境敏感区是指《建设项目环境影响评价分类管理名录》中针对该类项目所列的敏感区。</w:t>
                  </w:r>
                </w:p>
              </w:tc>
            </w:tr>
          </w:tbl>
          <w:p w14:paraId="6C212BDA">
            <w:pPr>
              <w:autoSpaceDE w:val="0"/>
              <w:autoSpaceDN w:val="0"/>
              <w:adjustRightInd w:val="0"/>
              <w:snapToGrid w:val="0"/>
              <w:spacing w:line="360" w:lineRule="auto"/>
              <w:ind w:firstLine="480"/>
              <w:jc w:val="left"/>
              <w:rPr>
                <w:rFonts w:hint="default" w:ascii="Times New Roman" w:hAnsi="Times New Roman" w:cs="Times New Roman"/>
                <w:highlight w:val="none"/>
              </w:rPr>
            </w:pPr>
            <w:r>
              <w:rPr>
                <w:rFonts w:hint="default" w:ascii="Times New Roman" w:hAnsi="Times New Roman" w:eastAsia="宋体" w:cs="Times New Roman"/>
                <w:color w:val="000000"/>
                <w:kern w:val="0"/>
                <w:sz w:val="24"/>
                <w:szCs w:val="24"/>
                <w:highlight w:val="none"/>
              </w:rPr>
              <w:t>根据《建设项目环境影响评价分类管理名录》（2021版）</w:t>
            </w:r>
            <w:r>
              <w:rPr>
                <w:rFonts w:hint="eastAsia" w:ascii="Times New Roman" w:hAnsi="Times New Roman" w:cs="Times New Roman"/>
                <w:color w:val="000000"/>
                <w:kern w:val="0"/>
                <w:sz w:val="24"/>
                <w:szCs w:val="24"/>
                <w:highlight w:val="none"/>
                <w:lang w:val="en-US" w:eastAsia="zh-CN"/>
              </w:rPr>
              <w:t>148类别</w:t>
            </w:r>
            <w:r>
              <w:rPr>
                <w:rFonts w:hint="eastAsia" w:cs="Times New Roman"/>
                <w:color w:val="000000"/>
                <w:kern w:val="0"/>
                <w:sz w:val="24"/>
                <w:szCs w:val="24"/>
                <w:highlight w:val="none"/>
                <w:lang w:val="en-US" w:eastAsia="zh-CN"/>
              </w:rPr>
              <w:t>的</w:t>
            </w:r>
            <w:r>
              <w:rPr>
                <w:rFonts w:hint="eastAsia" w:ascii="Times New Roman" w:hAnsi="Times New Roman" w:cs="Times New Roman"/>
                <w:color w:val="000000"/>
                <w:kern w:val="0"/>
                <w:sz w:val="24"/>
                <w:szCs w:val="24"/>
                <w:highlight w:val="none"/>
                <w:lang w:val="en-US" w:eastAsia="zh-CN"/>
              </w:rPr>
              <w:t>环境敏感区为</w:t>
            </w:r>
            <w:r>
              <w:rPr>
                <w:rFonts w:hint="eastAsia" w:cs="Times New Roman"/>
                <w:color w:val="000000"/>
                <w:kern w:val="0"/>
                <w:sz w:val="24"/>
                <w:szCs w:val="24"/>
                <w:highlight w:val="none"/>
                <w:lang w:val="en-US" w:eastAsia="zh-CN"/>
              </w:rPr>
              <w:t>“</w:t>
            </w:r>
            <w:r>
              <w:rPr>
                <w:rFonts w:hint="default" w:ascii="Times New Roman" w:hAnsi="Times New Roman" w:eastAsia="宋体" w:cs="Times New Roman"/>
                <w:color w:val="000000"/>
                <w:kern w:val="0"/>
                <w:sz w:val="24"/>
                <w:szCs w:val="24"/>
                <w:highlight w:val="none"/>
              </w:rPr>
              <w:t>第三条（</w:t>
            </w:r>
            <w:r>
              <w:rPr>
                <w:rFonts w:hint="eastAsia" w:ascii="Times New Roman" w:hAnsi="Times New Roman" w:cs="Times New Roman"/>
                <w:color w:val="000000"/>
                <w:kern w:val="0"/>
                <w:sz w:val="24"/>
                <w:szCs w:val="24"/>
                <w:highlight w:val="none"/>
                <w:lang w:val="en-US" w:eastAsia="zh-CN"/>
              </w:rPr>
              <w:t>一</w:t>
            </w:r>
            <w:r>
              <w:rPr>
                <w:rFonts w:hint="default" w:ascii="Times New Roman" w:hAnsi="Times New Roman" w:eastAsia="宋体" w:cs="Times New Roman"/>
                <w:color w:val="000000"/>
                <w:kern w:val="0"/>
                <w:sz w:val="24"/>
                <w:szCs w:val="24"/>
                <w:highlight w:val="none"/>
              </w:rPr>
              <w:t>）</w:t>
            </w:r>
            <w:r>
              <w:rPr>
                <w:rFonts w:hint="eastAsia" w:ascii="Times New Roman" w:hAnsi="Times New Roman" w:cs="Times New Roman"/>
                <w:color w:val="000000"/>
                <w:kern w:val="0"/>
                <w:sz w:val="24"/>
                <w:szCs w:val="24"/>
                <w:highlight w:val="none"/>
                <w:lang w:val="en-US" w:eastAsia="zh-CN"/>
              </w:rPr>
              <w:t>中的全部区域；第三条（二）中的除（一）外的</w:t>
            </w:r>
            <w:r>
              <w:rPr>
                <w:rFonts w:hint="default" w:ascii="Times New Roman" w:hAnsi="Times New Roman" w:eastAsia="宋体" w:cs="Times New Roman"/>
                <w:color w:val="000000"/>
                <w:kern w:val="0"/>
                <w:sz w:val="24"/>
                <w:szCs w:val="24"/>
                <w:highlight w:val="none"/>
              </w:rPr>
              <w:t>生态保护红线管控范围，永久基本农田、</w:t>
            </w:r>
            <w:r>
              <w:rPr>
                <w:rFonts w:hint="eastAsia" w:ascii="Times New Roman" w:hAnsi="Times New Roman" w:cs="Times New Roman"/>
                <w:color w:val="000000"/>
                <w:kern w:val="0"/>
                <w:sz w:val="24"/>
                <w:szCs w:val="24"/>
                <w:highlight w:val="none"/>
                <w:lang w:val="en-US" w:eastAsia="zh-CN"/>
              </w:rPr>
              <w:t>森林公园</w:t>
            </w:r>
            <w:r>
              <w:rPr>
                <w:rFonts w:hint="default" w:ascii="Times New Roman" w:hAnsi="Times New Roman" w:eastAsia="宋体" w:cs="Times New Roman"/>
                <w:color w:val="000000"/>
                <w:kern w:val="0"/>
                <w:sz w:val="24"/>
                <w:szCs w:val="24"/>
                <w:highlight w:val="none"/>
              </w:rPr>
              <w:t>、</w:t>
            </w:r>
            <w:r>
              <w:rPr>
                <w:rFonts w:hint="eastAsia" w:ascii="Times New Roman" w:hAnsi="Times New Roman" w:cs="Times New Roman"/>
                <w:color w:val="000000"/>
                <w:kern w:val="0"/>
                <w:sz w:val="24"/>
                <w:szCs w:val="24"/>
                <w:highlight w:val="none"/>
                <w:lang w:val="en-US" w:eastAsia="zh-CN"/>
              </w:rPr>
              <w:t>地质公园、重要湿地、天然林；第三条（三）中的全部区域</w:t>
            </w:r>
            <w:r>
              <w:rPr>
                <w:rFonts w:hint="eastAsia" w:cs="Times New Roman"/>
                <w:color w:val="000000"/>
                <w:kern w:val="0"/>
                <w:sz w:val="24"/>
                <w:szCs w:val="24"/>
                <w:highlight w:val="none"/>
                <w:lang w:val="en-US" w:eastAsia="zh-CN"/>
              </w:rPr>
              <w:t>”。</w:t>
            </w:r>
            <w:r>
              <w:rPr>
                <w:rFonts w:hint="default" w:ascii="Times New Roman" w:hAnsi="Times New Roman" w:eastAsia="宋体" w:cs="Times New Roman"/>
                <w:color w:val="000000"/>
                <w:kern w:val="0"/>
                <w:sz w:val="24"/>
                <w:szCs w:val="24"/>
                <w:highlight w:val="none"/>
              </w:rPr>
              <w:t>本项目</w:t>
            </w:r>
            <w:r>
              <w:rPr>
                <w:rFonts w:hint="eastAsia" w:cs="Times New Roman"/>
                <w:color w:val="000000"/>
                <w:kern w:val="0"/>
                <w:sz w:val="24"/>
                <w:szCs w:val="24"/>
                <w:highlight w:val="none"/>
                <w:lang w:val="en-US" w:eastAsia="zh-CN"/>
              </w:rPr>
              <w:t>位于</w:t>
            </w:r>
            <w:r>
              <w:rPr>
                <w:rFonts w:hint="eastAsia" w:ascii="Times New Roman" w:hAnsi="Times New Roman" w:eastAsia="宋体" w:cs="Times New Roman"/>
                <w:bCs/>
                <w:color w:val="000000"/>
                <w:sz w:val="24"/>
                <w:highlight w:val="none"/>
              </w:rPr>
              <w:t>鄂尔多斯市杭锦旗经济开发区独贵塔拉产业园</w:t>
            </w:r>
            <w:r>
              <w:rPr>
                <w:rFonts w:ascii="Times New Roman" w:hAnsi="Times New Roman" w:eastAsia="宋体" w:cs="Times New Roman"/>
                <w:color w:val="000000"/>
                <w:sz w:val="24"/>
                <w:highlight w:val="none"/>
              </w:rPr>
              <w:t>南项目区</w:t>
            </w:r>
            <w:r>
              <w:rPr>
                <w:rFonts w:hint="eastAsia" w:cs="Times New Roman"/>
                <w:color w:val="000000"/>
                <w:sz w:val="24"/>
                <w:highlight w:val="none"/>
                <w:lang w:eastAsia="zh-CN"/>
              </w:rPr>
              <w:t>（</w:t>
            </w:r>
            <w:r>
              <w:rPr>
                <w:rFonts w:hint="eastAsia" w:cs="Times New Roman"/>
                <w:color w:val="000000"/>
                <w:sz w:val="24"/>
                <w:highlight w:val="none"/>
                <w:lang w:val="en-US" w:eastAsia="zh-CN"/>
              </w:rPr>
              <w:t>又名</w:t>
            </w:r>
            <w:r>
              <w:rPr>
                <w:rFonts w:hint="eastAsia" w:ascii="Times New Roman" w:hAnsi="Times New Roman" w:eastAsia="宋体" w:cs="Times New Roman"/>
                <w:bCs/>
                <w:sz w:val="24"/>
                <w:highlight w:val="none"/>
                <w:lang w:val="en-US" w:eastAsia="zh-CN"/>
              </w:rPr>
              <w:t>锦泰精细化工园</w:t>
            </w:r>
            <w:r>
              <w:rPr>
                <w:rFonts w:hint="eastAsia" w:cs="Times New Roman"/>
                <w:color w:val="000000"/>
                <w:sz w:val="24"/>
                <w:highlight w:val="none"/>
                <w:lang w:eastAsia="zh-CN"/>
              </w:rPr>
              <w:t>）</w:t>
            </w:r>
            <w:r>
              <w:rPr>
                <w:rFonts w:hint="eastAsia" w:ascii="Times New Roman" w:hAnsi="Times New Roman" w:eastAsia="宋体" w:cs="Times New Roman"/>
                <w:color w:val="000000"/>
                <w:kern w:val="0"/>
                <w:sz w:val="24"/>
                <w:szCs w:val="24"/>
                <w:highlight w:val="none"/>
                <w:lang w:val="en-US" w:eastAsia="zh-CN"/>
              </w:rPr>
              <w:t>。</w:t>
            </w:r>
            <w:r>
              <w:rPr>
                <w:rFonts w:hint="eastAsia" w:ascii="Times New Roman" w:hAnsi="Times New Roman" w:cs="Times New Roman"/>
                <w:color w:val="000000"/>
                <w:kern w:val="0"/>
                <w:sz w:val="24"/>
                <w:szCs w:val="24"/>
                <w:highlight w:val="none"/>
                <w:lang w:val="en-US" w:eastAsia="zh-CN"/>
              </w:rPr>
              <w:t>项目不涉及以上敏感区。</w:t>
            </w:r>
          </w:p>
        </w:tc>
      </w:tr>
      <w:tr w14:paraId="7FB85F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5" w:hRule="atLeast"/>
        </w:trPr>
        <w:tc>
          <w:tcPr>
            <w:tcW w:w="1795" w:type="dxa"/>
            <w:noWrap w:val="0"/>
            <w:tcMar>
              <w:top w:w="16" w:type="dxa"/>
              <w:left w:w="16" w:type="dxa"/>
              <w:right w:w="16" w:type="dxa"/>
            </w:tcMar>
            <w:vAlign w:val="center"/>
          </w:tcPr>
          <w:p w14:paraId="3BA669EC">
            <w:pPr>
              <w:autoSpaceDE w:val="0"/>
              <w:autoSpaceDN w:val="0"/>
              <w:adjustRightInd w:val="0"/>
              <w:snapToGrid w:val="0"/>
              <w:jc w:val="center"/>
              <w:rPr>
                <w:rFonts w:hint="default" w:ascii="Times New Roman" w:hAnsi="Times New Roman" w:cs="Times New Roman"/>
                <w:kern w:val="0"/>
                <w:sz w:val="24"/>
                <w:highlight w:val="none"/>
              </w:rPr>
            </w:pPr>
            <w:r>
              <w:rPr>
                <w:rFonts w:hint="default" w:ascii="Times New Roman" w:hAnsi="Times New Roman" w:cs="Times New Roman"/>
                <w:sz w:val="24"/>
                <w:highlight w:val="none"/>
              </w:rPr>
              <w:t>规划情况</w:t>
            </w:r>
          </w:p>
        </w:tc>
        <w:tc>
          <w:tcPr>
            <w:tcW w:w="7244" w:type="dxa"/>
            <w:gridSpan w:val="4"/>
            <w:noWrap w:val="0"/>
            <w:tcMar>
              <w:top w:w="16" w:type="dxa"/>
              <w:left w:w="16" w:type="dxa"/>
              <w:right w:w="16" w:type="dxa"/>
            </w:tcMar>
            <w:vAlign w:val="center"/>
          </w:tcPr>
          <w:p w14:paraId="66459897">
            <w:pPr>
              <w:spacing w:line="360" w:lineRule="auto"/>
              <w:ind w:firstLine="480"/>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内蒙古自治区鄂尔多斯市杭锦旗独贵塔拉工业园区位于鄂尔多斯市杭锦旗，2009年内蒙古自治区发改委批复了《内蒙古鄂尔多斯市杭锦能源化工基地产业发展规划》（内发改工字〔20</w:t>
            </w:r>
            <w:r>
              <w:rPr>
                <w:rFonts w:hint="default" w:ascii="Times New Roman" w:hAnsi="Times New Roman" w:cs="Times New Roman"/>
                <w:sz w:val="24"/>
                <w:szCs w:val="24"/>
                <w:highlight w:val="none"/>
                <w:lang w:val="en-US" w:eastAsia="zh-CN"/>
              </w:rPr>
              <w:t>09</w:t>
            </w:r>
            <w:r>
              <w:rPr>
                <w:rFonts w:hint="default" w:ascii="Times New Roman" w:hAnsi="Times New Roman" w:cs="Times New Roman"/>
                <w:sz w:val="24"/>
                <w:szCs w:val="24"/>
                <w:highlight w:val="none"/>
              </w:rPr>
              <w:t>〕2157号）；2015年鄂尔多斯市</w:t>
            </w:r>
            <w:r>
              <w:rPr>
                <w:rFonts w:hint="default" w:ascii="Times New Roman" w:hAnsi="Times New Roman" w:cs="Times New Roman"/>
                <w:sz w:val="24"/>
                <w:szCs w:val="24"/>
                <w:highlight w:val="none"/>
                <w:lang w:eastAsia="zh-CN"/>
              </w:rPr>
              <w:t>发展改革</w:t>
            </w:r>
            <w:r>
              <w:rPr>
                <w:rFonts w:hint="default" w:ascii="Times New Roman" w:hAnsi="Times New Roman" w:cs="Times New Roman"/>
                <w:sz w:val="24"/>
                <w:szCs w:val="24"/>
                <w:highlight w:val="none"/>
              </w:rPr>
              <w:t>委批复了《鄂尔多斯独贵塔拉工业园区总体规划（2015</w:t>
            </w:r>
            <w:r>
              <w:rPr>
                <w:rFonts w:hint="eastAsia" w:cs="Times New Roman"/>
                <w:sz w:val="24"/>
                <w:szCs w:val="24"/>
                <w:highlight w:val="none"/>
                <w:lang w:eastAsia="zh-CN"/>
              </w:rPr>
              <w:t>—</w:t>
            </w:r>
            <w:r>
              <w:rPr>
                <w:rFonts w:hint="default" w:ascii="Times New Roman" w:hAnsi="Times New Roman" w:cs="Times New Roman"/>
                <w:sz w:val="24"/>
                <w:szCs w:val="24"/>
                <w:highlight w:val="none"/>
              </w:rPr>
              <w:t>2030年）》（鄂府发〔20</w:t>
            </w:r>
            <w:r>
              <w:rPr>
                <w:rFonts w:hint="default" w:ascii="Times New Roman" w:hAnsi="Times New Roman" w:cs="Times New Roman"/>
                <w:sz w:val="24"/>
                <w:szCs w:val="24"/>
                <w:highlight w:val="none"/>
                <w:lang w:val="en-US" w:eastAsia="zh-CN"/>
              </w:rPr>
              <w:t>15</w:t>
            </w:r>
            <w:r>
              <w:rPr>
                <w:rFonts w:hint="default" w:ascii="Times New Roman" w:hAnsi="Times New Roman" w:cs="Times New Roman"/>
                <w:sz w:val="24"/>
                <w:szCs w:val="24"/>
                <w:highlight w:val="none"/>
              </w:rPr>
              <w:t>〕186号）</w:t>
            </w:r>
            <w:r>
              <w:rPr>
                <w:rFonts w:hint="default" w:ascii="Times New Roman" w:hAnsi="Times New Roman" w:cs="Times New Roman"/>
                <w:sz w:val="24"/>
                <w:szCs w:val="24"/>
                <w:highlight w:val="none"/>
                <w:lang w:eastAsia="zh-CN"/>
              </w:rPr>
              <w:t>；2023年3月</w:t>
            </w:r>
            <w:r>
              <w:rPr>
                <w:rFonts w:hint="default" w:ascii="Times New Roman" w:hAnsi="Times New Roman" w:cs="Times New Roman"/>
                <w:sz w:val="24"/>
                <w:szCs w:val="24"/>
                <w:highlight w:val="none"/>
                <w:lang w:val="en-US" w:eastAsia="zh-CN"/>
              </w:rPr>
              <w:t>内蒙古</w:t>
            </w:r>
            <w:r>
              <w:rPr>
                <w:rFonts w:hint="default" w:ascii="Times New Roman" w:hAnsi="Times New Roman" w:cs="Times New Roman"/>
                <w:sz w:val="24"/>
                <w:szCs w:val="24"/>
                <w:highlight w:val="none"/>
                <w:lang w:eastAsia="zh-CN"/>
              </w:rPr>
              <w:t>自治区工信厅</w:t>
            </w:r>
            <w:r>
              <w:rPr>
                <w:rFonts w:hint="default" w:ascii="Times New Roman" w:hAnsi="Times New Roman" w:cs="Times New Roman"/>
                <w:sz w:val="24"/>
                <w:szCs w:val="24"/>
                <w:highlight w:val="none"/>
                <w:lang w:val="en-US" w:eastAsia="zh-CN"/>
              </w:rPr>
              <w:t>批复了</w:t>
            </w: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rPr>
              <w:t>杭锦经济开发区产业发展规划（2022</w:t>
            </w:r>
            <w:r>
              <w:rPr>
                <w:rFonts w:hint="eastAsia" w:cs="Times New Roman"/>
                <w:sz w:val="24"/>
                <w:szCs w:val="24"/>
                <w:highlight w:val="none"/>
                <w:lang w:eastAsia="zh-CN"/>
              </w:rPr>
              <w:t>—</w:t>
            </w:r>
            <w:r>
              <w:rPr>
                <w:rFonts w:hint="default" w:ascii="Times New Roman" w:hAnsi="Times New Roman" w:cs="Times New Roman"/>
                <w:sz w:val="24"/>
                <w:szCs w:val="24"/>
                <w:highlight w:val="none"/>
              </w:rPr>
              <w:t>2035年）</w:t>
            </w: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rPr>
              <w:t>本项目所依据的相关规划情况见表1-</w:t>
            </w:r>
            <w:r>
              <w:rPr>
                <w:rFonts w:hint="default" w:ascii="Times New Roman" w:hAnsi="Times New Roman" w:cs="Times New Roman"/>
                <w:sz w:val="24"/>
                <w:szCs w:val="24"/>
                <w:highlight w:val="none"/>
                <w:lang w:val="en-US" w:eastAsia="zh-CN"/>
              </w:rPr>
              <w:t>2</w:t>
            </w:r>
            <w:r>
              <w:rPr>
                <w:rFonts w:hint="default" w:ascii="Times New Roman" w:hAnsi="Times New Roman" w:cs="Times New Roman"/>
                <w:sz w:val="24"/>
                <w:szCs w:val="24"/>
                <w:highlight w:val="none"/>
              </w:rPr>
              <w:t>。</w:t>
            </w:r>
          </w:p>
          <w:p w14:paraId="119E8435">
            <w:pPr>
              <w:pStyle w:val="31"/>
              <w:spacing w:line="440" w:lineRule="exact"/>
              <w:ind w:firstLine="0"/>
              <w:jc w:val="center"/>
              <w:rPr>
                <w:rFonts w:hint="default" w:ascii="Times New Roman" w:hAnsi="Times New Roman" w:cs="Times New Roman"/>
                <w:sz w:val="21"/>
                <w:szCs w:val="21"/>
                <w:highlight w:val="none"/>
              </w:rPr>
            </w:pPr>
            <w:r>
              <w:rPr>
                <w:rFonts w:hint="default" w:ascii="Times New Roman" w:hAnsi="Times New Roman" w:cs="Times New Roman"/>
                <w:b/>
                <w:bCs/>
                <w:sz w:val="21"/>
                <w:szCs w:val="21"/>
                <w:highlight w:val="none"/>
              </w:rPr>
              <w:t>表1-</w:t>
            </w:r>
            <w:r>
              <w:rPr>
                <w:rFonts w:hint="default" w:ascii="Times New Roman" w:hAnsi="Times New Roman" w:cs="Times New Roman"/>
                <w:b/>
                <w:bCs/>
                <w:sz w:val="21"/>
                <w:szCs w:val="21"/>
                <w:highlight w:val="none"/>
                <w:lang w:val="en-US" w:eastAsia="zh-CN"/>
              </w:rPr>
              <w:t>2</w:t>
            </w:r>
            <w:r>
              <w:rPr>
                <w:rFonts w:hint="eastAsia" w:ascii="Times New Roman" w:hAnsi="Times New Roman" w:cs="Times New Roman"/>
                <w:b/>
                <w:bCs/>
                <w:sz w:val="21"/>
                <w:szCs w:val="21"/>
                <w:highlight w:val="none"/>
                <w:lang w:val="en-US" w:eastAsia="zh-CN"/>
              </w:rPr>
              <w:t xml:space="preserve">   </w:t>
            </w:r>
            <w:r>
              <w:rPr>
                <w:rFonts w:hint="default" w:ascii="Times New Roman" w:hAnsi="Times New Roman" w:cs="Times New Roman"/>
                <w:b/>
                <w:bCs/>
                <w:sz w:val="21"/>
                <w:szCs w:val="21"/>
                <w:highlight w:val="none"/>
              </w:rPr>
              <w:t>相关规划发展历程</w:t>
            </w:r>
          </w:p>
          <w:tbl>
            <w:tblPr>
              <w:tblStyle w:val="19"/>
              <w:tblW w:w="487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48"/>
              <w:gridCol w:w="481"/>
              <w:gridCol w:w="2864"/>
              <w:gridCol w:w="2070"/>
              <w:gridCol w:w="1063"/>
            </w:tblGrid>
            <w:tr w14:paraId="05630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3" w:hRule="atLeast"/>
                <w:jc w:val="center"/>
              </w:trPr>
              <w:tc>
                <w:tcPr>
                  <w:tcW w:w="390" w:type="pct"/>
                  <w:noWrap w:val="0"/>
                  <w:vAlign w:val="center"/>
                </w:tcPr>
                <w:p w14:paraId="05E7AB50">
                  <w:pPr>
                    <w:kinsoku w:val="0"/>
                    <w:overflowPunct w:val="0"/>
                    <w:autoSpaceDE w:val="0"/>
                    <w:autoSpaceDN w:val="0"/>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序号</w:t>
                  </w:r>
                </w:p>
              </w:tc>
              <w:tc>
                <w:tcPr>
                  <w:tcW w:w="342" w:type="pct"/>
                  <w:noWrap w:val="0"/>
                  <w:vAlign w:val="center"/>
                </w:tcPr>
                <w:p w14:paraId="1817C1C9">
                  <w:pPr>
                    <w:kinsoku w:val="0"/>
                    <w:overflowPunct w:val="0"/>
                    <w:autoSpaceDE w:val="0"/>
                    <w:autoSpaceDN w:val="0"/>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年份</w:t>
                  </w:r>
                </w:p>
              </w:tc>
              <w:tc>
                <w:tcPr>
                  <w:tcW w:w="2037" w:type="pct"/>
                  <w:noWrap w:val="0"/>
                  <w:vAlign w:val="center"/>
                </w:tcPr>
                <w:p w14:paraId="77613C35">
                  <w:pPr>
                    <w:kinsoku w:val="0"/>
                    <w:overflowPunct w:val="0"/>
                    <w:autoSpaceDE w:val="0"/>
                    <w:autoSpaceDN w:val="0"/>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规划情况</w:t>
                  </w:r>
                </w:p>
              </w:tc>
              <w:tc>
                <w:tcPr>
                  <w:tcW w:w="1472" w:type="pct"/>
                  <w:noWrap w:val="0"/>
                  <w:vAlign w:val="center"/>
                </w:tcPr>
                <w:p w14:paraId="472F4703">
                  <w:pPr>
                    <w:kinsoku w:val="0"/>
                    <w:overflowPunct w:val="0"/>
                    <w:autoSpaceDE w:val="0"/>
                    <w:autoSpaceDN w:val="0"/>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批复情况</w:t>
                  </w:r>
                </w:p>
              </w:tc>
              <w:tc>
                <w:tcPr>
                  <w:tcW w:w="756" w:type="pct"/>
                  <w:noWrap w:val="0"/>
                  <w:vAlign w:val="center"/>
                </w:tcPr>
                <w:p w14:paraId="42EA1BA8">
                  <w:pPr>
                    <w:kinsoku w:val="0"/>
                    <w:overflowPunct w:val="0"/>
                    <w:autoSpaceDE w:val="0"/>
                    <w:autoSpaceDN w:val="0"/>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园区级别</w:t>
                  </w:r>
                </w:p>
              </w:tc>
            </w:tr>
            <w:tr w14:paraId="5F7DF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4" w:hRule="atLeast"/>
                <w:jc w:val="center"/>
              </w:trPr>
              <w:tc>
                <w:tcPr>
                  <w:tcW w:w="390" w:type="pct"/>
                  <w:noWrap w:val="0"/>
                  <w:vAlign w:val="center"/>
                </w:tcPr>
                <w:p w14:paraId="01CE9B71">
                  <w:pPr>
                    <w:kinsoku w:val="0"/>
                    <w:overflowPunct w:val="0"/>
                    <w:autoSpaceDE w:val="0"/>
                    <w:autoSpaceDN w:val="0"/>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1</w:t>
                  </w:r>
                </w:p>
              </w:tc>
              <w:tc>
                <w:tcPr>
                  <w:tcW w:w="342" w:type="pct"/>
                  <w:noWrap w:val="0"/>
                  <w:vAlign w:val="center"/>
                </w:tcPr>
                <w:p w14:paraId="371E31EC">
                  <w:pPr>
                    <w:kinsoku w:val="0"/>
                    <w:overflowPunct w:val="0"/>
                    <w:autoSpaceDE w:val="0"/>
                    <w:autoSpaceDN w:val="0"/>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2009年</w:t>
                  </w:r>
                </w:p>
              </w:tc>
              <w:tc>
                <w:tcPr>
                  <w:tcW w:w="2037" w:type="pct"/>
                  <w:noWrap w:val="0"/>
                  <w:vAlign w:val="center"/>
                </w:tcPr>
                <w:p w14:paraId="32C38F06">
                  <w:pPr>
                    <w:kinsoku w:val="0"/>
                    <w:overflowPunct w:val="0"/>
                    <w:autoSpaceDE w:val="0"/>
                    <w:autoSpaceDN w:val="0"/>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内蒙古鄂尔多斯市杭锦能源化工基地产业发展规划</w:t>
                  </w:r>
                </w:p>
              </w:tc>
              <w:tc>
                <w:tcPr>
                  <w:tcW w:w="1472" w:type="pct"/>
                  <w:noWrap w:val="0"/>
                  <w:vAlign w:val="center"/>
                </w:tcPr>
                <w:p w14:paraId="0DFCCC0F">
                  <w:pPr>
                    <w:kinsoku w:val="0"/>
                    <w:overflowPunct w:val="0"/>
                    <w:autoSpaceDE w:val="0"/>
                    <w:autoSpaceDN w:val="0"/>
                    <w:adjustRightInd w:val="0"/>
                    <w:snapToGrid w:val="0"/>
                    <w:jc w:val="center"/>
                    <w:rPr>
                      <w:rFonts w:hint="eastAsia" w:ascii="Times New Roman" w:hAnsi="Times New Roman" w:eastAsia="宋体" w:cs="Times New Roman"/>
                      <w:szCs w:val="21"/>
                      <w:highlight w:val="none"/>
                      <w:lang w:eastAsia="zh-CN"/>
                    </w:rPr>
                  </w:pPr>
                  <w:r>
                    <w:rPr>
                      <w:rFonts w:hint="default" w:ascii="Times New Roman" w:hAnsi="Times New Roman" w:cs="Times New Roman"/>
                      <w:szCs w:val="21"/>
                      <w:highlight w:val="none"/>
                    </w:rPr>
                    <w:t>获得批复（内发改工字</w:t>
                  </w:r>
                  <w:r>
                    <w:rPr>
                      <w:rFonts w:hint="default" w:ascii="Times New Roman" w:hAnsi="Times New Roman" w:cs="Times New Roman"/>
                      <w:highlight w:val="none"/>
                    </w:rPr>
                    <w:t>〔20</w:t>
                  </w:r>
                  <w:r>
                    <w:rPr>
                      <w:rFonts w:hint="default" w:ascii="Times New Roman" w:hAnsi="Times New Roman" w:cs="Times New Roman"/>
                      <w:highlight w:val="none"/>
                      <w:lang w:val="en-US" w:eastAsia="zh-CN"/>
                    </w:rPr>
                    <w:t>09</w:t>
                  </w:r>
                  <w:r>
                    <w:rPr>
                      <w:rFonts w:hint="default" w:ascii="Times New Roman" w:hAnsi="Times New Roman" w:cs="Times New Roman"/>
                      <w:highlight w:val="none"/>
                    </w:rPr>
                    <w:t>〕</w:t>
                  </w:r>
                  <w:r>
                    <w:rPr>
                      <w:rFonts w:hint="default" w:ascii="Times New Roman" w:hAnsi="Times New Roman" w:cs="Times New Roman"/>
                      <w:szCs w:val="21"/>
                      <w:highlight w:val="none"/>
                    </w:rPr>
                    <w:t>2157号）</w:t>
                  </w:r>
                  <w:r>
                    <w:rPr>
                      <w:rFonts w:hint="eastAsia" w:cs="Times New Roman"/>
                      <w:szCs w:val="21"/>
                      <w:highlight w:val="none"/>
                      <w:lang w:eastAsia="zh-CN"/>
                    </w:rPr>
                    <w:t>。</w:t>
                  </w:r>
                </w:p>
              </w:tc>
              <w:tc>
                <w:tcPr>
                  <w:tcW w:w="756" w:type="pct"/>
                  <w:noWrap w:val="0"/>
                  <w:vAlign w:val="center"/>
                </w:tcPr>
                <w:p w14:paraId="281B1010">
                  <w:pPr>
                    <w:kinsoku w:val="0"/>
                    <w:overflowPunct w:val="0"/>
                    <w:autoSpaceDE w:val="0"/>
                    <w:autoSpaceDN w:val="0"/>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市级</w:t>
                  </w:r>
                </w:p>
              </w:tc>
            </w:tr>
            <w:tr w14:paraId="15EBA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5" w:hRule="atLeast"/>
                <w:jc w:val="center"/>
              </w:trPr>
              <w:tc>
                <w:tcPr>
                  <w:tcW w:w="390" w:type="pct"/>
                  <w:noWrap w:val="0"/>
                  <w:vAlign w:val="center"/>
                </w:tcPr>
                <w:p w14:paraId="2593B91E">
                  <w:pPr>
                    <w:kinsoku w:val="0"/>
                    <w:overflowPunct w:val="0"/>
                    <w:autoSpaceDE w:val="0"/>
                    <w:autoSpaceDN w:val="0"/>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2</w:t>
                  </w:r>
                </w:p>
              </w:tc>
              <w:tc>
                <w:tcPr>
                  <w:tcW w:w="342" w:type="pct"/>
                  <w:noWrap w:val="0"/>
                  <w:vAlign w:val="center"/>
                </w:tcPr>
                <w:p w14:paraId="3034B074">
                  <w:pPr>
                    <w:kinsoku w:val="0"/>
                    <w:overflowPunct w:val="0"/>
                    <w:autoSpaceDE w:val="0"/>
                    <w:autoSpaceDN w:val="0"/>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2015年</w:t>
                  </w:r>
                </w:p>
              </w:tc>
              <w:tc>
                <w:tcPr>
                  <w:tcW w:w="2037" w:type="pct"/>
                  <w:noWrap w:val="0"/>
                  <w:vAlign w:val="center"/>
                </w:tcPr>
                <w:p w14:paraId="7311C1D6">
                  <w:pPr>
                    <w:kinsoku w:val="0"/>
                    <w:overflowPunct w:val="0"/>
                    <w:autoSpaceDE w:val="0"/>
                    <w:autoSpaceDN w:val="0"/>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鄂尔多斯独贵塔拉工业园区总体规划（2015</w:t>
                  </w:r>
                  <w:r>
                    <w:rPr>
                      <w:rFonts w:hint="eastAsia" w:cs="Times New Roman"/>
                      <w:szCs w:val="21"/>
                      <w:highlight w:val="none"/>
                      <w:lang w:eastAsia="zh-CN"/>
                    </w:rPr>
                    <w:t>—</w:t>
                  </w:r>
                  <w:r>
                    <w:rPr>
                      <w:rFonts w:hint="default" w:ascii="Times New Roman" w:hAnsi="Times New Roman" w:cs="Times New Roman"/>
                      <w:szCs w:val="21"/>
                      <w:highlight w:val="none"/>
                    </w:rPr>
                    <w:t>2030年）</w:t>
                  </w:r>
                </w:p>
              </w:tc>
              <w:tc>
                <w:tcPr>
                  <w:tcW w:w="1472" w:type="pct"/>
                  <w:noWrap w:val="0"/>
                  <w:vAlign w:val="center"/>
                </w:tcPr>
                <w:p w14:paraId="3A99CB82">
                  <w:pPr>
                    <w:kinsoku w:val="0"/>
                    <w:overflowPunct w:val="0"/>
                    <w:autoSpaceDE w:val="0"/>
                    <w:autoSpaceDN w:val="0"/>
                    <w:adjustRightInd w:val="0"/>
                    <w:snapToGrid w:val="0"/>
                    <w:jc w:val="center"/>
                    <w:rPr>
                      <w:rFonts w:hint="eastAsia" w:ascii="Times New Roman" w:hAnsi="Times New Roman" w:eastAsia="宋体" w:cs="Times New Roman"/>
                      <w:szCs w:val="21"/>
                      <w:highlight w:val="none"/>
                      <w:lang w:eastAsia="zh-CN"/>
                    </w:rPr>
                  </w:pPr>
                  <w:r>
                    <w:rPr>
                      <w:rFonts w:hint="default" w:ascii="Times New Roman" w:hAnsi="Times New Roman" w:cs="Times New Roman"/>
                      <w:szCs w:val="21"/>
                      <w:highlight w:val="none"/>
                    </w:rPr>
                    <w:t>获得批复（鄂府发</w:t>
                  </w:r>
                  <w:r>
                    <w:rPr>
                      <w:rFonts w:hint="default" w:ascii="Times New Roman" w:hAnsi="Times New Roman" w:cs="Times New Roman"/>
                      <w:highlight w:val="none"/>
                    </w:rPr>
                    <w:t>〔20</w:t>
                  </w:r>
                  <w:r>
                    <w:rPr>
                      <w:rFonts w:hint="default" w:ascii="Times New Roman" w:hAnsi="Times New Roman" w:cs="Times New Roman"/>
                      <w:highlight w:val="none"/>
                      <w:lang w:val="en-US" w:eastAsia="zh-CN"/>
                    </w:rPr>
                    <w:t>15</w:t>
                  </w:r>
                  <w:r>
                    <w:rPr>
                      <w:rFonts w:hint="default" w:ascii="Times New Roman" w:hAnsi="Times New Roman" w:cs="Times New Roman"/>
                      <w:highlight w:val="none"/>
                    </w:rPr>
                    <w:t>〕</w:t>
                  </w:r>
                  <w:r>
                    <w:rPr>
                      <w:rFonts w:hint="default" w:ascii="Times New Roman" w:hAnsi="Times New Roman" w:cs="Times New Roman"/>
                      <w:szCs w:val="21"/>
                      <w:highlight w:val="none"/>
                    </w:rPr>
                    <w:t>186号）</w:t>
                  </w:r>
                  <w:r>
                    <w:rPr>
                      <w:rFonts w:hint="eastAsia" w:cs="Times New Roman"/>
                      <w:szCs w:val="21"/>
                      <w:highlight w:val="none"/>
                      <w:lang w:eastAsia="zh-CN"/>
                    </w:rPr>
                    <w:t>。</w:t>
                  </w:r>
                </w:p>
              </w:tc>
              <w:tc>
                <w:tcPr>
                  <w:tcW w:w="756" w:type="pct"/>
                  <w:noWrap w:val="0"/>
                  <w:vAlign w:val="center"/>
                </w:tcPr>
                <w:p w14:paraId="2E684D5C">
                  <w:pPr>
                    <w:kinsoku w:val="0"/>
                    <w:overflowPunct w:val="0"/>
                    <w:autoSpaceDE w:val="0"/>
                    <w:autoSpaceDN w:val="0"/>
                    <w:adjustRightInd w:val="0"/>
                    <w:snapToGrid w:val="0"/>
                    <w:jc w:val="center"/>
                    <w:rPr>
                      <w:rFonts w:hint="eastAsia" w:ascii="Times New Roman" w:hAnsi="Times New Roman" w:eastAsia="宋体" w:cs="Times New Roman"/>
                      <w:szCs w:val="21"/>
                      <w:highlight w:val="none"/>
                      <w:lang w:eastAsia="zh-CN"/>
                    </w:rPr>
                  </w:pPr>
                  <w:r>
                    <w:rPr>
                      <w:rFonts w:hint="default" w:ascii="Times New Roman" w:hAnsi="Times New Roman" w:cs="Times New Roman"/>
                      <w:szCs w:val="21"/>
                      <w:highlight w:val="none"/>
                    </w:rPr>
                    <w:t>自治区级</w:t>
                  </w:r>
                  <w:r>
                    <w:rPr>
                      <w:rFonts w:hint="eastAsia" w:cs="Times New Roman"/>
                      <w:szCs w:val="21"/>
                      <w:highlight w:val="none"/>
                      <w:lang w:eastAsia="zh-CN"/>
                    </w:rPr>
                    <w:t>。</w:t>
                  </w:r>
                </w:p>
              </w:tc>
            </w:tr>
          </w:tbl>
          <w:p w14:paraId="24ED1E8A">
            <w:pPr>
              <w:autoSpaceDE w:val="0"/>
              <w:autoSpaceDN w:val="0"/>
              <w:adjustRightInd w:val="0"/>
              <w:snapToGrid w:val="0"/>
              <w:spacing w:line="360" w:lineRule="auto"/>
              <w:ind w:firstLine="480" w:firstLineChars="200"/>
              <w:rPr>
                <w:rFonts w:hint="default" w:ascii="Times New Roman" w:hAnsi="Times New Roman" w:cs="Times New Roman"/>
                <w:kern w:val="0"/>
                <w:sz w:val="24"/>
                <w:highlight w:val="none"/>
              </w:rPr>
            </w:pPr>
          </w:p>
        </w:tc>
      </w:tr>
      <w:tr w14:paraId="527A68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787" w:hRule="atLeast"/>
        </w:trPr>
        <w:tc>
          <w:tcPr>
            <w:tcW w:w="1795" w:type="dxa"/>
            <w:noWrap w:val="0"/>
            <w:tcMar>
              <w:top w:w="16" w:type="dxa"/>
              <w:left w:w="16" w:type="dxa"/>
              <w:right w:w="16" w:type="dxa"/>
            </w:tcMar>
            <w:vAlign w:val="center"/>
          </w:tcPr>
          <w:p w14:paraId="66789B40">
            <w:pPr>
              <w:autoSpaceDE w:val="0"/>
              <w:autoSpaceDN w:val="0"/>
              <w:adjustRightInd w:val="0"/>
              <w:snapToGrid w:val="0"/>
              <w:spacing w:line="360" w:lineRule="auto"/>
              <w:jc w:val="center"/>
              <w:rPr>
                <w:rFonts w:hint="default" w:ascii="Times New Roman" w:hAnsi="Times New Roman" w:cs="Times New Roman"/>
                <w:sz w:val="24"/>
                <w:highlight w:val="none"/>
              </w:rPr>
            </w:pPr>
            <w:r>
              <w:rPr>
                <w:rFonts w:hint="default" w:ascii="Times New Roman" w:hAnsi="Times New Roman" w:cs="Times New Roman"/>
                <w:sz w:val="24"/>
                <w:highlight w:val="none"/>
              </w:rPr>
              <w:t>规划环境影响</w:t>
            </w:r>
          </w:p>
          <w:p w14:paraId="174CAA01">
            <w:pPr>
              <w:autoSpaceDE w:val="0"/>
              <w:autoSpaceDN w:val="0"/>
              <w:adjustRightInd w:val="0"/>
              <w:snapToGrid w:val="0"/>
              <w:spacing w:line="360" w:lineRule="auto"/>
              <w:jc w:val="center"/>
              <w:rPr>
                <w:rFonts w:hint="default" w:ascii="Times New Roman" w:hAnsi="Times New Roman" w:cs="Times New Roman"/>
                <w:kern w:val="0"/>
                <w:sz w:val="24"/>
                <w:highlight w:val="none"/>
              </w:rPr>
            </w:pPr>
            <w:r>
              <w:rPr>
                <w:rFonts w:hint="default" w:ascii="Times New Roman" w:hAnsi="Times New Roman" w:cs="Times New Roman"/>
                <w:sz w:val="24"/>
                <w:highlight w:val="none"/>
              </w:rPr>
              <w:t>评价情况</w:t>
            </w:r>
          </w:p>
        </w:tc>
        <w:tc>
          <w:tcPr>
            <w:tcW w:w="7244" w:type="dxa"/>
            <w:gridSpan w:val="4"/>
            <w:noWrap w:val="0"/>
            <w:tcMar>
              <w:top w:w="16" w:type="dxa"/>
              <w:left w:w="16" w:type="dxa"/>
              <w:right w:w="16" w:type="dxa"/>
            </w:tcMar>
            <w:vAlign w:val="center"/>
          </w:tcPr>
          <w:p w14:paraId="42C57265">
            <w:pPr>
              <w:spacing w:line="360" w:lineRule="auto"/>
              <w:ind w:firstLine="48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《鄂尔多斯市杭锦旗独贵塔拉工业园区总体规划环境影响报告</w:t>
            </w:r>
            <w:r>
              <w:rPr>
                <w:rFonts w:hint="default" w:ascii="Times New Roman" w:hAnsi="Times New Roman" w:eastAsia="宋体" w:cs="Times New Roman"/>
                <w:sz w:val="24"/>
                <w:szCs w:val="24"/>
                <w:highlight w:val="none"/>
                <w:lang w:eastAsia="zh-CN"/>
              </w:rPr>
              <w:t>书</w:t>
            </w:r>
            <w:r>
              <w:rPr>
                <w:rFonts w:hint="default" w:ascii="Times New Roman" w:hAnsi="Times New Roman" w:eastAsia="宋体" w:cs="Times New Roman"/>
                <w:sz w:val="24"/>
                <w:szCs w:val="24"/>
                <w:highlight w:val="none"/>
              </w:rPr>
              <w:t>》于2012年取得了原内蒙古自治区环境保护厅的审查意见（内环字</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2012</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149号）</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《内蒙古鄂尔多斯杭锦经济开发区总体规划</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2021-2035</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环境影响报告书》于</w:t>
            </w:r>
            <w:r>
              <w:rPr>
                <w:rFonts w:hint="default" w:ascii="Times New Roman" w:hAnsi="Times New Roman" w:eastAsia="宋体" w:cs="Times New Roman"/>
                <w:sz w:val="24"/>
                <w:szCs w:val="24"/>
                <w:highlight w:val="none"/>
                <w:lang w:val="en-US" w:eastAsia="zh-CN"/>
              </w:rPr>
              <w:t>2023</w:t>
            </w:r>
            <w:r>
              <w:rPr>
                <w:rFonts w:hint="default" w:ascii="Times New Roman" w:hAnsi="Times New Roman" w:eastAsia="宋体" w:cs="Times New Roman"/>
                <w:sz w:val="24"/>
                <w:szCs w:val="24"/>
                <w:highlight w:val="none"/>
              </w:rPr>
              <w:t>年取得了内蒙古自治区生态环境厅的审查意见（内环审</w:t>
            </w:r>
            <w:r>
              <w:rPr>
                <w:rFonts w:hint="default"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rPr>
              <w:t>2023</w:t>
            </w:r>
            <w:r>
              <w:rPr>
                <w:rFonts w:hint="default"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rPr>
              <w:t>41号）。本项目所依据的相关规划情况见表1-</w:t>
            </w:r>
            <w:r>
              <w:rPr>
                <w:rFonts w:hint="default" w:ascii="Times New Roman" w:hAnsi="Times New Roman" w:eastAsia="宋体" w:cs="Times New Roman"/>
                <w:sz w:val="24"/>
                <w:szCs w:val="24"/>
                <w:highlight w:val="none"/>
                <w:lang w:val="en-US" w:eastAsia="zh-CN"/>
              </w:rPr>
              <w:t>3</w:t>
            </w:r>
            <w:r>
              <w:rPr>
                <w:rFonts w:hint="default" w:ascii="Times New Roman" w:hAnsi="Times New Roman" w:eastAsia="宋体" w:cs="Times New Roman"/>
                <w:sz w:val="24"/>
                <w:szCs w:val="24"/>
                <w:highlight w:val="none"/>
              </w:rPr>
              <w:t>。</w:t>
            </w:r>
          </w:p>
          <w:p w14:paraId="7F4A2F87">
            <w:pPr>
              <w:pStyle w:val="31"/>
              <w:spacing w:line="440" w:lineRule="exact"/>
              <w:ind w:firstLine="0"/>
              <w:jc w:val="center"/>
              <w:rPr>
                <w:rFonts w:hint="default" w:ascii="Times New Roman" w:hAnsi="Times New Roman" w:cs="Times New Roman"/>
                <w:sz w:val="21"/>
                <w:szCs w:val="21"/>
                <w:highlight w:val="none"/>
              </w:rPr>
            </w:pPr>
            <w:r>
              <w:rPr>
                <w:rFonts w:hint="default" w:ascii="Times New Roman" w:hAnsi="Times New Roman" w:cs="Times New Roman"/>
                <w:b/>
                <w:bCs/>
                <w:sz w:val="21"/>
                <w:szCs w:val="21"/>
                <w:highlight w:val="none"/>
              </w:rPr>
              <w:t>表1-</w:t>
            </w:r>
            <w:r>
              <w:rPr>
                <w:rFonts w:hint="default" w:ascii="Times New Roman" w:hAnsi="Times New Roman" w:cs="Times New Roman"/>
                <w:b/>
                <w:bCs/>
                <w:sz w:val="21"/>
                <w:szCs w:val="21"/>
                <w:highlight w:val="none"/>
                <w:lang w:val="en-US" w:eastAsia="zh-CN"/>
              </w:rPr>
              <w:t>3</w:t>
            </w:r>
            <w:r>
              <w:rPr>
                <w:rFonts w:hint="eastAsia" w:ascii="Times New Roman" w:hAnsi="Times New Roman" w:cs="Times New Roman"/>
                <w:b/>
                <w:bCs/>
                <w:sz w:val="21"/>
                <w:szCs w:val="21"/>
                <w:highlight w:val="none"/>
                <w:lang w:val="en-US" w:eastAsia="zh-CN"/>
              </w:rPr>
              <w:t xml:space="preserve">   </w:t>
            </w:r>
            <w:r>
              <w:rPr>
                <w:rFonts w:hint="default" w:ascii="Times New Roman" w:hAnsi="Times New Roman" w:cs="Times New Roman"/>
                <w:b/>
                <w:bCs/>
                <w:sz w:val="21"/>
                <w:szCs w:val="21"/>
                <w:highlight w:val="none"/>
              </w:rPr>
              <w:t>相关规划环评发展历程</w:t>
            </w:r>
          </w:p>
          <w:tbl>
            <w:tblPr>
              <w:tblStyle w:val="19"/>
              <w:tblW w:w="496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94"/>
              <w:gridCol w:w="680"/>
              <w:gridCol w:w="3744"/>
              <w:gridCol w:w="2135"/>
            </w:tblGrid>
            <w:tr w14:paraId="35C53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 w:hRule="atLeast"/>
                <w:jc w:val="center"/>
              </w:trPr>
              <w:tc>
                <w:tcPr>
                  <w:tcW w:w="415" w:type="pct"/>
                  <w:noWrap w:val="0"/>
                  <w:vAlign w:val="center"/>
                </w:tcPr>
                <w:p w14:paraId="39C23363">
                  <w:pPr>
                    <w:kinsoku w:val="0"/>
                    <w:overflowPunct w:val="0"/>
                    <w:autoSpaceDE w:val="0"/>
                    <w:autoSpaceDN w:val="0"/>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序号</w:t>
                  </w:r>
                </w:p>
              </w:tc>
              <w:tc>
                <w:tcPr>
                  <w:tcW w:w="475" w:type="pct"/>
                  <w:noWrap w:val="0"/>
                  <w:vAlign w:val="center"/>
                </w:tcPr>
                <w:p w14:paraId="003955C8">
                  <w:pPr>
                    <w:kinsoku w:val="0"/>
                    <w:overflowPunct w:val="0"/>
                    <w:autoSpaceDE w:val="0"/>
                    <w:autoSpaceDN w:val="0"/>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年份</w:t>
                  </w:r>
                </w:p>
              </w:tc>
              <w:tc>
                <w:tcPr>
                  <w:tcW w:w="2616" w:type="pct"/>
                  <w:noWrap w:val="0"/>
                  <w:vAlign w:val="center"/>
                </w:tcPr>
                <w:p w14:paraId="553300BA">
                  <w:pPr>
                    <w:kinsoku w:val="0"/>
                    <w:overflowPunct w:val="0"/>
                    <w:autoSpaceDE w:val="0"/>
                    <w:autoSpaceDN w:val="0"/>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规划环评情况</w:t>
                  </w:r>
                </w:p>
              </w:tc>
              <w:tc>
                <w:tcPr>
                  <w:tcW w:w="1492" w:type="pct"/>
                  <w:noWrap w:val="0"/>
                  <w:vAlign w:val="center"/>
                </w:tcPr>
                <w:p w14:paraId="3509FFCD">
                  <w:pPr>
                    <w:kinsoku w:val="0"/>
                    <w:overflowPunct w:val="0"/>
                    <w:autoSpaceDE w:val="0"/>
                    <w:autoSpaceDN w:val="0"/>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批复情况</w:t>
                  </w:r>
                </w:p>
              </w:tc>
            </w:tr>
            <w:tr w14:paraId="15822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8" w:hRule="atLeast"/>
                <w:jc w:val="center"/>
              </w:trPr>
              <w:tc>
                <w:tcPr>
                  <w:tcW w:w="415" w:type="pct"/>
                  <w:noWrap w:val="0"/>
                  <w:vAlign w:val="center"/>
                </w:tcPr>
                <w:p w14:paraId="2EA875C2">
                  <w:pPr>
                    <w:widowControl/>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1</w:t>
                  </w:r>
                </w:p>
              </w:tc>
              <w:tc>
                <w:tcPr>
                  <w:tcW w:w="475" w:type="pct"/>
                  <w:noWrap w:val="0"/>
                  <w:vAlign w:val="center"/>
                </w:tcPr>
                <w:p w14:paraId="4726B7C9">
                  <w:pPr>
                    <w:widowControl/>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2012年</w:t>
                  </w:r>
                </w:p>
              </w:tc>
              <w:tc>
                <w:tcPr>
                  <w:tcW w:w="2616" w:type="pct"/>
                  <w:noWrap w:val="0"/>
                  <w:vAlign w:val="center"/>
                </w:tcPr>
                <w:p w14:paraId="3C53B22F">
                  <w:pPr>
                    <w:kinsoku w:val="0"/>
                    <w:overflowPunct w:val="0"/>
                    <w:autoSpaceDE w:val="0"/>
                    <w:autoSpaceDN w:val="0"/>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lang w:eastAsia="zh-CN"/>
                    </w:rPr>
                    <w:t>《</w:t>
                  </w:r>
                  <w:r>
                    <w:rPr>
                      <w:rFonts w:hint="default" w:ascii="Times New Roman" w:hAnsi="Times New Roman" w:cs="Times New Roman"/>
                      <w:szCs w:val="21"/>
                      <w:highlight w:val="none"/>
                    </w:rPr>
                    <w:t>内蒙古自治区环境保护厅关于鄂尔多斯市杭锦旗独贵塔拉工业园区总体规划环境影响报告</w:t>
                  </w:r>
                  <w:r>
                    <w:rPr>
                      <w:rFonts w:hint="default" w:ascii="Times New Roman" w:hAnsi="Times New Roman" w:cs="Times New Roman"/>
                      <w:szCs w:val="21"/>
                      <w:highlight w:val="none"/>
                      <w:lang w:eastAsia="zh-CN"/>
                    </w:rPr>
                    <w:t>书》</w:t>
                  </w:r>
                </w:p>
              </w:tc>
              <w:tc>
                <w:tcPr>
                  <w:tcW w:w="1492" w:type="pct"/>
                  <w:noWrap w:val="0"/>
                  <w:vAlign w:val="center"/>
                </w:tcPr>
                <w:p w14:paraId="1EF98D27">
                  <w:pPr>
                    <w:kinsoku w:val="0"/>
                    <w:overflowPunct w:val="0"/>
                    <w:autoSpaceDE w:val="0"/>
                    <w:autoSpaceDN w:val="0"/>
                    <w:adjustRightInd w:val="0"/>
                    <w:snapToGrid w:val="0"/>
                    <w:jc w:val="center"/>
                    <w:rPr>
                      <w:rFonts w:hint="eastAsia" w:ascii="Times New Roman" w:hAnsi="Times New Roman" w:eastAsia="宋体" w:cs="Times New Roman"/>
                      <w:szCs w:val="21"/>
                      <w:highlight w:val="none"/>
                      <w:lang w:eastAsia="zh-CN"/>
                    </w:rPr>
                  </w:pPr>
                  <w:r>
                    <w:rPr>
                      <w:rFonts w:hint="default" w:ascii="Times New Roman" w:hAnsi="Times New Roman" w:cs="Times New Roman"/>
                      <w:szCs w:val="21"/>
                      <w:highlight w:val="none"/>
                    </w:rPr>
                    <w:t>取得审查意见（内环字</w:t>
                  </w:r>
                  <w:r>
                    <w:rPr>
                      <w:rFonts w:hint="default" w:ascii="Times New Roman" w:hAnsi="Times New Roman" w:cs="Times New Roman"/>
                      <w:szCs w:val="21"/>
                      <w:highlight w:val="none"/>
                      <w:lang w:eastAsia="zh-CN"/>
                    </w:rPr>
                    <w:t>﹝</w:t>
                  </w:r>
                  <w:r>
                    <w:rPr>
                      <w:rFonts w:hint="default" w:ascii="Times New Roman" w:hAnsi="Times New Roman" w:cs="Times New Roman"/>
                      <w:szCs w:val="21"/>
                      <w:highlight w:val="none"/>
                    </w:rPr>
                    <w:t>2012</w:t>
                  </w:r>
                  <w:r>
                    <w:rPr>
                      <w:rFonts w:hint="default" w:ascii="Times New Roman" w:hAnsi="Times New Roman" w:cs="Times New Roman"/>
                      <w:szCs w:val="21"/>
                      <w:highlight w:val="none"/>
                      <w:lang w:eastAsia="zh-CN"/>
                    </w:rPr>
                    <w:t>﹞</w:t>
                  </w:r>
                  <w:r>
                    <w:rPr>
                      <w:rFonts w:hint="default" w:ascii="Times New Roman" w:hAnsi="Times New Roman" w:cs="Times New Roman"/>
                      <w:szCs w:val="21"/>
                      <w:highlight w:val="none"/>
                    </w:rPr>
                    <w:t>149号）</w:t>
                  </w:r>
                  <w:r>
                    <w:rPr>
                      <w:rFonts w:hint="eastAsia" w:cs="Times New Roman"/>
                      <w:szCs w:val="21"/>
                      <w:highlight w:val="none"/>
                      <w:lang w:eastAsia="zh-CN"/>
                    </w:rPr>
                    <w:t>。</w:t>
                  </w:r>
                </w:p>
              </w:tc>
            </w:tr>
            <w:tr w14:paraId="2FCFC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8" w:hRule="atLeast"/>
                <w:jc w:val="center"/>
              </w:trPr>
              <w:tc>
                <w:tcPr>
                  <w:tcW w:w="415" w:type="pct"/>
                  <w:noWrap w:val="0"/>
                  <w:vAlign w:val="center"/>
                </w:tcPr>
                <w:p w14:paraId="58A87A38">
                  <w:pPr>
                    <w:widowControl/>
                    <w:jc w:val="center"/>
                    <w:rPr>
                      <w:rFonts w:hint="default" w:ascii="Times New Roman" w:hAnsi="Times New Roman" w:eastAsia="宋体" w:cs="Times New Roman"/>
                      <w:szCs w:val="21"/>
                      <w:highlight w:val="none"/>
                      <w:lang w:val="en-US" w:eastAsia="zh-CN"/>
                    </w:rPr>
                  </w:pPr>
                  <w:r>
                    <w:rPr>
                      <w:rFonts w:hint="default" w:ascii="Times New Roman" w:hAnsi="Times New Roman" w:cs="Times New Roman"/>
                      <w:szCs w:val="21"/>
                      <w:highlight w:val="none"/>
                      <w:lang w:val="en-US" w:eastAsia="zh-CN"/>
                    </w:rPr>
                    <w:t>2</w:t>
                  </w:r>
                </w:p>
              </w:tc>
              <w:tc>
                <w:tcPr>
                  <w:tcW w:w="475" w:type="pct"/>
                  <w:noWrap w:val="0"/>
                  <w:vAlign w:val="center"/>
                </w:tcPr>
                <w:p w14:paraId="22CA728F">
                  <w:pPr>
                    <w:widowControl/>
                    <w:jc w:val="center"/>
                    <w:rPr>
                      <w:rFonts w:hint="default" w:ascii="Times New Roman" w:hAnsi="Times New Roman" w:cs="Times New Roman"/>
                      <w:szCs w:val="21"/>
                      <w:highlight w:val="none"/>
                    </w:rPr>
                  </w:pPr>
                  <w:r>
                    <w:rPr>
                      <w:rFonts w:hint="default" w:ascii="Times New Roman" w:hAnsi="Times New Roman" w:cs="Times New Roman"/>
                      <w:highlight w:val="none"/>
                      <w:lang w:val="en-US" w:eastAsia="zh-CN"/>
                    </w:rPr>
                    <w:t>2023</w:t>
                  </w:r>
                  <w:r>
                    <w:rPr>
                      <w:rFonts w:hint="default" w:ascii="Times New Roman" w:hAnsi="Times New Roman" w:cs="Times New Roman"/>
                      <w:highlight w:val="none"/>
                    </w:rPr>
                    <w:t>年</w:t>
                  </w:r>
                </w:p>
              </w:tc>
              <w:tc>
                <w:tcPr>
                  <w:tcW w:w="2616" w:type="pct"/>
                  <w:noWrap w:val="0"/>
                  <w:vAlign w:val="center"/>
                </w:tcPr>
                <w:p w14:paraId="37DDF420">
                  <w:pPr>
                    <w:kinsoku w:val="0"/>
                    <w:overflowPunct w:val="0"/>
                    <w:autoSpaceDE w:val="0"/>
                    <w:autoSpaceDN w:val="0"/>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lang w:eastAsia="zh-CN"/>
                    </w:rPr>
                    <w:t>《</w:t>
                  </w:r>
                  <w:r>
                    <w:rPr>
                      <w:rFonts w:hint="default" w:ascii="Times New Roman" w:hAnsi="Times New Roman" w:cs="Times New Roman"/>
                      <w:szCs w:val="21"/>
                      <w:highlight w:val="none"/>
                    </w:rPr>
                    <w:t>内蒙古鄂尔多斯杭锦经济开发区总体规划</w:t>
                  </w:r>
                  <w:r>
                    <w:rPr>
                      <w:rFonts w:hint="default" w:ascii="Times New Roman" w:hAnsi="Times New Roman" w:cs="Times New Roman"/>
                      <w:szCs w:val="21"/>
                      <w:highlight w:val="none"/>
                      <w:lang w:eastAsia="zh-CN"/>
                    </w:rPr>
                    <w:t>（</w:t>
                  </w:r>
                  <w:r>
                    <w:rPr>
                      <w:rFonts w:hint="default" w:ascii="Times New Roman" w:hAnsi="Times New Roman" w:cs="Times New Roman"/>
                      <w:szCs w:val="21"/>
                      <w:highlight w:val="none"/>
                    </w:rPr>
                    <w:t>2021</w:t>
                  </w:r>
                  <w:r>
                    <w:rPr>
                      <w:rFonts w:hint="eastAsia" w:cs="Times New Roman"/>
                      <w:szCs w:val="21"/>
                      <w:highlight w:val="none"/>
                      <w:lang w:eastAsia="zh-CN"/>
                    </w:rPr>
                    <w:t>—</w:t>
                  </w:r>
                  <w:r>
                    <w:rPr>
                      <w:rFonts w:hint="default" w:ascii="Times New Roman" w:hAnsi="Times New Roman" w:cs="Times New Roman"/>
                      <w:szCs w:val="21"/>
                      <w:highlight w:val="none"/>
                    </w:rPr>
                    <w:t>2035</w:t>
                  </w:r>
                  <w:r>
                    <w:rPr>
                      <w:rFonts w:hint="default" w:ascii="Times New Roman" w:hAnsi="Times New Roman" w:cs="Times New Roman"/>
                      <w:szCs w:val="21"/>
                      <w:highlight w:val="none"/>
                      <w:lang w:eastAsia="zh-CN"/>
                    </w:rPr>
                    <w:t>）</w:t>
                  </w:r>
                  <w:r>
                    <w:rPr>
                      <w:rFonts w:hint="default" w:ascii="Times New Roman" w:hAnsi="Times New Roman" w:cs="Times New Roman"/>
                      <w:szCs w:val="21"/>
                      <w:highlight w:val="none"/>
                    </w:rPr>
                    <w:t>环境影响报告书</w:t>
                  </w:r>
                  <w:r>
                    <w:rPr>
                      <w:rFonts w:hint="default" w:ascii="Times New Roman" w:hAnsi="Times New Roman" w:cs="Times New Roman"/>
                      <w:szCs w:val="21"/>
                      <w:highlight w:val="none"/>
                      <w:lang w:eastAsia="zh-CN"/>
                    </w:rPr>
                    <w:t>》</w:t>
                  </w:r>
                </w:p>
              </w:tc>
              <w:tc>
                <w:tcPr>
                  <w:tcW w:w="1492" w:type="pct"/>
                  <w:noWrap w:val="0"/>
                  <w:vAlign w:val="center"/>
                </w:tcPr>
                <w:p w14:paraId="1F95AE6D">
                  <w:pPr>
                    <w:kinsoku w:val="0"/>
                    <w:overflowPunct w:val="0"/>
                    <w:autoSpaceDE w:val="0"/>
                    <w:autoSpaceDN w:val="0"/>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取得审查意见</w:t>
                  </w:r>
                  <w:r>
                    <w:rPr>
                      <w:rFonts w:hint="default" w:ascii="Times New Roman" w:hAnsi="Times New Roman" w:cs="Times New Roman"/>
                      <w:szCs w:val="21"/>
                      <w:highlight w:val="none"/>
                      <w:lang w:eastAsia="zh-CN"/>
                    </w:rPr>
                    <w:t>（</w:t>
                  </w:r>
                  <w:r>
                    <w:rPr>
                      <w:rFonts w:hint="default" w:ascii="Times New Roman" w:hAnsi="Times New Roman" w:cs="Times New Roman"/>
                      <w:szCs w:val="21"/>
                      <w:highlight w:val="none"/>
                    </w:rPr>
                    <w:t>内环审</w:t>
                  </w:r>
                  <w:r>
                    <w:rPr>
                      <w:rFonts w:hint="default" w:ascii="Times New Roman" w:hAnsi="Times New Roman" w:cs="Times New Roman"/>
                      <w:szCs w:val="21"/>
                      <w:highlight w:val="none"/>
                      <w:lang w:val="en-US" w:eastAsia="zh-CN"/>
                    </w:rPr>
                    <w:t>﹝</w:t>
                  </w:r>
                  <w:r>
                    <w:rPr>
                      <w:rFonts w:hint="default" w:ascii="Times New Roman" w:hAnsi="Times New Roman" w:cs="Times New Roman"/>
                      <w:szCs w:val="21"/>
                      <w:highlight w:val="none"/>
                    </w:rPr>
                    <w:t>2023</w:t>
                  </w:r>
                  <w:r>
                    <w:rPr>
                      <w:rFonts w:hint="default" w:ascii="Times New Roman" w:hAnsi="Times New Roman" w:cs="Times New Roman"/>
                      <w:szCs w:val="21"/>
                      <w:highlight w:val="none"/>
                      <w:lang w:val="en-US" w:eastAsia="zh-CN"/>
                    </w:rPr>
                    <w:t>﹞</w:t>
                  </w:r>
                  <w:r>
                    <w:rPr>
                      <w:rFonts w:hint="default" w:ascii="Times New Roman" w:hAnsi="Times New Roman" w:cs="Times New Roman"/>
                      <w:szCs w:val="21"/>
                      <w:highlight w:val="none"/>
                    </w:rPr>
                    <w:t>41号</w:t>
                  </w:r>
                  <w:r>
                    <w:rPr>
                      <w:rFonts w:hint="default" w:ascii="Times New Roman" w:hAnsi="Times New Roman" w:cs="Times New Roman"/>
                      <w:szCs w:val="21"/>
                      <w:highlight w:val="none"/>
                      <w:lang w:eastAsia="zh-CN"/>
                    </w:rPr>
                    <w:t>）。</w:t>
                  </w:r>
                </w:p>
              </w:tc>
            </w:tr>
          </w:tbl>
          <w:p w14:paraId="1D1A0D99">
            <w:pPr>
              <w:adjustRightInd w:val="0"/>
              <w:snapToGrid w:val="0"/>
              <w:spacing w:line="360" w:lineRule="auto"/>
              <w:ind w:firstLine="480" w:firstLineChars="200"/>
              <w:jc w:val="left"/>
              <w:rPr>
                <w:rFonts w:hint="default" w:ascii="Times New Roman" w:hAnsi="Times New Roman" w:cs="Times New Roman"/>
                <w:kern w:val="0"/>
                <w:sz w:val="24"/>
                <w:highlight w:val="none"/>
              </w:rPr>
            </w:pPr>
          </w:p>
        </w:tc>
      </w:tr>
      <w:tr w14:paraId="537F1B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557" w:hRule="atLeast"/>
        </w:trPr>
        <w:tc>
          <w:tcPr>
            <w:tcW w:w="1795" w:type="dxa"/>
            <w:noWrap w:val="0"/>
            <w:tcMar>
              <w:top w:w="16" w:type="dxa"/>
              <w:left w:w="16" w:type="dxa"/>
              <w:right w:w="16" w:type="dxa"/>
            </w:tcMar>
            <w:vAlign w:val="center"/>
          </w:tcPr>
          <w:p w14:paraId="55B4B8EB">
            <w:pPr>
              <w:autoSpaceDE w:val="0"/>
              <w:autoSpaceDN w:val="0"/>
              <w:adjustRightInd w:val="0"/>
              <w:snapToGrid w:val="0"/>
              <w:jc w:val="center"/>
              <w:rPr>
                <w:rFonts w:hint="default" w:ascii="Times New Roman" w:hAnsi="Times New Roman" w:cs="Times New Roman"/>
                <w:kern w:val="0"/>
                <w:szCs w:val="21"/>
                <w:highlight w:val="none"/>
              </w:rPr>
            </w:pPr>
            <w:r>
              <w:rPr>
                <w:rFonts w:hint="default" w:ascii="Times New Roman" w:hAnsi="Times New Roman" w:cs="Times New Roman"/>
                <w:kern w:val="0"/>
                <w:sz w:val="24"/>
                <w:highlight w:val="none"/>
              </w:rPr>
              <w:t>规划及</w:t>
            </w:r>
            <w:r>
              <w:rPr>
                <w:rFonts w:hint="default" w:ascii="Times New Roman" w:hAnsi="Times New Roman" w:cs="Times New Roman"/>
                <w:sz w:val="24"/>
                <w:highlight w:val="none"/>
              </w:rPr>
              <w:t>规划环境影响评价</w:t>
            </w:r>
            <w:r>
              <w:rPr>
                <w:rFonts w:hint="default" w:ascii="Times New Roman" w:hAnsi="Times New Roman" w:cs="Times New Roman"/>
                <w:kern w:val="0"/>
                <w:sz w:val="24"/>
                <w:highlight w:val="none"/>
              </w:rPr>
              <w:t>符合性分析</w:t>
            </w:r>
          </w:p>
        </w:tc>
        <w:tc>
          <w:tcPr>
            <w:tcW w:w="7244" w:type="dxa"/>
            <w:gridSpan w:val="4"/>
            <w:noWrap w:val="0"/>
            <w:tcMar>
              <w:top w:w="16" w:type="dxa"/>
              <w:left w:w="16" w:type="dxa"/>
              <w:right w:w="16" w:type="dxa"/>
            </w:tcMar>
            <w:vAlign w:val="center"/>
          </w:tcPr>
          <w:p w14:paraId="4954B887">
            <w:pPr>
              <w:numPr>
                <w:ilvl w:val="0"/>
                <w:numId w:val="0"/>
              </w:numPr>
              <w:autoSpaceDE w:val="0"/>
              <w:autoSpaceDN w:val="0"/>
              <w:adjustRightInd w:val="0"/>
              <w:snapToGrid w:val="0"/>
              <w:spacing w:line="360" w:lineRule="auto"/>
              <w:rPr>
                <w:rFonts w:hint="default" w:ascii="Times New Roman" w:hAnsi="Times New Roman" w:cs="Times New Roman"/>
                <w:b/>
                <w:bCs/>
                <w:sz w:val="24"/>
                <w:szCs w:val="32"/>
                <w:highlight w:val="none"/>
              </w:rPr>
            </w:pPr>
            <w:r>
              <w:rPr>
                <w:rFonts w:hint="eastAsia" w:cs="Times New Roman"/>
                <w:b/>
                <w:bCs/>
                <w:sz w:val="24"/>
                <w:szCs w:val="32"/>
                <w:highlight w:val="none"/>
                <w:lang w:val="en-US" w:eastAsia="zh-CN"/>
              </w:rPr>
              <w:t>1.</w:t>
            </w:r>
            <w:r>
              <w:rPr>
                <w:rFonts w:hint="default" w:ascii="Times New Roman" w:hAnsi="Times New Roman" w:cs="Times New Roman"/>
                <w:b/>
                <w:bCs/>
                <w:sz w:val="24"/>
                <w:szCs w:val="32"/>
                <w:highlight w:val="none"/>
                <w:lang w:val="en-US" w:eastAsia="zh-CN"/>
              </w:rPr>
              <w:t>园区</w:t>
            </w:r>
            <w:r>
              <w:rPr>
                <w:rFonts w:hint="default" w:ascii="Times New Roman" w:hAnsi="Times New Roman" w:cs="Times New Roman"/>
                <w:b/>
                <w:bCs/>
                <w:sz w:val="24"/>
                <w:szCs w:val="32"/>
                <w:highlight w:val="none"/>
              </w:rPr>
              <w:t>规划符合性</w:t>
            </w:r>
          </w:p>
          <w:p w14:paraId="7729E091">
            <w:pPr>
              <w:autoSpaceDE w:val="0"/>
              <w:autoSpaceDN w:val="0"/>
              <w:adjustRightInd w:val="0"/>
              <w:snapToGrid w:val="0"/>
              <w:spacing w:line="360" w:lineRule="auto"/>
              <w:ind w:firstLine="480" w:firstLineChars="200"/>
              <w:rPr>
                <w:rFonts w:hint="default" w:ascii="Times New Roman" w:hAnsi="Times New Roman" w:eastAsia="宋体" w:cs="Times New Roman"/>
                <w:color w:val="000000"/>
                <w:sz w:val="24"/>
                <w:highlight w:val="none"/>
              </w:rPr>
            </w:pPr>
            <w:r>
              <w:rPr>
                <w:rFonts w:hint="default" w:ascii="Times New Roman" w:hAnsi="Times New Roman" w:eastAsia="宋体" w:cs="Times New Roman"/>
                <w:color w:val="000000"/>
                <w:sz w:val="24"/>
                <w:highlight w:val="none"/>
              </w:rPr>
              <w:t>2010年，内蒙古自治区出台《内蒙古自治区以呼包鄂为核心沿黄河交通干线经济带重点产业发展规划（2010-2020）》，将独贵塔拉工业园区规划为22个自治区级重点园区和产业集中区之一。2012年取得《内蒙古自治区鄂尔多斯市杭锦旗独贵塔拉工业园区总体规划环境影响报告书》审查意见（内环字〔2012〕149号），工业园区总体控制面积为300平方公里，规划面积为80平方公里，其中独贵塔拉产业园（北区）位于原杭锦能源化工基地，规划面积45.50平方公里，独贵塔拉产业园（南区）位于独贵塔拉镇敖楞乌苏嘎查，规划面积34.50平方公里，两区相距32公里。产业定位以煤炭全方位综合利用为目标，以煤气化技术为核心，采用上下游一体化的发展模式，构筑以新型能源产品、新型功能性合成材料、精细化工产品等为主干的产品结构。</w:t>
            </w:r>
          </w:p>
          <w:p w14:paraId="74494834">
            <w:pPr>
              <w:autoSpaceDE w:val="0"/>
              <w:autoSpaceDN w:val="0"/>
              <w:adjustRightInd w:val="0"/>
              <w:snapToGrid w:val="0"/>
              <w:spacing w:line="360" w:lineRule="auto"/>
              <w:ind w:firstLine="480" w:firstLineChars="200"/>
              <w:rPr>
                <w:rFonts w:hint="default" w:ascii="Times New Roman" w:hAnsi="Times New Roman" w:cs="Times New Roman"/>
                <w:sz w:val="24"/>
                <w:szCs w:val="24"/>
                <w:highlight w:val="none"/>
              </w:rPr>
            </w:pPr>
            <w:r>
              <w:rPr>
                <w:rFonts w:hint="default" w:ascii="Times New Roman" w:hAnsi="Times New Roman" w:eastAsia="宋体" w:cs="Times New Roman"/>
                <w:color w:val="000000"/>
                <w:sz w:val="24"/>
                <w:highlight w:val="none"/>
              </w:rPr>
              <w:t>内蒙古鄂尔多斯杭锦经济开发区（以下简称</w:t>
            </w:r>
            <w:r>
              <w:rPr>
                <w:rFonts w:hint="eastAsia" w:cs="Times New Roman"/>
                <w:color w:val="000000"/>
                <w:sz w:val="24"/>
                <w:highlight w:val="none"/>
                <w:lang w:eastAsia="zh-CN"/>
              </w:rPr>
              <w:t>“</w:t>
            </w:r>
            <w:r>
              <w:rPr>
                <w:rFonts w:hint="default" w:ascii="Times New Roman" w:hAnsi="Times New Roman" w:eastAsia="宋体" w:cs="Times New Roman"/>
                <w:color w:val="000000"/>
                <w:sz w:val="24"/>
                <w:highlight w:val="none"/>
              </w:rPr>
              <w:t>开发区</w:t>
            </w:r>
            <w:r>
              <w:rPr>
                <w:rFonts w:hint="eastAsia" w:cs="Times New Roman"/>
                <w:color w:val="000000"/>
                <w:sz w:val="24"/>
                <w:highlight w:val="none"/>
                <w:lang w:eastAsia="zh-CN"/>
              </w:rPr>
              <w:t>”</w:t>
            </w:r>
            <w:r>
              <w:rPr>
                <w:rFonts w:hint="default" w:ascii="Times New Roman" w:hAnsi="Times New Roman" w:eastAsia="宋体" w:cs="Times New Roman"/>
                <w:color w:val="000000"/>
                <w:sz w:val="24"/>
                <w:highlight w:val="none"/>
              </w:rPr>
              <w:t>）成立于2021年7月，位于内蒙古自治区鄂尔多斯市杭锦旗。内蒙古鄂尔多斯杭锦经济开发区管委会组织编制了《内蒙古鄂尔多斯杭锦经济开发区总体规划》（2021</w:t>
            </w:r>
            <w:r>
              <w:rPr>
                <w:rFonts w:hint="eastAsia" w:cs="Times New Roman"/>
                <w:color w:val="000000"/>
                <w:sz w:val="24"/>
                <w:highlight w:val="none"/>
                <w:lang w:eastAsia="zh-CN"/>
              </w:rPr>
              <w:t>—</w:t>
            </w:r>
            <w:r>
              <w:rPr>
                <w:rFonts w:hint="default" w:ascii="Times New Roman" w:hAnsi="Times New Roman" w:eastAsia="宋体" w:cs="Times New Roman"/>
                <w:color w:val="000000"/>
                <w:sz w:val="24"/>
                <w:highlight w:val="none"/>
              </w:rPr>
              <w:t>2035年）。2023年，内蒙古鄂尔多斯杭锦经济开发区管理委员会组织编制了《内蒙古鄂尔多斯杭锦经济开发区总体规划（2021</w:t>
            </w:r>
            <w:r>
              <w:rPr>
                <w:rFonts w:hint="eastAsia" w:cs="Times New Roman"/>
                <w:color w:val="000000"/>
                <w:sz w:val="24"/>
                <w:highlight w:val="none"/>
                <w:lang w:eastAsia="zh-CN"/>
              </w:rPr>
              <w:t>—</w:t>
            </w:r>
            <w:r>
              <w:rPr>
                <w:rFonts w:hint="default" w:ascii="Times New Roman" w:hAnsi="Times New Roman" w:eastAsia="宋体" w:cs="Times New Roman"/>
                <w:color w:val="000000"/>
                <w:sz w:val="24"/>
                <w:highlight w:val="none"/>
              </w:rPr>
              <w:t>2035年）环境影响报告书》，2023年6月取得内蒙古自治区生态环境厅关于《内蒙古鄂尔多斯杭锦经济开发区总体规划（2021</w:t>
            </w:r>
            <w:r>
              <w:rPr>
                <w:rFonts w:hint="eastAsia" w:cs="Times New Roman"/>
                <w:color w:val="000000"/>
                <w:sz w:val="24"/>
                <w:highlight w:val="none"/>
                <w:lang w:eastAsia="zh-CN"/>
              </w:rPr>
              <w:t>—</w:t>
            </w:r>
            <w:r>
              <w:rPr>
                <w:rFonts w:hint="default" w:ascii="Times New Roman" w:hAnsi="Times New Roman" w:eastAsia="宋体" w:cs="Times New Roman"/>
                <w:color w:val="000000"/>
                <w:sz w:val="24"/>
                <w:highlight w:val="none"/>
              </w:rPr>
              <w:t>2035年）环境影响报告书》的审查意见（内环字〔2023〕41号）。</w:t>
            </w:r>
            <w:r>
              <w:rPr>
                <w:rFonts w:hint="default" w:ascii="Times New Roman" w:hAnsi="Times New Roman" w:eastAsia="宋体" w:cs="Times New Roman"/>
                <w:color w:val="000000"/>
                <w:sz w:val="24"/>
                <w:highlight w:val="none"/>
                <w:lang w:val="en-US" w:eastAsia="zh-CN"/>
              </w:rPr>
              <w:t>规划环评中</w:t>
            </w:r>
            <w:r>
              <w:rPr>
                <w:rFonts w:hint="eastAsia" w:cs="Times New Roman"/>
                <w:color w:val="000000"/>
                <w:sz w:val="24"/>
                <w:highlight w:val="none"/>
                <w:lang w:val="en-US" w:eastAsia="zh-CN"/>
              </w:rPr>
              <w:t>“</w:t>
            </w:r>
            <w:r>
              <w:rPr>
                <w:rFonts w:hint="default" w:ascii="Times New Roman" w:hAnsi="Times New Roman" w:eastAsia="宋体" w:cs="Times New Roman"/>
                <w:color w:val="000000"/>
                <w:sz w:val="24"/>
                <w:highlight w:val="none"/>
                <w:lang w:val="en-US" w:eastAsia="zh-CN"/>
              </w:rPr>
              <w:t>内蒙古鄂尔多斯市杭锦旗经济开发区包括独贵塔拉产业园和新能源产业园，总面积13.32平方公里，其中独贵塔拉产业园北项目区占地面积6.09平方公里，独贵塔拉产业园南项目区占地面积5.76平方公里，新能源产业园占地面积1.47平方公里。</w:t>
            </w:r>
            <w:r>
              <w:rPr>
                <w:rFonts w:hint="eastAsia" w:cs="Times New Roman"/>
                <w:color w:val="000000"/>
                <w:sz w:val="24"/>
                <w:highlight w:val="none"/>
                <w:lang w:val="en-US" w:eastAsia="zh-CN"/>
              </w:rPr>
              <w:t>”</w:t>
            </w:r>
            <w:r>
              <w:rPr>
                <w:rFonts w:hint="default" w:ascii="Times New Roman" w:hAnsi="Times New Roman" w:eastAsia="宋体" w:cs="Times New Roman"/>
                <w:color w:val="000000"/>
                <w:sz w:val="24"/>
                <w:highlight w:val="none"/>
                <w:lang w:val="en-US" w:eastAsia="zh-CN"/>
              </w:rPr>
              <w:t>本项目位于</w:t>
            </w:r>
            <w:r>
              <w:rPr>
                <w:rFonts w:hint="default" w:ascii="Times New Roman" w:hAnsi="Times New Roman" w:eastAsia="宋体" w:cs="Times New Roman"/>
                <w:bCs/>
                <w:color w:val="000000"/>
                <w:sz w:val="24"/>
                <w:highlight w:val="none"/>
              </w:rPr>
              <w:t>鄂尔多斯市杭锦旗经济开发区独贵塔拉产业园</w:t>
            </w:r>
            <w:r>
              <w:rPr>
                <w:rFonts w:hint="default" w:ascii="Times New Roman" w:hAnsi="Times New Roman" w:eastAsia="宋体" w:cs="Times New Roman"/>
                <w:color w:val="000000"/>
                <w:sz w:val="24"/>
                <w:highlight w:val="none"/>
              </w:rPr>
              <w:t>南项目区</w:t>
            </w:r>
            <w:r>
              <w:rPr>
                <w:rFonts w:hint="default" w:ascii="Times New Roman" w:hAnsi="Times New Roman" w:cs="Times New Roman"/>
                <w:color w:val="000000"/>
                <w:sz w:val="24"/>
                <w:highlight w:val="none"/>
                <w:lang w:eastAsia="zh-CN"/>
              </w:rPr>
              <w:t>（</w:t>
            </w:r>
            <w:r>
              <w:rPr>
                <w:rFonts w:hint="default" w:ascii="Times New Roman" w:hAnsi="Times New Roman" w:cs="Times New Roman"/>
                <w:color w:val="000000"/>
                <w:sz w:val="24"/>
                <w:highlight w:val="none"/>
                <w:lang w:val="en-US" w:eastAsia="zh-CN"/>
              </w:rPr>
              <w:t>又名锦泰精细化工园</w:t>
            </w:r>
            <w:r>
              <w:rPr>
                <w:rFonts w:hint="default" w:ascii="Times New Roman" w:hAnsi="Times New Roman" w:cs="Times New Roman"/>
                <w:color w:val="000000"/>
                <w:sz w:val="24"/>
                <w:highlight w:val="none"/>
                <w:lang w:eastAsia="zh-CN"/>
              </w:rPr>
              <w:t>）</w:t>
            </w:r>
            <w:r>
              <w:rPr>
                <w:rFonts w:hint="default" w:ascii="Times New Roman" w:hAnsi="Times New Roman" w:eastAsia="宋体" w:cs="Times New Roman"/>
                <w:color w:val="000000"/>
                <w:sz w:val="24"/>
                <w:highlight w:val="none"/>
                <w:lang w:eastAsia="zh-CN"/>
              </w:rPr>
              <w:t>，</w:t>
            </w:r>
            <w:r>
              <w:rPr>
                <w:rFonts w:hint="default" w:ascii="Times New Roman" w:hAnsi="Times New Roman" w:eastAsia="宋体" w:cs="Times New Roman"/>
                <w:color w:val="000000"/>
                <w:sz w:val="24"/>
                <w:highlight w:val="none"/>
                <w:lang w:val="en-US" w:eastAsia="zh-CN"/>
              </w:rPr>
              <w:t>以下重点分析南项目区相关符合性</w:t>
            </w:r>
            <w:r>
              <w:rPr>
                <w:rFonts w:hint="default" w:ascii="Times New Roman" w:hAnsi="Times New Roman" w:eastAsia="宋体" w:cs="Times New Roman"/>
                <w:bCs/>
                <w:color w:val="000000"/>
                <w:sz w:val="24"/>
                <w:highlight w:val="none"/>
                <w:lang w:eastAsia="zh-CN"/>
              </w:rPr>
              <w:t>。</w:t>
            </w:r>
          </w:p>
          <w:p w14:paraId="56EE4E70">
            <w:pPr>
              <w:ind w:firstLine="480"/>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本项目与园区规划符合性分析</w:t>
            </w:r>
            <w:r>
              <w:rPr>
                <w:rFonts w:hint="default" w:ascii="Times New Roman" w:hAnsi="Times New Roman" w:cs="Times New Roman"/>
                <w:sz w:val="24"/>
                <w:szCs w:val="24"/>
                <w:highlight w:val="none"/>
                <w:lang w:eastAsia="zh-CN"/>
              </w:rPr>
              <w:t>如</w:t>
            </w:r>
            <w:r>
              <w:rPr>
                <w:rFonts w:hint="default" w:ascii="Times New Roman" w:hAnsi="Times New Roman" w:cs="Times New Roman"/>
                <w:sz w:val="24"/>
                <w:szCs w:val="24"/>
                <w:highlight w:val="none"/>
              </w:rPr>
              <w:t>表1-</w:t>
            </w:r>
            <w:r>
              <w:rPr>
                <w:rFonts w:hint="default" w:ascii="Times New Roman" w:hAnsi="Times New Roman" w:cs="Times New Roman"/>
                <w:sz w:val="24"/>
                <w:szCs w:val="24"/>
                <w:highlight w:val="none"/>
                <w:lang w:val="en-US" w:eastAsia="zh-CN"/>
              </w:rPr>
              <w:t>4</w:t>
            </w:r>
            <w:r>
              <w:rPr>
                <w:rFonts w:hint="default" w:ascii="Times New Roman" w:hAnsi="Times New Roman" w:cs="Times New Roman"/>
                <w:sz w:val="24"/>
                <w:szCs w:val="24"/>
                <w:highlight w:val="none"/>
              </w:rPr>
              <w:t>所示。</w:t>
            </w:r>
          </w:p>
          <w:p w14:paraId="5493424D">
            <w:pPr>
              <w:snapToGrid w:val="0"/>
              <w:spacing w:line="360" w:lineRule="auto"/>
              <w:rPr>
                <w:rFonts w:hint="default" w:ascii="Times New Roman" w:hAnsi="Times New Roman" w:eastAsia="宋体" w:cs="Times New Roman"/>
                <w:color w:val="000000"/>
                <w:sz w:val="24"/>
                <w:szCs w:val="22"/>
                <w:highlight w:val="none"/>
                <w:lang w:eastAsia="zh-CN"/>
              </w:rPr>
            </w:pPr>
            <w:r>
              <w:rPr>
                <w:rFonts w:hint="default" w:ascii="Times New Roman" w:hAnsi="Times New Roman" w:eastAsia="宋体" w:cs="Times New Roman"/>
                <w:color w:val="000000"/>
                <w:sz w:val="24"/>
                <w:szCs w:val="22"/>
                <w:highlight w:val="none"/>
                <w:lang w:eastAsia="zh-CN"/>
              </w:rPr>
              <w:drawing>
                <wp:inline distT="0" distB="0" distL="114300" distR="114300">
                  <wp:extent cx="4490085" cy="2978785"/>
                  <wp:effectExtent l="0" t="0" r="5715" b="12065"/>
                  <wp:docPr id="41" name="图片 41" descr="13c97d22c492a830470612cfe90dcc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13c97d22c492a830470612cfe90dccb4"/>
                          <pic:cNvPicPr>
                            <a:picLocks noChangeAspect="1"/>
                          </pic:cNvPicPr>
                        </pic:nvPicPr>
                        <pic:blipFill>
                          <a:blip r:embed="rId7"/>
                          <a:stretch>
                            <a:fillRect/>
                          </a:stretch>
                        </pic:blipFill>
                        <pic:spPr>
                          <a:xfrm>
                            <a:off x="0" y="0"/>
                            <a:ext cx="4490085" cy="2978785"/>
                          </a:xfrm>
                          <a:prstGeom prst="rect">
                            <a:avLst/>
                          </a:prstGeom>
                        </pic:spPr>
                      </pic:pic>
                    </a:graphicData>
                  </a:graphic>
                </wp:inline>
              </w:drawing>
            </w:r>
          </w:p>
          <w:p w14:paraId="50981424">
            <w:pPr>
              <w:pStyle w:val="31"/>
              <w:spacing w:line="440" w:lineRule="exact"/>
              <w:ind w:firstLine="0"/>
              <w:jc w:val="center"/>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图1-1</w:t>
            </w:r>
            <w:r>
              <w:rPr>
                <w:rFonts w:hint="eastAsia" w:ascii="Times New Roman" w:hAnsi="Times New Roman" w:cs="Times New Roman"/>
                <w:b/>
                <w:bCs/>
                <w:sz w:val="21"/>
                <w:szCs w:val="21"/>
                <w:highlight w:val="none"/>
                <w:lang w:val="en-US" w:eastAsia="zh-CN"/>
              </w:rPr>
              <w:t xml:space="preserve">   </w:t>
            </w:r>
            <w:r>
              <w:rPr>
                <w:rFonts w:hint="default" w:ascii="Times New Roman" w:hAnsi="Times New Roman" w:eastAsia="宋体" w:cs="Times New Roman"/>
                <w:b/>
                <w:bCs/>
                <w:sz w:val="21"/>
                <w:szCs w:val="21"/>
                <w:highlight w:val="none"/>
              </w:rPr>
              <w:t>本项目与南项目区产业规划的位置关系图</w:t>
            </w:r>
          </w:p>
          <w:p w14:paraId="592FE22B">
            <w:pPr>
              <w:pStyle w:val="31"/>
              <w:spacing w:line="440" w:lineRule="exact"/>
              <w:ind w:firstLine="0"/>
              <w:jc w:val="center"/>
              <w:rPr>
                <w:rFonts w:hint="default" w:ascii="Times New Roman" w:hAnsi="Times New Roman" w:cs="Times New Roman"/>
                <w:sz w:val="21"/>
                <w:szCs w:val="21"/>
                <w:highlight w:val="none"/>
              </w:rPr>
            </w:pPr>
            <w:r>
              <w:rPr>
                <w:rFonts w:hint="default" w:ascii="Times New Roman" w:hAnsi="Times New Roman" w:cs="Times New Roman"/>
                <w:b/>
                <w:bCs/>
                <w:sz w:val="21"/>
                <w:szCs w:val="21"/>
                <w:highlight w:val="none"/>
              </w:rPr>
              <w:t>表1-</w:t>
            </w:r>
            <w:r>
              <w:rPr>
                <w:rFonts w:hint="default" w:ascii="Times New Roman" w:hAnsi="Times New Roman" w:cs="Times New Roman"/>
                <w:b/>
                <w:bCs/>
                <w:sz w:val="21"/>
                <w:szCs w:val="21"/>
                <w:highlight w:val="none"/>
                <w:lang w:val="en-US" w:eastAsia="zh-CN"/>
              </w:rPr>
              <w:t>4</w:t>
            </w:r>
            <w:r>
              <w:rPr>
                <w:rFonts w:hint="eastAsia" w:ascii="Times New Roman" w:hAnsi="Times New Roman" w:cs="Times New Roman"/>
                <w:b/>
                <w:bCs/>
                <w:sz w:val="21"/>
                <w:szCs w:val="21"/>
                <w:highlight w:val="none"/>
                <w:lang w:val="en-US" w:eastAsia="zh-CN"/>
              </w:rPr>
              <w:t xml:space="preserve">   </w:t>
            </w:r>
            <w:r>
              <w:rPr>
                <w:rFonts w:hint="default" w:ascii="Times New Roman" w:hAnsi="Times New Roman" w:cs="Times New Roman"/>
                <w:b/>
                <w:bCs/>
                <w:sz w:val="21"/>
                <w:szCs w:val="21"/>
                <w:highlight w:val="none"/>
              </w:rPr>
              <w:t>与园区规划符合性分析</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72"/>
              <w:gridCol w:w="4015"/>
              <w:gridCol w:w="2177"/>
              <w:gridCol w:w="438"/>
            </w:tblGrid>
            <w:tr w14:paraId="0B4CF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97" w:type="pct"/>
                  <w:noWrap w:val="0"/>
                  <w:vAlign w:val="center"/>
                </w:tcPr>
                <w:p w14:paraId="2F1FDD85">
                  <w:pPr>
                    <w:kinsoku w:val="0"/>
                    <w:overflowPunct w:val="0"/>
                    <w:autoSpaceDE w:val="0"/>
                    <w:autoSpaceDN w:val="0"/>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项目</w:t>
                  </w:r>
                </w:p>
              </w:tc>
              <w:tc>
                <w:tcPr>
                  <w:tcW w:w="2786" w:type="pct"/>
                  <w:noWrap w:val="0"/>
                  <w:vAlign w:val="center"/>
                </w:tcPr>
                <w:p w14:paraId="1BA7EE71">
                  <w:pPr>
                    <w:kinsoku w:val="0"/>
                    <w:overflowPunct w:val="0"/>
                    <w:autoSpaceDE w:val="0"/>
                    <w:autoSpaceDN w:val="0"/>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园区规划内容</w:t>
                  </w:r>
                </w:p>
              </w:tc>
              <w:tc>
                <w:tcPr>
                  <w:tcW w:w="1511" w:type="pct"/>
                  <w:noWrap w:val="0"/>
                  <w:vAlign w:val="center"/>
                </w:tcPr>
                <w:p w14:paraId="44C74748">
                  <w:pPr>
                    <w:kinsoku w:val="0"/>
                    <w:overflowPunct w:val="0"/>
                    <w:autoSpaceDE w:val="0"/>
                    <w:autoSpaceDN w:val="0"/>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本项目相关内容</w:t>
                  </w:r>
                </w:p>
              </w:tc>
              <w:tc>
                <w:tcPr>
                  <w:tcW w:w="304" w:type="pct"/>
                  <w:noWrap w:val="0"/>
                  <w:vAlign w:val="center"/>
                </w:tcPr>
                <w:p w14:paraId="7F1DD33D">
                  <w:pPr>
                    <w:kinsoku w:val="0"/>
                    <w:overflowPunct w:val="0"/>
                    <w:autoSpaceDE w:val="0"/>
                    <w:autoSpaceDN w:val="0"/>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是否相符</w:t>
                  </w:r>
                </w:p>
              </w:tc>
            </w:tr>
            <w:tr w14:paraId="3CE14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97" w:type="pct"/>
                  <w:noWrap w:val="0"/>
                  <w:vAlign w:val="center"/>
                </w:tcPr>
                <w:p w14:paraId="2E1A180D">
                  <w:pPr>
                    <w:kinsoku w:val="0"/>
                    <w:overflowPunct w:val="0"/>
                    <w:autoSpaceDE w:val="0"/>
                    <w:autoSpaceDN w:val="0"/>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基地</w:t>
                  </w:r>
                </w:p>
                <w:p w14:paraId="7E34E19C">
                  <w:pPr>
                    <w:kinsoku w:val="0"/>
                    <w:overflowPunct w:val="0"/>
                    <w:autoSpaceDE w:val="0"/>
                    <w:autoSpaceDN w:val="0"/>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性质</w:t>
                  </w:r>
                </w:p>
              </w:tc>
              <w:tc>
                <w:tcPr>
                  <w:tcW w:w="2786" w:type="pct"/>
                  <w:noWrap w:val="0"/>
                  <w:vAlign w:val="center"/>
                </w:tcPr>
                <w:p w14:paraId="0F47A827">
                  <w:pPr>
                    <w:keepNext w:val="0"/>
                    <w:keepLines w:val="0"/>
                    <w:pageBreakBefore w:val="0"/>
                    <w:widowControl w:val="0"/>
                    <w:kinsoku w:val="0"/>
                    <w:wordWrap/>
                    <w:overflowPunct w:val="0"/>
                    <w:topLinePunct w:val="0"/>
                    <w:autoSpaceDE w:val="0"/>
                    <w:autoSpaceDN w:val="0"/>
                    <w:bidi w:val="0"/>
                    <w:adjustRightInd w:val="0"/>
                    <w:snapToGrid w:val="0"/>
                    <w:ind w:firstLine="0"/>
                    <w:jc w:val="center"/>
                    <w:textAlignment w:val="auto"/>
                    <w:rPr>
                      <w:rFonts w:hint="default" w:ascii="Times New Roman" w:hAnsi="Times New Roman" w:eastAsia="宋体" w:cs="Times New Roman"/>
                      <w:szCs w:val="21"/>
                      <w:highlight w:val="none"/>
                      <w:lang w:eastAsia="zh-CN"/>
                    </w:rPr>
                  </w:pPr>
                  <w:r>
                    <w:rPr>
                      <w:rFonts w:hint="default" w:ascii="Times New Roman" w:hAnsi="Times New Roman" w:cs="Times New Roman"/>
                      <w:szCs w:val="21"/>
                      <w:highlight w:val="none"/>
                    </w:rPr>
                    <w:t>总体产业定位为鄂尔多斯绿色化工及新材料产业基地，黄河几字弯区域清洁能源高质量发展样板，集总部办公、研学交流、企业服务为一体的蒙西绿色低碳协同创新引领区</w:t>
                  </w:r>
                  <w:r>
                    <w:rPr>
                      <w:rFonts w:hint="default" w:ascii="Times New Roman" w:hAnsi="Times New Roman" w:cs="Times New Roman"/>
                      <w:szCs w:val="21"/>
                      <w:highlight w:val="none"/>
                      <w:lang w:eastAsia="zh-CN"/>
                    </w:rPr>
                    <w:t>。</w:t>
                  </w:r>
                </w:p>
              </w:tc>
              <w:tc>
                <w:tcPr>
                  <w:tcW w:w="1511" w:type="pct"/>
                  <w:noWrap w:val="0"/>
                  <w:vAlign w:val="center"/>
                </w:tcPr>
                <w:p w14:paraId="48226B46">
                  <w:pPr>
                    <w:keepNext w:val="0"/>
                    <w:keepLines w:val="0"/>
                    <w:pageBreakBefore w:val="0"/>
                    <w:widowControl w:val="0"/>
                    <w:kinsoku w:val="0"/>
                    <w:wordWrap/>
                    <w:overflowPunct w:val="0"/>
                    <w:topLinePunct w:val="0"/>
                    <w:autoSpaceDE w:val="0"/>
                    <w:autoSpaceDN w:val="0"/>
                    <w:bidi w:val="0"/>
                    <w:adjustRightInd w:val="0"/>
                    <w:snapToGrid w:val="0"/>
                    <w:ind w:firstLine="0"/>
                    <w:jc w:val="center"/>
                    <w:textAlignment w:val="auto"/>
                    <w:rPr>
                      <w:rFonts w:hint="default" w:ascii="Times New Roman" w:hAnsi="Times New Roman" w:cs="Times New Roman"/>
                      <w:szCs w:val="21"/>
                      <w:highlight w:val="none"/>
                      <w:lang w:val="en-US"/>
                    </w:rPr>
                  </w:pPr>
                  <w:r>
                    <w:rPr>
                      <w:rFonts w:hint="default" w:ascii="Times New Roman" w:hAnsi="Times New Roman" w:cs="Times New Roman"/>
                      <w:szCs w:val="21"/>
                      <w:highlight w:val="none"/>
                      <w:lang w:val="zh-CN"/>
                    </w:rPr>
                    <w:t>本项目为</w:t>
                  </w:r>
                  <w:r>
                    <w:rPr>
                      <w:rFonts w:hint="default" w:ascii="Times New Roman" w:hAnsi="Times New Roman" w:cs="Times New Roman"/>
                      <w:szCs w:val="21"/>
                      <w:highlight w:val="none"/>
                      <w:lang w:val="en-US" w:eastAsia="zh-CN"/>
                    </w:rPr>
                    <w:t>环评已批复的伊泰化工与鹏泰生物两家化工企业之间的工艺气体和公用工程互相利用项目，项目的建设减少尾气的外排并提高公用工程设施的合理</w:t>
                  </w:r>
                  <w:r>
                    <w:rPr>
                      <w:rFonts w:hint="eastAsia" w:cs="Times New Roman"/>
                      <w:szCs w:val="21"/>
                      <w:highlight w:val="none"/>
                      <w:lang w:val="en-US" w:eastAsia="zh-CN"/>
                    </w:rPr>
                    <w:t>利用率</w:t>
                  </w:r>
                  <w:r>
                    <w:rPr>
                      <w:rFonts w:hint="default" w:ascii="Times New Roman" w:hAnsi="Times New Roman" w:cs="Times New Roman"/>
                      <w:szCs w:val="21"/>
                      <w:highlight w:val="none"/>
                      <w:lang w:val="en-US" w:eastAsia="zh-CN"/>
                    </w:rPr>
                    <w:t>。项目高度节能，能减少废气对空气的污染，并且可以安全地生产可再生燃料和清洁能源。</w:t>
                  </w:r>
                </w:p>
              </w:tc>
              <w:tc>
                <w:tcPr>
                  <w:tcW w:w="304" w:type="pct"/>
                  <w:noWrap w:val="0"/>
                  <w:vAlign w:val="center"/>
                </w:tcPr>
                <w:p w14:paraId="2B167812">
                  <w:pPr>
                    <w:kinsoku w:val="0"/>
                    <w:overflowPunct w:val="0"/>
                    <w:autoSpaceDE w:val="0"/>
                    <w:autoSpaceDN w:val="0"/>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相符</w:t>
                  </w:r>
                </w:p>
              </w:tc>
            </w:tr>
            <w:tr w14:paraId="585CE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97" w:type="pct"/>
                  <w:noWrap w:val="0"/>
                  <w:vAlign w:val="center"/>
                </w:tcPr>
                <w:p w14:paraId="4A3E5768">
                  <w:pPr>
                    <w:kinsoku w:val="0"/>
                    <w:overflowPunct w:val="0"/>
                    <w:autoSpaceDE w:val="0"/>
                    <w:autoSpaceDN w:val="0"/>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主导</w:t>
                  </w:r>
                </w:p>
                <w:p w14:paraId="59A6EEDB">
                  <w:pPr>
                    <w:kinsoku w:val="0"/>
                    <w:overflowPunct w:val="0"/>
                    <w:autoSpaceDE w:val="0"/>
                    <w:autoSpaceDN w:val="0"/>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产业</w:t>
                  </w:r>
                </w:p>
              </w:tc>
              <w:tc>
                <w:tcPr>
                  <w:tcW w:w="2786" w:type="pct"/>
                  <w:noWrap w:val="0"/>
                  <w:vAlign w:val="center"/>
                </w:tcPr>
                <w:p w14:paraId="72FA023F">
                  <w:pPr>
                    <w:keepNext w:val="0"/>
                    <w:keepLines w:val="0"/>
                    <w:pageBreakBefore w:val="0"/>
                    <w:widowControl w:val="0"/>
                    <w:kinsoku w:val="0"/>
                    <w:wordWrap/>
                    <w:overflowPunct w:val="0"/>
                    <w:topLinePunct w:val="0"/>
                    <w:autoSpaceDE w:val="0"/>
                    <w:autoSpaceDN w:val="0"/>
                    <w:bidi w:val="0"/>
                    <w:adjustRightInd w:val="0"/>
                    <w:snapToGrid w:val="0"/>
                    <w:ind w:firstLine="0"/>
                    <w:jc w:val="center"/>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rPr>
                    <w:t>独贵塔拉产业园（北区）的建设目标为建设绿色化工及新材料园区，打造鄂尔多斯绿色化工和新材料耦合发展示范基地，形成杭锦旗经济发展的重要带动力量；</w:t>
                  </w:r>
                </w:p>
                <w:p w14:paraId="683BF9E5">
                  <w:pPr>
                    <w:keepNext w:val="0"/>
                    <w:keepLines w:val="0"/>
                    <w:pageBreakBefore w:val="0"/>
                    <w:widowControl w:val="0"/>
                    <w:kinsoku w:val="0"/>
                    <w:wordWrap/>
                    <w:overflowPunct w:val="0"/>
                    <w:topLinePunct w:val="0"/>
                    <w:autoSpaceDE w:val="0"/>
                    <w:autoSpaceDN w:val="0"/>
                    <w:bidi w:val="0"/>
                    <w:adjustRightInd w:val="0"/>
                    <w:snapToGrid w:val="0"/>
                    <w:ind w:firstLine="0"/>
                    <w:jc w:val="center"/>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rPr>
                    <w:t>独贵塔拉产业园（南区）以现有的新型煤化工及其下游产品深加工产业为基础，大力发展绿色化工产业，同时通过产业的升级与引进，耦合发展新能源产业，提升园区产业集聚化水平，建设绿色化工和新能源产业耦合发展的蒙西低碳绿色协调创新引领区；</w:t>
                  </w:r>
                </w:p>
                <w:p w14:paraId="36710B53">
                  <w:pPr>
                    <w:keepNext w:val="0"/>
                    <w:keepLines w:val="0"/>
                    <w:pageBreakBefore w:val="0"/>
                    <w:widowControl w:val="0"/>
                    <w:kinsoku w:val="0"/>
                    <w:wordWrap/>
                    <w:overflowPunct w:val="0"/>
                    <w:topLinePunct w:val="0"/>
                    <w:autoSpaceDE w:val="0"/>
                    <w:autoSpaceDN w:val="0"/>
                    <w:bidi w:val="0"/>
                    <w:adjustRightInd w:val="0"/>
                    <w:snapToGrid w:val="0"/>
                    <w:ind w:firstLine="0" w:firstLineChars="0"/>
                    <w:jc w:val="center"/>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rPr>
                    <w:t>新能源产业园以企业产业的升级改造</w:t>
                  </w:r>
                  <w:r>
                    <w:rPr>
                      <w:rFonts w:hint="eastAsia" w:cs="Times New Roman"/>
                      <w:szCs w:val="21"/>
                      <w:highlight w:val="none"/>
                      <w:lang w:eastAsia="zh-CN"/>
                    </w:rPr>
                    <w:t>、</w:t>
                  </w:r>
                  <w:r>
                    <w:rPr>
                      <w:rFonts w:hint="default" w:ascii="Times New Roman" w:hAnsi="Times New Roman" w:cs="Times New Roman"/>
                      <w:szCs w:val="21"/>
                      <w:highlight w:val="none"/>
                    </w:rPr>
                    <w:t>产业环境整治提升为主，暂不做扩展规划，园区以天然气清洁能源及特色健康产业为主导产业，建设绿色清洁能源杭锦旗地方总部基地，</w:t>
                  </w:r>
                  <w:r>
                    <w:rPr>
                      <w:rFonts w:hint="default" w:ascii="Times New Roman" w:hAnsi="Times New Roman" w:cs="Times New Roman"/>
                      <w:szCs w:val="21"/>
                      <w:highlight w:val="none"/>
                      <w:lang w:eastAsia="zh-CN"/>
                    </w:rPr>
                    <w:t>打</w:t>
                  </w:r>
                  <w:r>
                    <w:rPr>
                      <w:rFonts w:hint="default" w:ascii="Times New Roman" w:hAnsi="Times New Roman" w:cs="Times New Roman"/>
                      <w:szCs w:val="21"/>
                      <w:highlight w:val="none"/>
                    </w:rPr>
                    <w:t>造集特色健康产业、天然气清洁能源、再生资源于一体的杭锦旗区域协同创新引领区。主导产业为清洁能源、新兴产业。</w:t>
                  </w:r>
                </w:p>
              </w:tc>
              <w:tc>
                <w:tcPr>
                  <w:tcW w:w="1511" w:type="pct"/>
                  <w:noWrap w:val="0"/>
                  <w:vAlign w:val="center"/>
                </w:tcPr>
                <w:p w14:paraId="22FB669A">
                  <w:pPr>
                    <w:keepNext w:val="0"/>
                    <w:keepLines w:val="0"/>
                    <w:pageBreakBefore w:val="0"/>
                    <w:widowControl w:val="0"/>
                    <w:kinsoku w:val="0"/>
                    <w:wordWrap/>
                    <w:overflowPunct w:val="0"/>
                    <w:topLinePunct w:val="0"/>
                    <w:autoSpaceDE w:val="0"/>
                    <w:autoSpaceDN w:val="0"/>
                    <w:bidi w:val="0"/>
                    <w:adjustRightInd w:val="0"/>
                    <w:snapToGrid w:val="0"/>
                    <w:ind w:firstLine="0"/>
                    <w:jc w:val="center"/>
                    <w:textAlignment w:val="auto"/>
                    <w:rPr>
                      <w:rFonts w:hint="default" w:ascii="Times New Roman" w:hAnsi="Times New Roman" w:cs="Times New Roman"/>
                      <w:szCs w:val="21"/>
                      <w:highlight w:val="none"/>
                      <w:lang w:val="en-US"/>
                    </w:rPr>
                  </w:pPr>
                  <w:r>
                    <w:rPr>
                      <w:rFonts w:hint="default" w:ascii="Times New Roman" w:hAnsi="Times New Roman" w:cs="Times New Roman"/>
                      <w:szCs w:val="21"/>
                      <w:highlight w:val="none"/>
                      <w:lang w:val="zh-CN"/>
                    </w:rPr>
                    <w:t>本项目为</w:t>
                  </w:r>
                  <w:r>
                    <w:rPr>
                      <w:rFonts w:hint="default" w:ascii="Times New Roman" w:hAnsi="Times New Roman" w:cs="Times New Roman"/>
                      <w:szCs w:val="21"/>
                      <w:highlight w:val="none"/>
                      <w:lang w:val="en-US" w:eastAsia="zh-CN"/>
                    </w:rPr>
                    <w:t>环评已批复的伊泰化工与鹏泰生物两家化工企业之间的工艺气体和公用工程互相利用项目，项目的建</w:t>
                  </w:r>
                  <w:r>
                    <w:rPr>
                      <w:rFonts w:hint="eastAsia" w:cs="Times New Roman"/>
                      <w:szCs w:val="21"/>
                      <w:highlight w:val="none"/>
                      <w:lang w:val="en-US" w:eastAsia="zh-CN"/>
                    </w:rPr>
                    <w:t>设将</w:t>
                  </w:r>
                  <w:r>
                    <w:rPr>
                      <w:rFonts w:hint="default" w:ascii="Times New Roman" w:hAnsi="Times New Roman" w:cs="Times New Roman"/>
                      <w:szCs w:val="21"/>
                      <w:highlight w:val="none"/>
                      <w:lang w:val="en-US" w:eastAsia="zh-CN"/>
                    </w:rPr>
                    <w:t>减少尾气的外排并提高公用工程设施的合理利用，有利于绿色发展、清洁生产。属于内蒙古伊泰化工有限责任公司现有煤化工产业延链项目配套工程。</w:t>
                  </w:r>
                </w:p>
              </w:tc>
              <w:tc>
                <w:tcPr>
                  <w:tcW w:w="304" w:type="pct"/>
                  <w:noWrap w:val="0"/>
                  <w:vAlign w:val="center"/>
                </w:tcPr>
                <w:p w14:paraId="0FE8B39D">
                  <w:pPr>
                    <w:kinsoku w:val="0"/>
                    <w:overflowPunct w:val="0"/>
                    <w:autoSpaceDE w:val="0"/>
                    <w:autoSpaceDN w:val="0"/>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相符</w:t>
                  </w:r>
                </w:p>
              </w:tc>
            </w:tr>
            <w:tr w14:paraId="6E6C1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2" w:hRule="atLeast"/>
                <w:jc w:val="center"/>
              </w:trPr>
              <w:tc>
                <w:tcPr>
                  <w:tcW w:w="397" w:type="pct"/>
                  <w:noWrap w:val="0"/>
                  <w:vAlign w:val="center"/>
                </w:tcPr>
                <w:p w14:paraId="0CD768C6">
                  <w:pPr>
                    <w:kinsoku w:val="0"/>
                    <w:overflowPunct w:val="0"/>
                    <w:autoSpaceDE w:val="0"/>
                    <w:autoSpaceDN w:val="0"/>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产业</w:t>
                  </w:r>
                </w:p>
                <w:p w14:paraId="30826E70">
                  <w:pPr>
                    <w:kinsoku w:val="0"/>
                    <w:overflowPunct w:val="0"/>
                    <w:autoSpaceDE w:val="0"/>
                    <w:autoSpaceDN w:val="0"/>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布局</w:t>
                  </w:r>
                </w:p>
              </w:tc>
              <w:tc>
                <w:tcPr>
                  <w:tcW w:w="2786" w:type="pct"/>
                  <w:noWrap w:val="0"/>
                  <w:vAlign w:val="center"/>
                </w:tcPr>
                <w:p w14:paraId="0FA008BF">
                  <w:pPr>
                    <w:keepNext w:val="0"/>
                    <w:keepLines w:val="0"/>
                    <w:pageBreakBefore w:val="0"/>
                    <w:widowControl w:val="0"/>
                    <w:kinsoku w:val="0"/>
                    <w:wordWrap/>
                    <w:overflowPunct w:val="0"/>
                    <w:topLinePunct w:val="0"/>
                    <w:autoSpaceDE w:val="0"/>
                    <w:autoSpaceDN w:val="0"/>
                    <w:bidi w:val="0"/>
                    <w:adjustRightInd w:val="0"/>
                    <w:snapToGrid w:val="0"/>
                    <w:ind w:firstLine="0"/>
                    <w:jc w:val="center"/>
                    <w:textAlignment w:val="auto"/>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依据</w:t>
                  </w:r>
                  <w:r>
                    <w:rPr>
                      <w:rFonts w:hint="eastAsia" w:cs="Times New Roman"/>
                      <w:szCs w:val="21"/>
                      <w:highlight w:val="none"/>
                      <w:lang w:eastAsia="zh-CN"/>
                    </w:rPr>
                    <w:t>“</w:t>
                  </w:r>
                  <w:r>
                    <w:rPr>
                      <w:rFonts w:hint="default" w:ascii="Times New Roman" w:hAnsi="Times New Roman" w:eastAsia="宋体" w:cs="Times New Roman"/>
                      <w:szCs w:val="21"/>
                      <w:highlight w:val="none"/>
                    </w:rPr>
                    <w:t>布局集中</w:t>
                  </w:r>
                  <w:r>
                    <w:rPr>
                      <w:rFonts w:hint="default" w:ascii="Times New Roman" w:hAnsi="Times New Roman" w:eastAsia="宋体" w:cs="Times New Roman"/>
                      <w:szCs w:val="21"/>
                      <w:highlight w:val="none"/>
                      <w:lang w:eastAsia="zh-CN"/>
                    </w:rPr>
                    <w:t>、</w:t>
                  </w:r>
                  <w:r>
                    <w:rPr>
                      <w:rFonts w:hint="default" w:ascii="Times New Roman" w:hAnsi="Times New Roman" w:eastAsia="宋体" w:cs="Times New Roman"/>
                      <w:szCs w:val="21"/>
                      <w:highlight w:val="none"/>
                    </w:rPr>
                    <w:t>用地集约、产业集聚</w:t>
                  </w:r>
                  <w:r>
                    <w:rPr>
                      <w:rFonts w:hint="eastAsia" w:cs="Times New Roman"/>
                      <w:szCs w:val="21"/>
                      <w:highlight w:val="none"/>
                      <w:lang w:eastAsia="zh-CN"/>
                    </w:rPr>
                    <w:t>”</w:t>
                  </w:r>
                  <w:r>
                    <w:rPr>
                      <w:rFonts w:hint="default" w:ascii="Times New Roman" w:hAnsi="Times New Roman" w:eastAsia="宋体" w:cs="Times New Roman"/>
                      <w:szCs w:val="21"/>
                      <w:highlight w:val="none"/>
                    </w:rPr>
                    <w:t>的原则，结合区域资源环境承载能力、产业基础和发展优势，规划构建</w:t>
                  </w:r>
                  <w:r>
                    <w:rPr>
                      <w:rFonts w:hint="eastAsia" w:cs="Times New Roman"/>
                      <w:szCs w:val="21"/>
                      <w:highlight w:val="none"/>
                      <w:lang w:eastAsia="zh-CN"/>
                    </w:rPr>
                    <w:t>“</w:t>
                  </w:r>
                  <w:r>
                    <w:rPr>
                      <w:rFonts w:hint="default" w:ascii="Times New Roman" w:hAnsi="Times New Roman" w:eastAsia="宋体" w:cs="Times New Roman"/>
                      <w:szCs w:val="21"/>
                      <w:highlight w:val="none"/>
                    </w:rPr>
                    <w:t>一轴、两园、三基地、多组团</w:t>
                  </w:r>
                  <w:r>
                    <w:rPr>
                      <w:rFonts w:hint="eastAsia" w:cs="Times New Roman"/>
                      <w:szCs w:val="21"/>
                      <w:highlight w:val="none"/>
                      <w:lang w:eastAsia="zh-CN"/>
                    </w:rPr>
                    <w:t>”</w:t>
                  </w:r>
                  <w:r>
                    <w:rPr>
                      <w:rFonts w:hint="default" w:ascii="Times New Roman" w:hAnsi="Times New Roman" w:eastAsia="宋体" w:cs="Times New Roman"/>
                      <w:szCs w:val="21"/>
                      <w:highlight w:val="none"/>
                    </w:rPr>
                    <w:t>的产业发展空间格局。</w:t>
                  </w:r>
                </w:p>
                <w:p w14:paraId="5C227AF0">
                  <w:pPr>
                    <w:keepNext w:val="0"/>
                    <w:keepLines w:val="0"/>
                    <w:pageBreakBefore w:val="0"/>
                    <w:widowControl w:val="0"/>
                    <w:kinsoku w:val="0"/>
                    <w:wordWrap/>
                    <w:overflowPunct w:val="0"/>
                    <w:topLinePunct w:val="0"/>
                    <w:autoSpaceDE w:val="0"/>
                    <w:autoSpaceDN w:val="0"/>
                    <w:bidi w:val="0"/>
                    <w:adjustRightInd w:val="0"/>
                    <w:snapToGrid w:val="0"/>
                    <w:ind w:firstLine="0"/>
                    <w:jc w:val="center"/>
                    <w:textAlignment w:val="auto"/>
                    <w:rPr>
                      <w:rFonts w:hint="default" w:ascii="Times New Roman" w:hAnsi="Times New Roman" w:eastAsia="宋体" w:cs="Times New Roman"/>
                      <w:szCs w:val="21"/>
                      <w:highlight w:val="none"/>
                    </w:rPr>
                  </w:pPr>
                  <w:r>
                    <w:rPr>
                      <w:rFonts w:hint="eastAsia" w:cs="Times New Roman"/>
                      <w:szCs w:val="21"/>
                      <w:highlight w:val="none"/>
                      <w:lang w:eastAsia="zh-CN"/>
                    </w:rPr>
                    <w:t>“</w:t>
                  </w:r>
                  <w:r>
                    <w:rPr>
                      <w:rFonts w:hint="default" w:ascii="Times New Roman" w:hAnsi="Times New Roman" w:eastAsia="宋体" w:cs="Times New Roman"/>
                      <w:szCs w:val="21"/>
                      <w:highlight w:val="none"/>
                    </w:rPr>
                    <w:t>一轴</w:t>
                  </w:r>
                  <w:r>
                    <w:rPr>
                      <w:rFonts w:hint="eastAsia" w:cs="Times New Roman"/>
                      <w:szCs w:val="21"/>
                      <w:highlight w:val="none"/>
                      <w:lang w:eastAsia="zh-CN"/>
                    </w:rPr>
                    <w:t>”</w:t>
                  </w:r>
                  <w:r>
                    <w:rPr>
                      <w:rFonts w:hint="default" w:ascii="Times New Roman" w:hAnsi="Times New Roman" w:eastAsia="宋体" w:cs="Times New Roman"/>
                      <w:szCs w:val="21"/>
                      <w:highlight w:val="none"/>
                    </w:rPr>
                    <w:t>：沿省道S215形成园区经济发展轴，通过经济发展轴实现错位联动发展。</w:t>
                  </w:r>
                </w:p>
                <w:p w14:paraId="6442D097">
                  <w:pPr>
                    <w:keepNext w:val="0"/>
                    <w:keepLines w:val="0"/>
                    <w:pageBreakBefore w:val="0"/>
                    <w:widowControl w:val="0"/>
                    <w:kinsoku w:val="0"/>
                    <w:wordWrap/>
                    <w:overflowPunct w:val="0"/>
                    <w:topLinePunct w:val="0"/>
                    <w:autoSpaceDE w:val="0"/>
                    <w:autoSpaceDN w:val="0"/>
                    <w:bidi w:val="0"/>
                    <w:adjustRightInd w:val="0"/>
                    <w:snapToGrid w:val="0"/>
                    <w:ind w:firstLine="0"/>
                    <w:jc w:val="center"/>
                    <w:textAlignment w:val="auto"/>
                    <w:rPr>
                      <w:rFonts w:hint="default" w:ascii="Times New Roman" w:hAnsi="Times New Roman" w:eastAsia="宋体" w:cs="Times New Roman"/>
                      <w:szCs w:val="21"/>
                      <w:highlight w:val="none"/>
                    </w:rPr>
                  </w:pPr>
                  <w:r>
                    <w:rPr>
                      <w:rFonts w:hint="eastAsia" w:cs="Times New Roman"/>
                      <w:szCs w:val="21"/>
                      <w:highlight w:val="none"/>
                      <w:lang w:eastAsia="zh-CN"/>
                    </w:rPr>
                    <w:t>“</w:t>
                  </w:r>
                  <w:r>
                    <w:rPr>
                      <w:rFonts w:hint="default" w:ascii="Times New Roman" w:hAnsi="Times New Roman" w:eastAsia="宋体" w:cs="Times New Roman"/>
                      <w:szCs w:val="21"/>
                      <w:highlight w:val="none"/>
                    </w:rPr>
                    <w:t>两园</w:t>
                  </w:r>
                  <w:r>
                    <w:rPr>
                      <w:rFonts w:hint="eastAsia" w:cs="Times New Roman"/>
                      <w:szCs w:val="21"/>
                      <w:highlight w:val="none"/>
                      <w:lang w:eastAsia="zh-CN"/>
                    </w:rPr>
                    <w:t>”</w:t>
                  </w:r>
                  <w:r>
                    <w:rPr>
                      <w:rFonts w:hint="default" w:ascii="Times New Roman" w:hAnsi="Times New Roman" w:eastAsia="宋体" w:cs="Times New Roman"/>
                      <w:szCs w:val="21"/>
                      <w:highlight w:val="none"/>
                    </w:rPr>
                    <w:t>：独贵塔拉工业园和新能源产业园。</w:t>
                  </w:r>
                </w:p>
                <w:p w14:paraId="33B93104">
                  <w:pPr>
                    <w:keepNext w:val="0"/>
                    <w:keepLines w:val="0"/>
                    <w:pageBreakBefore w:val="0"/>
                    <w:widowControl w:val="0"/>
                    <w:kinsoku w:val="0"/>
                    <w:wordWrap/>
                    <w:overflowPunct w:val="0"/>
                    <w:topLinePunct w:val="0"/>
                    <w:autoSpaceDE w:val="0"/>
                    <w:autoSpaceDN w:val="0"/>
                    <w:bidi w:val="0"/>
                    <w:adjustRightInd w:val="0"/>
                    <w:snapToGrid w:val="0"/>
                    <w:ind w:firstLine="0"/>
                    <w:jc w:val="center"/>
                    <w:textAlignment w:val="auto"/>
                    <w:rPr>
                      <w:rFonts w:hint="default" w:ascii="Times New Roman" w:hAnsi="Times New Roman" w:eastAsia="宋体" w:cs="Times New Roman"/>
                      <w:szCs w:val="21"/>
                      <w:highlight w:val="none"/>
                      <w:lang w:eastAsia="zh-CN"/>
                    </w:rPr>
                  </w:pPr>
                  <w:r>
                    <w:rPr>
                      <w:rFonts w:hint="eastAsia" w:cs="Times New Roman"/>
                      <w:szCs w:val="21"/>
                      <w:highlight w:val="none"/>
                      <w:lang w:eastAsia="zh-CN"/>
                    </w:rPr>
                    <w:t>“</w:t>
                  </w:r>
                  <w:r>
                    <w:rPr>
                      <w:rFonts w:hint="default" w:ascii="Times New Roman" w:hAnsi="Times New Roman" w:eastAsia="宋体" w:cs="Times New Roman"/>
                      <w:szCs w:val="21"/>
                      <w:highlight w:val="none"/>
                    </w:rPr>
                    <w:t>三基地</w:t>
                  </w:r>
                  <w:r>
                    <w:rPr>
                      <w:rFonts w:hint="eastAsia" w:cs="Times New Roman"/>
                      <w:szCs w:val="21"/>
                      <w:highlight w:val="none"/>
                      <w:lang w:eastAsia="zh-CN"/>
                    </w:rPr>
                    <w:t>”</w:t>
                  </w:r>
                  <w:r>
                    <w:rPr>
                      <w:rFonts w:hint="default" w:ascii="Times New Roman" w:hAnsi="Times New Roman" w:eastAsia="宋体" w:cs="Times New Roman"/>
                      <w:szCs w:val="21"/>
                      <w:highlight w:val="none"/>
                    </w:rPr>
                    <w:t>：独贵塔拉产业园（北区）、独贵塔拉产业园（南区）</w:t>
                  </w:r>
                  <w:r>
                    <w:rPr>
                      <w:rFonts w:hint="default" w:ascii="Times New Roman" w:hAnsi="Times New Roman" w:eastAsia="宋体" w:cs="Times New Roman"/>
                      <w:szCs w:val="21"/>
                      <w:highlight w:val="none"/>
                      <w:lang w:eastAsia="zh-CN"/>
                    </w:rPr>
                    <w:t>和新能源产业园。</w:t>
                  </w:r>
                </w:p>
                <w:p w14:paraId="72316F82">
                  <w:pPr>
                    <w:keepNext w:val="0"/>
                    <w:keepLines w:val="0"/>
                    <w:pageBreakBefore w:val="0"/>
                    <w:widowControl w:val="0"/>
                    <w:kinsoku w:val="0"/>
                    <w:wordWrap/>
                    <w:overflowPunct w:val="0"/>
                    <w:topLinePunct w:val="0"/>
                    <w:autoSpaceDE w:val="0"/>
                    <w:autoSpaceDN w:val="0"/>
                    <w:bidi w:val="0"/>
                    <w:adjustRightInd w:val="0"/>
                    <w:snapToGrid w:val="0"/>
                    <w:ind w:firstLine="0"/>
                    <w:jc w:val="center"/>
                    <w:textAlignment w:val="auto"/>
                    <w:rPr>
                      <w:rFonts w:hint="default" w:ascii="Times New Roman" w:hAnsi="Times New Roman" w:eastAsia="宋体" w:cs="Times New Roman"/>
                      <w:szCs w:val="21"/>
                      <w:highlight w:val="none"/>
                    </w:rPr>
                  </w:pPr>
                  <w:r>
                    <w:rPr>
                      <w:rFonts w:hint="eastAsia" w:cs="Times New Roman"/>
                      <w:szCs w:val="21"/>
                      <w:highlight w:val="none"/>
                      <w:lang w:eastAsia="zh-CN"/>
                    </w:rPr>
                    <w:t>“</w:t>
                  </w:r>
                  <w:r>
                    <w:rPr>
                      <w:rFonts w:hint="default" w:ascii="Times New Roman" w:hAnsi="Times New Roman" w:eastAsia="宋体" w:cs="Times New Roman"/>
                      <w:szCs w:val="21"/>
                      <w:highlight w:val="none"/>
                      <w:lang w:eastAsia="zh-CN"/>
                    </w:rPr>
                    <w:t>多组团</w:t>
                  </w:r>
                  <w:r>
                    <w:rPr>
                      <w:rFonts w:hint="eastAsia" w:cs="Times New Roman"/>
                      <w:szCs w:val="21"/>
                      <w:highlight w:val="none"/>
                      <w:lang w:eastAsia="zh-CN"/>
                    </w:rPr>
                    <w:t>”</w:t>
                  </w:r>
                  <w:r>
                    <w:rPr>
                      <w:rFonts w:hint="default" w:ascii="Times New Roman" w:hAnsi="Times New Roman" w:eastAsia="宋体" w:cs="Times New Roman"/>
                      <w:szCs w:val="21"/>
                      <w:highlight w:val="none"/>
                      <w:lang w:eastAsia="zh-CN"/>
                    </w:rPr>
                    <w:t>：在</w:t>
                  </w:r>
                  <w:r>
                    <w:rPr>
                      <w:rFonts w:hint="eastAsia" w:cs="Times New Roman"/>
                      <w:szCs w:val="21"/>
                      <w:highlight w:val="none"/>
                      <w:lang w:eastAsia="zh-CN"/>
                    </w:rPr>
                    <w:t>“</w:t>
                  </w:r>
                  <w:r>
                    <w:rPr>
                      <w:rFonts w:hint="default" w:ascii="Times New Roman" w:hAnsi="Times New Roman" w:eastAsia="宋体" w:cs="Times New Roman"/>
                      <w:szCs w:val="21"/>
                      <w:highlight w:val="none"/>
                      <w:lang w:eastAsia="zh-CN"/>
                    </w:rPr>
                    <w:t>三基地</w:t>
                  </w:r>
                  <w:r>
                    <w:rPr>
                      <w:rFonts w:hint="eastAsia" w:cs="Times New Roman"/>
                      <w:szCs w:val="21"/>
                      <w:highlight w:val="none"/>
                      <w:lang w:eastAsia="zh-CN"/>
                    </w:rPr>
                    <w:t>”</w:t>
                  </w:r>
                  <w:r>
                    <w:rPr>
                      <w:rFonts w:hint="default" w:ascii="Times New Roman" w:hAnsi="Times New Roman" w:eastAsia="宋体" w:cs="Times New Roman"/>
                      <w:szCs w:val="21"/>
                      <w:highlight w:val="none"/>
                      <w:lang w:eastAsia="zh-CN"/>
                    </w:rPr>
                    <w:t>内形成绿色健康产业、精细化工产业、光伏新能源产业、绿色化工及新材料产业、配套服务业、天然气产业及城市再生资源产业等7大产业组团</w:t>
                  </w:r>
                  <w:r>
                    <w:rPr>
                      <w:rFonts w:hint="default" w:ascii="Times New Roman" w:hAnsi="Times New Roman" w:eastAsia="宋体" w:cs="Times New Roman"/>
                      <w:szCs w:val="21"/>
                      <w:highlight w:val="none"/>
                    </w:rPr>
                    <w:t>。</w:t>
                  </w:r>
                </w:p>
              </w:tc>
              <w:tc>
                <w:tcPr>
                  <w:tcW w:w="1511" w:type="pct"/>
                  <w:noWrap w:val="0"/>
                  <w:vAlign w:val="center"/>
                </w:tcPr>
                <w:p w14:paraId="048D0966">
                  <w:pPr>
                    <w:keepNext w:val="0"/>
                    <w:keepLines w:val="0"/>
                    <w:pageBreakBefore w:val="0"/>
                    <w:widowControl w:val="0"/>
                    <w:kinsoku w:val="0"/>
                    <w:wordWrap/>
                    <w:overflowPunct w:val="0"/>
                    <w:topLinePunct w:val="0"/>
                    <w:autoSpaceDE w:val="0"/>
                    <w:autoSpaceDN w:val="0"/>
                    <w:bidi w:val="0"/>
                    <w:adjustRightInd w:val="0"/>
                    <w:snapToGrid w:val="0"/>
                    <w:ind w:firstLine="0"/>
                    <w:jc w:val="center"/>
                    <w:textAlignment w:val="auto"/>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本次鹏泰-伊泰化工物料输送管线及管廊建设项目位于内蒙古自治区鄂尔多斯</w:t>
                  </w:r>
                  <w:r>
                    <w:rPr>
                      <w:rFonts w:hint="eastAsia" w:cs="Times New Roman"/>
                      <w:szCs w:val="21"/>
                      <w:highlight w:val="none"/>
                      <w:lang w:val="en-US" w:eastAsia="zh-CN"/>
                    </w:rPr>
                    <w:t>市</w:t>
                  </w:r>
                  <w:r>
                    <w:rPr>
                      <w:rFonts w:hint="default" w:ascii="Times New Roman" w:hAnsi="Times New Roman" w:eastAsia="宋体" w:cs="Times New Roman"/>
                      <w:szCs w:val="21"/>
                      <w:highlight w:val="none"/>
                      <w:lang w:val="en-US" w:eastAsia="zh-CN"/>
                    </w:rPr>
                    <w:t>杭锦旗独贵塔拉工业园区内</w:t>
                  </w:r>
                  <w:r>
                    <w:rPr>
                      <w:rFonts w:hint="default" w:ascii="Times New Roman" w:hAnsi="Times New Roman" w:cs="Times New Roman"/>
                      <w:szCs w:val="21"/>
                      <w:highlight w:val="none"/>
                      <w:lang w:val="en-US" w:eastAsia="zh-CN"/>
                    </w:rPr>
                    <w:t>，属于内蒙古伊泰化工有限责任公司现有煤化工产业延链项目配套工程。</w:t>
                  </w:r>
                </w:p>
              </w:tc>
              <w:tc>
                <w:tcPr>
                  <w:tcW w:w="304" w:type="pct"/>
                  <w:noWrap w:val="0"/>
                  <w:vAlign w:val="center"/>
                </w:tcPr>
                <w:p w14:paraId="073D6CAC">
                  <w:pPr>
                    <w:kinsoku w:val="0"/>
                    <w:overflowPunct w:val="0"/>
                    <w:autoSpaceDE w:val="0"/>
                    <w:autoSpaceDN w:val="0"/>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相符</w:t>
                  </w:r>
                </w:p>
              </w:tc>
            </w:tr>
            <w:tr w14:paraId="25D4A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97" w:type="pct"/>
                  <w:noWrap w:val="0"/>
                  <w:vAlign w:val="center"/>
                </w:tcPr>
                <w:p w14:paraId="5B2A5BB8">
                  <w:pPr>
                    <w:kinsoku w:val="0"/>
                    <w:overflowPunct w:val="0"/>
                    <w:autoSpaceDE w:val="0"/>
                    <w:autoSpaceDN w:val="0"/>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给水</w:t>
                  </w:r>
                </w:p>
              </w:tc>
              <w:tc>
                <w:tcPr>
                  <w:tcW w:w="2786" w:type="pct"/>
                  <w:noWrap w:val="0"/>
                  <w:vAlign w:val="center"/>
                </w:tcPr>
                <w:p w14:paraId="659FA176">
                  <w:pPr>
                    <w:keepNext w:val="0"/>
                    <w:keepLines w:val="0"/>
                    <w:pageBreakBefore w:val="0"/>
                    <w:widowControl w:val="0"/>
                    <w:kinsoku w:val="0"/>
                    <w:wordWrap/>
                    <w:overflowPunct w:val="0"/>
                    <w:topLinePunct w:val="0"/>
                    <w:autoSpaceDE w:val="0"/>
                    <w:autoSpaceDN w:val="0"/>
                    <w:bidi w:val="0"/>
                    <w:adjustRightInd w:val="0"/>
                    <w:snapToGrid w:val="0"/>
                    <w:ind w:firstLine="0"/>
                    <w:jc w:val="center"/>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rPr>
                    <w:t>独贵塔拉工业园北项目区利用杭锦淖尔蓄滞洪区供水杭锦淖尔蓄滞洪区可满足用水需求。</w:t>
                  </w:r>
                </w:p>
                <w:p w14:paraId="63AC3B2F">
                  <w:pPr>
                    <w:keepNext w:val="0"/>
                    <w:keepLines w:val="0"/>
                    <w:pageBreakBefore w:val="0"/>
                    <w:widowControl w:val="0"/>
                    <w:kinsoku w:val="0"/>
                    <w:wordWrap/>
                    <w:overflowPunct w:val="0"/>
                    <w:topLinePunct w:val="0"/>
                    <w:autoSpaceDE w:val="0"/>
                    <w:autoSpaceDN w:val="0"/>
                    <w:bidi w:val="0"/>
                    <w:adjustRightInd w:val="0"/>
                    <w:snapToGrid w:val="0"/>
                    <w:ind w:firstLine="0"/>
                    <w:jc w:val="center"/>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rPr>
                    <w:t>独贵塔拉工业园南项目区及新能源产业园区采用引黄水供水工程，取水口位于已建杭锦旗独贵塔拉镇黄河</w:t>
                  </w:r>
                  <w:r>
                    <w:rPr>
                      <w:rFonts w:hint="eastAsia" w:cs="Times New Roman"/>
                      <w:szCs w:val="21"/>
                      <w:highlight w:val="none"/>
                      <w:lang w:eastAsia="zh-CN"/>
                    </w:rPr>
                    <w:t>“</w:t>
                  </w:r>
                  <w:r>
                    <w:rPr>
                      <w:rFonts w:hint="default" w:ascii="Times New Roman" w:hAnsi="Times New Roman" w:cs="Times New Roman"/>
                      <w:szCs w:val="21"/>
                      <w:highlight w:val="none"/>
                    </w:rPr>
                    <w:t>208</w:t>
                  </w:r>
                  <w:r>
                    <w:rPr>
                      <w:rFonts w:hint="eastAsia" w:cs="Times New Roman"/>
                      <w:szCs w:val="21"/>
                      <w:highlight w:val="none"/>
                      <w:lang w:eastAsia="zh-CN"/>
                    </w:rPr>
                    <w:t>”</w:t>
                  </w:r>
                  <w:r>
                    <w:rPr>
                      <w:rFonts w:hint="default" w:ascii="Times New Roman" w:hAnsi="Times New Roman" w:cs="Times New Roman"/>
                      <w:szCs w:val="21"/>
                      <w:highlight w:val="none"/>
                    </w:rPr>
                    <w:t>险工，目前可用于园区的取水量为3338万m</w:t>
                  </w:r>
                  <w:r>
                    <w:rPr>
                      <w:rFonts w:hint="default" w:ascii="Times New Roman" w:hAnsi="Times New Roman" w:cs="Times New Roman"/>
                      <w:szCs w:val="21"/>
                      <w:highlight w:val="none"/>
                      <w:vertAlign w:val="superscript"/>
                    </w:rPr>
                    <w:t>3</w:t>
                  </w:r>
                  <w:r>
                    <w:rPr>
                      <w:rFonts w:hint="default" w:ascii="Times New Roman" w:hAnsi="Times New Roman" w:cs="Times New Roman"/>
                      <w:szCs w:val="21"/>
                      <w:highlight w:val="none"/>
                    </w:rPr>
                    <w:t>/a，引黄水供水工程黄河水权置换工程可取得用水指标1.3亿m</w:t>
                  </w:r>
                  <w:r>
                    <w:rPr>
                      <w:rFonts w:hint="default" w:ascii="Times New Roman" w:hAnsi="Times New Roman" w:cs="Times New Roman"/>
                      <w:szCs w:val="21"/>
                      <w:highlight w:val="none"/>
                      <w:vertAlign w:val="superscript"/>
                    </w:rPr>
                    <w:t>3</w:t>
                  </w:r>
                  <w:r>
                    <w:rPr>
                      <w:rFonts w:hint="default" w:ascii="Times New Roman" w:hAnsi="Times New Roman" w:cs="Times New Roman"/>
                      <w:szCs w:val="21"/>
                      <w:highlight w:val="none"/>
                    </w:rPr>
                    <w:t>/a，后期最大供水量为10338万m</w:t>
                  </w:r>
                  <w:r>
                    <w:rPr>
                      <w:rFonts w:hint="default" w:ascii="Times New Roman" w:hAnsi="Times New Roman" w:cs="Times New Roman"/>
                      <w:szCs w:val="21"/>
                      <w:highlight w:val="none"/>
                      <w:vertAlign w:val="superscript"/>
                    </w:rPr>
                    <w:t>3</w:t>
                  </w:r>
                  <w:r>
                    <w:rPr>
                      <w:rFonts w:hint="default" w:ascii="Times New Roman" w:hAnsi="Times New Roman" w:cs="Times New Roman"/>
                      <w:szCs w:val="21"/>
                      <w:highlight w:val="none"/>
                    </w:rPr>
                    <w:t>/a。近期地表水用水量约为2693.69万m</w:t>
                  </w:r>
                  <w:r>
                    <w:rPr>
                      <w:rFonts w:hint="default" w:ascii="Times New Roman" w:hAnsi="Times New Roman" w:cs="Times New Roman"/>
                      <w:szCs w:val="21"/>
                      <w:highlight w:val="none"/>
                      <w:vertAlign w:val="superscript"/>
                    </w:rPr>
                    <w:t>3</w:t>
                  </w:r>
                  <w:r>
                    <w:rPr>
                      <w:rFonts w:hint="default" w:ascii="Times New Roman" w:hAnsi="Times New Roman" w:cs="Times New Roman"/>
                      <w:szCs w:val="21"/>
                      <w:highlight w:val="none"/>
                    </w:rPr>
                    <w:t>/a，远期在利用矿坑涌水后，地表水用水量约为6758.505万m</w:t>
                  </w:r>
                  <w:r>
                    <w:rPr>
                      <w:rFonts w:hint="default" w:ascii="Times New Roman" w:hAnsi="Times New Roman" w:cs="Times New Roman"/>
                      <w:szCs w:val="21"/>
                      <w:highlight w:val="none"/>
                      <w:vertAlign w:val="superscript"/>
                    </w:rPr>
                    <w:t>3</w:t>
                  </w:r>
                  <w:r>
                    <w:rPr>
                      <w:rFonts w:hint="default" w:ascii="Times New Roman" w:hAnsi="Times New Roman" w:cs="Times New Roman"/>
                      <w:szCs w:val="21"/>
                      <w:highlight w:val="none"/>
                    </w:rPr>
                    <w:t>/a。</w:t>
                  </w:r>
                </w:p>
              </w:tc>
              <w:tc>
                <w:tcPr>
                  <w:tcW w:w="2208" w:type="dxa"/>
                  <w:noWrap w:val="0"/>
                  <w:vAlign w:val="center"/>
                </w:tcPr>
                <w:p w14:paraId="11F7D0E2">
                  <w:pPr>
                    <w:keepNext w:val="0"/>
                    <w:keepLines w:val="0"/>
                    <w:pageBreakBefore w:val="0"/>
                    <w:widowControl w:val="0"/>
                    <w:kinsoku w:val="0"/>
                    <w:wordWrap/>
                    <w:overflowPunct w:val="0"/>
                    <w:topLinePunct w:val="0"/>
                    <w:autoSpaceDE w:val="0"/>
                    <w:autoSpaceDN w:val="0"/>
                    <w:bidi w:val="0"/>
                    <w:adjustRightInd w:val="0"/>
                    <w:snapToGrid w:val="0"/>
                    <w:ind w:firstLine="0" w:firstLineChars="0"/>
                    <w:jc w:val="center"/>
                    <w:textAlignment w:val="auto"/>
                    <w:rPr>
                      <w:rFonts w:hint="eastAsia" w:ascii="Times New Roman" w:hAnsi="Times New Roman" w:eastAsia="宋体" w:cs="Times New Roman"/>
                      <w:szCs w:val="21"/>
                      <w:highlight w:val="none"/>
                      <w:lang w:eastAsia="zh-CN"/>
                    </w:rPr>
                  </w:pPr>
                  <w:r>
                    <w:rPr>
                      <w:rFonts w:hint="default" w:ascii="Times New Roman" w:hAnsi="Times New Roman" w:cs="Times New Roman"/>
                      <w:szCs w:val="21"/>
                      <w:highlight w:val="none"/>
                    </w:rPr>
                    <w:t>本项目</w:t>
                  </w:r>
                  <w:r>
                    <w:rPr>
                      <w:rFonts w:hint="eastAsia" w:ascii="Times New Roman" w:hAnsi="Times New Roman" w:cs="Times New Roman"/>
                      <w:szCs w:val="21"/>
                      <w:highlight w:val="none"/>
                      <w:lang w:val="en-US" w:eastAsia="zh-CN"/>
                    </w:rPr>
                    <w:t>试压</w:t>
                  </w:r>
                  <w:r>
                    <w:rPr>
                      <w:rFonts w:hint="default" w:ascii="Times New Roman" w:hAnsi="Times New Roman" w:cs="Times New Roman"/>
                      <w:szCs w:val="21"/>
                      <w:highlight w:val="none"/>
                      <w:lang w:val="en-US" w:eastAsia="zh-CN"/>
                    </w:rPr>
                    <w:t>用水</w:t>
                  </w:r>
                  <w:r>
                    <w:rPr>
                      <w:rFonts w:hint="eastAsia" w:ascii="Times New Roman" w:hAnsi="Times New Roman" w:cs="Times New Roman"/>
                      <w:szCs w:val="21"/>
                      <w:highlight w:val="none"/>
                      <w:lang w:val="en-US" w:eastAsia="zh-CN"/>
                    </w:rPr>
                    <w:t>依托</w:t>
                  </w:r>
                  <w:r>
                    <w:rPr>
                      <w:rFonts w:hint="default" w:ascii="Times New Roman" w:hAnsi="Times New Roman" w:cs="Times New Roman"/>
                      <w:szCs w:val="21"/>
                      <w:highlight w:val="none"/>
                    </w:rPr>
                    <w:t>现有厂区</w:t>
                  </w:r>
                  <w:r>
                    <w:rPr>
                      <w:rFonts w:hint="eastAsia" w:ascii="Times New Roman" w:hAnsi="Times New Roman" w:cs="Times New Roman"/>
                      <w:szCs w:val="21"/>
                      <w:highlight w:val="none"/>
                      <w:lang w:val="en-US" w:eastAsia="zh-CN"/>
                    </w:rPr>
                    <w:t>供水管网供</w:t>
                  </w:r>
                  <w:r>
                    <w:rPr>
                      <w:rFonts w:hint="default" w:ascii="Times New Roman" w:hAnsi="Times New Roman" w:cs="Times New Roman"/>
                      <w:szCs w:val="21"/>
                      <w:highlight w:val="none"/>
                    </w:rPr>
                    <w:t>给</w:t>
                  </w:r>
                  <w:r>
                    <w:rPr>
                      <w:rFonts w:hint="eastAsia" w:ascii="Times New Roman" w:hAnsi="Times New Roman" w:cs="Times New Roman"/>
                      <w:szCs w:val="21"/>
                      <w:highlight w:val="none"/>
                      <w:lang w:eastAsia="zh-CN"/>
                    </w:rPr>
                    <w:t>。</w:t>
                  </w:r>
                </w:p>
              </w:tc>
              <w:tc>
                <w:tcPr>
                  <w:tcW w:w="304" w:type="pct"/>
                  <w:noWrap w:val="0"/>
                  <w:vAlign w:val="center"/>
                </w:tcPr>
                <w:p w14:paraId="47C03959">
                  <w:pPr>
                    <w:kinsoku w:val="0"/>
                    <w:overflowPunct w:val="0"/>
                    <w:autoSpaceDE w:val="0"/>
                    <w:autoSpaceDN w:val="0"/>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相符</w:t>
                  </w:r>
                </w:p>
              </w:tc>
            </w:tr>
            <w:tr w14:paraId="22E69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97" w:type="pct"/>
                  <w:noWrap w:val="0"/>
                  <w:vAlign w:val="center"/>
                </w:tcPr>
                <w:p w14:paraId="0D2C14A2">
                  <w:pPr>
                    <w:kinsoku w:val="0"/>
                    <w:overflowPunct w:val="0"/>
                    <w:autoSpaceDE w:val="0"/>
                    <w:autoSpaceDN w:val="0"/>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供热</w:t>
                  </w:r>
                </w:p>
              </w:tc>
              <w:tc>
                <w:tcPr>
                  <w:tcW w:w="2786" w:type="pct"/>
                  <w:noWrap w:val="0"/>
                  <w:vAlign w:val="center"/>
                </w:tcPr>
                <w:p w14:paraId="60222914">
                  <w:pPr>
                    <w:keepNext w:val="0"/>
                    <w:keepLines w:val="0"/>
                    <w:pageBreakBefore w:val="0"/>
                    <w:widowControl w:val="0"/>
                    <w:kinsoku w:val="0"/>
                    <w:wordWrap/>
                    <w:overflowPunct w:val="0"/>
                    <w:topLinePunct w:val="0"/>
                    <w:autoSpaceDE w:val="0"/>
                    <w:autoSpaceDN w:val="0"/>
                    <w:bidi w:val="0"/>
                    <w:adjustRightInd w:val="0"/>
                    <w:snapToGrid w:val="0"/>
                    <w:ind w:firstLine="0" w:firstLineChars="0"/>
                    <w:jc w:val="center"/>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rPr>
                    <w:t>结合经开区企业产业技术特点，独贵塔拉产业园（北区）和南</w:t>
                  </w:r>
                  <w:r>
                    <w:rPr>
                      <w:rFonts w:hint="default" w:ascii="Times New Roman" w:hAnsi="Times New Roman" w:cs="Times New Roman"/>
                      <w:szCs w:val="21"/>
                      <w:highlight w:val="none"/>
                      <w:lang w:eastAsia="zh-CN"/>
                    </w:rPr>
                    <w:t>区</w:t>
                  </w:r>
                  <w:r>
                    <w:rPr>
                      <w:rFonts w:hint="default" w:ascii="Times New Roman" w:hAnsi="Times New Roman" w:cs="Times New Roman"/>
                      <w:szCs w:val="21"/>
                      <w:highlight w:val="none"/>
                    </w:rPr>
                    <w:t>项目工业余热充足，可实现企业自行供热，不再规划供热设施；新能源产业园多为制氢企业，该类</w:t>
                  </w:r>
                  <w:r>
                    <w:rPr>
                      <w:rFonts w:hint="default" w:ascii="Times New Roman" w:hAnsi="Times New Roman" w:cs="Times New Roman"/>
                      <w:szCs w:val="21"/>
                      <w:highlight w:val="none"/>
                      <w:lang w:eastAsia="zh-CN"/>
                    </w:rPr>
                    <w:t>企业</w:t>
                  </w:r>
                  <w:r>
                    <w:rPr>
                      <w:rFonts w:hint="default" w:ascii="Times New Roman" w:hAnsi="Times New Roman" w:cs="Times New Roman"/>
                      <w:szCs w:val="21"/>
                      <w:highlight w:val="none"/>
                    </w:rPr>
                    <w:t>亦可实现自行供热，仅规划公共服务中心及食品加工企业组团供热设施，该区域供热可依托现有聚野煤化工60万t/a捣固焦配套2×12MW热电机组及新能源产业园生物质电厂建设2×120MW热电机组。</w:t>
                  </w:r>
                </w:p>
              </w:tc>
              <w:tc>
                <w:tcPr>
                  <w:tcW w:w="2208" w:type="dxa"/>
                  <w:noWrap w:val="0"/>
                  <w:vAlign w:val="center"/>
                </w:tcPr>
                <w:p w14:paraId="200F2C4F">
                  <w:pPr>
                    <w:keepNext w:val="0"/>
                    <w:keepLines w:val="0"/>
                    <w:pageBreakBefore w:val="0"/>
                    <w:widowControl w:val="0"/>
                    <w:kinsoku w:val="0"/>
                    <w:wordWrap/>
                    <w:overflowPunct w:val="0"/>
                    <w:topLinePunct w:val="0"/>
                    <w:autoSpaceDE w:val="0"/>
                    <w:autoSpaceDN w:val="0"/>
                    <w:bidi w:val="0"/>
                    <w:adjustRightInd w:val="0"/>
                    <w:snapToGrid w:val="0"/>
                    <w:ind w:firstLine="0" w:firstLineChars="0"/>
                    <w:jc w:val="center"/>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rPr>
                    <w:t>本项目</w:t>
                  </w:r>
                  <w:r>
                    <w:rPr>
                      <w:rFonts w:hint="default" w:ascii="Times New Roman" w:hAnsi="Times New Roman" w:cs="Times New Roman"/>
                      <w:szCs w:val="21"/>
                      <w:highlight w:val="none"/>
                      <w:lang w:val="en-US" w:eastAsia="zh-CN"/>
                    </w:rPr>
                    <w:t>用汽</w:t>
                  </w:r>
                  <w:r>
                    <w:rPr>
                      <w:rFonts w:hint="default" w:ascii="Times New Roman" w:hAnsi="Times New Roman" w:cs="Times New Roman"/>
                      <w:szCs w:val="21"/>
                      <w:highlight w:val="none"/>
                    </w:rPr>
                    <w:t>由现有厂区热电装置供给。</w:t>
                  </w:r>
                </w:p>
              </w:tc>
              <w:tc>
                <w:tcPr>
                  <w:tcW w:w="304" w:type="pct"/>
                  <w:noWrap w:val="0"/>
                  <w:vAlign w:val="center"/>
                </w:tcPr>
                <w:p w14:paraId="48CC2F96">
                  <w:pPr>
                    <w:kinsoku w:val="0"/>
                    <w:overflowPunct w:val="0"/>
                    <w:autoSpaceDE w:val="0"/>
                    <w:autoSpaceDN w:val="0"/>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相符</w:t>
                  </w:r>
                </w:p>
              </w:tc>
            </w:tr>
            <w:tr w14:paraId="6E85C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97" w:type="pct"/>
                  <w:noWrap w:val="0"/>
                  <w:vAlign w:val="center"/>
                </w:tcPr>
                <w:p w14:paraId="70BADBE4">
                  <w:pPr>
                    <w:kinsoku w:val="0"/>
                    <w:overflowPunct w:val="0"/>
                    <w:autoSpaceDE w:val="0"/>
                    <w:autoSpaceDN w:val="0"/>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环保</w:t>
                  </w:r>
                </w:p>
                <w:p w14:paraId="6A637B57">
                  <w:pPr>
                    <w:kinsoku w:val="0"/>
                    <w:overflowPunct w:val="0"/>
                    <w:autoSpaceDE w:val="0"/>
                    <w:autoSpaceDN w:val="0"/>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控制</w:t>
                  </w:r>
                </w:p>
                <w:p w14:paraId="56182CE6">
                  <w:pPr>
                    <w:kinsoku w:val="0"/>
                    <w:overflowPunct w:val="0"/>
                    <w:autoSpaceDE w:val="0"/>
                    <w:autoSpaceDN w:val="0"/>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目标</w:t>
                  </w:r>
                </w:p>
              </w:tc>
              <w:tc>
                <w:tcPr>
                  <w:tcW w:w="2786" w:type="pct"/>
                  <w:noWrap w:val="0"/>
                  <w:vAlign w:val="center"/>
                </w:tcPr>
                <w:p w14:paraId="51D07081">
                  <w:pPr>
                    <w:keepNext w:val="0"/>
                    <w:keepLines w:val="0"/>
                    <w:pageBreakBefore w:val="0"/>
                    <w:widowControl w:val="0"/>
                    <w:wordWrap/>
                    <w:topLinePunct w:val="0"/>
                    <w:bidi w:val="0"/>
                    <w:ind w:firstLine="0"/>
                    <w:jc w:val="center"/>
                    <w:textAlignment w:val="auto"/>
                    <w:rPr>
                      <w:rFonts w:hint="default" w:ascii="Times New Roman" w:hAnsi="Times New Roman" w:cs="Times New Roman"/>
                      <w:highlight w:val="none"/>
                      <w:lang w:eastAsia="zh-CN"/>
                    </w:rPr>
                  </w:pPr>
                  <w:r>
                    <w:rPr>
                      <w:rFonts w:hint="default" w:ascii="Times New Roman" w:hAnsi="Times New Roman" w:cs="Times New Roman"/>
                      <w:highlight w:val="none"/>
                      <w:lang w:eastAsia="zh-CN"/>
                    </w:rPr>
                    <w:t>（1）水环境质量目标：水环境功能区质量达标。工业废水排放达标率100%，生活污水处理率100%。</w:t>
                  </w:r>
                </w:p>
                <w:p w14:paraId="7D7824B2">
                  <w:pPr>
                    <w:keepNext w:val="0"/>
                    <w:keepLines w:val="0"/>
                    <w:pageBreakBefore w:val="0"/>
                    <w:widowControl w:val="0"/>
                    <w:wordWrap/>
                    <w:topLinePunct w:val="0"/>
                    <w:bidi w:val="0"/>
                    <w:ind w:firstLine="0"/>
                    <w:jc w:val="center"/>
                    <w:textAlignment w:val="auto"/>
                    <w:rPr>
                      <w:rFonts w:hint="default" w:ascii="Times New Roman" w:hAnsi="Times New Roman" w:cs="Times New Roman"/>
                      <w:highlight w:val="none"/>
                      <w:lang w:eastAsia="zh-CN"/>
                    </w:rPr>
                  </w:pPr>
                  <w:r>
                    <w:rPr>
                      <w:rFonts w:hint="default" w:ascii="Times New Roman" w:hAnsi="Times New Roman" w:cs="Times New Roman"/>
                      <w:highlight w:val="none"/>
                      <w:lang w:eastAsia="zh-CN"/>
                    </w:rPr>
                    <w:t>（2）大气环境质量目标：环境空气质量达到《环境空气质量标准》二级标准。环境空气质量达标率达到100%，工业废气处理达标率达到100%。</w:t>
                  </w:r>
                </w:p>
                <w:p w14:paraId="5A08AC12">
                  <w:pPr>
                    <w:keepNext w:val="0"/>
                    <w:keepLines w:val="0"/>
                    <w:pageBreakBefore w:val="0"/>
                    <w:widowControl w:val="0"/>
                    <w:wordWrap/>
                    <w:topLinePunct w:val="0"/>
                    <w:bidi w:val="0"/>
                    <w:ind w:firstLine="0"/>
                    <w:jc w:val="center"/>
                    <w:textAlignment w:val="auto"/>
                    <w:rPr>
                      <w:rFonts w:hint="default" w:ascii="Times New Roman" w:hAnsi="Times New Roman" w:cs="Times New Roman"/>
                      <w:highlight w:val="none"/>
                      <w:lang w:eastAsia="zh-CN"/>
                    </w:rPr>
                  </w:pPr>
                  <w:r>
                    <w:rPr>
                      <w:rFonts w:hint="default" w:ascii="Times New Roman" w:hAnsi="Times New Roman" w:cs="Times New Roman"/>
                      <w:highlight w:val="none"/>
                      <w:lang w:eastAsia="zh-CN"/>
                    </w:rPr>
                    <w:t>（3）声环境质量目标：环境噪声达到或优于《声环境质量标准》（GB3096-2008）中规定的相应标准。</w:t>
                  </w:r>
                </w:p>
                <w:p w14:paraId="58428F7F">
                  <w:pPr>
                    <w:keepNext w:val="0"/>
                    <w:keepLines w:val="0"/>
                    <w:pageBreakBefore w:val="0"/>
                    <w:widowControl w:val="0"/>
                    <w:wordWrap/>
                    <w:topLinePunct w:val="0"/>
                    <w:bidi w:val="0"/>
                    <w:ind w:firstLine="0"/>
                    <w:jc w:val="center"/>
                    <w:textAlignment w:val="auto"/>
                    <w:rPr>
                      <w:rFonts w:hint="default" w:ascii="Times New Roman" w:hAnsi="Times New Roman" w:cs="Times New Roman"/>
                      <w:szCs w:val="21"/>
                      <w:highlight w:val="none"/>
                    </w:rPr>
                  </w:pPr>
                  <w:r>
                    <w:rPr>
                      <w:rFonts w:hint="default" w:ascii="Times New Roman" w:hAnsi="Times New Roman" w:cs="Times New Roman"/>
                      <w:highlight w:val="none"/>
                      <w:lang w:eastAsia="zh-CN"/>
                    </w:rPr>
                    <w:t>（4）固体废弃物处理目标：固体废弃物处置方式进一步优化，再生资源得到有效利用，无害化处理率达到100%</w:t>
                  </w:r>
                  <w:r>
                    <w:rPr>
                      <w:rFonts w:hint="default" w:ascii="Times New Roman" w:hAnsi="Times New Roman" w:cs="Times New Roman"/>
                      <w:szCs w:val="21"/>
                      <w:highlight w:val="none"/>
                    </w:rPr>
                    <w:t>。</w:t>
                  </w:r>
                </w:p>
              </w:tc>
              <w:tc>
                <w:tcPr>
                  <w:tcW w:w="1511" w:type="pct"/>
                  <w:noWrap w:val="0"/>
                  <w:vAlign w:val="center"/>
                </w:tcPr>
                <w:p w14:paraId="3E79312C">
                  <w:pPr>
                    <w:keepNext w:val="0"/>
                    <w:keepLines w:val="0"/>
                    <w:pageBreakBefore w:val="0"/>
                    <w:widowControl w:val="0"/>
                    <w:kinsoku w:val="0"/>
                    <w:wordWrap/>
                    <w:overflowPunct w:val="0"/>
                    <w:topLinePunct w:val="0"/>
                    <w:autoSpaceDE w:val="0"/>
                    <w:autoSpaceDN w:val="0"/>
                    <w:bidi w:val="0"/>
                    <w:adjustRightInd w:val="0"/>
                    <w:snapToGrid w:val="0"/>
                    <w:ind w:firstLine="0" w:firstLineChars="0"/>
                    <w:jc w:val="center"/>
                    <w:textAlignment w:val="auto"/>
                    <w:rPr>
                      <w:rFonts w:hint="default" w:ascii="Times New Roman" w:hAnsi="Times New Roman" w:eastAsia="宋体" w:cs="Times New Roman"/>
                      <w:szCs w:val="21"/>
                      <w:highlight w:val="none"/>
                      <w:lang w:val="en-US" w:eastAsia="zh-CN"/>
                    </w:rPr>
                  </w:pPr>
                  <w:r>
                    <w:rPr>
                      <w:rFonts w:hint="default" w:ascii="Times New Roman" w:hAnsi="Times New Roman" w:cs="Times New Roman"/>
                      <w:szCs w:val="21"/>
                      <w:highlight w:val="none"/>
                      <w:lang w:val="en-US" w:eastAsia="zh-CN"/>
                    </w:rPr>
                    <w:t>本项目运行后正常工况下无废气产生，无固废产生、无废水产生。</w:t>
                  </w:r>
                  <w:r>
                    <w:rPr>
                      <w:rFonts w:hint="eastAsia" w:ascii="Times New Roman" w:hAnsi="Times New Roman" w:cs="Times New Roman"/>
                      <w:szCs w:val="21"/>
                      <w:highlight w:val="none"/>
                      <w:lang w:val="en-US" w:eastAsia="zh-CN"/>
                    </w:rPr>
                    <w:t>本项目新增的甲烷压缩机位于增压风机房内</w:t>
                  </w:r>
                  <w:r>
                    <w:rPr>
                      <w:rFonts w:hint="eastAsia" w:cs="Times New Roman"/>
                      <w:szCs w:val="21"/>
                      <w:highlight w:val="none"/>
                      <w:lang w:val="en-US" w:eastAsia="zh-CN"/>
                    </w:rPr>
                    <w:t>，</w:t>
                  </w:r>
                  <w:r>
                    <w:rPr>
                      <w:rFonts w:hint="eastAsia" w:ascii="Times New Roman" w:hAnsi="Times New Roman" w:cs="Times New Roman"/>
                      <w:szCs w:val="21"/>
                      <w:highlight w:val="none"/>
                      <w:lang w:val="en-US" w:eastAsia="zh-CN"/>
                    </w:rPr>
                    <w:t>满足</w:t>
                  </w:r>
                  <w:r>
                    <w:rPr>
                      <w:rFonts w:hint="default" w:ascii="Times New Roman" w:hAnsi="Times New Roman" w:cs="Times New Roman"/>
                      <w:highlight w:val="none"/>
                      <w:lang w:eastAsia="zh-CN"/>
                    </w:rPr>
                    <w:t>《声环境质量标准》（GB3096-2008）</w:t>
                  </w:r>
                  <w:r>
                    <w:rPr>
                      <w:rFonts w:hint="eastAsia" w:ascii="Times New Roman" w:hAnsi="Times New Roman" w:cs="Times New Roman"/>
                      <w:highlight w:val="none"/>
                      <w:lang w:val="en-US" w:eastAsia="zh-CN"/>
                    </w:rPr>
                    <w:t>3级标准。</w:t>
                  </w:r>
                </w:p>
              </w:tc>
              <w:tc>
                <w:tcPr>
                  <w:tcW w:w="304" w:type="pct"/>
                  <w:noWrap w:val="0"/>
                  <w:vAlign w:val="center"/>
                </w:tcPr>
                <w:p w14:paraId="12275584">
                  <w:pPr>
                    <w:kinsoku w:val="0"/>
                    <w:overflowPunct w:val="0"/>
                    <w:autoSpaceDE w:val="0"/>
                    <w:autoSpaceDN w:val="0"/>
                    <w:adjustRightInd w:val="0"/>
                    <w:snapToGrid w:val="0"/>
                    <w:jc w:val="center"/>
                    <w:rPr>
                      <w:rFonts w:hint="default" w:ascii="Times New Roman" w:hAnsi="Times New Roman" w:eastAsia="宋体" w:cs="Times New Roman"/>
                      <w:szCs w:val="21"/>
                      <w:highlight w:val="none"/>
                      <w:lang w:eastAsia="zh-CN"/>
                    </w:rPr>
                  </w:pPr>
                  <w:r>
                    <w:rPr>
                      <w:rFonts w:hint="default" w:ascii="Times New Roman" w:hAnsi="Times New Roman" w:cs="Times New Roman"/>
                      <w:szCs w:val="21"/>
                      <w:highlight w:val="none"/>
                    </w:rPr>
                    <w:t>相符</w:t>
                  </w:r>
                </w:p>
              </w:tc>
            </w:tr>
          </w:tbl>
          <w:p w14:paraId="31976E45">
            <w:pPr>
              <w:autoSpaceDE w:val="0"/>
              <w:autoSpaceDN w:val="0"/>
              <w:adjustRightInd w:val="0"/>
              <w:snapToGrid w:val="0"/>
              <w:spacing w:line="360" w:lineRule="auto"/>
              <w:rPr>
                <w:rFonts w:hint="default" w:ascii="Times New Roman" w:hAnsi="Times New Roman" w:cs="Times New Roman"/>
                <w:b/>
                <w:bCs/>
                <w:sz w:val="24"/>
                <w:szCs w:val="32"/>
                <w:highlight w:val="none"/>
              </w:rPr>
            </w:pPr>
            <w:r>
              <w:rPr>
                <w:rFonts w:hint="eastAsia" w:cs="Times New Roman"/>
                <w:b/>
                <w:bCs/>
                <w:sz w:val="24"/>
                <w:szCs w:val="32"/>
                <w:highlight w:val="none"/>
                <w:lang w:val="en-US" w:eastAsia="zh-CN"/>
              </w:rPr>
              <w:t>2.</w:t>
            </w:r>
            <w:r>
              <w:rPr>
                <w:rFonts w:hint="default" w:ascii="Times New Roman" w:hAnsi="Times New Roman" w:cs="Times New Roman"/>
                <w:b/>
                <w:bCs/>
                <w:sz w:val="24"/>
                <w:szCs w:val="32"/>
                <w:highlight w:val="none"/>
                <w:lang w:val="en-US" w:eastAsia="zh-CN"/>
              </w:rPr>
              <w:t>园区</w:t>
            </w:r>
            <w:r>
              <w:rPr>
                <w:rFonts w:hint="default" w:ascii="Times New Roman" w:hAnsi="Times New Roman" w:cs="Times New Roman"/>
                <w:b/>
                <w:bCs/>
                <w:sz w:val="24"/>
                <w:szCs w:val="32"/>
                <w:highlight w:val="none"/>
              </w:rPr>
              <w:t>规划环评符合性分析</w:t>
            </w:r>
          </w:p>
          <w:p w14:paraId="533E7C35">
            <w:pPr>
              <w:snapToGrid w:val="0"/>
              <w:spacing w:line="360" w:lineRule="auto"/>
              <w:ind w:firstLine="480" w:firstLineChars="200"/>
              <w:rPr>
                <w:rFonts w:hint="default" w:ascii="Times New Roman" w:hAnsi="Times New Roman" w:eastAsia="宋体" w:cs="Times New Roman"/>
                <w:color w:val="000000"/>
                <w:sz w:val="24"/>
                <w:highlight w:val="none"/>
              </w:rPr>
            </w:pPr>
            <w:r>
              <w:rPr>
                <w:rFonts w:hint="default" w:ascii="Times New Roman" w:hAnsi="Times New Roman" w:eastAsia="宋体" w:cs="Times New Roman"/>
                <w:color w:val="000000"/>
                <w:sz w:val="24"/>
                <w:highlight w:val="none"/>
              </w:rPr>
              <w:t>2023年6月25日，该园区取得了《内蒙古自治区生态环境厅关于〈内蒙古鄂尔多斯杭锦经济开发区总体规划（2021-2035）环境影响报告书〉的审查意见》（内环审〔2023〕41号）。本项目与《规划环评审查意见》（内环审〔2023〕41号）结论相符性分析如下表：</w:t>
            </w:r>
          </w:p>
          <w:p w14:paraId="4BEEEFAA">
            <w:pPr>
              <w:pStyle w:val="31"/>
              <w:spacing w:line="360" w:lineRule="auto"/>
              <w:ind w:firstLine="0"/>
              <w:jc w:val="center"/>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表1-</w:t>
            </w:r>
            <w:r>
              <w:rPr>
                <w:rFonts w:hint="eastAsia" w:ascii="Times New Roman" w:hAnsi="Times New Roman" w:cs="Times New Roman"/>
                <w:b/>
                <w:bCs/>
                <w:sz w:val="21"/>
                <w:szCs w:val="21"/>
                <w:highlight w:val="none"/>
                <w:lang w:val="en-US" w:eastAsia="zh-CN"/>
              </w:rPr>
              <w:t xml:space="preserve">5   </w:t>
            </w:r>
            <w:r>
              <w:rPr>
                <w:rFonts w:hint="default" w:ascii="Times New Roman" w:hAnsi="Times New Roman" w:eastAsia="宋体" w:cs="Times New Roman"/>
                <w:b/>
                <w:bCs/>
                <w:sz w:val="21"/>
                <w:szCs w:val="21"/>
                <w:highlight w:val="none"/>
              </w:rPr>
              <w:t>本项目与规划环评审查意见（与项目相关内容）的符合性分析</w:t>
            </w:r>
          </w:p>
          <w:tbl>
            <w:tblPr>
              <w:tblStyle w:val="1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0"/>
              <w:gridCol w:w="3967"/>
              <w:gridCol w:w="2050"/>
              <w:gridCol w:w="742"/>
            </w:tblGrid>
            <w:tr w14:paraId="77F2C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6" w:type="pct"/>
                  <w:tcBorders>
                    <w:tl2br w:val="nil"/>
                    <w:tr2bl w:val="nil"/>
                  </w:tcBorders>
                  <w:noWrap w:val="0"/>
                  <w:vAlign w:val="center"/>
                </w:tcPr>
                <w:p w14:paraId="567BAA96">
                  <w:pPr>
                    <w:keepNext w:val="0"/>
                    <w:keepLines w:val="0"/>
                    <w:pageBreakBefore w:val="0"/>
                    <w:widowControl w:val="0"/>
                    <w:kinsoku/>
                    <w:wordWrap/>
                    <w:overflowPunct/>
                    <w:topLinePunct w:val="0"/>
                    <w:bidi w:val="0"/>
                    <w:snapToGrid w:val="0"/>
                    <w:ind w:firstLine="0" w:firstLineChars="0"/>
                    <w:jc w:val="center"/>
                    <w:textAlignment w:val="auto"/>
                    <w:rPr>
                      <w:rFonts w:hint="default" w:ascii="Times New Roman" w:hAnsi="Times New Roman" w:eastAsia="宋体" w:cs="Times New Roman"/>
                      <w:b w:val="0"/>
                      <w:bCs/>
                      <w:color w:val="000000"/>
                      <w:kern w:val="0"/>
                      <w:sz w:val="21"/>
                      <w:szCs w:val="21"/>
                      <w:highlight w:val="none"/>
                    </w:rPr>
                  </w:pPr>
                  <w:r>
                    <w:rPr>
                      <w:rFonts w:hint="default" w:ascii="Times New Roman" w:hAnsi="Times New Roman" w:eastAsia="宋体" w:cs="Times New Roman"/>
                      <w:b w:val="0"/>
                      <w:bCs/>
                      <w:color w:val="000000"/>
                      <w:kern w:val="0"/>
                      <w:sz w:val="21"/>
                      <w:szCs w:val="21"/>
                      <w:highlight w:val="none"/>
                    </w:rPr>
                    <w:t>序号</w:t>
                  </w:r>
                </w:p>
              </w:tc>
              <w:tc>
                <w:tcPr>
                  <w:tcW w:w="2754" w:type="pct"/>
                  <w:tcBorders>
                    <w:tl2br w:val="nil"/>
                    <w:tr2bl w:val="nil"/>
                  </w:tcBorders>
                  <w:noWrap w:val="0"/>
                  <w:vAlign w:val="center"/>
                </w:tcPr>
                <w:p w14:paraId="2EB15571">
                  <w:pPr>
                    <w:keepNext w:val="0"/>
                    <w:keepLines w:val="0"/>
                    <w:pageBreakBefore w:val="0"/>
                    <w:widowControl w:val="0"/>
                    <w:kinsoku/>
                    <w:wordWrap/>
                    <w:overflowPunct/>
                    <w:topLinePunct w:val="0"/>
                    <w:bidi w:val="0"/>
                    <w:snapToGrid w:val="0"/>
                    <w:ind w:firstLine="0" w:firstLineChars="0"/>
                    <w:jc w:val="center"/>
                    <w:textAlignment w:val="auto"/>
                    <w:rPr>
                      <w:rFonts w:hint="default" w:ascii="Times New Roman" w:hAnsi="Times New Roman" w:eastAsia="宋体" w:cs="Times New Roman"/>
                      <w:b w:val="0"/>
                      <w:bCs/>
                      <w:color w:val="000000"/>
                      <w:kern w:val="0"/>
                      <w:sz w:val="21"/>
                      <w:szCs w:val="21"/>
                      <w:highlight w:val="none"/>
                    </w:rPr>
                  </w:pPr>
                  <w:r>
                    <w:rPr>
                      <w:rFonts w:hint="default" w:ascii="Times New Roman" w:hAnsi="Times New Roman" w:eastAsia="宋体" w:cs="Times New Roman"/>
                      <w:b w:val="0"/>
                      <w:bCs/>
                      <w:color w:val="000000"/>
                      <w:kern w:val="0"/>
                      <w:sz w:val="21"/>
                      <w:szCs w:val="21"/>
                      <w:highlight w:val="none"/>
                    </w:rPr>
                    <w:t>规划环评要求</w:t>
                  </w:r>
                </w:p>
              </w:tc>
              <w:tc>
                <w:tcPr>
                  <w:tcW w:w="1423" w:type="pct"/>
                  <w:tcBorders>
                    <w:tl2br w:val="nil"/>
                    <w:tr2bl w:val="nil"/>
                  </w:tcBorders>
                  <w:noWrap w:val="0"/>
                  <w:vAlign w:val="center"/>
                </w:tcPr>
                <w:p w14:paraId="4085D04C">
                  <w:pPr>
                    <w:keepNext w:val="0"/>
                    <w:keepLines w:val="0"/>
                    <w:pageBreakBefore w:val="0"/>
                    <w:widowControl w:val="0"/>
                    <w:kinsoku/>
                    <w:wordWrap/>
                    <w:overflowPunct/>
                    <w:topLinePunct w:val="0"/>
                    <w:bidi w:val="0"/>
                    <w:snapToGrid w:val="0"/>
                    <w:ind w:firstLine="0" w:firstLineChars="0"/>
                    <w:jc w:val="center"/>
                    <w:textAlignment w:val="auto"/>
                    <w:rPr>
                      <w:rFonts w:hint="default" w:ascii="Times New Roman" w:hAnsi="Times New Roman" w:eastAsia="宋体" w:cs="Times New Roman"/>
                      <w:b w:val="0"/>
                      <w:bCs/>
                      <w:color w:val="000000"/>
                      <w:kern w:val="0"/>
                      <w:sz w:val="21"/>
                      <w:szCs w:val="21"/>
                      <w:highlight w:val="none"/>
                    </w:rPr>
                  </w:pPr>
                  <w:r>
                    <w:rPr>
                      <w:rFonts w:hint="default" w:ascii="Times New Roman" w:hAnsi="Times New Roman" w:eastAsia="宋体" w:cs="Times New Roman"/>
                      <w:b w:val="0"/>
                      <w:bCs/>
                      <w:color w:val="000000"/>
                      <w:kern w:val="0"/>
                      <w:sz w:val="21"/>
                      <w:szCs w:val="21"/>
                      <w:highlight w:val="none"/>
                    </w:rPr>
                    <w:t>本项目情况</w:t>
                  </w:r>
                </w:p>
              </w:tc>
              <w:tc>
                <w:tcPr>
                  <w:tcW w:w="515" w:type="pct"/>
                  <w:tcBorders>
                    <w:tl2br w:val="nil"/>
                    <w:tr2bl w:val="nil"/>
                  </w:tcBorders>
                  <w:noWrap w:val="0"/>
                  <w:vAlign w:val="center"/>
                </w:tcPr>
                <w:p w14:paraId="518DECB7">
                  <w:pPr>
                    <w:keepNext w:val="0"/>
                    <w:keepLines w:val="0"/>
                    <w:pageBreakBefore w:val="0"/>
                    <w:widowControl w:val="0"/>
                    <w:kinsoku/>
                    <w:wordWrap/>
                    <w:overflowPunct/>
                    <w:topLinePunct w:val="0"/>
                    <w:bidi w:val="0"/>
                    <w:snapToGrid w:val="0"/>
                    <w:ind w:firstLine="0" w:firstLineChars="0"/>
                    <w:jc w:val="center"/>
                    <w:textAlignment w:val="auto"/>
                    <w:rPr>
                      <w:rFonts w:hint="default" w:ascii="Times New Roman" w:hAnsi="Times New Roman" w:eastAsia="宋体" w:cs="Times New Roman"/>
                      <w:b w:val="0"/>
                      <w:bCs/>
                      <w:color w:val="000000"/>
                      <w:kern w:val="0"/>
                      <w:sz w:val="21"/>
                      <w:szCs w:val="21"/>
                      <w:highlight w:val="none"/>
                    </w:rPr>
                  </w:pPr>
                  <w:r>
                    <w:rPr>
                      <w:rFonts w:hint="default" w:ascii="Times New Roman" w:hAnsi="Times New Roman" w:eastAsia="宋体" w:cs="Times New Roman"/>
                      <w:b w:val="0"/>
                      <w:bCs/>
                      <w:color w:val="000000"/>
                      <w:kern w:val="0"/>
                      <w:sz w:val="21"/>
                      <w:szCs w:val="21"/>
                      <w:highlight w:val="none"/>
                    </w:rPr>
                    <w:t>相符性</w:t>
                  </w:r>
                </w:p>
              </w:tc>
            </w:tr>
            <w:tr w14:paraId="12A09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6" w:type="pct"/>
                  <w:tcBorders>
                    <w:tl2br w:val="nil"/>
                    <w:tr2bl w:val="nil"/>
                  </w:tcBorders>
                  <w:noWrap w:val="0"/>
                  <w:vAlign w:val="center"/>
                </w:tcPr>
                <w:p w14:paraId="1186D3C7">
                  <w:pPr>
                    <w:keepNext w:val="0"/>
                    <w:keepLines w:val="0"/>
                    <w:pageBreakBefore w:val="0"/>
                    <w:widowControl w:val="0"/>
                    <w:kinsoku/>
                    <w:wordWrap/>
                    <w:overflowPunct/>
                    <w:topLinePunct w:val="0"/>
                    <w:bidi w:val="0"/>
                    <w:snapToGrid w:val="0"/>
                    <w:ind w:firstLine="0" w:firstLineChars="0"/>
                    <w:jc w:val="center"/>
                    <w:textAlignment w:val="auto"/>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1</w:t>
                  </w:r>
                </w:p>
              </w:tc>
              <w:tc>
                <w:tcPr>
                  <w:tcW w:w="2754" w:type="pct"/>
                  <w:tcBorders>
                    <w:tl2br w:val="nil"/>
                    <w:tr2bl w:val="nil"/>
                  </w:tcBorders>
                  <w:noWrap w:val="0"/>
                  <w:vAlign w:val="center"/>
                </w:tcPr>
                <w:p w14:paraId="25743380">
                  <w:pPr>
                    <w:keepNext w:val="0"/>
                    <w:keepLines w:val="0"/>
                    <w:pageBreakBefore w:val="0"/>
                    <w:widowControl w:val="0"/>
                    <w:kinsoku/>
                    <w:wordWrap/>
                    <w:overflowPunct/>
                    <w:topLinePunct w:val="0"/>
                    <w:bidi w:val="0"/>
                    <w:snapToGrid w:val="0"/>
                    <w:ind w:firstLine="0" w:firstLineChars="0"/>
                    <w:jc w:val="center"/>
                    <w:textAlignment w:val="auto"/>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（一）坚持生态优先、绿色发展理念，加强规划引领。园区总体规划应做好与自治区、鄂尔多斯市国土空间总体规划及</w:t>
                  </w:r>
                  <w:r>
                    <w:rPr>
                      <w:rFonts w:hint="eastAsia" w:cs="Times New Roman"/>
                      <w:color w:val="000000"/>
                      <w:kern w:val="0"/>
                      <w:sz w:val="21"/>
                      <w:szCs w:val="21"/>
                      <w:highlight w:val="none"/>
                      <w:lang w:eastAsia="zh-CN"/>
                    </w:rPr>
                    <w:t>“</w:t>
                  </w:r>
                  <w:r>
                    <w:rPr>
                      <w:rFonts w:hint="default" w:ascii="Times New Roman" w:hAnsi="Times New Roman" w:eastAsia="宋体" w:cs="Times New Roman"/>
                      <w:color w:val="000000"/>
                      <w:kern w:val="0"/>
                      <w:sz w:val="21"/>
                      <w:szCs w:val="21"/>
                      <w:highlight w:val="none"/>
                    </w:rPr>
                    <w:t>三线一单</w:t>
                  </w:r>
                  <w:r>
                    <w:rPr>
                      <w:rFonts w:hint="eastAsia" w:cs="Times New Roman"/>
                      <w:color w:val="000000"/>
                      <w:kern w:val="0"/>
                      <w:sz w:val="21"/>
                      <w:szCs w:val="21"/>
                      <w:highlight w:val="none"/>
                      <w:lang w:eastAsia="zh-CN"/>
                    </w:rPr>
                    <w:t>”</w:t>
                  </w:r>
                  <w:r>
                    <w:rPr>
                      <w:rFonts w:hint="default" w:ascii="Times New Roman" w:hAnsi="Times New Roman" w:eastAsia="宋体" w:cs="Times New Roman"/>
                      <w:color w:val="000000"/>
                      <w:kern w:val="0"/>
                      <w:sz w:val="21"/>
                      <w:szCs w:val="21"/>
                      <w:highlight w:val="none"/>
                    </w:rPr>
                    <w:t>的协调衔接，并要与当地其他专项规划相协调。按照《内蒙古自治区人民政府关于促进工业园区高质量发展的若干意见》（内政发〔2019〕21号）、《内蒙古自治区人民政府办公厅关于进一步加强全区自治区级及以上工业园区环境保护工作的通知》（内政办发〔2018〕88号）及自治区、鄂尔多斯市按照国民经济和社会发展第十四个五年规划和2035年远景目标纲要等要求，指导园区建设。</w:t>
                  </w:r>
                </w:p>
              </w:tc>
              <w:tc>
                <w:tcPr>
                  <w:tcW w:w="1423" w:type="pct"/>
                  <w:tcBorders>
                    <w:tl2br w:val="nil"/>
                    <w:tr2bl w:val="nil"/>
                  </w:tcBorders>
                  <w:noWrap w:val="0"/>
                  <w:vAlign w:val="center"/>
                </w:tcPr>
                <w:p w14:paraId="09515320">
                  <w:pPr>
                    <w:keepNext w:val="0"/>
                    <w:keepLines w:val="0"/>
                    <w:pageBreakBefore w:val="0"/>
                    <w:widowControl w:val="0"/>
                    <w:kinsoku/>
                    <w:wordWrap/>
                    <w:overflowPunct/>
                    <w:topLinePunct w:val="0"/>
                    <w:bidi w:val="0"/>
                    <w:snapToGrid w:val="0"/>
                    <w:ind w:firstLine="0" w:firstLineChars="0"/>
                    <w:jc w:val="center"/>
                    <w:textAlignment w:val="auto"/>
                    <w:rPr>
                      <w:rFonts w:hint="default" w:ascii="Times New Roman" w:hAnsi="Times New Roman" w:eastAsia="宋体" w:cs="Times New Roman"/>
                      <w:color w:val="000000"/>
                      <w:kern w:val="0"/>
                      <w:sz w:val="21"/>
                      <w:szCs w:val="21"/>
                      <w:highlight w:val="none"/>
                      <w:lang w:eastAsia="zh-CN"/>
                    </w:rPr>
                  </w:pPr>
                  <w:r>
                    <w:rPr>
                      <w:rFonts w:hint="default" w:ascii="Times New Roman" w:hAnsi="Times New Roman" w:cs="Times New Roman"/>
                      <w:highlight w:val="none"/>
                      <w:lang w:val="en-US" w:eastAsia="zh-CN"/>
                    </w:rPr>
                    <w:t>/</w:t>
                  </w:r>
                </w:p>
              </w:tc>
              <w:tc>
                <w:tcPr>
                  <w:tcW w:w="515" w:type="pct"/>
                  <w:tcBorders>
                    <w:tl2br w:val="nil"/>
                    <w:tr2bl w:val="nil"/>
                  </w:tcBorders>
                  <w:noWrap w:val="0"/>
                  <w:vAlign w:val="center"/>
                </w:tcPr>
                <w:p w14:paraId="40094736">
                  <w:pPr>
                    <w:keepNext w:val="0"/>
                    <w:keepLines w:val="0"/>
                    <w:pageBreakBefore w:val="0"/>
                    <w:widowControl w:val="0"/>
                    <w:kinsoku/>
                    <w:wordWrap/>
                    <w:overflowPunct/>
                    <w:topLinePunct w:val="0"/>
                    <w:bidi w:val="0"/>
                    <w:snapToGrid w:val="0"/>
                    <w:ind w:firstLine="0" w:firstLineChars="0"/>
                    <w:jc w:val="center"/>
                    <w:textAlignment w:val="auto"/>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w:t>
                  </w:r>
                </w:p>
              </w:tc>
            </w:tr>
            <w:tr w14:paraId="50C76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6" w:type="pct"/>
                  <w:tcBorders>
                    <w:tl2br w:val="nil"/>
                    <w:tr2bl w:val="nil"/>
                  </w:tcBorders>
                  <w:noWrap w:val="0"/>
                  <w:vAlign w:val="center"/>
                </w:tcPr>
                <w:p w14:paraId="51E15815">
                  <w:pPr>
                    <w:keepNext w:val="0"/>
                    <w:keepLines w:val="0"/>
                    <w:pageBreakBefore w:val="0"/>
                    <w:widowControl w:val="0"/>
                    <w:kinsoku/>
                    <w:wordWrap/>
                    <w:overflowPunct/>
                    <w:topLinePunct w:val="0"/>
                    <w:bidi w:val="0"/>
                    <w:snapToGrid w:val="0"/>
                    <w:ind w:firstLine="0" w:firstLineChars="0"/>
                    <w:jc w:val="center"/>
                    <w:textAlignment w:val="auto"/>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2</w:t>
                  </w:r>
                </w:p>
              </w:tc>
              <w:tc>
                <w:tcPr>
                  <w:tcW w:w="2754" w:type="pct"/>
                  <w:tcBorders>
                    <w:tl2br w:val="nil"/>
                    <w:tr2bl w:val="nil"/>
                  </w:tcBorders>
                  <w:noWrap w:val="0"/>
                  <w:vAlign w:val="center"/>
                </w:tcPr>
                <w:p w14:paraId="46CE2191">
                  <w:pPr>
                    <w:keepNext w:val="0"/>
                    <w:keepLines w:val="0"/>
                    <w:pageBreakBefore w:val="0"/>
                    <w:widowControl w:val="0"/>
                    <w:kinsoku/>
                    <w:wordWrap/>
                    <w:overflowPunct/>
                    <w:topLinePunct w:val="0"/>
                    <w:bidi w:val="0"/>
                    <w:snapToGrid w:val="0"/>
                    <w:ind w:firstLine="0" w:firstLineChars="0"/>
                    <w:jc w:val="center"/>
                    <w:textAlignment w:val="auto"/>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（二）严格生态环境准入，推动高质量发展。园区应结合区域资源禀赋、生态敏感特征、生态功能保护、自治区及鄂尔多斯市</w:t>
                  </w:r>
                  <w:r>
                    <w:rPr>
                      <w:rFonts w:hint="eastAsia" w:cs="Times New Roman"/>
                      <w:color w:val="000000"/>
                      <w:kern w:val="0"/>
                      <w:sz w:val="21"/>
                      <w:szCs w:val="21"/>
                      <w:highlight w:val="none"/>
                      <w:lang w:eastAsia="zh-CN"/>
                    </w:rPr>
                    <w:t>“</w:t>
                  </w:r>
                  <w:r>
                    <w:rPr>
                      <w:rFonts w:hint="default" w:ascii="Times New Roman" w:hAnsi="Times New Roman" w:eastAsia="宋体" w:cs="Times New Roman"/>
                      <w:color w:val="000000"/>
                      <w:kern w:val="0"/>
                      <w:sz w:val="21"/>
                      <w:szCs w:val="21"/>
                      <w:highlight w:val="none"/>
                    </w:rPr>
                    <w:t>十四五</w:t>
                  </w:r>
                  <w:r>
                    <w:rPr>
                      <w:rFonts w:hint="eastAsia" w:cs="Times New Roman"/>
                      <w:color w:val="000000"/>
                      <w:kern w:val="0"/>
                      <w:sz w:val="21"/>
                      <w:szCs w:val="21"/>
                      <w:highlight w:val="none"/>
                      <w:lang w:eastAsia="zh-CN"/>
                    </w:rPr>
                    <w:t>”</w:t>
                  </w:r>
                  <w:r>
                    <w:rPr>
                      <w:rFonts w:hint="default" w:ascii="Times New Roman" w:hAnsi="Times New Roman" w:eastAsia="宋体" w:cs="Times New Roman"/>
                      <w:color w:val="000000"/>
                      <w:kern w:val="0"/>
                      <w:sz w:val="21"/>
                      <w:szCs w:val="21"/>
                      <w:highlight w:val="none"/>
                    </w:rPr>
                    <w:t>规划能耗双控、区域及行业碳达峰目标约束等要求</w:t>
                  </w:r>
                  <w:r>
                    <w:rPr>
                      <w:rFonts w:hint="eastAsia" w:cs="Times New Roman"/>
                      <w:color w:val="000000"/>
                      <w:kern w:val="0"/>
                      <w:sz w:val="21"/>
                      <w:szCs w:val="21"/>
                      <w:highlight w:val="none"/>
                      <w:lang w:eastAsia="zh-CN"/>
                    </w:rPr>
                    <w:t>，</w:t>
                  </w:r>
                  <w:r>
                    <w:rPr>
                      <w:rFonts w:hint="default" w:ascii="Times New Roman" w:hAnsi="Times New Roman" w:eastAsia="宋体" w:cs="Times New Roman"/>
                      <w:color w:val="000000"/>
                      <w:kern w:val="0"/>
                      <w:sz w:val="21"/>
                      <w:szCs w:val="21"/>
                      <w:highlight w:val="none"/>
                    </w:rPr>
                    <w:t>坚持循环经济和资源高效利用理念，严格按照《自治区开发区审核公告目录》、产业政策、</w:t>
                  </w:r>
                  <w:r>
                    <w:rPr>
                      <w:rFonts w:hint="eastAsia" w:cs="Times New Roman"/>
                      <w:color w:val="000000"/>
                      <w:kern w:val="0"/>
                      <w:sz w:val="21"/>
                      <w:szCs w:val="21"/>
                      <w:highlight w:val="none"/>
                      <w:lang w:eastAsia="zh-CN"/>
                    </w:rPr>
                    <w:t>“</w:t>
                  </w:r>
                  <w:r>
                    <w:rPr>
                      <w:rFonts w:hint="default" w:ascii="Times New Roman" w:hAnsi="Times New Roman" w:eastAsia="宋体" w:cs="Times New Roman"/>
                      <w:color w:val="000000"/>
                      <w:kern w:val="0"/>
                      <w:sz w:val="21"/>
                      <w:szCs w:val="21"/>
                      <w:highlight w:val="none"/>
                    </w:rPr>
                    <w:t>三线一单</w:t>
                  </w:r>
                  <w:r>
                    <w:rPr>
                      <w:rFonts w:hint="eastAsia" w:cs="Times New Roman"/>
                      <w:color w:val="000000"/>
                      <w:kern w:val="0"/>
                      <w:sz w:val="21"/>
                      <w:szCs w:val="21"/>
                      <w:highlight w:val="none"/>
                      <w:lang w:eastAsia="zh-CN"/>
                    </w:rPr>
                    <w:t>”</w:t>
                  </w:r>
                  <w:r>
                    <w:rPr>
                      <w:rFonts w:hint="default" w:ascii="Times New Roman" w:hAnsi="Times New Roman" w:eastAsia="宋体" w:cs="Times New Roman"/>
                      <w:color w:val="000000"/>
                      <w:kern w:val="0"/>
                      <w:sz w:val="21"/>
                      <w:szCs w:val="21"/>
                      <w:highlight w:val="none"/>
                    </w:rPr>
                    <w:t>生态环境分区管控、园区总体规划等要求及《报告书》产业发展推荐方案管理新入园项目，不得引进污染物排放量大、环境风险高的非主导产业项目。严控</w:t>
                  </w:r>
                  <w:r>
                    <w:rPr>
                      <w:rFonts w:hint="eastAsia" w:cs="Times New Roman"/>
                      <w:color w:val="000000"/>
                      <w:kern w:val="0"/>
                      <w:sz w:val="21"/>
                      <w:szCs w:val="21"/>
                      <w:highlight w:val="none"/>
                      <w:lang w:eastAsia="zh-CN"/>
                    </w:rPr>
                    <w:t>“</w:t>
                  </w:r>
                  <w:r>
                    <w:rPr>
                      <w:rFonts w:hint="default" w:ascii="Times New Roman" w:hAnsi="Times New Roman" w:eastAsia="宋体" w:cs="Times New Roman"/>
                      <w:color w:val="000000"/>
                      <w:kern w:val="0"/>
                      <w:sz w:val="21"/>
                      <w:szCs w:val="21"/>
                      <w:highlight w:val="none"/>
                    </w:rPr>
                    <w:t>两高</w:t>
                  </w:r>
                  <w:r>
                    <w:rPr>
                      <w:rFonts w:hint="eastAsia" w:cs="Times New Roman"/>
                      <w:color w:val="000000"/>
                      <w:kern w:val="0"/>
                      <w:sz w:val="21"/>
                      <w:szCs w:val="21"/>
                      <w:highlight w:val="none"/>
                      <w:lang w:eastAsia="zh-CN"/>
                    </w:rPr>
                    <w:t>”</w:t>
                  </w:r>
                  <w:r>
                    <w:rPr>
                      <w:rFonts w:hint="default" w:ascii="Times New Roman" w:hAnsi="Times New Roman" w:eastAsia="宋体" w:cs="Times New Roman"/>
                      <w:color w:val="000000"/>
                      <w:kern w:val="0"/>
                      <w:sz w:val="21"/>
                      <w:szCs w:val="21"/>
                      <w:highlight w:val="none"/>
                    </w:rPr>
                    <w:t>项目及生产工艺，确需建设的，应全面执行国家和自治区关于</w:t>
                  </w:r>
                  <w:r>
                    <w:rPr>
                      <w:rFonts w:hint="eastAsia" w:cs="Times New Roman"/>
                      <w:color w:val="000000"/>
                      <w:kern w:val="0"/>
                      <w:sz w:val="21"/>
                      <w:szCs w:val="21"/>
                      <w:highlight w:val="none"/>
                      <w:lang w:eastAsia="zh-CN"/>
                    </w:rPr>
                    <w:t>“</w:t>
                  </w:r>
                  <w:r>
                    <w:rPr>
                      <w:rFonts w:hint="default" w:ascii="Times New Roman" w:hAnsi="Times New Roman" w:eastAsia="宋体" w:cs="Times New Roman"/>
                      <w:color w:val="000000"/>
                      <w:kern w:val="0"/>
                      <w:sz w:val="21"/>
                      <w:szCs w:val="21"/>
                      <w:highlight w:val="none"/>
                    </w:rPr>
                    <w:t>两高</w:t>
                  </w:r>
                  <w:r>
                    <w:rPr>
                      <w:rFonts w:hint="eastAsia" w:cs="Times New Roman"/>
                      <w:color w:val="000000"/>
                      <w:kern w:val="0"/>
                      <w:sz w:val="21"/>
                      <w:szCs w:val="21"/>
                      <w:highlight w:val="none"/>
                      <w:lang w:eastAsia="zh-CN"/>
                    </w:rPr>
                    <w:t>”</w:t>
                  </w:r>
                  <w:r>
                    <w:rPr>
                      <w:rFonts w:hint="default" w:ascii="Times New Roman" w:hAnsi="Times New Roman" w:eastAsia="宋体" w:cs="Times New Roman"/>
                      <w:color w:val="000000"/>
                      <w:kern w:val="0"/>
                      <w:sz w:val="21"/>
                      <w:szCs w:val="21"/>
                      <w:highlight w:val="none"/>
                    </w:rPr>
                    <w:t>项目准入的各项规定。全面落实</w:t>
                  </w:r>
                  <w:r>
                    <w:rPr>
                      <w:rFonts w:hint="eastAsia" w:cs="Times New Roman"/>
                      <w:color w:val="000000"/>
                      <w:kern w:val="0"/>
                      <w:sz w:val="21"/>
                      <w:szCs w:val="21"/>
                      <w:highlight w:val="none"/>
                      <w:lang w:eastAsia="zh-CN"/>
                    </w:rPr>
                    <w:t>“</w:t>
                  </w:r>
                  <w:r>
                    <w:rPr>
                      <w:rFonts w:hint="default" w:ascii="Times New Roman" w:hAnsi="Times New Roman" w:eastAsia="宋体" w:cs="Times New Roman"/>
                      <w:color w:val="000000"/>
                      <w:kern w:val="0"/>
                      <w:sz w:val="21"/>
                      <w:szCs w:val="21"/>
                      <w:highlight w:val="none"/>
                    </w:rPr>
                    <w:t>四水四定</w:t>
                  </w:r>
                  <w:r>
                    <w:rPr>
                      <w:rFonts w:hint="eastAsia" w:cs="Times New Roman"/>
                      <w:color w:val="000000"/>
                      <w:kern w:val="0"/>
                      <w:sz w:val="21"/>
                      <w:szCs w:val="21"/>
                      <w:highlight w:val="none"/>
                      <w:lang w:eastAsia="zh-CN"/>
                    </w:rPr>
                    <w:t>”</w:t>
                  </w:r>
                  <w:r>
                    <w:rPr>
                      <w:rFonts w:hint="default" w:ascii="Times New Roman" w:hAnsi="Times New Roman" w:eastAsia="宋体" w:cs="Times New Roman"/>
                      <w:color w:val="000000"/>
                      <w:kern w:val="0"/>
                      <w:sz w:val="21"/>
                      <w:szCs w:val="21"/>
                      <w:highlight w:val="none"/>
                    </w:rPr>
                    <w:t>要求，充分利用当地矿井水、中水、农田灌溉退水等非常规水资源，最大程度减少生产用新鲜水取水量，审慎引进高耗水行业。</w:t>
                  </w:r>
                </w:p>
              </w:tc>
              <w:tc>
                <w:tcPr>
                  <w:tcW w:w="1423" w:type="pct"/>
                  <w:tcBorders>
                    <w:tl2br w:val="nil"/>
                    <w:tr2bl w:val="nil"/>
                  </w:tcBorders>
                  <w:noWrap w:val="0"/>
                  <w:vAlign w:val="center"/>
                </w:tcPr>
                <w:p w14:paraId="6CBC6658">
                  <w:pPr>
                    <w:keepNext w:val="0"/>
                    <w:keepLines w:val="0"/>
                    <w:pageBreakBefore w:val="0"/>
                    <w:widowControl w:val="0"/>
                    <w:kinsoku/>
                    <w:wordWrap/>
                    <w:overflowPunct/>
                    <w:topLinePunct w:val="0"/>
                    <w:autoSpaceDE w:val="0"/>
                    <w:autoSpaceDN w:val="0"/>
                    <w:bidi w:val="0"/>
                    <w:adjustRightInd w:val="0"/>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eastAsia="宋体" w:cs="Times New Roman"/>
                      <w:color w:val="000000"/>
                      <w:kern w:val="0"/>
                      <w:sz w:val="21"/>
                      <w:szCs w:val="21"/>
                      <w:highlight w:val="none"/>
                      <w:lang w:val="zh-CN"/>
                    </w:rPr>
                    <w:t>本项目</w:t>
                  </w:r>
                  <w:r>
                    <w:rPr>
                      <w:rFonts w:hint="default" w:ascii="Times New Roman" w:hAnsi="Times New Roman" w:eastAsia="宋体" w:cs="Times New Roman"/>
                      <w:color w:val="000000"/>
                      <w:kern w:val="0"/>
                      <w:sz w:val="21"/>
                      <w:szCs w:val="21"/>
                      <w:highlight w:val="none"/>
                      <w:lang w:val="en-US" w:eastAsia="zh-CN"/>
                    </w:rPr>
                    <w:t>符合</w:t>
                  </w:r>
                  <w:r>
                    <w:rPr>
                      <w:rFonts w:hint="default" w:ascii="Times New Roman" w:hAnsi="Times New Roman" w:eastAsia="宋体" w:cs="Times New Roman"/>
                      <w:color w:val="000000"/>
                      <w:kern w:val="0"/>
                      <w:sz w:val="21"/>
                      <w:szCs w:val="21"/>
                      <w:highlight w:val="none"/>
                      <w:lang w:val="zh-CN"/>
                    </w:rPr>
                    <w:t>产业政策、生态环境分区管控、园区总体规划等要求</w:t>
                  </w:r>
                  <w:r>
                    <w:rPr>
                      <w:rFonts w:hint="default" w:ascii="Times New Roman" w:hAnsi="Times New Roman" w:eastAsia="宋体" w:cs="Times New Roman"/>
                      <w:color w:val="000000"/>
                      <w:kern w:val="0"/>
                      <w:sz w:val="21"/>
                      <w:szCs w:val="21"/>
                      <w:highlight w:val="none"/>
                      <w:lang w:val="zh-CN" w:eastAsia="zh-CN"/>
                    </w:rPr>
                    <w:t>，</w:t>
                  </w:r>
                  <w:r>
                    <w:rPr>
                      <w:rFonts w:hint="default" w:ascii="Times New Roman" w:hAnsi="Times New Roman" w:eastAsia="宋体" w:cs="Times New Roman"/>
                      <w:color w:val="000000"/>
                      <w:kern w:val="0"/>
                      <w:sz w:val="21"/>
                      <w:szCs w:val="21"/>
                      <w:highlight w:val="none"/>
                      <w:lang w:val="zh-CN"/>
                    </w:rPr>
                    <w:t>不属于</w:t>
                  </w:r>
                  <w:r>
                    <w:rPr>
                      <w:rFonts w:hint="eastAsia" w:cs="Times New Roman"/>
                      <w:color w:val="000000"/>
                      <w:kern w:val="0"/>
                      <w:sz w:val="21"/>
                      <w:szCs w:val="21"/>
                      <w:highlight w:val="none"/>
                      <w:lang w:val="zh-CN" w:eastAsia="zh-CN"/>
                    </w:rPr>
                    <w:t>“</w:t>
                  </w:r>
                  <w:r>
                    <w:rPr>
                      <w:rFonts w:hint="default" w:ascii="Times New Roman" w:hAnsi="Times New Roman" w:eastAsia="宋体" w:cs="Times New Roman"/>
                      <w:color w:val="000000"/>
                      <w:kern w:val="0"/>
                      <w:sz w:val="21"/>
                      <w:szCs w:val="21"/>
                      <w:highlight w:val="none"/>
                      <w:lang w:val="en-US" w:eastAsia="zh-CN"/>
                    </w:rPr>
                    <w:t>两高</w:t>
                  </w:r>
                  <w:r>
                    <w:rPr>
                      <w:rFonts w:hint="eastAsia" w:cs="Times New Roman"/>
                      <w:color w:val="000000"/>
                      <w:kern w:val="0"/>
                      <w:sz w:val="21"/>
                      <w:szCs w:val="21"/>
                      <w:highlight w:val="none"/>
                      <w:lang w:val="zh-CN" w:eastAsia="zh-CN"/>
                    </w:rPr>
                    <w:t>”</w:t>
                  </w:r>
                  <w:r>
                    <w:rPr>
                      <w:rFonts w:hint="default" w:ascii="Times New Roman" w:hAnsi="Times New Roman" w:eastAsia="宋体" w:cs="Times New Roman"/>
                      <w:color w:val="000000"/>
                      <w:kern w:val="0"/>
                      <w:sz w:val="21"/>
                      <w:szCs w:val="21"/>
                      <w:highlight w:val="none"/>
                      <w:lang w:val="zh-CN"/>
                    </w:rPr>
                    <w:t>项目</w:t>
                  </w:r>
                  <w:r>
                    <w:rPr>
                      <w:rFonts w:hint="default" w:ascii="Times New Roman" w:hAnsi="Times New Roman" w:eastAsia="宋体" w:cs="Times New Roman"/>
                      <w:color w:val="000000"/>
                      <w:kern w:val="0"/>
                      <w:sz w:val="21"/>
                      <w:szCs w:val="21"/>
                      <w:highlight w:val="none"/>
                      <w:lang w:val="zh-CN" w:eastAsia="zh-CN"/>
                    </w:rPr>
                    <w:t>。</w:t>
                  </w:r>
                  <w:r>
                    <w:rPr>
                      <w:rFonts w:hint="eastAsia" w:cs="Times New Roman"/>
                      <w:color w:val="000000"/>
                      <w:kern w:val="0"/>
                      <w:sz w:val="21"/>
                      <w:szCs w:val="21"/>
                      <w:highlight w:val="none"/>
                      <w:lang w:val="en-US" w:eastAsia="zh-CN"/>
                    </w:rPr>
                    <w:t>本项目运营期</w:t>
                  </w:r>
                  <w:r>
                    <w:rPr>
                      <w:rFonts w:hint="default" w:ascii="Times New Roman" w:hAnsi="Times New Roman" w:cs="Times New Roman"/>
                      <w:color w:val="000000"/>
                      <w:kern w:val="0"/>
                      <w:sz w:val="21"/>
                      <w:szCs w:val="21"/>
                      <w:highlight w:val="none"/>
                      <w:lang w:val="en-US" w:eastAsia="zh-CN"/>
                    </w:rPr>
                    <w:t>不新增用水。</w:t>
                  </w:r>
                </w:p>
              </w:tc>
              <w:tc>
                <w:tcPr>
                  <w:tcW w:w="515" w:type="pct"/>
                  <w:tcBorders>
                    <w:tl2br w:val="nil"/>
                    <w:tr2bl w:val="nil"/>
                  </w:tcBorders>
                  <w:noWrap w:val="0"/>
                  <w:vAlign w:val="center"/>
                </w:tcPr>
                <w:p w14:paraId="51149D19">
                  <w:pPr>
                    <w:keepNext w:val="0"/>
                    <w:keepLines w:val="0"/>
                    <w:pageBreakBefore w:val="0"/>
                    <w:widowControl w:val="0"/>
                    <w:kinsoku/>
                    <w:wordWrap/>
                    <w:overflowPunct/>
                    <w:topLinePunct w:val="0"/>
                    <w:bidi w:val="0"/>
                    <w:snapToGrid w:val="0"/>
                    <w:ind w:firstLine="0" w:firstLineChars="0"/>
                    <w:jc w:val="center"/>
                    <w:textAlignment w:val="auto"/>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符合</w:t>
                  </w:r>
                </w:p>
              </w:tc>
            </w:tr>
            <w:tr w14:paraId="7A5C3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6" w:type="pct"/>
                  <w:tcBorders>
                    <w:tl2br w:val="nil"/>
                    <w:tr2bl w:val="nil"/>
                  </w:tcBorders>
                  <w:noWrap w:val="0"/>
                  <w:vAlign w:val="center"/>
                </w:tcPr>
                <w:p w14:paraId="36594D46">
                  <w:pPr>
                    <w:keepNext w:val="0"/>
                    <w:keepLines w:val="0"/>
                    <w:pageBreakBefore w:val="0"/>
                    <w:widowControl w:val="0"/>
                    <w:kinsoku/>
                    <w:wordWrap/>
                    <w:overflowPunct/>
                    <w:topLinePunct w:val="0"/>
                    <w:bidi w:val="0"/>
                    <w:snapToGrid w:val="0"/>
                    <w:ind w:firstLine="0" w:firstLineChars="0"/>
                    <w:jc w:val="center"/>
                    <w:textAlignment w:val="auto"/>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3</w:t>
                  </w:r>
                </w:p>
              </w:tc>
              <w:tc>
                <w:tcPr>
                  <w:tcW w:w="2754" w:type="pct"/>
                  <w:tcBorders>
                    <w:tl2br w:val="nil"/>
                    <w:tr2bl w:val="nil"/>
                  </w:tcBorders>
                  <w:noWrap w:val="0"/>
                  <w:vAlign w:val="center"/>
                </w:tcPr>
                <w:p w14:paraId="6E590401">
                  <w:pPr>
                    <w:keepNext w:val="0"/>
                    <w:keepLines w:val="0"/>
                    <w:pageBreakBefore w:val="0"/>
                    <w:widowControl w:val="0"/>
                    <w:kinsoku/>
                    <w:wordWrap/>
                    <w:overflowPunct/>
                    <w:topLinePunct w:val="0"/>
                    <w:bidi w:val="0"/>
                    <w:snapToGrid w:val="0"/>
                    <w:ind w:firstLine="0" w:firstLineChars="0"/>
                    <w:jc w:val="center"/>
                    <w:textAlignment w:val="auto"/>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三）严格空间管控，优化产业布局。园区与邻近居民区、自然保护区、地表水体等环境敏感区之间设置一定的隔离带，环境风险较高区块应向外设置足够的规划控制区作为空间防护，确保园区产业发展与生态环境、人居环境相协调。食品加工等环境质量要求高的企业周边应设置符合规定的防护区域，现有不符合防护距离要求的企业应限期搬迁改造，配合杭锦旗人民政府及其有关部门做好园区及周边区域的规划控制和优化调整，发现不符合管控要求的相关行为，应及时向杭锦旗人民政府报告。</w:t>
                  </w:r>
                </w:p>
              </w:tc>
              <w:tc>
                <w:tcPr>
                  <w:tcW w:w="1423" w:type="pct"/>
                  <w:tcBorders>
                    <w:tl2br w:val="nil"/>
                    <w:tr2bl w:val="nil"/>
                  </w:tcBorders>
                  <w:noWrap w:val="0"/>
                  <w:vAlign w:val="center"/>
                </w:tcPr>
                <w:p w14:paraId="16F0763B">
                  <w:pPr>
                    <w:keepNext w:val="0"/>
                    <w:keepLines w:val="0"/>
                    <w:pageBreakBefore w:val="0"/>
                    <w:widowControl w:val="0"/>
                    <w:kinsoku/>
                    <w:wordWrap/>
                    <w:overflowPunct/>
                    <w:topLinePunct w:val="0"/>
                    <w:autoSpaceDE w:val="0"/>
                    <w:autoSpaceDN w:val="0"/>
                    <w:bidi w:val="0"/>
                    <w:adjustRightInd w:val="0"/>
                    <w:ind w:firstLine="0" w:firstLineChars="0"/>
                    <w:jc w:val="center"/>
                    <w:textAlignment w:val="auto"/>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本项目</w:t>
                  </w:r>
                  <w:r>
                    <w:rPr>
                      <w:rFonts w:hint="eastAsia" w:cs="Times New Roman"/>
                      <w:color w:val="000000"/>
                      <w:kern w:val="0"/>
                      <w:sz w:val="21"/>
                      <w:szCs w:val="21"/>
                      <w:highlight w:val="none"/>
                      <w:lang w:val="en-US" w:eastAsia="zh-CN"/>
                    </w:rPr>
                    <w:t>部分管道</w:t>
                  </w:r>
                  <w:r>
                    <w:rPr>
                      <w:rFonts w:hint="default" w:ascii="Times New Roman" w:hAnsi="Times New Roman" w:eastAsia="宋体" w:cs="Times New Roman"/>
                      <w:color w:val="000000"/>
                      <w:kern w:val="0"/>
                      <w:sz w:val="21"/>
                      <w:szCs w:val="21"/>
                      <w:highlight w:val="none"/>
                      <w:lang w:val="zh-CN"/>
                    </w:rPr>
                    <w:t>位于园区</w:t>
                  </w:r>
                  <w:r>
                    <w:rPr>
                      <w:rFonts w:hint="default" w:ascii="Times New Roman" w:hAnsi="Times New Roman" w:eastAsia="宋体" w:cs="Times New Roman"/>
                      <w:color w:val="000000"/>
                      <w:kern w:val="0"/>
                      <w:sz w:val="21"/>
                      <w:szCs w:val="21"/>
                      <w:highlight w:val="none"/>
                      <w:lang w:val="en-US" w:eastAsia="zh-CN"/>
                    </w:rPr>
                    <w:t>伊泰现有厂区</w:t>
                  </w:r>
                  <w:r>
                    <w:rPr>
                      <w:rFonts w:hint="default" w:ascii="Times New Roman" w:hAnsi="Times New Roman" w:eastAsia="宋体" w:cs="Times New Roman"/>
                      <w:color w:val="000000"/>
                      <w:kern w:val="0"/>
                      <w:sz w:val="21"/>
                      <w:szCs w:val="21"/>
                      <w:highlight w:val="none"/>
                      <w:lang w:val="zh-CN"/>
                    </w:rPr>
                    <w:t>内，</w:t>
                  </w:r>
                  <w:r>
                    <w:rPr>
                      <w:rFonts w:hint="eastAsia"/>
                      <w:highlight w:val="none"/>
                      <w:lang w:val="en-US" w:eastAsia="zh-CN"/>
                    </w:rPr>
                    <w:t>WRT甲烷气、清净废水管道位于厂区外。</w:t>
                  </w:r>
                  <w:r>
                    <w:rPr>
                      <w:rFonts w:hint="eastAsia" w:cs="Times New Roman"/>
                      <w:color w:val="000000"/>
                      <w:kern w:val="0"/>
                      <w:sz w:val="21"/>
                      <w:szCs w:val="21"/>
                      <w:highlight w:val="none"/>
                      <w:lang w:val="en-US" w:eastAsia="zh-CN"/>
                    </w:rPr>
                    <w:t>项目周边500m范围内</w:t>
                  </w:r>
                  <w:r>
                    <w:rPr>
                      <w:rFonts w:hint="default" w:ascii="Times New Roman" w:hAnsi="Times New Roman" w:eastAsia="宋体" w:cs="Times New Roman"/>
                      <w:color w:val="000000"/>
                      <w:kern w:val="0"/>
                      <w:sz w:val="21"/>
                      <w:szCs w:val="21"/>
                      <w:highlight w:val="none"/>
                      <w:lang w:val="zh-CN"/>
                    </w:rPr>
                    <w:t>无环境敏感目标，且不属于对食品加工等环境质量要求高的企业。</w:t>
                  </w:r>
                </w:p>
              </w:tc>
              <w:tc>
                <w:tcPr>
                  <w:tcW w:w="515" w:type="pct"/>
                  <w:tcBorders>
                    <w:tl2br w:val="nil"/>
                    <w:tr2bl w:val="nil"/>
                  </w:tcBorders>
                  <w:noWrap w:val="0"/>
                  <w:vAlign w:val="center"/>
                </w:tcPr>
                <w:p w14:paraId="122AC42B">
                  <w:pPr>
                    <w:keepNext w:val="0"/>
                    <w:keepLines w:val="0"/>
                    <w:pageBreakBefore w:val="0"/>
                    <w:widowControl w:val="0"/>
                    <w:kinsoku/>
                    <w:wordWrap/>
                    <w:overflowPunct/>
                    <w:topLinePunct w:val="0"/>
                    <w:bidi w:val="0"/>
                    <w:snapToGrid w:val="0"/>
                    <w:ind w:firstLine="0" w:firstLineChars="0"/>
                    <w:jc w:val="center"/>
                    <w:textAlignment w:val="auto"/>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符合</w:t>
                  </w:r>
                </w:p>
              </w:tc>
            </w:tr>
            <w:tr w14:paraId="100D9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6" w:type="pct"/>
                  <w:tcBorders>
                    <w:tl2br w:val="nil"/>
                    <w:tr2bl w:val="nil"/>
                  </w:tcBorders>
                  <w:noWrap w:val="0"/>
                  <w:vAlign w:val="center"/>
                </w:tcPr>
                <w:p w14:paraId="433713B0">
                  <w:pPr>
                    <w:keepNext w:val="0"/>
                    <w:keepLines w:val="0"/>
                    <w:pageBreakBefore w:val="0"/>
                    <w:widowControl w:val="0"/>
                    <w:kinsoku/>
                    <w:wordWrap/>
                    <w:overflowPunct/>
                    <w:topLinePunct w:val="0"/>
                    <w:bidi w:val="0"/>
                    <w:snapToGrid w:val="0"/>
                    <w:ind w:firstLine="0" w:firstLineChars="0"/>
                    <w:jc w:val="center"/>
                    <w:textAlignment w:val="auto"/>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4</w:t>
                  </w:r>
                </w:p>
              </w:tc>
              <w:tc>
                <w:tcPr>
                  <w:tcW w:w="2754" w:type="pct"/>
                  <w:tcBorders>
                    <w:tl2br w:val="nil"/>
                    <w:tr2bl w:val="nil"/>
                  </w:tcBorders>
                  <w:noWrap w:val="0"/>
                  <w:vAlign w:val="center"/>
                </w:tcPr>
                <w:p w14:paraId="2A926F9D">
                  <w:pPr>
                    <w:keepNext w:val="0"/>
                    <w:keepLines w:val="0"/>
                    <w:pageBreakBefore w:val="0"/>
                    <w:widowControl w:val="0"/>
                    <w:kinsoku/>
                    <w:wordWrap/>
                    <w:overflowPunct/>
                    <w:topLinePunct w:val="0"/>
                    <w:bidi w:val="0"/>
                    <w:snapToGrid w:val="0"/>
                    <w:ind w:firstLine="0" w:firstLineChars="0"/>
                    <w:jc w:val="center"/>
                    <w:textAlignment w:val="auto"/>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（四）严守环境质量底线，强化污染物排放总量管控。根据国家、自治区和鄂尔多斯市关于大气特别是挥发性有机物污染防治相关要求和</w:t>
                  </w:r>
                  <w:r>
                    <w:rPr>
                      <w:rFonts w:hint="eastAsia" w:cs="Times New Roman"/>
                      <w:color w:val="000000"/>
                      <w:kern w:val="0"/>
                      <w:sz w:val="21"/>
                      <w:szCs w:val="21"/>
                      <w:highlight w:val="none"/>
                      <w:lang w:eastAsia="zh-CN"/>
                    </w:rPr>
                    <w:t>“</w:t>
                  </w:r>
                  <w:r>
                    <w:rPr>
                      <w:rFonts w:hint="default" w:ascii="Times New Roman" w:hAnsi="Times New Roman" w:eastAsia="宋体" w:cs="Times New Roman"/>
                      <w:color w:val="000000"/>
                      <w:kern w:val="0"/>
                      <w:sz w:val="21"/>
                      <w:szCs w:val="21"/>
                      <w:highlight w:val="none"/>
                    </w:rPr>
                    <w:t>三线一单</w:t>
                  </w:r>
                  <w:r>
                    <w:rPr>
                      <w:rFonts w:hint="eastAsia" w:cs="Times New Roman"/>
                      <w:color w:val="000000"/>
                      <w:kern w:val="0"/>
                      <w:sz w:val="21"/>
                      <w:szCs w:val="21"/>
                      <w:highlight w:val="none"/>
                      <w:lang w:eastAsia="zh-CN"/>
                    </w:rPr>
                    <w:t>”</w:t>
                  </w:r>
                  <w:r>
                    <w:rPr>
                      <w:rFonts w:hint="default" w:ascii="Times New Roman" w:hAnsi="Times New Roman" w:eastAsia="宋体" w:cs="Times New Roman"/>
                      <w:color w:val="000000"/>
                      <w:kern w:val="0"/>
                      <w:sz w:val="21"/>
                      <w:szCs w:val="21"/>
                      <w:highlight w:val="none"/>
                    </w:rPr>
                    <w:t>成果，深入挖掘区域内废气污染物减排潜力，落实与区域环境质量改善目标相互匹配的区域削减措施及污染物总量管控制度。积极推进重点行业按照大气污染物超低排放或特别排放限值进行升级改造，持续减少主要污染物、特征污染物有组织和无组织排放量，保障区域环境质量改善。</w:t>
                  </w:r>
                </w:p>
              </w:tc>
              <w:tc>
                <w:tcPr>
                  <w:tcW w:w="1423" w:type="pct"/>
                  <w:tcBorders>
                    <w:tl2br w:val="nil"/>
                    <w:tr2bl w:val="nil"/>
                  </w:tcBorders>
                  <w:noWrap w:val="0"/>
                  <w:vAlign w:val="center"/>
                </w:tcPr>
                <w:p w14:paraId="12C569B6">
                  <w:pPr>
                    <w:keepNext w:val="0"/>
                    <w:keepLines w:val="0"/>
                    <w:pageBreakBefore w:val="0"/>
                    <w:widowControl w:val="0"/>
                    <w:kinsoku/>
                    <w:wordWrap/>
                    <w:overflowPunct/>
                    <w:topLinePunct w:val="0"/>
                    <w:autoSpaceDE w:val="0"/>
                    <w:autoSpaceDN w:val="0"/>
                    <w:bidi w:val="0"/>
                    <w:adjustRightInd w:val="0"/>
                    <w:ind w:firstLine="0" w:firstLineChars="0"/>
                    <w:jc w:val="center"/>
                    <w:textAlignment w:val="auto"/>
                    <w:rPr>
                      <w:rFonts w:hint="default" w:ascii="Times New Roman" w:hAnsi="Times New Roman" w:eastAsia="宋体" w:cs="Times New Roman"/>
                      <w:color w:val="000000"/>
                      <w:kern w:val="0"/>
                      <w:sz w:val="21"/>
                      <w:szCs w:val="21"/>
                      <w:highlight w:val="none"/>
                      <w:lang w:val="en-US"/>
                    </w:rPr>
                  </w:pPr>
                  <w:r>
                    <w:rPr>
                      <w:rFonts w:hint="default" w:ascii="Times New Roman" w:hAnsi="Times New Roman" w:eastAsia="宋体" w:cs="Times New Roman"/>
                      <w:color w:val="000000"/>
                      <w:kern w:val="0"/>
                      <w:sz w:val="21"/>
                      <w:szCs w:val="21"/>
                      <w:highlight w:val="none"/>
                      <w:lang w:val="zh-CN"/>
                    </w:rPr>
                    <w:t>本项目为</w:t>
                  </w:r>
                  <w:r>
                    <w:rPr>
                      <w:rFonts w:hint="default" w:ascii="Times New Roman" w:hAnsi="Times New Roman" w:eastAsia="宋体" w:cs="Times New Roman"/>
                      <w:color w:val="000000"/>
                      <w:kern w:val="0"/>
                      <w:sz w:val="21"/>
                      <w:szCs w:val="21"/>
                      <w:highlight w:val="none"/>
                    </w:rPr>
                    <w:t>危险化学品运输项目</w:t>
                  </w:r>
                  <w:r>
                    <w:rPr>
                      <w:rFonts w:hint="default" w:ascii="Times New Roman" w:hAnsi="Times New Roman" w:eastAsia="宋体" w:cs="Times New Roman"/>
                      <w:color w:val="000000"/>
                      <w:kern w:val="0"/>
                      <w:sz w:val="21"/>
                      <w:szCs w:val="21"/>
                      <w:highlight w:val="none"/>
                      <w:lang w:val="zh-CN"/>
                    </w:rPr>
                    <w:t>，</w:t>
                  </w:r>
                  <w:r>
                    <w:rPr>
                      <w:rFonts w:hint="default" w:ascii="Times New Roman" w:hAnsi="Times New Roman" w:eastAsia="宋体" w:cs="Times New Roman"/>
                      <w:color w:val="000000"/>
                      <w:kern w:val="0"/>
                      <w:sz w:val="21"/>
                      <w:szCs w:val="21"/>
                      <w:highlight w:val="none"/>
                      <w:lang w:val="en-US" w:eastAsia="zh-CN"/>
                    </w:rPr>
                    <w:t>伊泰化工与鹏泰生物两家化工企业之间的工艺气体和公用工程</w:t>
                  </w:r>
                  <w:r>
                    <w:rPr>
                      <w:rFonts w:hint="eastAsia" w:cs="Times New Roman"/>
                      <w:color w:val="000000"/>
                      <w:kern w:val="0"/>
                      <w:sz w:val="21"/>
                      <w:szCs w:val="21"/>
                      <w:highlight w:val="none"/>
                      <w:lang w:val="en-US" w:eastAsia="zh-CN"/>
                    </w:rPr>
                    <w:t>设施</w:t>
                  </w:r>
                  <w:r>
                    <w:rPr>
                      <w:rFonts w:hint="default" w:ascii="Times New Roman" w:hAnsi="Times New Roman" w:eastAsia="宋体" w:cs="Times New Roman"/>
                      <w:color w:val="000000"/>
                      <w:kern w:val="0"/>
                      <w:sz w:val="21"/>
                      <w:szCs w:val="21"/>
                      <w:highlight w:val="none"/>
                      <w:lang w:val="en-US" w:eastAsia="zh-CN"/>
                    </w:rPr>
                    <w:t>互相利用，</w:t>
                  </w:r>
                  <w:r>
                    <w:rPr>
                      <w:rFonts w:hint="default" w:ascii="Times New Roman" w:hAnsi="Times New Roman" w:cs="Times New Roman"/>
                      <w:szCs w:val="21"/>
                      <w:highlight w:val="none"/>
                      <w:lang w:val="en-US" w:eastAsia="zh-CN"/>
                    </w:rPr>
                    <w:t>项目的建设减少尾气的外排</w:t>
                  </w:r>
                  <w:r>
                    <w:rPr>
                      <w:rFonts w:hint="eastAsia" w:cs="Times New Roman"/>
                      <w:szCs w:val="21"/>
                      <w:highlight w:val="none"/>
                      <w:lang w:val="en-US" w:eastAsia="zh-CN"/>
                    </w:rPr>
                    <w:t>，</w:t>
                  </w:r>
                  <w:r>
                    <w:rPr>
                      <w:rFonts w:hint="default" w:ascii="Times New Roman" w:hAnsi="Times New Roman" w:cs="Times New Roman"/>
                      <w:szCs w:val="21"/>
                      <w:highlight w:val="none"/>
                      <w:lang w:val="en-US" w:eastAsia="zh-CN"/>
                    </w:rPr>
                    <w:t>并提高公用工程设施的合理利用</w:t>
                  </w:r>
                  <w:r>
                    <w:rPr>
                      <w:rFonts w:hint="eastAsia" w:cs="Times New Roman"/>
                      <w:szCs w:val="21"/>
                      <w:highlight w:val="none"/>
                      <w:lang w:val="en-US" w:eastAsia="zh-CN"/>
                    </w:rPr>
                    <w:t>率</w:t>
                  </w:r>
                  <w:r>
                    <w:rPr>
                      <w:rFonts w:hint="default" w:ascii="Times New Roman" w:hAnsi="Times New Roman" w:eastAsia="宋体" w:cs="Times New Roman"/>
                      <w:color w:val="000000"/>
                      <w:kern w:val="0"/>
                      <w:sz w:val="21"/>
                      <w:szCs w:val="21"/>
                      <w:highlight w:val="none"/>
                      <w:lang w:val="en-US" w:eastAsia="zh-CN"/>
                    </w:rPr>
                    <w:t>。项目建成后正常</w:t>
                  </w:r>
                  <w:r>
                    <w:rPr>
                      <w:rFonts w:hint="eastAsia" w:cs="Times New Roman"/>
                      <w:color w:val="000000"/>
                      <w:kern w:val="0"/>
                      <w:sz w:val="21"/>
                      <w:szCs w:val="21"/>
                      <w:highlight w:val="none"/>
                      <w:lang w:val="en-US" w:eastAsia="zh-CN"/>
                    </w:rPr>
                    <w:t>情况下</w:t>
                  </w:r>
                  <w:r>
                    <w:rPr>
                      <w:rFonts w:hint="default" w:ascii="Times New Roman" w:hAnsi="Times New Roman" w:eastAsia="宋体" w:cs="Times New Roman"/>
                      <w:color w:val="000000"/>
                      <w:kern w:val="0"/>
                      <w:sz w:val="21"/>
                      <w:szCs w:val="21"/>
                      <w:highlight w:val="none"/>
                      <w:lang w:val="en-US" w:eastAsia="zh-CN"/>
                    </w:rPr>
                    <w:t>不产生废气。</w:t>
                  </w:r>
                </w:p>
              </w:tc>
              <w:tc>
                <w:tcPr>
                  <w:tcW w:w="515" w:type="pct"/>
                  <w:tcBorders>
                    <w:tl2br w:val="nil"/>
                    <w:tr2bl w:val="nil"/>
                  </w:tcBorders>
                  <w:noWrap w:val="0"/>
                  <w:vAlign w:val="center"/>
                </w:tcPr>
                <w:p w14:paraId="425448AB">
                  <w:pPr>
                    <w:keepNext w:val="0"/>
                    <w:keepLines w:val="0"/>
                    <w:pageBreakBefore w:val="0"/>
                    <w:widowControl w:val="0"/>
                    <w:kinsoku/>
                    <w:wordWrap/>
                    <w:overflowPunct/>
                    <w:topLinePunct w:val="0"/>
                    <w:bidi w:val="0"/>
                    <w:snapToGrid w:val="0"/>
                    <w:ind w:firstLine="0" w:firstLineChars="0"/>
                    <w:jc w:val="center"/>
                    <w:textAlignment w:val="auto"/>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符合</w:t>
                  </w:r>
                </w:p>
              </w:tc>
            </w:tr>
            <w:tr w14:paraId="6344D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6" w:type="pct"/>
                  <w:tcBorders>
                    <w:tl2br w:val="nil"/>
                    <w:tr2bl w:val="nil"/>
                  </w:tcBorders>
                  <w:noWrap w:val="0"/>
                  <w:vAlign w:val="center"/>
                </w:tcPr>
                <w:p w14:paraId="616B4837">
                  <w:pPr>
                    <w:keepNext w:val="0"/>
                    <w:keepLines w:val="0"/>
                    <w:pageBreakBefore w:val="0"/>
                    <w:widowControl w:val="0"/>
                    <w:kinsoku/>
                    <w:wordWrap/>
                    <w:overflowPunct/>
                    <w:topLinePunct w:val="0"/>
                    <w:bidi w:val="0"/>
                    <w:snapToGrid w:val="0"/>
                    <w:ind w:firstLine="0" w:firstLineChars="0"/>
                    <w:jc w:val="center"/>
                    <w:textAlignment w:val="auto"/>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5</w:t>
                  </w:r>
                </w:p>
              </w:tc>
              <w:tc>
                <w:tcPr>
                  <w:tcW w:w="2754" w:type="pct"/>
                  <w:tcBorders>
                    <w:tl2br w:val="nil"/>
                    <w:tr2bl w:val="nil"/>
                  </w:tcBorders>
                  <w:noWrap w:val="0"/>
                  <w:vAlign w:val="center"/>
                </w:tcPr>
                <w:p w14:paraId="732B892C">
                  <w:pPr>
                    <w:keepNext w:val="0"/>
                    <w:keepLines w:val="0"/>
                    <w:pageBreakBefore w:val="0"/>
                    <w:widowControl w:val="0"/>
                    <w:kinsoku/>
                    <w:wordWrap/>
                    <w:overflowPunct/>
                    <w:topLinePunct w:val="0"/>
                    <w:autoSpaceDE w:val="0"/>
                    <w:autoSpaceDN w:val="0"/>
                    <w:bidi w:val="0"/>
                    <w:adjustRightInd w:val="0"/>
                    <w:ind w:firstLine="0" w:firstLineChars="0"/>
                    <w:jc w:val="center"/>
                    <w:textAlignment w:val="auto"/>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五）加强环境基础设施建设，推进污染集中治理，强化企业生产废水预处理，合理规划园区污水集中处理设施及配套管网，采用成熟可靠的废水处理工艺，实现园区内生产废水全部纳管收集、妥善处理和达标回用。建设具有足够处理能力的园区高盐水处理工程。2023年底前完成晾晒池存水治理，2024年底前完成晾晒场改建为园区事故水池相关工作。充分利用集中供热或清洁能源实现供热、供汽，园区内原则上不再新增企业分散热源。强化企业的危险废物</w:t>
                  </w:r>
                  <w:r>
                    <w:rPr>
                      <w:rFonts w:hint="eastAsia" w:cs="Times New Roman"/>
                      <w:color w:val="000000"/>
                      <w:kern w:val="0"/>
                      <w:sz w:val="21"/>
                      <w:szCs w:val="21"/>
                      <w:highlight w:val="none"/>
                      <w:lang w:eastAsia="zh-CN"/>
                    </w:rPr>
                    <w:t>监管</w:t>
                  </w:r>
                  <w:r>
                    <w:rPr>
                      <w:rFonts w:hint="default" w:ascii="Times New Roman" w:hAnsi="Times New Roman" w:eastAsia="宋体" w:cs="Times New Roman"/>
                      <w:color w:val="000000"/>
                      <w:kern w:val="0"/>
                      <w:sz w:val="21"/>
                      <w:szCs w:val="21"/>
                      <w:highlight w:val="none"/>
                    </w:rPr>
                    <w:t>主体责任，对园区各类危险废物实施严格监管和严密监控。优化固体废物、危险废物处置方式，积极拓展资源化利用途径，提高综合利用率，规范建设固体废物贮存场及填埋场并严格管理。推进大宗货物及其他货物通过公路运输和铁路运输，园区内及周边中短途汽车运输优先采用新能源汽车。</w:t>
                  </w:r>
                </w:p>
              </w:tc>
              <w:tc>
                <w:tcPr>
                  <w:tcW w:w="1423" w:type="pct"/>
                  <w:tcBorders>
                    <w:tl2br w:val="nil"/>
                    <w:tr2bl w:val="nil"/>
                  </w:tcBorders>
                  <w:noWrap w:val="0"/>
                  <w:vAlign w:val="center"/>
                </w:tcPr>
                <w:p w14:paraId="39179656">
                  <w:pPr>
                    <w:keepNext w:val="0"/>
                    <w:keepLines w:val="0"/>
                    <w:pageBreakBefore w:val="0"/>
                    <w:widowControl w:val="0"/>
                    <w:kinsoku/>
                    <w:wordWrap/>
                    <w:overflowPunct/>
                    <w:topLinePunct w:val="0"/>
                    <w:autoSpaceDE w:val="0"/>
                    <w:autoSpaceDN w:val="0"/>
                    <w:bidi w:val="0"/>
                    <w:adjustRightInd w:val="0"/>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eastAsia="宋体" w:cs="Times New Roman"/>
                      <w:color w:val="000000"/>
                      <w:kern w:val="0"/>
                      <w:sz w:val="21"/>
                      <w:szCs w:val="21"/>
                      <w:highlight w:val="none"/>
                      <w:lang w:val="en-US" w:eastAsia="zh-CN"/>
                    </w:rPr>
                    <w:t>项目</w:t>
                  </w:r>
                  <w:r>
                    <w:rPr>
                      <w:rFonts w:hint="default" w:ascii="Times New Roman" w:hAnsi="Times New Roman" w:cs="Times New Roman"/>
                      <w:color w:val="000000"/>
                      <w:kern w:val="0"/>
                      <w:sz w:val="21"/>
                      <w:szCs w:val="21"/>
                      <w:highlight w:val="none"/>
                      <w:lang w:val="en-US" w:eastAsia="zh-CN"/>
                    </w:rPr>
                    <w:t>正常</w:t>
                  </w:r>
                  <w:r>
                    <w:rPr>
                      <w:rFonts w:hint="default" w:ascii="Times New Roman" w:hAnsi="Times New Roman" w:eastAsia="宋体" w:cs="Times New Roman"/>
                      <w:color w:val="000000"/>
                      <w:kern w:val="0"/>
                      <w:sz w:val="21"/>
                      <w:szCs w:val="21"/>
                      <w:highlight w:val="none"/>
                      <w:lang w:val="en-US" w:eastAsia="zh-CN"/>
                    </w:rPr>
                    <w:t>运行</w:t>
                  </w:r>
                  <w:r>
                    <w:rPr>
                      <w:rFonts w:hint="default" w:ascii="Times New Roman" w:hAnsi="Times New Roman" w:cs="Times New Roman"/>
                      <w:color w:val="000000"/>
                      <w:kern w:val="0"/>
                      <w:sz w:val="21"/>
                      <w:szCs w:val="21"/>
                      <w:highlight w:val="none"/>
                      <w:lang w:val="en-US" w:eastAsia="zh-CN"/>
                    </w:rPr>
                    <w:t>工况下</w:t>
                  </w:r>
                  <w:r>
                    <w:rPr>
                      <w:rFonts w:hint="default" w:ascii="Times New Roman" w:hAnsi="Times New Roman" w:eastAsia="宋体" w:cs="Times New Roman"/>
                      <w:color w:val="000000"/>
                      <w:kern w:val="0"/>
                      <w:sz w:val="21"/>
                      <w:szCs w:val="21"/>
                      <w:highlight w:val="none"/>
                      <w:lang w:val="en-US" w:eastAsia="zh-CN"/>
                    </w:rPr>
                    <w:t>不产生固废、废水</w:t>
                  </w:r>
                  <w:r>
                    <w:rPr>
                      <w:rFonts w:hint="default" w:ascii="Times New Roman" w:hAnsi="Times New Roman" w:cs="Times New Roman"/>
                      <w:color w:val="000000"/>
                      <w:kern w:val="0"/>
                      <w:sz w:val="21"/>
                      <w:szCs w:val="21"/>
                      <w:highlight w:val="none"/>
                      <w:lang w:val="en-US" w:eastAsia="zh-CN"/>
                    </w:rPr>
                    <w:t>、废气</w:t>
                  </w:r>
                  <w:r>
                    <w:rPr>
                      <w:rFonts w:hint="default" w:ascii="Times New Roman" w:hAnsi="Times New Roman" w:eastAsia="宋体" w:cs="Times New Roman"/>
                      <w:color w:val="000000"/>
                      <w:kern w:val="0"/>
                      <w:sz w:val="21"/>
                      <w:szCs w:val="21"/>
                      <w:highlight w:val="none"/>
                      <w:lang w:val="en-US" w:eastAsia="zh-CN"/>
                    </w:rPr>
                    <w:t>。</w:t>
                  </w:r>
                </w:p>
              </w:tc>
              <w:tc>
                <w:tcPr>
                  <w:tcW w:w="515" w:type="pct"/>
                  <w:tcBorders>
                    <w:tl2br w:val="nil"/>
                    <w:tr2bl w:val="nil"/>
                  </w:tcBorders>
                  <w:noWrap w:val="0"/>
                  <w:vAlign w:val="center"/>
                </w:tcPr>
                <w:p w14:paraId="21231BB8">
                  <w:pPr>
                    <w:keepNext w:val="0"/>
                    <w:keepLines w:val="0"/>
                    <w:pageBreakBefore w:val="0"/>
                    <w:widowControl w:val="0"/>
                    <w:kinsoku/>
                    <w:wordWrap/>
                    <w:overflowPunct/>
                    <w:topLinePunct w:val="0"/>
                    <w:bidi w:val="0"/>
                    <w:snapToGrid w:val="0"/>
                    <w:ind w:firstLine="0" w:firstLineChars="0"/>
                    <w:jc w:val="center"/>
                    <w:textAlignment w:val="auto"/>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符合</w:t>
                  </w:r>
                </w:p>
              </w:tc>
            </w:tr>
            <w:tr w14:paraId="336A5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6" w:type="pct"/>
                  <w:tcBorders>
                    <w:tl2br w:val="nil"/>
                    <w:tr2bl w:val="nil"/>
                  </w:tcBorders>
                  <w:noWrap w:val="0"/>
                  <w:vAlign w:val="center"/>
                </w:tcPr>
                <w:p w14:paraId="653D10DE">
                  <w:pPr>
                    <w:keepNext w:val="0"/>
                    <w:keepLines w:val="0"/>
                    <w:pageBreakBefore w:val="0"/>
                    <w:widowControl w:val="0"/>
                    <w:kinsoku/>
                    <w:wordWrap/>
                    <w:overflowPunct/>
                    <w:topLinePunct w:val="0"/>
                    <w:bidi w:val="0"/>
                    <w:snapToGrid w:val="0"/>
                    <w:ind w:firstLine="0" w:firstLineChars="0"/>
                    <w:jc w:val="center"/>
                    <w:textAlignment w:val="auto"/>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6</w:t>
                  </w:r>
                </w:p>
              </w:tc>
              <w:tc>
                <w:tcPr>
                  <w:tcW w:w="2754" w:type="pct"/>
                  <w:tcBorders>
                    <w:tl2br w:val="nil"/>
                    <w:tr2bl w:val="nil"/>
                  </w:tcBorders>
                  <w:noWrap w:val="0"/>
                  <w:vAlign w:val="center"/>
                </w:tcPr>
                <w:p w14:paraId="1B7586E0">
                  <w:pPr>
                    <w:keepNext w:val="0"/>
                    <w:keepLines w:val="0"/>
                    <w:pageBreakBefore w:val="0"/>
                    <w:widowControl w:val="0"/>
                    <w:kinsoku/>
                    <w:wordWrap/>
                    <w:overflowPunct/>
                    <w:topLinePunct w:val="0"/>
                    <w:bidi w:val="0"/>
                    <w:snapToGrid w:val="0"/>
                    <w:ind w:firstLine="0" w:firstLineChars="0"/>
                    <w:jc w:val="center"/>
                    <w:textAlignment w:val="auto"/>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六）强化源头防控。有效加强突发环境事件应急处置能力建设，建立完善的风险防控和应急监测体系，强化应急演练和应急物资储备，不断提升应急响应能力，保障区域生态环境安全。入园企业按要求设置事故水池，并与园区事故水池联通形成综合调控系统，确保任何情况下园区事故废水不进入外环境。</w:t>
                  </w:r>
                </w:p>
              </w:tc>
              <w:tc>
                <w:tcPr>
                  <w:tcW w:w="1423" w:type="pct"/>
                  <w:tcBorders>
                    <w:tl2br w:val="nil"/>
                    <w:tr2bl w:val="nil"/>
                  </w:tcBorders>
                  <w:noWrap w:val="0"/>
                  <w:vAlign w:val="center"/>
                </w:tcPr>
                <w:p w14:paraId="6531338E">
                  <w:pPr>
                    <w:keepNext w:val="0"/>
                    <w:keepLines w:val="0"/>
                    <w:pageBreakBefore w:val="0"/>
                    <w:widowControl w:val="0"/>
                    <w:kinsoku/>
                    <w:wordWrap/>
                    <w:overflowPunct/>
                    <w:topLinePunct w:val="0"/>
                    <w:autoSpaceDE w:val="0"/>
                    <w:autoSpaceDN w:val="0"/>
                    <w:bidi w:val="0"/>
                    <w:adjustRightInd w:val="0"/>
                    <w:ind w:firstLine="0" w:firstLineChars="0"/>
                    <w:jc w:val="center"/>
                    <w:textAlignment w:val="auto"/>
                    <w:rPr>
                      <w:rFonts w:hint="default" w:ascii="Times New Roman" w:hAnsi="Times New Roman" w:eastAsia="宋体" w:cs="Times New Roman"/>
                      <w:color w:val="000000"/>
                      <w:kern w:val="0"/>
                      <w:sz w:val="21"/>
                      <w:szCs w:val="21"/>
                      <w:highlight w:val="none"/>
                      <w:lang w:eastAsia="zh-CN"/>
                    </w:rPr>
                  </w:pPr>
                  <w:r>
                    <w:rPr>
                      <w:rFonts w:hint="default" w:ascii="Times New Roman" w:hAnsi="Times New Roman" w:eastAsia="宋体" w:cs="Times New Roman"/>
                      <w:color w:val="000000"/>
                      <w:kern w:val="0"/>
                      <w:sz w:val="21"/>
                      <w:szCs w:val="21"/>
                      <w:highlight w:val="none"/>
                    </w:rPr>
                    <w:t>本项目事故水池及消防水池均依托现有</w:t>
                  </w:r>
                  <w:r>
                    <w:rPr>
                      <w:rFonts w:hint="default" w:ascii="Times New Roman" w:hAnsi="Times New Roman" w:eastAsia="宋体" w:cs="Times New Roman"/>
                      <w:color w:val="000000"/>
                      <w:kern w:val="0"/>
                      <w:sz w:val="21"/>
                      <w:szCs w:val="21"/>
                      <w:highlight w:val="none"/>
                      <w:lang w:eastAsia="zh-CN"/>
                    </w:rPr>
                    <w:t>水池。</w:t>
                  </w:r>
                  <w:r>
                    <w:rPr>
                      <w:rFonts w:hint="default" w:ascii="Times New Roman" w:hAnsi="Times New Roman" w:eastAsia="宋体" w:cs="Times New Roman"/>
                      <w:color w:val="000000"/>
                      <w:kern w:val="0"/>
                      <w:sz w:val="21"/>
                      <w:szCs w:val="21"/>
                      <w:highlight w:val="none"/>
                      <w:lang w:val="en-US" w:eastAsia="zh-CN"/>
                    </w:rPr>
                    <w:t>项目建成后，</w:t>
                  </w:r>
                  <w:r>
                    <w:rPr>
                      <w:rFonts w:hint="default" w:ascii="Times New Roman" w:hAnsi="Times New Roman" w:eastAsia="宋体" w:cs="Times New Roman"/>
                      <w:color w:val="000000"/>
                      <w:kern w:val="0"/>
                      <w:sz w:val="21"/>
                      <w:szCs w:val="21"/>
                      <w:highlight w:val="none"/>
                    </w:rPr>
                    <w:t>按照要求</w:t>
                  </w:r>
                  <w:r>
                    <w:rPr>
                      <w:rFonts w:hint="default" w:ascii="Times New Roman" w:hAnsi="Times New Roman" w:eastAsia="宋体" w:cs="Times New Roman"/>
                      <w:color w:val="000000"/>
                      <w:kern w:val="0"/>
                      <w:sz w:val="21"/>
                      <w:szCs w:val="21"/>
                      <w:highlight w:val="none"/>
                      <w:lang w:eastAsia="zh-CN"/>
                    </w:rPr>
                    <w:t>编制</w:t>
                  </w:r>
                  <w:r>
                    <w:rPr>
                      <w:rFonts w:hint="default" w:ascii="Times New Roman" w:hAnsi="Times New Roman" w:eastAsia="宋体" w:cs="Times New Roman"/>
                      <w:color w:val="000000"/>
                      <w:kern w:val="0"/>
                      <w:sz w:val="21"/>
                      <w:szCs w:val="21"/>
                      <w:highlight w:val="none"/>
                      <w:lang w:val="en-US" w:eastAsia="zh-CN"/>
                    </w:rPr>
                    <w:t>厂区</w:t>
                  </w:r>
                  <w:r>
                    <w:rPr>
                      <w:rFonts w:hint="default" w:ascii="Times New Roman" w:hAnsi="Times New Roman" w:eastAsia="宋体" w:cs="Times New Roman"/>
                      <w:color w:val="000000"/>
                      <w:kern w:val="0"/>
                      <w:sz w:val="21"/>
                      <w:szCs w:val="21"/>
                      <w:highlight w:val="none"/>
                    </w:rPr>
                    <w:t>应急预案及演练工作</w:t>
                  </w:r>
                  <w:r>
                    <w:rPr>
                      <w:rFonts w:hint="default" w:ascii="Times New Roman" w:hAnsi="Times New Roman" w:eastAsia="宋体" w:cs="Times New Roman"/>
                      <w:color w:val="000000"/>
                      <w:kern w:val="0"/>
                      <w:sz w:val="21"/>
                      <w:szCs w:val="21"/>
                      <w:highlight w:val="none"/>
                      <w:lang w:eastAsia="zh-CN"/>
                    </w:rPr>
                    <w:t>。</w:t>
                  </w:r>
                </w:p>
              </w:tc>
              <w:tc>
                <w:tcPr>
                  <w:tcW w:w="515" w:type="pct"/>
                  <w:tcBorders>
                    <w:tl2br w:val="nil"/>
                    <w:tr2bl w:val="nil"/>
                  </w:tcBorders>
                  <w:noWrap w:val="0"/>
                  <w:vAlign w:val="center"/>
                </w:tcPr>
                <w:p w14:paraId="29493295">
                  <w:pPr>
                    <w:keepNext w:val="0"/>
                    <w:keepLines w:val="0"/>
                    <w:pageBreakBefore w:val="0"/>
                    <w:widowControl w:val="0"/>
                    <w:kinsoku/>
                    <w:wordWrap/>
                    <w:overflowPunct/>
                    <w:topLinePunct w:val="0"/>
                    <w:bidi w:val="0"/>
                    <w:snapToGrid w:val="0"/>
                    <w:ind w:firstLine="0" w:firstLineChars="0"/>
                    <w:jc w:val="center"/>
                    <w:textAlignment w:val="auto"/>
                    <w:rPr>
                      <w:rFonts w:hint="default" w:ascii="Times New Roman" w:hAnsi="Times New Roman" w:eastAsia="宋体" w:cs="Times New Roman"/>
                      <w:color w:val="000000"/>
                      <w:kern w:val="0"/>
                      <w:sz w:val="21"/>
                      <w:szCs w:val="21"/>
                      <w:highlight w:val="none"/>
                      <w:lang w:eastAsia="zh-CN"/>
                    </w:rPr>
                  </w:pPr>
                  <w:r>
                    <w:rPr>
                      <w:rFonts w:hint="default" w:ascii="Times New Roman" w:hAnsi="Times New Roman" w:eastAsia="宋体" w:cs="Times New Roman"/>
                      <w:color w:val="000000"/>
                      <w:kern w:val="0"/>
                      <w:sz w:val="21"/>
                      <w:szCs w:val="21"/>
                      <w:highlight w:val="none"/>
                      <w:lang w:val="en-US" w:eastAsia="zh-CN"/>
                    </w:rPr>
                    <w:t>符合</w:t>
                  </w:r>
                </w:p>
              </w:tc>
            </w:tr>
            <w:tr w14:paraId="4CA58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6" w:type="pct"/>
                  <w:tcBorders>
                    <w:tl2br w:val="nil"/>
                    <w:tr2bl w:val="nil"/>
                  </w:tcBorders>
                  <w:noWrap w:val="0"/>
                  <w:vAlign w:val="center"/>
                </w:tcPr>
                <w:p w14:paraId="2CE05054">
                  <w:pPr>
                    <w:keepNext w:val="0"/>
                    <w:keepLines w:val="0"/>
                    <w:pageBreakBefore w:val="0"/>
                    <w:widowControl w:val="0"/>
                    <w:kinsoku/>
                    <w:wordWrap/>
                    <w:overflowPunct/>
                    <w:topLinePunct w:val="0"/>
                    <w:bidi w:val="0"/>
                    <w:snapToGrid w:val="0"/>
                    <w:ind w:firstLine="0" w:firstLineChars="0"/>
                    <w:jc w:val="center"/>
                    <w:textAlignment w:val="auto"/>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7</w:t>
                  </w:r>
                </w:p>
              </w:tc>
              <w:tc>
                <w:tcPr>
                  <w:tcW w:w="2754" w:type="pct"/>
                  <w:tcBorders>
                    <w:tl2br w:val="nil"/>
                    <w:tr2bl w:val="nil"/>
                  </w:tcBorders>
                  <w:noWrap w:val="0"/>
                  <w:vAlign w:val="center"/>
                </w:tcPr>
                <w:p w14:paraId="761AB316">
                  <w:pPr>
                    <w:keepNext w:val="0"/>
                    <w:keepLines w:val="0"/>
                    <w:pageBreakBefore w:val="0"/>
                    <w:widowControl w:val="0"/>
                    <w:kinsoku/>
                    <w:wordWrap/>
                    <w:overflowPunct/>
                    <w:topLinePunct w:val="0"/>
                    <w:autoSpaceDE w:val="0"/>
                    <w:autoSpaceDN w:val="0"/>
                    <w:bidi w:val="0"/>
                    <w:adjustRightInd w:val="0"/>
                    <w:ind w:firstLine="0" w:firstLineChars="0"/>
                    <w:jc w:val="center"/>
                    <w:textAlignment w:val="auto"/>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（七）加强环境监管及日常环境质量监测。园区应建立完善的环境监测计划，开展包括常规污染物、特征污染物在内的环境大气、地下水、地表水、土壤、生态等环境质量长期监测和污染物风险管控。重点企业</w:t>
                  </w:r>
                  <w:r>
                    <w:rPr>
                      <w:rFonts w:hint="default" w:ascii="Times New Roman" w:hAnsi="Times New Roman" w:eastAsia="宋体" w:cs="Times New Roman"/>
                      <w:color w:val="000000"/>
                      <w:kern w:val="0"/>
                      <w:sz w:val="21"/>
                      <w:szCs w:val="21"/>
                      <w:highlight w:val="none"/>
                    </w:rPr>
                    <w:cr/>
                  </w:r>
                  <w:r>
                    <w:rPr>
                      <w:rFonts w:hint="default" w:ascii="Times New Roman" w:hAnsi="Times New Roman" w:eastAsia="宋体" w:cs="Times New Roman"/>
                      <w:color w:val="000000"/>
                      <w:kern w:val="0"/>
                      <w:sz w:val="21"/>
                      <w:szCs w:val="21"/>
                      <w:highlight w:val="none"/>
                    </w:rPr>
                    <w:t>排污口要设置在线监测系统并与生态环境部门联网，加强土壤污染重点企业监管，强化腾退企业遗留场地的土壤环境调查和风险评估，合理确定土地利用方式。</w:t>
                  </w:r>
                </w:p>
              </w:tc>
              <w:tc>
                <w:tcPr>
                  <w:tcW w:w="1423" w:type="pct"/>
                  <w:tcBorders>
                    <w:tl2br w:val="nil"/>
                    <w:tr2bl w:val="nil"/>
                  </w:tcBorders>
                  <w:noWrap w:val="0"/>
                  <w:vAlign w:val="center"/>
                </w:tcPr>
                <w:p w14:paraId="5D79A41E">
                  <w:pPr>
                    <w:keepNext w:val="0"/>
                    <w:keepLines w:val="0"/>
                    <w:pageBreakBefore w:val="0"/>
                    <w:widowControl w:val="0"/>
                    <w:kinsoku/>
                    <w:wordWrap/>
                    <w:overflowPunct/>
                    <w:topLinePunct w:val="0"/>
                    <w:autoSpaceDE w:val="0"/>
                    <w:autoSpaceDN w:val="0"/>
                    <w:bidi w:val="0"/>
                    <w:adjustRightInd w:val="0"/>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eastAsia="宋体" w:cs="Times New Roman"/>
                      <w:color w:val="000000"/>
                      <w:kern w:val="0"/>
                      <w:sz w:val="21"/>
                      <w:szCs w:val="21"/>
                      <w:highlight w:val="none"/>
                      <w:lang w:val="en-US" w:eastAsia="zh-CN"/>
                    </w:rPr>
                    <w:t>本项目</w:t>
                  </w:r>
                  <w:r>
                    <w:rPr>
                      <w:rFonts w:hint="eastAsia" w:cs="Times New Roman"/>
                      <w:color w:val="000000"/>
                      <w:kern w:val="0"/>
                      <w:sz w:val="21"/>
                      <w:szCs w:val="21"/>
                      <w:highlight w:val="none"/>
                      <w:lang w:val="en-US" w:eastAsia="zh-CN"/>
                    </w:rPr>
                    <w:t>运行期</w:t>
                  </w:r>
                  <w:r>
                    <w:rPr>
                      <w:rFonts w:hint="default" w:ascii="Times New Roman" w:hAnsi="Times New Roman" w:eastAsia="宋体" w:cs="Times New Roman"/>
                      <w:color w:val="000000"/>
                      <w:kern w:val="0"/>
                      <w:sz w:val="21"/>
                      <w:szCs w:val="21"/>
                      <w:highlight w:val="none"/>
                      <w:lang w:val="en-US" w:eastAsia="zh-CN"/>
                    </w:rPr>
                    <w:t>无废水、废气产生。</w:t>
                  </w:r>
                  <w:r>
                    <w:rPr>
                      <w:rFonts w:hint="default" w:ascii="Times New Roman" w:hAnsi="Times New Roman" w:cs="Times New Roman"/>
                      <w:highlight w:val="none"/>
                      <w:lang w:val="en-US"/>
                    </w:rPr>
                    <w:t>本工程不涉及环境空气、地表水、地下水、土壤的常规监测</w:t>
                  </w:r>
                  <w:r>
                    <w:rPr>
                      <w:rFonts w:hint="default" w:ascii="Times New Roman" w:hAnsi="Times New Roman" w:cs="Times New Roman"/>
                      <w:highlight w:val="none"/>
                      <w:lang w:val="en-US" w:eastAsia="zh-CN"/>
                    </w:rPr>
                    <w:t>。</w:t>
                  </w:r>
                  <w:r>
                    <w:rPr>
                      <w:rFonts w:hint="eastAsia" w:ascii="Times New Roman" w:hAnsi="Times New Roman" w:cs="Times New Roman"/>
                      <w:highlight w:val="none"/>
                      <w:lang w:val="en-US" w:eastAsia="zh-CN"/>
                    </w:rPr>
                    <w:t>噪声监测依托厂区现有</w:t>
                  </w:r>
                  <w:r>
                    <w:rPr>
                      <w:rFonts w:hint="eastAsia" w:cs="Times New Roman"/>
                      <w:highlight w:val="none"/>
                      <w:lang w:val="en-US" w:eastAsia="zh-CN"/>
                    </w:rPr>
                    <w:t>设备</w:t>
                  </w:r>
                  <w:r>
                    <w:rPr>
                      <w:rFonts w:hint="eastAsia" w:ascii="Times New Roman" w:hAnsi="Times New Roman" w:cs="Times New Roman"/>
                      <w:highlight w:val="none"/>
                      <w:lang w:val="en-US" w:eastAsia="zh-CN"/>
                    </w:rPr>
                    <w:t>。</w:t>
                  </w:r>
                </w:p>
              </w:tc>
              <w:tc>
                <w:tcPr>
                  <w:tcW w:w="515" w:type="pct"/>
                  <w:tcBorders>
                    <w:tl2br w:val="nil"/>
                    <w:tr2bl w:val="nil"/>
                  </w:tcBorders>
                  <w:noWrap w:val="0"/>
                  <w:vAlign w:val="center"/>
                </w:tcPr>
                <w:p w14:paraId="5076281C">
                  <w:pPr>
                    <w:keepNext w:val="0"/>
                    <w:keepLines w:val="0"/>
                    <w:pageBreakBefore w:val="0"/>
                    <w:widowControl w:val="0"/>
                    <w:kinsoku/>
                    <w:wordWrap/>
                    <w:overflowPunct/>
                    <w:topLinePunct w:val="0"/>
                    <w:bidi w:val="0"/>
                    <w:snapToGrid w:val="0"/>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eastAsia="宋体" w:cs="Times New Roman"/>
                      <w:color w:val="000000"/>
                      <w:kern w:val="0"/>
                      <w:sz w:val="21"/>
                      <w:szCs w:val="21"/>
                      <w:highlight w:val="none"/>
                      <w:lang w:val="en-US" w:eastAsia="zh-CN"/>
                    </w:rPr>
                    <w:t>符合</w:t>
                  </w:r>
                </w:p>
              </w:tc>
            </w:tr>
          </w:tbl>
          <w:p w14:paraId="62296C28">
            <w:pPr>
              <w:rPr>
                <w:rFonts w:hint="default" w:ascii="Times New Roman" w:hAnsi="Times New Roman" w:cs="Times New Roman"/>
                <w:highlight w:val="none"/>
              </w:rPr>
            </w:pPr>
          </w:p>
        </w:tc>
      </w:tr>
      <w:tr w14:paraId="02639F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431" w:hRule="atLeast"/>
        </w:trPr>
        <w:tc>
          <w:tcPr>
            <w:tcW w:w="1795" w:type="dxa"/>
            <w:noWrap w:val="0"/>
            <w:tcMar>
              <w:top w:w="16" w:type="dxa"/>
              <w:left w:w="16" w:type="dxa"/>
              <w:right w:w="16" w:type="dxa"/>
            </w:tcMar>
            <w:vAlign w:val="center"/>
          </w:tcPr>
          <w:p w14:paraId="77F61AA8">
            <w:pPr>
              <w:autoSpaceDE w:val="0"/>
              <w:autoSpaceDN w:val="0"/>
              <w:adjustRightInd w:val="0"/>
              <w:snapToGrid w:val="0"/>
              <w:jc w:val="center"/>
              <w:rPr>
                <w:rFonts w:hint="default" w:ascii="Times New Roman" w:hAnsi="Times New Roman" w:cs="Times New Roman"/>
                <w:color w:val="1900FF"/>
                <w:kern w:val="0"/>
                <w:szCs w:val="21"/>
                <w:highlight w:val="none"/>
              </w:rPr>
            </w:pPr>
            <w:bookmarkStart w:id="1" w:name="_Hlk56690880"/>
            <w:r>
              <w:rPr>
                <w:rFonts w:hint="default" w:ascii="Times New Roman" w:hAnsi="Times New Roman" w:cs="Times New Roman"/>
                <w:kern w:val="0"/>
                <w:sz w:val="24"/>
                <w:highlight w:val="none"/>
              </w:rPr>
              <w:t>其他符合性分析</w:t>
            </w:r>
            <w:bookmarkEnd w:id="1"/>
          </w:p>
        </w:tc>
        <w:tc>
          <w:tcPr>
            <w:tcW w:w="7244" w:type="dxa"/>
            <w:gridSpan w:val="4"/>
            <w:noWrap w:val="0"/>
            <w:tcMar>
              <w:top w:w="16" w:type="dxa"/>
              <w:left w:w="16" w:type="dxa"/>
              <w:right w:w="16" w:type="dxa"/>
            </w:tcMar>
            <w:vAlign w:val="center"/>
          </w:tcPr>
          <w:p w14:paraId="269E180F">
            <w:pPr>
              <w:pStyle w:val="2"/>
              <w:spacing w:before="0" w:after="0" w:line="360" w:lineRule="auto"/>
              <w:ind w:left="0" w:firstLine="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1.产业政策符合性分析</w:t>
            </w:r>
          </w:p>
          <w:p w14:paraId="331D0BDC">
            <w:pPr>
              <w:adjustRightInd w:val="0"/>
              <w:snapToGrid w:val="0"/>
              <w:spacing w:line="360" w:lineRule="auto"/>
              <w:ind w:firstLine="480" w:firstLineChars="200"/>
              <w:rPr>
                <w:rFonts w:hint="default" w:ascii="Times New Roman" w:hAnsi="Times New Roman" w:cs="Times New Roman"/>
                <w:sz w:val="24"/>
                <w:highlight w:val="none"/>
              </w:rPr>
            </w:pPr>
            <w:r>
              <w:rPr>
                <w:rFonts w:hint="default" w:ascii="Times New Roman" w:hAnsi="Times New Roman" w:cs="Times New Roman"/>
                <w:sz w:val="24"/>
                <w:highlight w:val="none"/>
              </w:rPr>
              <w:t>根据《产业结构调整指导目录（2024年本）》，本项目不属于鼓励类、限制类及淘汰类，</w:t>
            </w:r>
            <w:r>
              <w:rPr>
                <w:rFonts w:hint="eastAsia" w:cs="Times New Roman"/>
                <w:sz w:val="24"/>
                <w:highlight w:val="none"/>
                <w:lang w:eastAsia="zh-CN"/>
              </w:rPr>
              <w:t>属于</w:t>
            </w:r>
            <w:r>
              <w:rPr>
                <w:rFonts w:hint="default" w:ascii="Times New Roman" w:hAnsi="Times New Roman" w:cs="Times New Roman"/>
                <w:sz w:val="24"/>
                <w:highlight w:val="none"/>
              </w:rPr>
              <w:t>允许类。因此，本项目符合国家产业政策及相关要求。</w:t>
            </w:r>
          </w:p>
          <w:p w14:paraId="6A46DF3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sz w:val="24"/>
                <w:highlight w:val="none"/>
              </w:rPr>
            </w:pPr>
            <w:r>
              <w:rPr>
                <w:rFonts w:hint="default" w:ascii="Times New Roman" w:hAnsi="Times New Roman" w:cs="Times New Roman"/>
                <w:sz w:val="24"/>
                <w:highlight w:val="none"/>
              </w:rPr>
              <w:t>《</w:t>
            </w:r>
            <w:r>
              <w:rPr>
                <w:rFonts w:hint="default" w:ascii="Times New Roman" w:hAnsi="Times New Roman" w:cs="Times New Roman"/>
                <w:sz w:val="24"/>
                <w:highlight w:val="none"/>
                <w:lang w:val="en-US" w:eastAsia="zh-CN"/>
              </w:rPr>
              <w:t>鹏泰-伊泰化工物料输送管线及管廊建设项目</w:t>
            </w:r>
            <w:r>
              <w:rPr>
                <w:rFonts w:hint="default" w:ascii="Times New Roman" w:hAnsi="Times New Roman" w:cs="Times New Roman"/>
                <w:sz w:val="24"/>
                <w:highlight w:val="none"/>
              </w:rPr>
              <w:t>》已于2025年</w:t>
            </w:r>
            <w:r>
              <w:rPr>
                <w:rFonts w:hint="default" w:ascii="Times New Roman" w:hAnsi="Times New Roman" w:cs="Times New Roman"/>
                <w:sz w:val="24"/>
                <w:highlight w:val="none"/>
                <w:lang w:val="en-US" w:eastAsia="zh-CN"/>
              </w:rPr>
              <w:t>8</w:t>
            </w:r>
            <w:r>
              <w:rPr>
                <w:rFonts w:hint="default" w:ascii="Times New Roman" w:hAnsi="Times New Roman" w:cs="Times New Roman"/>
                <w:sz w:val="24"/>
                <w:highlight w:val="none"/>
              </w:rPr>
              <w:t>月</w:t>
            </w:r>
            <w:r>
              <w:rPr>
                <w:rFonts w:hint="default" w:ascii="Times New Roman" w:hAnsi="Times New Roman" w:cs="Times New Roman"/>
                <w:sz w:val="24"/>
                <w:highlight w:val="none"/>
                <w:lang w:val="en-US" w:eastAsia="zh-CN"/>
              </w:rPr>
              <w:t>21</w:t>
            </w:r>
            <w:r>
              <w:rPr>
                <w:rFonts w:hint="default" w:ascii="Times New Roman" w:hAnsi="Times New Roman" w:cs="Times New Roman"/>
                <w:sz w:val="24"/>
                <w:highlight w:val="none"/>
              </w:rPr>
              <w:t>日在</w:t>
            </w:r>
            <w:r>
              <w:rPr>
                <w:rFonts w:hint="default" w:ascii="Times New Roman" w:hAnsi="Times New Roman" w:cs="Times New Roman"/>
                <w:sz w:val="24"/>
                <w:highlight w:val="none"/>
                <w:lang w:val="en-US" w:eastAsia="zh-CN"/>
              </w:rPr>
              <w:t>杭锦旗工信和科技局</w:t>
            </w:r>
            <w:r>
              <w:rPr>
                <w:rFonts w:hint="default" w:ascii="Times New Roman" w:hAnsi="Times New Roman" w:cs="Times New Roman"/>
                <w:sz w:val="24"/>
                <w:highlight w:val="none"/>
              </w:rPr>
              <w:t>备案，项目代码2508-150625-07-02-100656（见附件），本项目的建设</w:t>
            </w:r>
            <w:r>
              <w:rPr>
                <w:rFonts w:hint="eastAsia" w:cs="Times New Roman"/>
                <w:sz w:val="24"/>
                <w:highlight w:val="none"/>
                <w:lang w:eastAsia="zh-CN"/>
              </w:rPr>
              <w:t>内容</w:t>
            </w:r>
            <w:r>
              <w:rPr>
                <w:rFonts w:hint="default" w:ascii="Times New Roman" w:hAnsi="Times New Roman" w:cs="Times New Roman"/>
                <w:sz w:val="24"/>
                <w:highlight w:val="none"/>
              </w:rPr>
              <w:t>包含在该备案文件中。</w:t>
            </w:r>
          </w:p>
          <w:p w14:paraId="57163BE4">
            <w:pPr>
              <w:pStyle w:val="2"/>
              <w:spacing w:before="0" w:after="0" w:line="360" w:lineRule="auto"/>
              <w:ind w:left="0" w:firstLine="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w:t>
            </w:r>
            <w:r>
              <w:rPr>
                <w:rFonts w:hint="eastAsia" w:ascii="Times New Roman" w:hAnsi="Times New Roman" w:eastAsia="宋体" w:cs="Times New Roman"/>
                <w:color w:val="auto"/>
                <w:sz w:val="24"/>
                <w:szCs w:val="24"/>
                <w:highlight w:val="none"/>
                <w:lang w:val="en-US" w:eastAsia="zh-CN"/>
              </w:rPr>
              <w:t>与生态环境分区管控符合性分析</w:t>
            </w:r>
          </w:p>
          <w:p w14:paraId="1EC2F486">
            <w:pPr>
              <w:keepNext w:val="0"/>
              <w:keepLines w:val="0"/>
              <w:adjustRightInd/>
              <w:snapToGrid/>
              <w:spacing w:line="360" w:lineRule="auto"/>
              <w:ind w:firstLine="480" w:firstLineChars="200"/>
              <w:outlineLvl w:val="9"/>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1</w:t>
            </w:r>
            <w:r>
              <w:rPr>
                <w:rFonts w:hint="default"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生态保护红线</w:t>
            </w:r>
          </w:p>
          <w:p w14:paraId="4E0E9DBD">
            <w:pPr>
              <w:tabs>
                <w:tab w:val="left" w:pos="3270"/>
                <w:tab w:val="left" w:pos="3315"/>
              </w:tabs>
              <w:spacing w:line="360" w:lineRule="auto"/>
              <w:ind w:firstLine="480" w:firstLineChars="200"/>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rPr>
              <w:t>依据鄂尔多斯市人民政府2024年8月6日发布的《鄂尔多斯市生态环境分区管控动态更新成果》</w:t>
            </w:r>
            <w:r>
              <w:rPr>
                <w:rFonts w:hint="default" w:ascii="Times New Roman" w:hAnsi="Times New Roman" w:cs="Times New Roman"/>
                <w:color w:val="000000"/>
                <w:sz w:val="24"/>
                <w:szCs w:val="24"/>
                <w:highlight w:val="none"/>
                <w:lang w:eastAsia="zh-CN"/>
              </w:rPr>
              <w:t>（</w:t>
            </w:r>
            <w:r>
              <w:rPr>
                <w:rFonts w:hint="default" w:ascii="Times New Roman" w:hAnsi="Times New Roman" w:cs="Times New Roman"/>
                <w:color w:val="000000"/>
                <w:sz w:val="24"/>
                <w:szCs w:val="24"/>
                <w:highlight w:val="none"/>
              </w:rPr>
              <w:t>2023年版</w:t>
            </w:r>
            <w:r>
              <w:rPr>
                <w:rFonts w:hint="default" w:ascii="Times New Roman" w:hAnsi="Times New Roman" w:cs="Times New Roman"/>
                <w:color w:val="000000"/>
                <w:sz w:val="24"/>
                <w:szCs w:val="24"/>
                <w:highlight w:val="none"/>
                <w:lang w:eastAsia="zh-CN"/>
              </w:rPr>
              <w:t>）</w:t>
            </w:r>
            <w:r>
              <w:rPr>
                <w:rFonts w:hint="default" w:ascii="Times New Roman" w:hAnsi="Times New Roman" w:cs="Times New Roman"/>
                <w:color w:val="000000"/>
                <w:sz w:val="24"/>
                <w:szCs w:val="24"/>
                <w:highlight w:val="none"/>
              </w:rPr>
              <w:t>，本项目位于内蒙古鄂尔多斯杭锦经济开发区独贵塔拉产业园南项目区</w:t>
            </w:r>
            <w:r>
              <w:rPr>
                <w:rFonts w:hint="default" w:ascii="Times New Roman" w:hAnsi="Times New Roman" w:cs="Times New Roman"/>
                <w:color w:val="000000"/>
                <w:sz w:val="24"/>
                <w:szCs w:val="24"/>
                <w:highlight w:val="none"/>
                <w:lang w:val="en-US" w:eastAsia="zh-CN"/>
              </w:rPr>
              <w:t>内</w:t>
            </w:r>
            <w:r>
              <w:rPr>
                <w:rFonts w:hint="default" w:ascii="Times New Roman" w:hAnsi="Times New Roman" w:cs="Times New Roman"/>
                <w:color w:val="000000"/>
                <w:sz w:val="24"/>
                <w:szCs w:val="24"/>
                <w:highlight w:val="none"/>
              </w:rPr>
              <w:t>，项目选址不在国家公园、自然保护区、自然公园等自然保护地、世界自然遗产、饮用水源保护区等环境敏感区。</w:t>
            </w:r>
          </w:p>
          <w:p w14:paraId="63389534">
            <w:pPr>
              <w:adjustRightInd w:val="0"/>
              <w:snapToGrid w:val="0"/>
              <w:spacing w:line="360" w:lineRule="auto"/>
              <w:ind w:firstLine="480" w:firstLineChars="200"/>
              <w:rPr>
                <w:rFonts w:hint="default" w:ascii="Times New Roman" w:hAnsi="Times New Roman" w:cs="Times New Roman"/>
                <w:sz w:val="24"/>
                <w:szCs w:val="24"/>
                <w:highlight w:val="none"/>
              </w:rPr>
            </w:pPr>
            <w:r>
              <w:rPr>
                <w:rFonts w:hint="default" w:ascii="Times New Roman" w:hAnsi="Times New Roman" w:cs="Times New Roman"/>
                <w:color w:val="000000"/>
                <w:sz w:val="24"/>
                <w:szCs w:val="24"/>
                <w:highlight w:val="none"/>
              </w:rPr>
              <w:t>本项目位于重点管控单元-鄂尔多斯独贵塔拉工业园区单元（编码</w:t>
            </w:r>
            <w:r>
              <w:rPr>
                <w:rFonts w:hint="eastAsia" w:cs="Times New Roman"/>
                <w:color w:val="000000"/>
                <w:sz w:val="24"/>
                <w:szCs w:val="24"/>
                <w:highlight w:val="none"/>
                <w:lang w:eastAsia="zh-CN"/>
              </w:rPr>
              <w:t>为</w:t>
            </w:r>
            <w:r>
              <w:rPr>
                <w:rFonts w:hint="default" w:ascii="Times New Roman" w:hAnsi="Times New Roman" w:cs="Times New Roman"/>
                <w:color w:val="000000"/>
                <w:sz w:val="24"/>
                <w:szCs w:val="24"/>
                <w:highlight w:val="none"/>
              </w:rPr>
              <w:t>ZH15062520001），不涉及生态保护红线</w:t>
            </w:r>
            <w:r>
              <w:rPr>
                <w:rFonts w:hint="default" w:ascii="Times New Roman" w:hAnsi="Times New Roman" w:cs="Times New Roman"/>
                <w:sz w:val="24"/>
                <w:szCs w:val="24"/>
                <w:highlight w:val="none"/>
              </w:rPr>
              <w:t>。本项目与鄂尔多斯市环境管控单元</w:t>
            </w:r>
            <w:r>
              <w:rPr>
                <w:rFonts w:hint="default" w:ascii="Times New Roman" w:hAnsi="Times New Roman" w:cs="Times New Roman"/>
                <w:sz w:val="24"/>
                <w:szCs w:val="24"/>
                <w:highlight w:val="none"/>
                <w:lang w:eastAsia="zh-CN"/>
              </w:rPr>
              <w:t>的</w:t>
            </w:r>
            <w:r>
              <w:rPr>
                <w:rFonts w:hint="default" w:ascii="Times New Roman" w:hAnsi="Times New Roman" w:cs="Times New Roman"/>
                <w:sz w:val="24"/>
                <w:szCs w:val="24"/>
                <w:highlight w:val="none"/>
              </w:rPr>
              <w:t>位置关系见下图。</w:t>
            </w:r>
          </w:p>
          <w:p w14:paraId="5284841D">
            <w:pPr>
              <w:tabs>
                <w:tab w:val="left" w:pos="3270"/>
                <w:tab w:val="left" w:pos="3315"/>
              </w:tabs>
              <w:spacing w:line="360" w:lineRule="auto"/>
              <w:jc w:val="center"/>
              <w:rPr>
                <w:rFonts w:hint="default" w:ascii="Times New Roman" w:hAnsi="Times New Roman" w:cs="Times New Roman"/>
                <w:color w:val="000000"/>
                <w:szCs w:val="21"/>
                <w:highlight w:val="none"/>
              </w:rPr>
            </w:pPr>
            <w:r>
              <w:rPr>
                <w:rFonts w:hint="default" w:ascii="Times New Roman" w:hAnsi="Times New Roman" w:cs="Times New Roman"/>
                <w:highlight w:val="none"/>
              </w:rPr>
              <w:drawing>
                <wp:inline distT="0" distB="0" distL="114300" distR="114300">
                  <wp:extent cx="4424045" cy="2489835"/>
                  <wp:effectExtent l="9525" t="9525" r="24130" b="15240"/>
                  <wp:docPr id="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3"/>
                          <pic:cNvPicPr>
                            <a:picLocks noChangeAspect="1"/>
                          </pic:cNvPicPr>
                        </pic:nvPicPr>
                        <pic:blipFill>
                          <a:blip r:embed="rId8"/>
                          <a:stretch>
                            <a:fillRect/>
                          </a:stretch>
                        </pic:blipFill>
                        <pic:spPr>
                          <a:xfrm>
                            <a:off x="0" y="0"/>
                            <a:ext cx="4424045" cy="2489835"/>
                          </a:xfrm>
                          <a:prstGeom prst="rect">
                            <a:avLst/>
                          </a:prstGeom>
                          <a:noFill/>
                          <a:ln w="9525" cap="flat" cmpd="sng">
                            <a:solidFill>
                              <a:srgbClr val="000000"/>
                            </a:solidFill>
                            <a:prstDash val="solid"/>
                            <a:miter/>
                            <a:headEnd type="none" w="med" len="med"/>
                            <a:tailEnd type="none" w="med" len="med"/>
                          </a:ln>
                        </pic:spPr>
                      </pic:pic>
                    </a:graphicData>
                  </a:graphic>
                </wp:inline>
              </w:drawing>
            </w:r>
          </w:p>
          <w:p w14:paraId="5F5739AE">
            <w:pPr>
              <w:tabs>
                <w:tab w:val="left" w:pos="3270"/>
                <w:tab w:val="left" w:pos="3315"/>
              </w:tabs>
              <w:spacing w:line="360" w:lineRule="auto"/>
              <w:jc w:val="center"/>
              <w:rPr>
                <w:rFonts w:hint="default" w:ascii="Times New Roman" w:hAnsi="Times New Roman" w:cs="Times New Roman"/>
                <w:color w:val="000000"/>
                <w:szCs w:val="21"/>
                <w:highlight w:val="none"/>
              </w:rPr>
            </w:pPr>
            <w:r>
              <w:rPr>
                <w:rFonts w:hint="default" w:ascii="Times New Roman" w:hAnsi="Times New Roman" w:cs="Times New Roman"/>
                <w:b/>
                <w:bCs/>
                <w:color w:val="000000"/>
                <w:szCs w:val="21"/>
                <w:highlight w:val="none"/>
              </w:rPr>
              <w:t>图1-</w:t>
            </w:r>
            <w:r>
              <w:rPr>
                <w:rFonts w:hint="eastAsia" w:cs="Times New Roman"/>
                <w:b/>
                <w:bCs/>
                <w:color w:val="000000"/>
                <w:szCs w:val="21"/>
                <w:highlight w:val="none"/>
                <w:lang w:val="en-US" w:eastAsia="zh-CN"/>
              </w:rPr>
              <w:t xml:space="preserve">2   </w:t>
            </w:r>
            <w:r>
              <w:rPr>
                <w:rFonts w:hint="default" w:ascii="Times New Roman" w:hAnsi="Times New Roman" w:cs="Times New Roman"/>
                <w:b/>
                <w:bCs/>
                <w:szCs w:val="21"/>
                <w:highlight w:val="none"/>
              </w:rPr>
              <w:t>本项目与鄂尔多斯市环境管控单元</w:t>
            </w:r>
            <w:r>
              <w:rPr>
                <w:rFonts w:hint="default" w:ascii="Times New Roman" w:hAnsi="Times New Roman" w:cs="Times New Roman"/>
                <w:b/>
                <w:bCs/>
                <w:szCs w:val="21"/>
                <w:highlight w:val="none"/>
                <w:lang w:eastAsia="zh-CN"/>
              </w:rPr>
              <w:t>的</w:t>
            </w:r>
            <w:r>
              <w:rPr>
                <w:rFonts w:hint="default" w:ascii="Times New Roman" w:hAnsi="Times New Roman" w:cs="Times New Roman"/>
                <w:b/>
                <w:bCs/>
                <w:szCs w:val="21"/>
                <w:highlight w:val="none"/>
              </w:rPr>
              <w:t>位置关系图</w:t>
            </w:r>
          </w:p>
          <w:p w14:paraId="00AD7D1B">
            <w:pPr>
              <w:tabs>
                <w:tab w:val="left" w:pos="3270"/>
                <w:tab w:val="left" w:pos="3315"/>
              </w:tabs>
              <w:spacing w:line="360" w:lineRule="auto"/>
              <w:ind w:firstLine="480" w:firstLineChars="200"/>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rPr>
              <w:t>（2）环境质量底线</w:t>
            </w:r>
          </w:p>
          <w:p w14:paraId="455F9D45">
            <w:pPr>
              <w:adjustRightInd w:val="0"/>
              <w:snapToGrid w:val="0"/>
              <w:spacing w:line="360" w:lineRule="auto"/>
              <w:ind w:firstLine="480" w:firstLineChars="200"/>
              <w:rPr>
                <w:rFonts w:hint="default" w:ascii="Times New Roman" w:hAnsi="Times New Roman" w:cs="Times New Roman"/>
                <w:sz w:val="24"/>
                <w:highlight w:val="none"/>
              </w:rPr>
            </w:pPr>
            <w:r>
              <w:rPr>
                <w:rFonts w:hint="default" w:ascii="Times New Roman" w:hAnsi="Times New Roman" w:eastAsia="宋体" w:cs="Times New Roman"/>
                <w:bCs/>
                <w:color w:val="000000"/>
                <w:sz w:val="24"/>
                <w:highlight w:val="none"/>
              </w:rPr>
              <w:t>环境质量底线：根据《内蒙古自治区生态环境状况公报》（2024）环境空气质量统计数据，项目所在区域为环境空气质量达标区域，满足《环境空气质量标准》（GB3095-2012）中二级标准；本项目</w:t>
            </w:r>
            <w:r>
              <w:rPr>
                <w:rFonts w:hint="default" w:ascii="Times New Roman" w:hAnsi="Times New Roman" w:eastAsia="宋体" w:cs="Times New Roman"/>
                <w:bCs/>
                <w:color w:val="000000"/>
                <w:sz w:val="24"/>
                <w:highlight w:val="none"/>
                <w:lang w:val="en-US" w:eastAsia="zh-CN"/>
              </w:rPr>
              <w:t>运行后不产生废水、</w:t>
            </w:r>
            <w:r>
              <w:rPr>
                <w:rFonts w:hint="default" w:ascii="Times New Roman" w:hAnsi="Times New Roman" w:eastAsia="宋体" w:cs="Times New Roman"/>
                <w:bCs/>
                <w:color w:val="000000"/>
                <w:sz w:val="24"/>
                <w:highlight w:val="none"/>
              </w:rPr>
              <w:t>废气、固废以及噪声等</w:t>
            </w:r>
            <w:r>
              <w:rPr>
                <w:rFonts w:hint="default" w:ascii="Times New Roman" w:hAnsi="Times New Roman" w:eastAsia="宋体" w:cs="Times New Roman"/>
                <w:bCs/>
                <w:color w:val="000000"/>
                <w:sz w:val="24"/>
                <w:highlight w:val="none"/>
                <w:lang w:eastAsia="zh-CN"/>
              </w:rPr>
              <w:t>。</w:t>
            </w:r>
            <w:r>
              <w:rPr>
                <w:rFonts w:hint="default" w:ascii="Times New Roman" w:hAnsi="Times New Roman" w:eastAsia="宋体" w:cs="Times New Roman"/>
                <w:bCs/>
                <w:color w:val="000000"/>
                <w:sz w:val="24"/>
                <w:highlight w:val="none"/>
              </w:rPr>
              <w:t>项目能够</w:t>
            </w:r>
            <w:r>
              <w:rPr>
                <w:rFonts w:hint="default" w:ascii="Times New Roman" w:hAnsi="Times New Roman" w:eastAsia="宋体" w:cs="Times New Roman"/>
                <w:bCs/>
                <w:color w:val="000000"/>
                <w:sz w:val="24"/>
                <w:highlight w:val="none"/>
                <w:lang w:eastAsia="zh-CN"/>
              </w:rPr>
              <w:t>达</w:t>
            </w:r>
            <w:r>
              <w:rPr>
                <w:rFonts w:hint="default" w:ascii="Times New Roman" w:hAnsi="Times New Roman" w:eastAsia="宋体" w:cs="Times New Roman"/>
                <w:bCs/>
                <w:color w:val="000000"/>
                <w:sz w:val="24"/>
                <w:highlight w:val="none"/>
              </w:rPr>
              <w:t>到相关排放标准及要求</w:t>
            </w:r>
            <w:r>
              <w:rPr>
                <w:rFonts w:hint="default" w:ascii="Times New Roman" w:hAnsi="Times New Roman" w:eastAsia="宋体" w:cs="Times New Roman"/>
                <w:bCs/>
                <w:color w:val="000000"/>
                <w:sz w:val="24"/>
                <w:highlight w:val="none"/>
                <w:lang w:eastAsia="zh-CN"/>
              </w:rPr>
              <w:t>。</w:t>
            </w:r>
            <w:r>
              <w:rPr>
                <w:rFonts w:hint="default" w:ascii="Times New Roman" w:hAnsi="Times New Roman" w:eastAsia="宋体" w:cs="Times New Roman"/>
                <w:bCs/>
                <w:color w:val="000000"/>
                <w:sz w:val="24"/>
                <w:highlight w:val="none"/>
              </w:rPr>
              <w:t>因此，本项目符合环境质量底线要求。</w:t>
            </w:r>
          </w:p>
          <w:p w14:paraId="4E6475A7">
            <w:pPr>
              <w:tabs>
                <w:tab w:val="left" w:pos="3270"/>
                <w:tab w:val="left" w:pos="3315"/>
              </w:tabs>
              <w:spacing w:line="360" w:lineRule="auto"/>
              <w:ind w:firstLine="480" w:firstLineChars="200"/>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rPr>
              <w:t>（3）资源利用上线</w:t>
            </w:r>
          </w:p>
          <w:p w14:paraId="4CECF318">
            <w:pPr>
              <w:tabs>
                <w:tab w:val="left" w:pos="3270"/>
                <w:tab w:val="left" w:pos="3315"/>
              </w:tabs>
              <w:spacing w:line="360" w:lineRule="auto"/>
              <w:ind w:firstLine="480" w:firstLineChars="200"/>
              <w:rPr>
                <w:rFonts w:hint="default" w:ascii="Times New Roman" w:hAnsi="Times New Roman" w:cs="Times New Roman"/>
                <w:color w:val="000000"/>
                <w:sz w:val="24"/>
                <w:szCs w:val="24"/>
                <w:highlight w:val="none"/>
              </w:rPr>
            </w:pPr>
            <w:r>
              <w:rPr>
                <w:rFonts w:hint="default" w:ascii="Times New Roman" w:hAnsi="Times New Roman" w:cs="Times New Roman"/>
                <w:sz w:val="24"/>
                <w:szCs w:val="24"/>
                <w:highlight w:val="none"/>
              </w:rPr>
              <w:t>项目厂址位于内蒙古鄂尔多斯杭锦经济开发区独贵塔拉产业园南项目区内，</w:t>
            </w:r>
            <w:r>
              <w:rPr>
                <w:rFonts w:hint="default" w:ascii="Times New Roman" w:hAnsi="Times New Roman" w:cs="Times New Roman"/>
                <w:color w:val="000000"/>
                <w:sz w:val="24"/>
                <w:szCs w:val="24"/>
                <w:highlight w:val="none"/>
              </w:rPr>
              <w:t>无新增占地</w:t>
            </w:r>
            <w:r>
              <w:rPr>
                <w:rFonts w:hint="default" w:ascii="Times New Roman" w:hAnsi="Times New Roman" w:cs="Times New Roman"/>
                <w:color w:val="000000"/>
                <w:sz w:val="24"/>
                <w:szCs w:val="24"/>
                <w:highlight w:val="none"/>
                <w:lang w:eastAsia="zh-CN"/>
              </w:rPr>
              <w:t>，</w:t>
            </w:r>
            <w:r>
              <w:rPr>
                <w:rFonts w:hint="default" w:ascii="Times New Roman" w:hAnsi="Times New Roman" w:cs="Times New Roman"/>
                <w:color w:val="000000"/>
                <w:sz w:val="24"/>
                <w:szCs w:val="24"/>
                <w:highlight w:val="none"/>
                <w:lang w:val="en-US" w:eastAsia="zh-CN"/>
              </w:rPr>
              <w:t>项目</w:t>
            </w:r>
            <w:r>
              <w:rPr>
                <w:rFonts w:hint="eastAsia" w:cs="Times New Roman"/>
                <w:color w:val="000000"/>
                <w:sz w:val="24"/>
                <w:szCs w:val="24"/>
                <w:highlight w:val="none"/>
                <w:lang w:val="en-US" w:eastAsia="zh-CN"/>
              </w:rPr>
              <w:t>运营期</w:t>
            </w:r>
            <w:r>
              <w:rPr>
                <w:rFonts w:hint="default" w:ascii="Times New Roman" w:hAnsi="Times New Roman" w:cs="Times New Roman"/>
                <w:sz w:val="24"/>
                <w:szCs w:val="24"/>
                <w:highlight w:val="none"/>
                <w:lang w:val="en-US" w:eastAsia="zh-CN"/>
              </w:rPr>
              <w:t>不消耗水资源、电</w:t>
            </w:r>
            <w:r>
              <w:rPr>
                <w:rFonts w:hint="eastAsia" w:cs="Times New Roman"/>
                <w:sz w:val="24"/>
                <w:szCs w:val="24"/>
                <w:highlight w:val="none"/>
                <w:lang w:val="en-US" w:eastAsia="zh-CN"/>
              </w:rPr>
              <w:t>能只有甲烷压缩机和监控系统，使用量较小</w:t>
            </w:r>
            <w:r>
              <w:rPr>
                <w:rFonts w:hint="default" w:ascii="Times New Roman" w:hAnsi="Times New Roman" w:cs="Times New Roman"/>
                <w:sz w:val="24"/>
                <w:szCs w:val="24"/>
                <w:highlight w:val="none"/>
                <w:lang w:val="en-US" w:eastAsia="zh-CN"/>
              </w:rPr>
              <w:t>，</w:t>
            </w:r>
            <w:r>
              <w:rPr>
                <w:rFonts w:hint="default" w:ascii="Times New Roman" w:hAnsi="Times New Roman" w:cs="Times New Roman"/>
                <w:color w:val="000000"/>
                <w:sz w:val="24"/>
                <w:szCs w:val="24"/>
                <w:highlight w:val="none"/>
              </w:rPr>
              <w:t>不会突破区域资源利用上线要求。</w:t>
            </w:r>
          </w:p>
          <w:p w14:paraId="14457643">
            <w:pPr>
              <w:tabs>
                <w:tab w:val="left" w:pos="3270"/>
                <w:tab w:val="left" w:pos="3315"/>
              </w:tabs>
              <w:spacing w:line="360" w:lineRule="auto"/>
              <w:ind w:firstLine="480" w:firstLineChars="200"/>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rPr>
              <w:t>（4）环境准入清单</w:t>
            </w:r>
          </w:p>
          <w:p w14:paraId="08958BC0">
            <w:pPr>
              <w:tabs>
                <w:tab w:val="left" w:pos="3270"/>
                <w:tab w:val="left" w:pos="3315"/>
              </w:tabs>
              <w:spacing w:line="360" w:lineRule="auto"/>
              <w:ind w:firstLine="480" w:firstLineChars="200"/>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rPr>
              <w:t>本项目位于鄂尔多斯市</w:t>
            </w:r>
            <w:r>
              <w:rPr>
                <w:rFonts w:hint="default" w:ascii="Times New Roman" w:hAnsi="Times New Roman" w:cs="Times New Roman"/>
                <w:sz w:val="24"/>
                <w:szCs w:val="24"/>
                <w:highlight w:val="none"/>
              </w:rPr>
              <w:t>杭锦旗</w:t>
            </w:r>
            <w:r>
              <w:rPr>
                <w:rFonts w:hint="default" w:ascii="Times New Roman" w:hAnsi="Times New Roman" w:cs="Times New Roman"/>
                <w:color w:val="000000"/>
                <w:sz w:val="24"/>
                <w:szCs w:val="24"/>
                <w:highlight w:val="none"/>
              </w:rPr>
              <w:t>境内，属于</w:t>
            </w:r>
            <w:r>
              <w:rPr>
                <w:rFonts w:hint="default" w:ascii="Times New Roman" w:hAnsi="Times New Roman" w:cs="Times New Roman"/>
                <w:sz w:val="24"/>
                <w:szCs w:val="24"/>
                <w:highlight w:val="none"/>
              </w:rPr>
              <w:t>重点管控单元</w:t>
            </w:r>
            <w:r>
              <w:rPr>
                <w:rFonts w:hint="default" w:ascii="Times New Roman" w:hAnsi="Times New Roman" w:cs="Times New Roman"/>
                <w:color w:val="000000"/>
                <w:sz w:val="24"/>
                <w:szCs w:val="24"/>
                <w:highlight w:val="none"/>
              </w:rPr>
              <w:t>-鄂尔多斯独贵塔拉工业园区单元（编码</w:t>
            </w:r>
            <w:r>
              <w:rPr>
                <w:rFonts w:hint="eastAsia" w:cs="Times New Roman"/>
                <w:color w:val="000000"/>
                <w:sz w:val="24"/>
                <w:szCs w:val="24"/>
                <w:highlight w:val="none"/>
                <w:lang w:eastAsia="zh-CN"/>
              </w:rPr>
              <w:t>为</w:t>
            </w:r>
            <w:r>
              <w:rPr>
                <w:rFonts w:hint="default" w:ascii="Times New Roman" w:hAnsi="Times New Roman" w:cs="Times New Roman"/>
                <w:color w:val="000000"/>
                <w:sz w:val="24"/>
                <w:szCs w:val="24"/>
                <w:highlight w:val="none"/>
              </w:rPr>
              <w:t>ZH15062520001），该</w:t>
            </w:r>
            <w:r>
              <w:rPr>
                <w:rFonts w:hint="default" w:ascii="Times New Roman" w:hAnsi="Times New Roman" w:cs="Times New Roman"/>
                <w:sz w:val="24"/>
                <w:szCs w:val="24"/>
                <w:highlight w:val="none"/>
              </w:rPr>
              <w:t>重点管控单元</w:t>
            </w:r>
            <w:r>
              <w:rPr>
                <w:rFonts w:hint="default" w:ascii="Times New Roman" w:hAnsi="Times New Roman" w:cs="Times New Roman"/>
                <w:color w:val="000000"/>
                <w:sz w:val="24"/>
                <w:szCs w:val="24"/>
                <w:highlight w:val="none"/>
              </w:rPr>
              <w:t>对空间布局约束、资源利用效率要求等均提出管控要求。</w:t>
            </w:r>
          </w:p>
          <w:p w14:paraId="4FC40693">
            <w:pPr>
              <w:tabs>
                <w:tab w:val="left" w:pos="3270"/>
                <w:tab w:val="left" w:pos="3315"/>
              </w:tabs>
              <w:adjustRightInd w:val="0"/>
              <w:snapToGrid w:val="0"/>
              <w:jc w:val="center"/>
              <w:rPr>
                <w:rFonts w:hint="default" w:ascii="Times New Roman" w:hAnsi="Times New Roman" w:cs="Times New Roman"/>
                <w:color w:val="000000"/>
                <w:szCs w:val="21"/>
                <w:highlight w:val="none"/>
              </w:rPr>
            </w:pPr>
            <w:r>
              <w:rPr>
                <w:rFonts w:hint="default" w:ascii="Times New Roman" w:hAnsi="Times New Roman" w:cs="Times New Roman"/>
                <w:b/>
                <w:bCs/>
                <w:color w:val="000000"/>
                <w:szCs w:val="21"/>
                <w:highlight w:val="none"/>
              </w:rPr>
              <w:t>表1-</w:t>
            </w:r>
            <w:r>
              <w:rPr>
                <w:rFonts w:hint="eastAsia" w:cs="Times New Roman"/>
                <w:b/>
                <w:bCs/>
                <w:color w:val="000000"/>
                <w:szCs w:val="21"/>
                <w:highlight w:val="none"/>
                <w:lang w:val="en-US" w:eastAsia="zh-CN"/>
              </w:rPr>
              <w:t xml:space="preserve">6   </w:t>
            </w:r>
            <w:r>
              <w:rPr>
                <w:rFonts w:hint="default" w:ascii="Times New Roman" w:hAnsi="Times New Roman" w:cs="Times New Roman"/>
                <w:b/>
                <w:bCs/>
                <w:color w:val="000000"/>
                <w:szCs w:val="21"/>
                <w:highlight w:val="none"/>
              </w:rPr>
              <w:t>本项目与生态环境准入清单符合性分析表</w:t>
            </w:r>
          </w:p>
          <w:tbl>
            <w:tblPr>
              <w:tblStyle w:val="19"/>
              <w:tblW w:w="48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3512"/>
              <w:gridCol w:w="2359"/>
              <w:gridCol w:w="702"/>
            </w:tblGrid>
            <w:tr w14:paraId="3AF9D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2822" w:type="pct"/>
                  <w:gridSpan w:val="2"/>
                  <w:noWrap w:val="0"/>
                  <w:vAlign w:val="center"/>
                </w:tcPr>
                <w:p w14:paraId="0E8450DA">
                  <w:pPr>
                    <w:keepNext w:val="0"/>
                    <w:keepLines w:val="0"/>
                    <w:pageBreakBefore w:val="0"/>
                    <w:widowControl w:val="0"/>
                    <w:tabs>
                      <w:tab w:val="left" w:pos="3270"/>
                      <w:tab w:val="left" w:pos="3315"/>
                    </w:tabs>
                    <w:kinsoku/>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000000"/>
                      <w:szCs w:val="21"/>
                      <w:highlight w:val="none"/>
                    </w:rPr>
                  </w:pPr>
                  <w:r>
                    <w:rPr>
                      <w:rFonts w:hint="default" w:ascii="Times New Roman" w:hAnsi="Times New Roman" w:cs="Times New Roman"/>
                      <w:b w:val="0"/>
                      <w:bCs w:val="0"/>
                      <w:color w:val="000000"/>
                      <w:szCs w:val="21"/>
                      <w:highlight w:val="none"/>
                    </w:rPr>
                    <w:t>管控要求</w:t>
                  </w:r>
                </w:p>
              </w:tc>
              <w:tc>
                <w:tcPr>
                  <w:tcW w:w="1678" w:type="pct"/>
                  <w:noWrap w:val="0"/>
                  <w:vAlign w:val="center"/>
                </w:tcPr>
                <w:p w14:paraId="0359C90F">
                  <w:pPr>
                    <w:keepNext w:val="0"/>
                    <w:keepLines w:val="0"/>
                    <w:pageBreakBefore w:val="0"/>
                    <w:widowControl w:val="0"/>
                    <w:tabs>
                      <w:tab w:val="left" w:pos="3270"/>
                      <w:tab w:val="left" w:pos="3315"/>
                    </w:tabs>
                    <w:kinsoku/>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000000"/>
                      <w:szCs w:val="21"/>
                      <w:highlight w:val="none"/>
                    </w:rPr>
                  </w:pPr>
                  <w:r>
                    <w:rPr>
                      <w:rFonts w:hint="default" w:ascii="Times New Roman" w:hAnsi="Times New Roman" w:cs="Times New Roman"/>
                      <w:b w:val="0"/>
                      <w:bCs w:val="0"/>
                      <w:color w:val="000000"/>
                      <w:szCs w:val="21"/>
                      <w:highlight w:val="none"/>
                    </w:rPr>
                    <w:t>本项目情况</w:t>
                  </w:r>
                </w:p>
              </w:tc>
              <w:tc>
                <w:tcPr>
                  <w:tcW w:w="499" w:type="pct"/>
                  <w:noWrap w:val="0"/>
                  <w:vAlign w:val="center"/>
                </w:tcPr>
                <w:p w14:paraId="395EC179">
                  <w:pPr>
                    <w:keepNext w:val="0"/>
                    <w:keepLines w:val="0"/>
                    <w:pageBreakBefore w:val="0"/>
                    <w:widowControl w:val="0"/>
                    <w:tabs>
                      <w:tab w:val="left" w:pos="3270"/>
                      <w:tab w:val="left" w:pos="3315"/>
                    </w:tabs>
                    <w:kinsoku/>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000000"/>
                      <w:szCs w:val="21"/>
                      <w:highlight w:val="none"/>
                    </w:rPr>
                  </w:pPr>
                  <w:r>
                    <w:rPr>
                      <w:rFonts w:hint="default" w:ascii="Times New Roman" w:hAnsi="Times New Roman" w:cs="Times New Roman"/>
                      <w:b w:val="0"/>
                      <w:bCs w:val="0"/>
                      <w:color w:val="000000"/>
                      <w:szCs w:val="21"/>
                      <w:highlight w:val="none"/>
                    </w:rPr>
                    <w:t>符合性分析</w:t>
                  </w:r>
                </w:p>
              </w:tc>
            </w:tr>
            <w:tr w14:paraId="6BE9A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8" w:hRule="atLeast"/>
                <w:jc w:val="center"/>
              </w:trPr>
              <w:tc>
                <w:tcPr>
                  <w:tcW w:w="324" w:type="pct"/>
                  <w:noWrap w:val="0"/>
                  <w:vAlign w:val="center"/>
                </w:tcPr>
                <w:p w14:paraId="4BE02613">
                  <w:pPr>
                    <w:keepNext w:val="0"/>
                    <w:keepLines w:val="0"/>
                    <w:pageBreakBefore w:val="0"/>
                    <w:widowControl w:val="0"/>
                    <w:kinsoku/>
                    <w:overflowPunct/>
                    <w:topLinePunct w:val="0"/>
                    <w:autoSpaceDE/>
                    <w:autoSpaceDN/>
                    <w:bidi w:val="0"/>
                    <w:adjustRightInd w:val="0"/>
                    <w:snapToGrid w:val="0"/>
                    <w:ind w:firstLine="0" w:firstLineChars="0"/>
                    <w:jc w:val="center"/>
                    <w:textAlignment w:val="auto"/>
                    <w:rPr>
                      <w:rFonts w:hint="default" w:ascii="Times New Roman" w:hAnsi="Times New Roman" w:cs="Times New Roman"/>
                      <w:color w:val="000000"/>
                      <w:szCs w:val="21"/>
                      <w:highlight w:val="none"/>
                    </w:rPr>
                  </w:pPr>
                  <w:r>
                    <w:rPr>
                      <w:rFonts w:hint="default" w:ascii="Times New Roman" w:hAnsi="Times New Roman" w:cs="Times New Roman"/>
                      <w:highlight w:val="none"/>
                    </w:rPr>
                    <w:t>空间布局约束</w:t>
                  </w:r>
                </w:p>
              </w:tc>
              <w:tc>
                <w:tcPr>
                  <w:tcW w:w="2497" w:type="pct"/>
                  <w:noWrap w:val="0"/>
                  <w:vAlign w:val="center"/>
                </w:tcPr>
                <w:p w14:paraId="4E63FA96">
                  <w:pPr>
                    <w:keepNext w:val="0"/>
                    <w:keepLines w:val="0"/>
                    <w:pageBreakBefore w:val="0"/>
                    <w:widowControl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highlight w:val="none"/>
                    </w:rPr>
                  </w:pPr>
                  <w:r>
                    <w:rPr>
                      <w:rFonts w:hint="default" w:ascii="Times New Roman" w:hAnsi="Times New Roman" w:cs="Times New Roman"/>
                      <w:highlight w:val="none"/>
                    </w:rPr>
                    <w:t>1.禁止不符合园区产业定位及规划环评等要求的项目入园；国家明令淘汰的落后产能和不符合国家产业政策的项目，禁止向工业园区转移。</w:t>
                  </w:r>
                </w:p>
                <w:p w14:paraId="4D67DECC">
                  <w:pPr>
                    <w:keepNext w:val="0"/>
                    <w:keepLines w:val="0"/>
                    <w:pageBreakBefore w:val="0"/>
                    <w:widowControl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color w:val="000000"/>
                      <w:szCs w:val="21"/>
                      <w:highlight w:val="none"/>
                    </w:rPr>
                  </w:pPr>
                  <w:r>
                    <w:rPr>
                      <w:rFonts w:hint="default" w:ascii="Times New Roman" w:hAnsi="Times New Roman" w:cs="Times New Roman"/>
                      <w:highlight w:val="none"/>
                    </w:rPr>
                    <w:t>2.与滞洪区、自然保护区和居民点等环境</w:t>
                  </w:r>
                  <w:r>
                    <w:rPr>
                      <w:rFonts w:hint="default" w:ascii="Times New Roman" w:hAnsi="Times New Roman" w:cs="Times New Roman"/>
                      <w:highlight w:val="none"/>
                      <w:lang w:eastAsia="zh-CN"/>
                    </w:rPr>
                    <w:t>敏感</w:t>
                  </w:r>
                  <w:r>
                    <w:rPr>
                      <w:rFonts w:hint="default" w:ascii="Times New Roman" w:hAnsi="Times New Roman" w:cs="Times New Roman"/>
                      <w:highlight w:val="none"/>
                    </w:rPr>
                    <w:t>区之间设置合理的防护隔离带。</w:t>
                  </w:r>
                </w:p>
              </w:tc>
              <w:tc>
                <w:tcPr>
                  <w:tcW w:w="1678" w:type="pct"/>
                  <w:noWrap w:val="0"/>
                  <w:vAlign w:val="center"/>
                </w:tcPr>
                <w:p w14:paraId="37D7749D">
                  <w:pPr>
                    <w:keepNext w:val="0"/>
                    <w:keepLines w:val="0"/>
                    <w:pageBreakBefore w:val="0"/>
                    <w:widowControl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color w:val="000000"/>
                      <w:szCs w:val="21"/>
                      <w:highlight w:val="none"/>
                    </w:rPr>
                  </w:pPr>
                  <w:r>
                    <w:rPr>
                      <w:rFonts w:hint="default" w:ascii="Times New Roman" w:hAnsi="Times New Roman" w:cs="Times New Roman"/>
                      <w:kern w:val="0"/>
                      <w:szCs w:val="21"/>
                      <w:highlight w:val="none"/>
                    </w:rPr>
                    <w:t>1.</w:t>
                  </w:r>
                  <w:r>
                    <w:rPr>
                      <w:rFonts w:hint="default" w:ascii="Times New Roman" w:hAnsi="Times New Roman" w:cs="Times New Roman"/>
                      <w:szCs w:val="21"/>
                      <w:highlight w:val="none"/>
                    </w:rPr>
                    <w:t>本项目为</w:t>
                  </w:r>
                  <w:r>
                    <w:rPr>
                      <w:rFonts w:hint="default" w:ascii="Times New Roman" w:hAnsi="Times New Roman" w:eastAsia="宋体" w:cs="Times New Roman"/>
                      <w:szCs w:val="21"/>
                      <w:highlight w:val="none"/>
                    </w:rPr>
                    <w:t>现有煤化工产业延链</w:t>
                  </w:r>
                  <w:r>
                    <w:rPr>
                      <w:rFonts w:hint="default" w:ascii="Times New Roman" w:hAnsi="Times New Roman" w:eastAsia="宋体" w:cs="Times New Roman"/>
                      <w:szCs w:val="21"/>
                      <w:highlight w:val="none"/>
                      <w:lang w:val="en-US" w:eastAsia="zh-CN"/>
                    </w:rPr>
                    <w:t>项目配套工程</w:t>
                  </w:r>
                  <w:r>
                    <w:rPr>
                      <w:rFonts w:hint="default" w:ascii="Times New Roman" w:hAnsi="Times New Roman" w:cs="Times New Roman"/>
                      <w:kern w:val="0"/>
                      <w:szCs w:val="21"/>
                      <w:highlight w:val="none"/>
                    </w:rPr>
                    <w:t>，结合前面章节分析，本项目符合园区产业定位及规划环评要求，对照</w:t>
                  </w:r>
                  <w:r>
                    <w:rPr>
                      <w:rFonts w:hint="default" w:ascii="Times New Roman" w:hAnsi="Times New Roman" w:cs="Times New Roman"/>
                      <w:szCs w:val="21"/>
                      <w:highlight w:val="none"/>
                    </w:rPr>
                    <w:t>《产业结构调整指导目录（2024年本）》</w:t>
                  </w:r>
                  <w:r>
                    <w:rPr>
                      <w:rFonts w:hint="default" w:ascii="Times New Roman" w:hAnsi="Times New Roman" w:cs="Times New Roman"/>
                      <w:color w:val="auto"/>
                      <w:sz w:val="21"/>
                      <w:highlight w:val="none"/>
                      <w:lang w:eastAsia="zh-CN"/>
                    </w:rPr>
                    <w:t>本项目不属于其中的鼓励类、限制类和淘汰类，</w:t>
                  </w:r>
                  <w:r>
                    <w:rPr>
                      <w:rFonts w:hint="default" w:ascii="Times New Roman" w:hAnsi="Times New Roman" w:cs="Times New Roman"/>
                      <w:color w:val="auto"/>
                      <w:sz w:val="21"/>
                      <w:highlight w:val="none"/>
                      <w:lang w:val="en-US" w:eastAsia="zh-CN"/>
                    </w:rPr>
                    <w:t>属于</w:t>
                  </w:r>
                  <w:r>
                    <w:rPr>
                      <w:rFonts w:hint="default" w:ascii="Times New Roman" w:hAnsi="Times New Roman" w:cs="Times New Roman"/>
                      <w:color w:val="auto"/>
                      <w:sz w:val="21"/>
                      <w:highlight w:val="none"/>
                      <w:lang w:eastAsia="zh-CN"/>
                    </w:rPr>
                    <w:t>允许类</w:t>
                  </w:r>
                  <w:r>
                    <w:rPr>
                      <w:rFonts w:hint="default" w:ascii="Times New Roman" w:hAnsi="Times New Roman" w:cs="Times New Roman"/>
                      <w:kern w:val="0"/>
                      <w:szCs w:val="21"/>
                      <w:highlight w:val="none"/>
                    </w:rPr>
                    <w:t>，符合国家相关产业政策。2.本项目周边无滞洪区、自然保护区和居民点。</w:t>
                  </w:r>
                </w:p>
              </w:tc>
              <w:tc>
                <w:tcPr>
                  <w:tcW w:w="499" w:type="pct"/>
                  <w:noWrap w:val="0"/>
                  <w:vAlign w:val="center"/>
                </w:tcPr>
                <w:p w14:paraId="2B82021A">
                  <w:pPr>
                    <w:keepNext w:val="0"/>
                    <w:keepLines w:val="0"/>
                    <w:pageBreakBefore w:val="0"/>
                    <w:widowControl w:val="0"/>
                    <w:kinsoku/>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color w:val="000000"/>
                      <w:szCs w:val="21"/>
                      <w:highlight w:val="none"/>
                    </w:rPr>
                  </w:pPr>
                  <w:r>
                    <w:rPr>
                      <w:rFonts w:hint="default" w:ascii="Times New Roman" w:hAnsi="Times New Roman" w:cs="Times New Roman"/>
                      <w:color w:val="000000"/>
                      <w:szCs w:val="21"/>
                      <w:highlight w:val="none"/>
                    </w:rPr>
                    <w:t>符合</w:t>
                  </w:r>
                </w:p>
              </w:tc>
            </w:tr>
            <w:tr w14:paraId="1B68D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8" w:hRule="atLeast"/>
                <w:jc w:val="center"/>
              </w:trPr>
              <w:tc>
                <w:tcPr>
                  <w:tcW w:w="324" w:type="pct"/>
                  <w:noWrap w:val="0"/>
                  <w:vAlign w:val="center"/>
                </w:tcPr>
                <w:p w14:paraId="55DC67B2">
                  <w:pPr>
                    <w:keepNext w:val="0"/>
                    <w:keepLines w:val="0"/>
                    <w:pageBreakBefore w:val="0"/>
                    <w:widowControl w:val="0"/>
                    <w:kinsoku/>
                    <w:overflowPunct/>
                    <w:topLinePunct w:val="0"/>
                    <w:autoSpaceDE/>
                    <w:autoSpaceDN/>
                    <w:bidi w:val="0"/>
                    <w:adjustRightInd w:val="0"/>
                    <w:snapToGrid w:val="0"/>
                    <w:ind w:firstLine="0" w:firstLineChars="0"/>
                    <w:jc w:val="center"/>
                    <w:textAlignment w:val="auto"/>
                    <w:rPr>
                      <w:rFonts w:hint="default" w:ascii="Times New Roman" w:hAnsi="Times New Roman" w:cs="Times New Roman"/>
                      <w:color w:val="000000"/>
                      <w:szCs w:val="21"/>
                      <w:highlight w:val="none"/>
                    </w:rPr>
                  </w:pPr>
                  <w:r>
                    <w:rPr>
                      <w:rFonts w:hint="default" w:ascii="Times New Roman" w:hAnsi="Times New Roman" w:cs="Times New Roman"/>
                      <w:highlight w:val="none"/>
                    </w:rPr>
                    <w:t>污染物排放管控</w:t>
                  </w:r>
                </w:p>
              </w:tc>
              <w:tc>
                <w:tcPr>
                  <w:tcW w:w="2497" w:type="pct"/>
                  <w:noWrap w:val="0"/>
                  <w:vAlign w:val="center"/>
                </w:tcPr>
                <w:p w14:paraId="1DD2F405">
                  <w:pPr>
                    <w:keepNext w:val="0"/>
                    <w:keepLines w:val="0"/>
                    <w:pageBreakBefore w:val="0"/>
                    <w:widowControl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highlight w:val="none"/>
                    </w:rPr>
                  </w:pPr>
                  <w:r>
                    <w:rPr>
                      <w:rFonts w:hint="default" w:ascii="Times New Roman" w:hAnsi="Times New Roman" w:cs="Times New Roman"/>
                      <w:highlight w:val="none"/>
                    </w:rPr>
                    <w:t>1.按</w:t>
                  </w:r>
                  <w:r>
                    <w:rPr>
                      <w:rFonts w:hint="eastAsia" w:cs="Times New Roman"/>
                      <w:highlight w:val="none"/>
                      <w:lang w:eastAsia="zh-CN"/>
                    </w:rPr>
                    <w:t>“</w:t>
                  </w:r>
                  <w:r>
                    <w:rPr>
                      <w:rFonts w:hint="default" w:ascii="Times New Roman" w:hAnsi="Times New Roman" w:cs="Times New Roman"/>
                      <w:highlight w:val="none"/>
                    </w:rPr>
                    <w:t>清污分流</w:t>
                  </w:r>
                  <w:r>
                    <w:rPr>
                      <w:rFonts w:hint="eastAsia" w:cs="Times New Roman"/>
                      <w:highlight w:val="none"/>
                      <w:lang w:eastAsia="zh-CN"/>
                    </w:rPr>
                    <w:t>”“</w:t>
                  </w:r>
                  <w:r>
                    <w:rPr>
                      <w:rFonts w:hint="default" w:ascii="Times New Roman" w:hAnsi="Times New Roman" w:cs="Times New Roman"/>
                      <w:highlight w:val="none"/>
                    </w:rPr>
                    <w:t>雨污分流</w:t>
                  </w:r>
                  <w:r>
                    <w:rPr>
                      <w:rFonts w:hint="eastAsia" w:cs="Times New Roman"/>
                      <w:highlight w:val="none"/>
                      <w:lang w:eastAsia="zh-CN"/>
                    </w:rPr>
                    <w:t>”“</w:t>
                  </w:r>
                  <w:r>
                    <w:rPr>
                      <w:rFonts w:hint="default" w:ascii="Times New Roman" w:hAnsi="Times New Roman" w:cs="Times New Roman"/>
                      <w:highlight w:val="none"/>
                    </w:rPr>
                    <w:t>污污分流</w:t>
                  </w:r>
                  <w:r>
                    <w:rPr>
                      <w:rFonts w:hint="eastAsia" w:cs="Times New Roman"/>
                      <w:highlight w:val="none"/>
                      <w:lang w:eastAsia="zh-CN"/>
                    </w:rPr>
                    <w:t>”</w:t>
                  </w:r>
                  <w:r>
                    <w:rPr>
                      <w:rFonts w:hint="default" w:ascii="Times New Roman" w:hAnsi="Times New Roman" w:cs="Times New Roman"/>
                      <w:highlight w:val="none"/>
                    </w:rPr>
                    <w:t>原则，污水应收尽收，全部回用或作为景观用水不外排。</w:t>
                  </w:r>
                </w:p>
                <w:p w14:paraId="246E247F">
                  <w:pPr>
                    <w:keepNext w:val="0"/>
                    <w:keepLines w:val="0"/>
                    <w:pageBreakBefore w:val="0"/>
                    <w:widowControl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highlight w:val="none"/>
                    </w:rPr>
                  </w:pPr>
                  <w:r>
                    <w:rPr>
                      <w:rFonts w:hint="default" w:ascii="Times New Roman" w:hAnsi="Times New Roman" w:cs="Times New Roman"/>
                      <w:highlight w:val="none"/>
                    </w:rPr>
                    <w:t>2.加强对废气特别是有毒及恶臭气体的收集和处置，严格控制挥发性有机物（VOCs）排放。</w:t>
                  </w:r>
                </w:p>
                <w:p w14:paraId="3B368F19">
                  <w:pPr>
                    <w:keepNext w:val="0"/>
                    <w:keepLines w:val="0"/>
                    <w:pageBreakBefore w:val="0"/>
                    <w:widowControl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highlight w:val="none"/>
                    </w:rPr>
                  </w:pPr>
                  <w:r>
                    <w:rPr>
                      <w:rFonts w:hint="default" w:ascii="Times New Roman" w:hAnsi="Times New Roman" w:cs="Times New Roman"/>
                      <w:highlight w:val="none"/>
                    </w:rPr>
                    <w:t>3.固体废物产生量大的化工园区应配套建设固体废物处置设施。</w:t>
                  </w:r>
                </w:p>
                <w:p w14:paraId="2493BB83">
                  <w:pPr>
                    <w:keepNext w:val="0"/>
                    <w:keepLines w:val="0"/>
                    <w:pageBreakBefore w:val="0"/>
                    <w:widowControl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highlight w:val="none"/>
                    </w:rPr>
                  </w:pPr>
                  <w:r>
                    <w:rPr>
                      <w:rFonts w:hint="default" w:ascii="Times New Roman" w:hAnsi="Times New Roman" w:cs="Times New Roman"/>
                      <w:highlight w:val="none"/>
                    </w:rPr>
                    <w:t>4.重点行业粉状物料堆场实现全封闭，块状物料</w:t>
                  </w:r>
                  <w:r>
                    <w:rPr>
                      <w:rFonts w:hint="default" w:ascii="Times New Roman" w:hAnsi="Times New Roman" w:cs="Times New Roman"/>
                      <w:highlight w:val="none"/>
                      <w:lang w:eastAsia="zh-CN"/>
                    </w:rPr>
                    <w:t>堆场</w:t>
                  </w:r>
                  <w:r>
                    <w:rPr>
                      <w:rFonts w:hint="default" w:ascii="Times New Roman" w:hAnsi="Times New Roman" w:cs="Times New Roman"/>
                      <w:highlight w:val="none"/>
                    </w:rPr>
                    <w:t>安装抑尘设施。</w:t>
                  </w:r>
                </w:p>
                <w:p w14:paraId="2F16E846">
                  <w:pPr>
                    <w:keepNext w:val="0"/>
                    <w:keepLines w:val="0"/>
                    <w:pageBreakBefore w:val="0"/>
                    <w:widowControl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color w:val="000000"/>
                      <w:szCs w:val="21"/>
                      <w:highlight w:val="none"/>
                    </w:rPr>
                  </w:pPr>
                  <w:r>
                    <w:rPr>
                      <w:rFonts w:hint="default" w:ascii="Times New Roman" w:hAnsi="Times New Roman" w:cs="Times New Roman"/>
                      <w:highlight w:val="none"/>
                    </w:rPr>
                    <w:t>5.燃煤发电机组执行大气污染物超低排放限值。</w:t>
                  </w:r>
                </w:p>
              </w:tc>
              <w:tc>
                <w:tcPr>
                  <w:tcW w:w="1678" w:type="pct"/>
                  <w:noWrap w:val="0"/>
                  <w:vAlign w:val="center"/>
                </w:tcPr>
                <w:p w14:paraId="1BC717AA">
                  <w:pPr>
                    <w:keepNext w:val="0"/>
                    <w:keepLines w:val="0"/>
                    <w:pageBreakBefore w:val="0"/>
                    <w:widowControl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color w:val="000000"/>
                      <w:szCs w:val="21"/>
                      <w:highlight w:val="none"/>
                      <w:lang w:val="en-US" w:eastAsia="zh-CN"/>
                    </w:rPr>
                  </w:pPr>
                  <w:r>
                    <w:rPr>
                      <w:rFonts w:hint="default" w:ascii="Times New Roman" w:hAnsi="Times New Roman" w:eastAsia="宋体" w:cs="Times New Roman"/>
                      <w:color w:val="000000"/>
                      <w:szCs w:val="21"/>
                      <w:highlight w:val="none"/>
                      <w:lang w:val="en-US" w:eastAsia="zh-CN"/>
                    </w:rPr>
                    <w:t>本项目建成后</w:t>
                  </w:r>
                  <w:r>
                    <w:rPr>
                      <w:rFonts w:hint="default" w:ascii="Times New Roman" w:hAnsi="Times New Roman" w:cs="Times New Roman"/>
                      <w:color w:val="000000"/>
                      <w:szCs w:val="21"/>
                      <w:highlight w:val="none"/>
                      <w:lang w:val="en-US" w:eastAsia="zh-CN"/>
                    </w:rPr>
                    <w:t>正常工况下</w:t>
                  </w:r>
                  <w:r>
                    <w:rPr>
                      <w:rFonts w:hint="default" w:ascii="Times New Roman" w:hAnsi="Times New Roman" w:eastAsia="宋体" w:cs="Times New Roman"/>
                      <w:color w:val="000000"/>
                      <w:szCs w:val="21"/>
                      <w:highlight w:val="none"/>
                      <w:lang w:val="en-US" w:eastAsia="zh-CN"/>
                    </w:rPr>
                    <w:t>无废水、废气、固废排放。</w:t>
                  </w:r>
                </w:p>
              </w:tc>
              <w:tc>
                <w:tcPr>
                  <w:tcW w:w="499" w:type="pct"/>
                  <w:noWrap w:val="0"/>
                  <w:vAlign w:val="center"/>
                </w:tcPr>
                <w:p w14:paraId="05C16F61">
                  <w:pPr>
                    <w:keepNext w:val="0"/>
                    <w:keepLines w:val="0"/>
                    <w:pageBreakBefore w:val="0"/>
                    <w:widowControl w:val="0"/>
                    <w:kinsoku/>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color w:val="000000"/>
                      <w:szCs w:val="21"/>
                      <w:highlight w:val="none"/>
                    </w:rPr>
                  </w:pPr>
                  <w:r>
                    <w:rPr>
                      <w:rFonts w:hint="default" w:ascii="Times New Roman" w:hAnsi="Times New Roman" w:cs="Times New Roman"/>
                      <w:color w:val="000000"/>
                      <w:szCs w:val="21"/>
                      <w:highlight w:val="none"/>
                    </w:rPr>
                    <w:t>符合</w:t>
                  </w:r>
                </w:p>
              </w:tc>
            </w:tr>
            <w:tr w14:paraId="1A169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6" w:hRule="atLeast"/>
                <w:jc w:val="center"/>
              </w:trPr>
              <w:tc>
                <w:tcPr>
                  <w:tcW w:w="324" w:type="pct"/>
                  <w:noWrap w:val="0"/>
                  <w:vAlign w:val="center"/>
                </w:tcPr>
                <w:p w14:paraId="3625CA4D">
                  <w:pPr>
                    <w:keepNext w:val="0"/>
                    <w:keepLines w:val="0"/>
                    <w:pageBreakBefore w:val="0"/>
                    <w:widowControl w:val="0"/>
                    <w:kinsoku/>
                    <w:overflowPunct/>
                    <w:topLinePunct w:val="0"/>
                    <w:autoSpaceDE/>
                    <w:autoSpaceDN/>
                    <w:bidi w:val="0"/>
                    <w:adjustRightInd w:val="0"/>
                    <w:snapToGrid w:val="0"/>
                    <w:ind w:firstLine="0" w:firstLineChars="0"/>
                    <w:jc w:val="center"/>
                    <w:textAlignment w:val="auto"/>
                    <w:rPr>
                      <w:rFonts w:hint="default" w:ascii="Times New Roman" w:hAnsi="Times New Roman" w:cs="Times New Roman"/>
                      <w:kern w:val="0"/>
                      <w:szCs w:val="21"/>
                      <w:highlight w:val="none"/>
                      <w:lang w:bidi="ar"/>
                    </w:rPr>
                  </w:pPr>
                  <w:r>
                    <w:rPr>
                      <w:rFonts w:hint="default" w:ascii="Times New Roman" w:hAnsi="Times New Roman" w:cs="Times New Roman"/>
                      <w:highlight w:val="none"/>
                    </w:rPr>
                    <w:t>环境风险防控</w:t>
                  </w:r>
                </w:p>
              </w:tc>
              <w:tc>
                <w:tcPr>
                  <w:tcW w:w="2497" w:type="pct"/>
                  <w:noWrap w:val="0"/>
                  <w:vAlign w:val="center"/>
                </w:tcPr>
                <w:p w14:paraId="5FE3B046">
                  <w:pPr>
                    <w:keepNext w:val="0"/>
                    <w:keepLines w:val="0"/>
                    <w:pageBreakBefore w:val="0"/>
                    <w:widowControl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highlight w:val="none"/>
                    </w:rPr>
                  </w:pPr>
                  <w:r>
                    <w:rPr>
                      <w:rFonts w:hint="default" w:ascii="Times New Roman" w:hAnsi="Times New Roman" w:cs="Times New Roman"/>
                      <w:highlight w:val="none"/>
                    </w:rPr>
                    <w:t>完善区域环境风险防范机制，有效防范环境风险。建立和不断完善环境风险</w:t>
                  </w:r>
                  <w:r>
                    <w:rPr>
                      <w:rFonts w:hint="default" w:ascii="Times New Roman" w:hAnsi="Times New Roman" w:cs="Times New Roman"/>
                      <w:highlight w:val="none"/>
                      <w:lang w:eastAsia="zh-CN"/>
                    </w:rPr>
                    <w:t>防范</w:t>
                  </w:r>
                  <w:r>
                    <w:rPr>
                      <w:rFonts w:hint="default" w:ascii="Times New Roman" w:hAnsi="Times New Roman" w:cs="Times New Roman"/>
                      <w:highlight w:val="none"/>
                    </w:rPr>
                    <w:t>机制和应急体系，构建有效的区域环境风险联防联控机制，最大限度降低环境风险。</w:t>
                  </w:r>
                </w:p>
              </w:tc>
              <w:tc>
                <w:tcPr>
                  <w:tcW w:w="1678" w:type="pct"/>
                  <w:noWrap w:val="0"/>
                  <w:vAlign w:val="center"/>
                </w:tcPr>
                <w:p w14:paraId="030F2F6B">
                  <w:pPr>
                    <w:keepNext w:val="0"/>
                    <w:keepLines w:val="0"/>
                    <w:pageBreakBefore w:val="0"/>
                    <w:widowControl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color w:val="000000"/>
                      <w:szCs w:val="21"/>
                      <w:highlight w:val="none"/>
                      <w:lang w:val="en-US" w:eastAsia="zh-CN"/>
                    </w:rPr>
                  </w:pPr>
                  <w:r>
                    <w:rPr>
                      <w:rFonts w:hint="default" w:ascii="Times New Roman" w:hAnsi="Times New Roman" w:eastAsia="宋体" w:cs="Times New Roman"/>
                      <w:kern w:val="0"/>
                      <w:szCs w:val="21"/>
                      <w:highlight w:val="none"/>
                    </w:rPr>
                    <w:t>企业</w:t>
                  </w:r>
                  <w:r>
                    <w:rPr>
                      <w:rFonts w:hint="default" w:ascii="Times New Roman" w:hAnsi="Times New Roman" w:eastAsia="宋体" w:cs="Times New Roman"/>
                      <w:kern w:val="0"/>
                      <w:szCs w:val="21"/>
                      <w:highlight w:val="none"/>
                      <w:lang w:val="en-US" w:eastAsia="zh-CN"/>
                    </w:rPr>
                    <w:t>已</w:t>
                  </w:r>
                  <w:r>
                    <w:rPr>
                      <w:rFonts w:hint="default" w:ascii="Times New Roman" w:hAnsi="Times New Roman" w:eastAsia="宋体" w:cs="Times New Roman"/>
                      <w:kern w:val="0"/>
                      <w:szCs w:val="21"/>
                      <w:highlight w:val="none"/>
                    </w:rPr>
                    <w:t>编制突发环境事件应急预案，并且</w:t>
                  </w:r>
                  <w:r>
                    <w:rPr>
                      <w:rFonts w:hint="default" w:ascii="Times New Roman" w:hAnsi="Times New Roman" w:eastAsia="宋体" w:cs="Times New Roman"/>
                      <w:kern w:val="0"/>
                      <w:szCs w:val="21"/>
                      <w:highlight w:val="none"/>
                      <w:lang w:val="en-US" w:eastAsia="zh-CN"/>
                    </w:rPr>
                    <w:t>在</w:t>
                  </w:r>
                  <w:r>
                    <w:rPr>
                      <w:rFonts w:hint="default" w:ascii="Times New Roman" w:hAnsi="Times New Roman" w:eastAsia="宋体" w:cs="Times New Roman"/>
                      <w:kern w:val="0"/>
                      <w:szCs w:val="21"/>
                      <w:highlight w:val="none"/>
                    </w:rPr>
                    <w:t>鄂尔多斯市生态环境局杭锦旗分局进行备案</w:t>
                  </w:r>
                  <w:r>
                    <w:rPr>
                      <w:rFonts w:hint="default" w:ascii="Times New Roman" w:hAnsi="Times New Roman" w:eastAsia="宋体" w:cs="Times New Roman"/>
                      <w:kern w:val="0"/>
                      <w:szCs w:val="21"/>
                      <w:highlight w:val="none"/>
                      <w:lang w:eastAsia="zh-CN"/>
                    </w:rPr>
                    <w:t>，</w:t>
                  </w:r>
                  <w:r>
                    <w:rPr>
                      <w:rFonts w:hint="default" w:ascii="Times New Roman" w:hAnsi="Times New Roman" w:eastAsia="宋体" w:cs="Times New Roman"/>
                      <w:kern w:val="0"/>
                      <w:szCs w:val="21"/>
                      <w:highlight w:val="none"/>
                    </w:rPr>
                    <w:t>备案编号</w:t>
                  </w:r>
                  <w:r>
                    <w:rPr>
                      <w:rFonts w:hint="default" w:ascii="Times New Roman" w:hAnsi="Times New Roman" w:eastAsia="宋体" w:cs="Times New Roman"/>
                      <w:kern w:val="0"/>
                      <w:szCs w:val="21"/>
                      <w:highlight w:val="none"/>
                      <w:lang w:eastAsia="zh-CN"/>
                    </w:rPr>
                    <w:t>为</w:t>
                  </w:r>
                  <w:r>
                    <w:rPr>
                      <w:rFonts w:hint="default" w:ascii="Times New Roman" w:hAnsi="Times New Roman" w:eastAsia="宋体" w:cs="Times New Roman"/>
                      <w:kern w:val="0"/>
                      <w:szCs w:val="21"/>
                      <w:highlight w:val="none"/>
                      <w:lang w:val="en-US" w:eastAsia="zh-CN"/>
                    </w:rPr>
                    <w:t>150625-2024-18-L</w:t>
                  </w:r>
                  <w:r>
                    <w:rPr>
                      <w:rFonts w:hint="default" w:ascii="Times New Roman" w:hAnsi="Times New Roman" w:eastAsia="宋体" w:cs="Times New Roman"/>
                      <w:kern w:val="0"/>
                      <w:szCs w:val="21"/>
                      <w:highlight w:val="none"/>
                    </w:rPr>
                    <w:t>。</w:t>
                  </w:r>
                  <w:r>
                    <w:rPr>
                      <w:rFonts w:hint="default" w:ascii="Times New Roman" w:hAnsi="Times New Roman" w:eastAsia="宋体" w:cs="Times New Roman"/>
                      <w:kern w:val="0"/>
                      <w:szCs w:val="21"/>
                      <w:highlight w:val="none"/>
                      <w:lang w:val="en-US" w:eastAsia="zh-CN"/>
                    </w:rPr>
                    <w:t>本项目建成后</w:t>
                  </w:r>
                  <w:r>
                    <w:rPr>
                      <w:rFonts w:hint="default" w:ascii="Times New Roman" w:hAnsi="Times New Roman" w:cs="Times New Roman"/>
                      <w:kern w:val="0"/>
                      <w:szCs w:val="21"/>
                      <w:highlight w:val="none"/>
                      <w:lang w:val="en-US" w:eastAsia="zh-CN"/>
                    </w:rPr>
                    <w:t>，</w:t>
                  </w:r>
                  <w:r>
                    <w:rPr>
                      <w:rFonts w:hint="default" w:ascii="Times New Roman" w:hAnsi="Times New Roman" w:eastAsia="宋体" w:cs="Times New Roman"/>
                      <w:kern w:val="0"/>
                      <w:szCs w:val="21"/>
                      <w:highlight w:val="none"/>
                      <w:lang w:val="en-US" w:eastAsia="zh-CN"/>
                    </w:rPr>
                    <w:t>根据相关规范要求及时</w:t>
                  </w:r>
                  <w:r>
                    <w:rPr>
                      <w:rFonts w:hint="default" w:ascii="Times New Roman" w:hAnsi="Times New Roman" w:cs="Times New Roman"/>
                      <w:kern w:val="0"/>
                      <w:szCs w:val="21"/>
                      <w:highlight w:val="none"/>
                      <w:lang w:val="en-US" w:eastAsia="zh-CN"/>
                    </w:rPr>
                    <w:t>编制</w:t>
                  </w:r>
                  <w:r>
                    <w:rPr>
                      <w:rFonts w:hint="default" w:ascii="Times New Roman" w:hAnsi="Times New Roman" w:eastAsia="宋体" w:cs="Times New Roman"/>
                      <w:kern w:val="0"/>
                      <w:szCs w:val="21"/>
                      <w:highlight w:val="none"/>
                    </w:rPr>
                    <w:t>突发环境事件应急预案</w:t>
                  </w:r>
                  <w:r>
                    <w:rPr>
                      <w:rFonts w:hint="default" w:ascii="Times New Roman" w:hAnsi="Times New Roman" w:eastAsia="宋体" w:cs="Times New Roman"/>
                      <w:kern w:val="0"/>
                      <w:szCs w:val="21"/>
                      <w:highlight w:val="none"/>
                      <w:lang w:eastAsia="zh-CN"/>
                    </w:rPr>
                    <w:t>。</w:t>
                  </w:r>
                </w:p>
              </w:tc>
              <w:tc>
                <w:tcPr>
                  <w:tcW w:w="499" w:type="pct"/>
                  <w:noWrap w:val="0"/>
                  <w:vAlign w:val="center"/>
                </w:tcPr>
                <w:p w14:paraId="62B9FDFC">
                  <w:pPr>
                    <w:keepNext w:val="0"/>
                    <w:keepLines w:val="0"/>
                    <w:pageBreakBefore w:val="0"/>
                    <w:widowControl w:val="0"/>
                    <w:kinsoku/>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color w:val="000000"/>
                      <w:szCs w:val="21"/>
                      <w:highlight w:val="none"/>
                    </w:rPr>
                  </w:pPr>
                  <w:r>
                    <w:rPr>
                      <w:rFonts w:hint="default" w:ascii="Times New Roman" w:hAnsi="Times New Roman" w:cs="Times New Roman"/>
                      <w:color w:val="000000"/>
                      <w:szCs w:val="21"/>
                      <w:highlight w:val="none"/>
                    </w:rPr>
                    <w:t>符合</w:t>
                  </w:r>
                </w:p>
              </w:tc>
            </w:tr>
            <w:tr w14:paraId="17CAE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4" w:hRule="atLeast"/>
                <w:jc w:val="center"/>
              </w:trPr>
              <w:tc>
                <w:tcPr>
                  <w:tcW w:w="324" w:type="pct"/>
                  <w:noWrap w:val="0"/>
                  <w:vAlign w:val="center"/>
                </w:tcPr>
                <w:p w14:paraId="6C5BE8D1">
                  <w:pPr>
                    <w:keepNext w:val="0"/>
                    <w:keepLines w:val="0"/>
                    <w:pageBreakBefore w:val="0"/>
                    <w:widowControl w:val="0"/>
                    <w:kinsoku/>
                    <w:overflowPunct/>
                    <w:topLinePunct w:val="0"/>
                    <w:autoSpaceDE/>
                    <w:autoSpaceDN/>
                    <w:bidi w:val="0"/>
                    <w:adjustRightInd w:val="0"/>
                    <w:snapToGrid w:val="0"/>
                    <w:ind w:firstLine="0" w:firstLineChars="0"/>
                    <w:jc w:val="center"/>
                    <w:textAlignment w:val="auto"/>
                    <w:rPr>
                      <w:rFonts w:hint="default" w:ascii="Times New Roman" w:hAnsi="Times New Roman" w:cs="Times New Roman"/>
                      <w:kern w:val="0"/>
                      <w:szCs w:val="21"/>
                      <w:highlight w:val="none"/>
                      <w:lang w:bidi="ar"/>
                    </w:rPr>
                  </w:pPr>
                  <w:r>
                    <w:rPr>
                      <w:rFonts w:hint="default" w:ascii="Times New Roman" w:hAnsi="Times New Roman" w:cs="Times New Roman"/>
                      <w:highlight w:val="none"/>
                    </w:rPr>
                    <w:t>资源利用效率要求</w:t>
                  </w:r>
                </w:p>
              </w:tc>
              <w:tc>
                <w:tcPr>
                  <w:tcW w:w="2497" w:type="pct"/>
                  <w:noWrap w:val="0"/>
                  <w:vAlign w:val="center"/>
                </w:tcPr>
                <w:p w14:paraId="4D777F24">
                  <w:pPr>
                    <w:keepNext w:val="0"/>
                    <w:keepLines w:val="0"/>
                    <w:pageBreakBefore w:val="0"/>
                    <w:widowControl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highlight w:val="none"/>
                    </w:rPr>
                  </w:pPr>
                  <w:r>
                    <w:rPr>
                      <w:rFonts w:hint="default" w:ascii="Times New Roman" w:hAnsi="Times New Roman" w:cs="Times New Roman"/>
                      <w:highlight w:val="none"/>
                    </w:rPr>
                    <w:t>1</w:t>
                  </w:r>
                  <w:r>
                    <w:rPr>
                      <w:rFonts w:hint="default" w:ascii="Times New Roman" w:hAnsi="Times New Roman" w:cs="Times New Roman"/>
                      <w:highlight w:val="none"/>
                      <w:lang w:val="en-US" w:eastAsia="zh-CN"/>
                    </w:rPr>
                    <w:t>.</w:t>
                  </w:r>
                  <w:r>
                    <w:rPr>
                      <w:rFonts w:hint="default" w:ascii="Times New Roman" w:hAnsi="Times New Roman" w:cs="Times New Roman"/>
                      <w:highlight w:val="none"/>
                    </w:rPr>
                    <w:t>严控地下水超采。新建、改建、扩建的高耗水工业项目，禁止擅自使用地下水。食品、制药等项目取用地下水，须经有管理权限的水行政主管部门批准。</w:t>
                  </w:r>
                </w:p>
              </w:tc>
              <w:tc>
                <w:tcPr>
                  <w:tcW w:w="1678" w:type="pct"/>
                  <w:noWrap w:val="0"/>
                  <w:vAlign w:val="center"/>
                </w:tcPr>
                <w:p w14:paraId="13BA7A5E">
                  <w:pPr>
                    <w:keepNext w:val="0"/>
                    <w:keepLines w:val="0"/>
                    <w:pageBreakBefore w:val="0"/>
                    <w:widowControl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color w:val="000000"/>
                      <w:szCs w:val="21"/>
                      <w:highlight w:val="none"/>
                      <w:lang w:val="en-US" w:eastAsia="zh-CN"/>
                    </w:rPr>
                  </w:pPr>
                  <w:r>
                    <w:rPr>
                      <w:rFonts w:hint="default" w:ascii="Times New Roman" w:hAnsi="Times New Roman" w:cs="Times New Roman"/>
                      <w:color w:val="000000"/>
                      <w:szCs w:val="21"/>
                      <w:highlight w:val="none"/>
                      <w:lang w:val="en-US" w:eastAsia="zh-CN"/>
                    </w:rPr>
                    <w:t>本项目不涉及</w:t>
                  </w:r>
                  <w:r>
                    <w:rPr>
                      <w:rFonts w:hint="eastAsia" w:cs="Times New Roman"/>
                      <w:color w:val="000000"/>
                      <w:szCs w:val="21"/>
                      <w:highlight w:val="none"/>
                      <w:lang w:val="en-US" w:eastAsia="zh-CN"/>
                    </w:rPr>
                    <w:t>。</w:t>
                  </w:r>
                </w:p>
              </w:tc>
              <w:tc>
                <w:tcPr>
                  <w:tcW w:w="499" w:type="pct"/>
                  <w:noWrap w:val="0"/>
                  <w:vAlign w:val="center"/>
                </w:tcPr>
                <w:p w14:paraId="1F774E04">
                  <w:pPr>
                    <w:keepNext w:val="0"/>
                    <w:keepLines w:val="0"/>
                    <w:pageBreakBefore w:val="0"/>
                    <w:widowControl w:val="0"/>
                    <w:kinsoku/>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szCs w:val="21"/>
                      <w:highlight w:val="none"/>
                      <w:lang w:eastAsia="zh-CN"/>
                    </w:rPr>
                  </w:pPr>
                  <w:r>
                    <w:rPr>
                      <w:rFonts w:hint="default" w:ascii="Times New Roman" w:hAnsi="Times New Roman" w:cs="Times New Roman"/>
                      <w:color w:val="000000"/>
                      <w:szCs w:val="21"/>
                      <w:highlight w:val="none"/>
                      <w:lang w:val="en-US" w:eastAsia="zh-CN"/>
                    </w:rPr>
                    <w:t>/</w:t>
                  </w:r>
                </w:p>
              </w:tc>
            </w:tr>
          </w:tbl>
          <w:p w14:paraId="1FD02AEA">
            <w:pPr>
              <w:autoSpaceDE w:val="0"/>
              <w:autoSpaceDN w:val="0"/>
              <w:adjustRightInd w:val="0"/>
              <w:snapToGrid w:val="0"/>
              <w:spacing w:line="360" w:lineRule="auto"/>
              <w:ind w:firstLine="480" w:firstLineChars="200"/>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综上所述，本项目的建设符合</w:t>
            </w:r>
            <w:r>
              <w:rPr>
                <w:rFonts w:hint="eastAsia" w:cs="Times New Roman"/>
                <w:sz w:val="24"/>
                <w:szCs w:val="24"/>
                <w:highlight w:val="none"/>
                <w:lang w:eastAsia="zh-CN"/>
              </w:rPr>
              <w:t>“</w:t>
            </w:r>
            <w:r>
              <w:rPr>
                <w:rFonts w:hint="eastAsia" w:ascii="Times New Roman" w:hAnsi="Times New Roman" w:cs="Times New Roman"/>
                <w:sz w:val="24"/>
                <w:szCs w:val="24"/>
                <w:highlight w:val="none"/>
                <w:lang w:val="en-US" w:eastAsia="zh-CN"/>
              </w:rPr>
              <w:t>生态环境分区管控</w:t>
            </w:r>
            <w:r>
              <w:rPr>
                <w:rFonts w:hint="eastAsia" w:cs="Times New Roman"/>
                <w:sz w:val="24"/>
                <w:szCs w:val="24"/>
                <w:highlight w:val="none"/>
                <w:lang w:eastAsia="zh-CN"/>
              </w:rPr>
              <w:t>”</w:t>
            </w:r>
            <w:r>
              <w:rPr>
                <w:rFonts w:hint="default" w:ascii="Times New Roman" w:hAnsi="Times New Roman" w:cs="Times New Roman"/>
                <w:sz w:val="24"/>
                <w:szCs w:val="24"/>
                <w:highlight w:val="none"/>
              </w:rPr>
              <w:t>的相关要求。</w:t>
            </w:r>
          </w:p>
          <w:p w14:paraId="4CA847D3">
            <w:pPr>
              <w:pStyle w:val="2"/>
              <w:spacing w:before="0" w:after="0" w:line="360" w:lineRule="auto"/>
              <w:ind w:left="0" w:firstLine="0"/>
              <w:rPr>
                <w:rFonts w:hint="default" w:ascii="Times New Roman" w:hAnsi="Times New Roman" w:eastAsia="宋体" w:cs="Times New Roman"/>
                <w:color w:val="1900FF"/>
                <w:sz w:val="24"/>
                <w:szCs w:val="24"/>
                <w:highlight w:val="none"/>
              </w:rPr>
            </w:pP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.选址合理性分析</w:t>
            </w:r>
            <w:r>
              <w:rPr>
                <w:rFonts w:hint="default" w:ascii="Times New Roman" w:hAnsi="Times New Roman" w:eastAsia="宋体" w:cs="Times New Roman"/>
                <w:color w:val="1900FF"/>
                <w:sz w:val="24"/>
                <w:szCs w:val="24"/>
                <w:highlight w:val="none"/>
              </w:rPr>
              <w:t xml:space="preserve"> </w:t>
            </w:r>
          </w:p>
          <w:p w14:paraId="45D0B24C">
            <w:pPr>
              <w:adjustRightInd w:val="0"/>
              <w:snapToGrid w:val="0"/>
              <w:spacing w:line="360" w:lineRule="auto"/>
              <w:ind w:firstLine="480" w:firstLineChars="200"/>
              <w:rPr>
                <w:rFonts w:hint="default" w:ascii="Times New Roman" w:hAnsi="Times New Roman" w:eastAsia="宋体" w:cs="Times New Roman"/>
                <w:bCs/>
                <w:color w:val="000000"/>
                <w:sz w:val="24"/>
                <w:highlight w:val="none"/>
              </w:rPr>
            </w:pPr>
            <w:r>
              <w:rPr>
                <w:rFonts w:hint="default" w:ascii="Times New Roman" w:hAnsi="Times New Roman" w:eastAsia="宋体" w:cs="Times New Roman"/>
                <w:bCs/>
                <w:color w:val="000000"/>
                <w:sz w:val="24"/>
                <w:highlight w:val="none"/>
              </w:rPr>
              <w:t>本项目位于内蒙古鄂尔多斯市杭锦旗经济开发区独贵塔拉产业园南项目区，园区道路、供电、供水、电讯等基础设施条件良好，配套齐全，社会协作条件较优越；四周均为园区企业。</w:t>
            </w:r>
          </w:p>
          <w:p w14:paraId="3622105C">
            <w:pPr>
              <w:adjustRightInd w:val="0"/>
              <w:snapToGrid w:val="0"/>
              <w:spacing w:line="360" w:lineRule="auto"/>
              <w:ind w:firstLine="480" w:firstLineChars="200"/>
              <w:rPr>
                <w:rFonts w:hint="default" w:ascii="Times New Roman" w:hAnsi="Times New Roman" w:cs="Times New Roman"/>
                <w:color w:val="1900FF"/>
                <w:kern w:val="0"/>
                <w:szCs w:val="21"/>
                <w:highlight w:val="none"/>
              </w:rPr>
            </w:pPr>
            <w:r>
              <w:rPr>
                <w:rFonts w:hint="default" w:ascii="Times New Roman" w:hAnsi="Times New Roman" w:eastAsia="宋体" w:cs="Times New Roman"/>
                <w:bCs/>
                <w:color w:val="000000"/>
                <w:sz w:val="24"/>
                <w:highlight w:val="none"/>
              </w:rPr>
              <w:t>项目</w:t>
            </w:r>
            <w:r>
              <w:rPr>
                <w:rFonts w:hint="default" w:ascii="Times New Roman" w:hAnsi="Times New Roman" w:eastAsia="宋体" w:cs="Times New Roman"/>
                <w:bCs/>
                <w:color w:val="000000"/>
                <w:sz w:val="24"/>
                <w:highlight w:val="none"/>
                <w:lang w:val="en-US" w:eastAsia="zh-CN"/>
              </w:rPr>
              <w:t>沿线</w:t>
            </w:r>
            <w:r>
              <w:rPr>
                <w:rFonts w:hint="default" w:ascii="Times New Roman" w:hAnsi="Times New Roman" w:eastAsia="宋体" w:cs="Times New Roman"/>
                <w:bCs/>
                <w:color w:val="000000"/>
                <w:sz w:val="24"/>
                <w:highlight w:val="none"/>
                <w:lang w:eastAsia="zh-CN"/>
              </w:rPr>
              <w:t>外</w:t>
            </w:r>
            <w:r>
              <w:rPr>
                <w:rFonts w:hint="eastAsia" w:ascii="Times New Roman" w:hAnsi="Times New Roman" w:eastAsia="宋体" w:cs="Times New Roman"/>
                <w:bCs/>
                <w:color w:val="000000"/>
                <w:sz w:val="24"/>
                <w:highlight w:val="none"/>
                <w:lang w:val="en-US" w:eastAsia="zh-CN"/>
              </w:rPr>
              <w:t>5</w:t>
            </w:r>
            <w:r>
              <w:rPr>
                <w:rFonts w:hint="default" w:ascii="Times New Roman" w:hAnsi="Times New Roman" w:eastAsia="宋体" w:cs="Times New Roman"/>
                <w:bCs/>
                <w:color w:val="000000"/>
                <w:sz w:val="24"/>
                <w:highlight w:val="none"/>
                <w:lang w:eastAsia="zh-CN"/>
              </w:rPr>
              <w:t>00m范围内无自然保护区、风景名胜区、文化区、居住区等大气环境敏感目标；</w:t>
            </w:r>
            <w:r>
              <w:rPr>
                <w:rFonts w:hint="eastAsia" w:ascii="Times New Roman" w:hAnsi="Times New Roman" w:eastAsia="宋体" w:cs="Times New Roman"/>
                <w:bCs/>
                <w:color w:val="000000"/>
                <w:sz w:val="24"/>
                <w:highlight w:val="none"/>
                <w:lang w:val="en-US" w:eastAsia="zh-CN"/>
              </w:rPr>
              <w:t>5</w:t>
            </w:r>
            <w:r>
              <w:rPr>
                <w:rFonts w:hint="default" w:ascii="Times New Roman" w:hAnsi="Times New Roman" w:eastAsia="宋体" w:cs="Times New Roman"/>
                <w:bCs/>
                <w:color w:val="000000"/>
                <w:sz w:val="24"/>
                <w:highlight w:val="none"/>
                <w:lang w:eastAsia="zh-CN"/>
              </w:rPr>
              <w:t>00m范围内也无地下水集中式饮用水水源和热水、矿泉水、温泉等特殊地下水资源；厂界外</w:t>
            </w:r>
            <w:r>
              <w:rPr>
                <w:rFonts w:hint="eastAsia" w:cs="Times New Roman"/>
                <w:bCs/>
                <w:color w:val="000000"/>
                <w:sz w:val="24"/>
                <w:highlight w:val="none"/>
                <w:lang w:val="en-US" w:eastAsia="zh-CN"/>
              </w:rPr>
              <w:t>50</w:t>
            </w:r>
            <w:r>
              <w:rPr>
                <w:rFonts w:hint="default" w:ascii="Times New Roman" w:hAnsi="Times New Roman" w:eastAsia="宋体" w:cs="Times New Roman"/>
                <w:bCs/>
                <w:color w:val="000000"/>
                <w:sz w:val="24"/>
                <w:highlight w:val="none"/>
                <w:lang w:eastAsia="zh-CN"/>
              </w:rPr>
              <w:t>m范围内无声环境保护目标</w:t>
            </w:r>
            <w:r>
              <w:rPr>
                <w:rFonts w:hint="default" w:ascii="Times New Roman" w:hAnsi="Times New Roman" w:eastAsia="宋体" w:cs="Times New Roman"/>
                <w:bCs/>
                <w:color w:val="000000"/>
                <w:sz w:val="24"/>
                <w:highlight w:val="none"/>
              </w:rPr>
              <w:t>。</w:t>
            </w:r>
            <w:r>
              <w:rPr>
                <w:rFonts w:hint="eastAsia" w:cs="Times New Roman"/>
                <w:bCs/>
                <w:color w:val="000000"/>
                <w:sz w:val="24"/>
                <w:highlight w:val="none"/>
                <w:lang w:val="en-US" w:eastAsia="zh-CN"/>
              </w:rPr>
              <w:t>各类</w:t>
            </w:r>
            <w:r>
              <w:rPr>
                <w:rFonts w:hint="eastAsia" w:ascii="Times New Roman" w:hAnsi="Times New Roman" w:eastAsia="宋体" w:cs="Times New Roman"/>
                <w:bCs/>
                <w:color w:val="000000"/>
                <w:sz w:val="24"/>
                <w:highlight w:val="none"/>
                <w:lang w:val="en-US" w:eastAsia="zh-CN"/>
              </w:rPr>
              <w:t>污染物在采取环评提出的各项措施后可实现达标排放</w:t>
            </w:r>
            <w:r>
              <w:rPr>
                <w:rFonts w:hint="default" w:ascii="Times New Roman" w:hAnsi="Times New Roman" w:eastAsia="宋体" w:cs="Times New Roman"/>
                <w:bCs/>
                <w:color w:val="000000"/>
                <w:sz w:val="24"/>
                <w:highlight w:val="none"/>
              </w:rPr>
              <w:t>，项目建设对周围环境</w:t>
            </w:r>
            <w:r>
              <w:rPr>
                <w:rFonts w:hint="default" w:ascii="Times New Roman" w:hAnsi="Times New Roman" w:eastAsia="宋体" w:cs="Times New Roman"/>
                <w:bCs/>
                <w:color w:val="000000"/>
                <w:sz w:val="24"/>
                <w:highlight w:val="none"/>
                <w:lang w:eastAsia="zh-CN"/>
              </w:rPr>
              <w:t>的</w:t>
            </w:r>
            <w:r>
              <w:rPr>
                <w:rFonts w:hint="default" w:ascii="Times New Roman" w:hAnsi="Times New Roman" w:eastAsia="宋体" w:cs="Times New Roman"/>
                <w:bCs/>
                <w:color w:val="000000"/>
                <w:sz w:val="24"/>
                <w:highlight w:val="none"/>
              </w:rPr>
              <w:t>影响相对较小。从环保角度分析，项目选址合理。</w:t>
            </w:r>
          </w:p>
        </w:tc>
      </w:tr>
    </w:tbl>
    <w:p w14:paraId="707E9316">
      <w:pPr>
        <w:spacing w:line="360" w:lineRule="auto"/>
        <w:outlineLvl w:val="0"/>
        <w:rPr>
          <w:rFonts w:eastAsia="黑体"/>
          <w:sz w:val="30"/>
          <w:highlight w:val="none"/>
        </w:rPr>
        <w:sectPr>
          <w:footerReference r:id="rId5" w:type="default"/>
          <w:pgSz w:w="11906" w:h="16838"/>
          <w:pgMar w:top="1701" w:right="1701" w:bottom="1701" w:left="1701" w:header="851" w:footer="1077" w:gutter="0"/>
          <w:pgNumType w:fmt="decimal" w:start="1"/>
          <w:cols w:space="720" w:num="1"/>
          <w:docGrid w:linePitch="312" w:charSpace="0"/>
        </w:sectPr>
      </w:pPr>
    </w:p>
    <w:p w14:paraId="7076AE5E">
      <w:pPr>
        <w:pStyle w:val="18"/>
        <w:jc w:val="center"/>
        <w:outlineLvl w:val="0"/>
        <w:rPr>
          <w:rFonts w:ascii="黑体" w:hAnsi="黑体" w:eastAsia="黑体"/>
          <w:snapToGrid w:val="0"/>
          <w:sz w:val="30"/>
          <w:szCs w:val="30"/>
          <w:highlight w:val="none"/>
        </w:rPr>
      </w:pPr>
      <w:r>
        <w:rPr>
          <w:rFonts w:hint="eastAsia" w:ascii="黑体" w:hAnsi="黑体" w:eastAsia="黑体"/>
          <w:snapToGrid w:val="0"/>
          <w:sz w:val="30"/>
          <w:szCs w:val="30"/>
          <w:highlight w:val="none"/>
        </w:rPr>
        <w:t>二、建设内容</w:t>
      </w:r>
    </w:p>
    <w:tbl>
      <w:tblPr>
        <w:tblStyle w:val="19"/>
        <w:tblW w:w="918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56"/>
        <w:gridCol w:w="8732"/>
      </w:tblGrid>
      <w:tr w14:paraId="277F80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97" w:hRule="atLeast"/>
          <w:jc w:val="center"/>
        </w:trPr>
        <w:tc>
          <w:tcPr>
            <w:tcW w:w="456" w:type="dxa"/>
            <w:noWrap w:val="0"/>
            <w:vAlign w:val="center"/>
          </w:tcPr>
          <w:p w14:paraId="76AA5F5D">
            <w:pPr>
              <w:adjustRightInd w:val="0"/>
              <w:snapToGrid w:val="0"/>
              <w:jc w:val="center"/>
              <w:rPr>
                <w:rFonts w:ascii="宋体" w:hAnsi="宋体" w:cs="宋体"/>
                <w:kern w:val="0"/>
                <w:sz w:val="24"/>
                <w:highlight w:val="none"/>
              </w:rPr>
            </w:pPr>
            <w:r>
              <w:rPr>
                <w:rFonts w:hint="eastAsia" w:ascii="宋体" w:hAnsi="宋体" w:cs="宋体"/>
                <w:kern w:val="0"/>
                <w:sz w:val="24"/>
                <w:highlight w:val="none"/>
              </w:rPr>
              <w:t>地理位置</w:t>
            </w:r>
          </w:p>
        </w:tc>
        <w:tc>
          <w:tcPr>
            <w:tcW w:w="8732" w:type="dxa"/>
            <w:noWrap w:val="0"/>
            <w:vAlign w:val="center"/>
          </w:tcPr>
          <w:p w14:paraId="5FB79320">
            <w:pPr>
              <w:spacing w:line="360" w:lineRule="auto"/>
              <w:rPr>
                <w:rFonts w:hint="eastAsia" w:eastAsia="宋体"/>
                <w:b/>
                <w:color w:val="000000"/>
                <w:sz w:val="24"/>
                <w:highlight w:val="none"/>
                <w:lang w:eastAsia="zh-CN"/>
              </w:rPr>
            </w:pPr>
            <w:r>
              <w:rPr>
                <w:b/>
                <w:color w:val="000000"/>
                <w:sz w:val="24"/>
                <w:highlight w:val="none"/>
              </w:rPr>
              <w:t>1</w:t>
            </w:r>
            <w:r>
              <w:rPr>
                <w:rFonts w:hint="eastAsia"/>
                <w:b/>
                <w:color w:val="000000"/>
                <w:sz w:val="24"/>
                <w:highlight w:val="none"/>
              </w:rPr>
              <w:t>.</w:t>
            </w:r>
            <w:r>
              <w:rPr>
                <w:b/>
                <w:color w:val="000000"/>
                <w:sz w:val="24"/>
                <w:highlight w:val="none"/>
              </w:rPr>
              <w:t>项目</w:t>
            </w:r>
            <w:r>
              <w:rPr>
                <w:rFonts w:hint="eastAsia"/>
                <w:b/>
                <w:color w:val="000000"/>
                <w:sz w:val="24"/>
                <w:highlight w:val="none"/>
                <w:lang w:val="en-US" w:eastAsia="zh-CN"/>
              </w:rPr>
              <w:t>位置</w:t>
            </w:r>
          </w:p>
          <w:p w14:paraId="0188851C">
            <w:pPr>
              <w:widowControl/>
              <w:snapToGrid w:val="0"/>
              <w:spacing w:line="360" w:lineRule="auto"/>
              <w:ind w:firstLine="480" w:firstLineChars="200"/>
              <w:jc w:val="left"/>
              <w:rPr>
                <w:rFonts w:hint="eastAsia"/>
                <w:color w:val="000000"/>
                <w:sz w:val="24"/>
                <w:highlight w:val="none"/>
                <w:lang w:val="en-US" w:eastAsia="zh-CN"/>
              </w:rPr>
            </w:pPr>
            <w:r>
              <w:rPr>
                <w:rFonts w:hint="eastAsia"/>
                <w:color w:val="000000"/>
                <w:sz w:val="24"/>
                <w:highlight w:val="none"/>
              </w:rPr>
              <w:t>鉴于鹏泰生物乙醇项目的实施，其原料及公用工程物料输送依托于伊泰化工，共计23条物料输送管线。需伊泰化工在原有联博管廊的基础上通过加固、加层的方式，将这23条物料管线布置在改造后的联博管廊，并将物料输送至鹏泰生物装置界区外1m</w:t>
            </w:r>
            <w:r>
              <w:rPr>
                <w:rFonts w:hint="eastAsia"/>
                <w:color w:val="000000"/>
                <w:sz w:val="24"/>
                <w:highlight w:val="none"/>
                <w:lang w:eastAsia="zh-CN"/>
              </w:rPr>
              <w:t>，</w:t>
            </w:r>
            <w:r>
              <w:rPr>
                <w:rFonts w:hint="eastAsia"/>
                <w:color w:val="000000"/>
                <w:sz w:val="24"/>
                <w:highlight w:val="none"/>
              </w:rPr>
              <w:t>给每条管线设置用于物料结算计量的流量计，以及相配套的自控系统，并增设一台甲烷气压缩</w:t>
            </w:r>
            <w:r>
              <w:rPr>
                <w:rFonts w:hint="eastAsia"/>
                <w:color w:val="000000"/>
                <w:sz w:val="24"/>
                <w:highlight w:val="none"/>
                <w:lang w:val="en-US" w:eastAsia="zh-CN"/>
              </w:rPr>
              <w:t>机。</w:t>
            </w:r>
          </w:p>
          <w:p w14:paraId="72D8B2CB">
            <w:pPr>
              <w:widowControl/>
              <w:snapToGrid w:val="0"/>
              <w:spacing w:line="360" w:lineRule="auto"/>
              <w:ind w:firstLine="480" w:firstLineChars="200"/>
              <w:jc w:val="left"/>
              <w:rPr>
                <w:rFonts w:hint="eastAsia"/>
                <w:color w:val="000000"/>
                <w:sz w:val="24"/>
                <w:highlight w:val="none"/>
              </w:rPr>
            </w:pPr>
            <w:r>
              <w:rPr>
                <w:rFonts w:hint="eastAsia"/>
                <w:color w:val="000000"/>
                <w:sz w:val="24"/>
                <w:highlight w:val="none"/>
              </w:rPr>
              <w:t>本项目建设地点位于内蒙古鄂尔多斯杭锦旗经济开发区独贵塔拉产业园南项目区内蒙古伊泰化工有限责任公司</w:t>
            </w:r>
            <w:r>
              <w:rPr>
                <w:rFonts w:hint="eastAsia"/>
                <w:color w:val="000000"/>
                <w:sz w:val="24"/>
                <w:highlight w:val="none"/>
                <w:lang w:val="en-US" w:eastAsia="zh-CN"/>
              </w:rPr>
              <w:t>厂区南侧、WRT甲烷气、清净废水管道等位于厂界外</w:t>
            </w:r>
            <w:r>
              <w:rPr>
                <w:rFonts w:hint="eastAsia"/>
                <w:color w:val="000000"/>
                <w:sz w:val="24"/>
                <w:highlight w:val="none"/>
                <w:lang w:eastAsia="zh-CN"/>
              </w:rPr>
              <w:t>。</w:t>
            </w:r>
            <w:r>
              <w:rPr>
                <w:rFonts w:hint="eastAsia"/>
                <w:color w:val="000000"/>
                <w:sz w:val="24"/>
                <w:highlight w:val="none"/>
              </w:rPr>
              <w:t>项目区东北侧31m</w:t>
            </w:r>
            <w:r>
              <w:rPr>
                <w:rFonts w:hint="eastAsia"/>
                <w:color w:val="000000"/>
                <w:sz w:val="24"/>
                <w:highlight w:val="none"/>
                <w:lang w:eastAsia="zh-CN"/>
              </w:rPr>
              <w:t>为</w:t>
            </w:r>
            <w:r>
              <w:rPr>
                <w:rFonts w:hint="eastAsia"/>
                <w:color w:val="000000"/>
                <w:sz w:val="24"/>
                <w:highlight w:val="none"/>
              </w:rPr>
              <w:t>油品合成装置，西南侧15m</w:t>
            </w:r>
            <w:r>
              <w:rPr>
                <w:rFonts w:hint="eastAsia"/>
                <w:color w:val="000000"/>
                <w:sz w:val="24"/>
                <w:highlight w:val="none"/>
                <w:lang w:eastAsia="zh-CN"/>
              </w:rPr>
              <w:t>为</w:t>
            </w:r>
            <w:r>
              <w:rPr>
                <w:rFonts w:hint="eastAsia"/>
                <w:color w:val="000000"/>
                <w:sz w:val="24"/>
                <w:highlight w:val="none"/>
              </w:rPr>
              <w:t>净化装置区，东南到鹏泰装置界区外1m，西北侧与全场管廊衔接。本项目地理位置图见附图一。</w:t>
            </w:r>
          </w:p>
          <w:tbl>
            <w:tblPr>
              <w:tblStyle w:val="20"/>
              <w:tblW w:w="80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26"/>
              <w:gridCol w:w="4026"/>
            </w:tblGrid>
            <w:tr w14:paraId="3DD79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tcBorders>
                    <w:tl2br w:val="nil"/>
                    <w:tr2bl w:val="nil"/>
                  </w:tcBorders>
                  <w:noWrap w:val="0"/>
                  <w:vAlign w:val="center"/>
                </w:tcPr>
                <w:p w14:paraId="23716B7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eastAsia="宋体"/>
                      <w:b w:val="0"/>
                      <w:bCs w:val="0"/>
                      <w:color w:val="000000"/>
                      <w:sz w:val="21"/>
                      <w:szCs w:val="21"/>
                      <w:highlight w:val="none"/>
                      <w:vertAlign w:val="baseline"/>
                      <w:lang w:eastAsia="zh-CN"/>
                    </w:rPr>
                  </w:pPr>
                  <w:r>
                    <w:rPr>
                      <w:rFonts w:hint="eastAsia" w:eastAsia="宋体"/>
                      <w:b w:val="0"/>
                      <w:bCs w:val="0"/>
                      <w:color w:val="000000"/>
                      <w:sz w:val="21"/>
                      <w:szCs w:val="21"/>
                      <w:highlight w:val="none"/>
                      <w:vertAlign w:val="baseline"/>
                      <w:lang w:eastAsia="zh-CN"/>
                    </w:rPr>
                    <w:drawing>
                      <wp:inline distT="0" distB="0" distL="114300" distR="114300">
                        <wp:extent cx="2479040" cy="2226310"/>
                        <wp:effectExtent l="0" t="0" r="2540" b="16510"/>
                        <wp:docPr id="6" name="图片 6" descr="e54e45731d7cef4e0188048229a03f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54e45731d7cef4e0188048229a03f98"/>
                                <pic:cNvPicPr>
                                  <a:picLocks noChangeAspect="1"/>
                                </pic:cNvPicPr>
                              </pic:nvPicPr>
                              <pic:blipFill>
                                <a:blip r:embed="rId9"/>
                                <a:stretch>
                                  <a:fillRect/>
                                </a:stretch>
                              </pic:blipFill>
                              <pic:spPr>
                                <a:xfrm rot="5400000">
                                  <a:off x="0" y="0"/>
                                  <a:ext cx="2479040" cy="2226310"/>
                                </a:xfrm>
                                <a:prstGeom prst="rect">
                                  <a:avLst/>
                                </a:prstGeom>
                              </pic:spPr>
                            </pic:pic>
                          </a:graphicData>
                        </a:graphic>
                      </wp:inline>
                    </w:drawing>
                  </w:r>
                </w:p>
              </w:tc>
              <w:tc>
                <w:tcPr>
                  <w:tcW w:w="4026" w:type="dxa"/>
                  <w:tcBorders>
                    <w:tl2br w:val="nil"/>
                    <w:tr2bl w:val="nil"/>
                  </w:tcBorders>
                  <w:noWrap w:val="0"/>
                  <w:vAlign w:val="center"/>
                </w:tcPr>
                <w:p w14:paraId="7CA9783E">
                  <w:pPr>
                    <w:keepNext/>
                    <w:adjustRightInd w:val="0"/>
                    <w:snapToGrid w:val="0"/>
                    <w:spacing w:line="240" w:lineRule="auto"/>
                    <w:jc w:val="both"/>
                    <w:rPr>
                      <w:highlight w:val="none"/>
                    </w:rPr>
                  </w:pPr>
                  <w:r>
                    <w:rPr>
                      <w:color w:val="000000"/>
                      <w:sz w:val="21"/>
                      <w:szCs w:val="21"/>
                      <w:highlight w:val="none"/>
                    </w:rPr>
                    <w:drawing>
                      <wp:inline distT="0" distB="0" distL="114300" distR="114300">
                        <wp:extent cx="2408555" cy="2531745"/>
                        <wp:effectExtent l="0" t="0" r="10795" b="1905"/>
                        <wp:docPr id="14" name="图片 14" descr="2864ce1559138100f3924cb7d8b29b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2864ce1559138100f3924cb7d8b29b4a"/>
                                <pic:cNvPicPr>
                                  <a:picLocks noChangeAspect="1"/>
                                </pic:cNvPicPr>
                              </pic:nvPicPr>
                              <pic:blipFill>
                                <a:blip r:embed="rId10"/>
                                <a:stretch>
                                  <a:fillRect/>
                                </a:stretch>
                              </pic:blipFill>
                              <pic:spPr>
                                <a:xfrm>
                                  <a:off x="0" y="0"/>
                                  <a:ext cx="2408555" cy="2531745"/>
                                </a:xfrm>
                                <a:prstGeom prst="rect">
                                  <a:avLst/>
                                </a:prstGeom>
                              </pic:spPr>
                            </pic:pic>
                          </a:graphicData>
                        </a:graphic>
                      </wp:inline>
                    </w:drawing>
                  </w:r>
                </w:p>
                <w:p w14:paraId="017C2AD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eastAsia="宋体"/>
                      <w:b w:val="0"/>
                      <w:bCs w:val="0"/>
                      <w:color w:val="000000"/>
                      <w:sz w:val="21"/>
                      <w:szCs w:val="21"/>
                      <w:highlight w:val="none"/>
                      <w:vertAlign w:val="baseline"/>
                      <w:lang w:eastAsia="zh-CN"/>
                    </w:rPr>
                  </w:pPr>
                </w:p>
              </w:tc>
            </w:tr>
            <w:tr w14:paraId="5959C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tcBorders>
                    <w:tl2br w:val="nil"/>
                    <w:tr2bl w:val="nil"/>
                  </w:tcBorders>
                  <w:noWrap w:val="0"/>
                  <w:vAlign w:val="center"/>
                </w:tcPr>
                <w:p w14:paraId="09A9B66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eastAsia="宋体"/>
                      <w:b w:val="0"/>
                      <w:bCs w:val="0"/>
                      <w:color w:val="000000"/>
                      <w:sz w:val="21"/>
                      <w:szCs w:val="21"/>
                      <w:highlight w:val="none"/>
                      <w:vertAlign w:val="baseline"/>
                      <w:lang w:eastAsia="zh-CN"/>
                    </w:rPr>
                  </w:pPr>
                  <w:r>
                    <w:rPr>
                      <w:rFonts w:hint="eastAsia"/>
                      <w:highlight w:val="none"/>
                    </w:rPr>
                    <w:t>利旧</w:t>
                  </w:r>
                  <w:r>
                    <w:rPr>
                      <w:rFonts w:hint="eastAsia"/>
                      <w:highlight w:val="none"/>
                      <w:lang w:val="en-US" w:eastAsia="zh-CN"/>
                    </w:rPr>
                    <w:t>联博</w:t>
                  </w:r>
                  <w:r>
                    <w:rPr>
                      <w:rFonts w:hint="eastAsia"/>
                      <w:highlight w:val="none"/>
                    </w:rPr>
                    <w:t>管廊现状 远景</w:t>
                  </w:r>
                </w:p>
              </w:tc>
              <w:tc>
                <w:tcPr>
                  <w:tcW w:w="4026" w:type="dxa"/>
                  <w:tcBorders>
                    <w:tl2br w:val="nil"/>
                    <w:tr2bl w:val="nil"/>
                  </w:tcBorders>
                  <w:noWrap w:val="0"/>
                  <w:vAlign w:val="center"/>
                </w:tcPr>
                <w:p w14:paraId="03DE6FC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eastAsia="宋体"/>
                      <w:b w:val="0"/>
                      <w:bCs w:val="0"/>
                      <w:color w:val="000000"/>
                      <w:sz w:val="21"/>
                      <w:szCs w:val="21"/>
                      <w:highlight w:val="none"/>
                      <w:vertAlign w:val="baseline"/>
                      <w:lang w:eastAsia="zh-CN"/>
                    </w:rPr>
                  </w:pPr>
                  <w:r>
                    <w:rPr>
                      <w:rFonts w:hint="eastAsia"/>
                      <w:highlight w:val="none"/>
                    </w:rPr>
                    <w:t>利旧</w:t>
                  </w:r>
                  <w:r>
                    <w:rPr>
                      <w:rFonts w:hint="eastAsia"/>
                      <w:highlight w:val="none"/>
                      <w:lang w:val="en-US" w:eastAsia="zh-CN"/>
                    </w:rPr>
                    <w:t>联博</w:t>
                  </w:r>
                  <w:r>
                    <w:rPr>
                      <w:rFonts w:hint="eastAsia"/>
                      <w:highlight w:val="none"/>
                    </w:rPr>
                    <w:t>管廊现状 局部近景</w:t>
                  </w:r>
                </w:p>
              </w:tc>
            </w:tr>
            <w:tr w14:paraId="0BFC8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tcBorders>
                    <w:tl2br w:val="nil"/>
                    <w:tr2bl w:val="nil"/>
                  </w:tcBorders>
                  <w:noWrap w:val="0"/>
                  <w:vAlign w:val="center"/>
                </w:tcPr>
                <w:p w14:paraId="2B957CC6">
                  <w:pPr>
                    <w:keepNext/>
                    <w:adjustRightInd w:val="0"/>
                    <w:snapToGrid w:val="0"/>
                    <w:spacing w:line="240" w:lineRule="auto"/>
                    <w:jc w:val="both"/>
                    <w:rPr>
                      <w:rFonts w:hint="default" w:eastAsia="宋体"/>
                      <w:b w:val="0"/>
                      <w:bCs w:val="0"/>
                      <w:color w:val="000000"/>
                      <w:sz w:val="21"/>
                      <w:szCs w:val="21"/>
                      <w:highlight w:val="none"/>
                      <w:vertAlign w:val="baseline"/>
                      <w:lang w:val="en-US" w:eastAsia="zh-CN"/>
                    </w:rPr>
                  </w:pPr>
                  <w:r>
                    <w:rPr>
                      <w:color w:val="000000"/>
                      <w:sz w:val="21"/>
                      <w:szCs w:val="21"/>
                      <w:highlight w:val="none"/>
                    </w:rPr>
                    <w:drawing>
                      <wp:inline distT="0" distB="0" distL="114300" distR="114300">
                        <wp:extent cx="2412365" cy="3217545"/>
                        <wp:effectExtent l="0" t="0" r="6985" b="1905"/>
                        <wp:docPr id="22" name="图片 22" descr="f00d8c4bd8bedc70c8667a09c17a7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f00d8c4bd8bedc70c8667a09c17a7247"/>
                                <pic:cNvPicPr>
                                  <a:picLocks noChangeAspect="1"/>
                                </pic:cNvPicPr>
                              </pic:nvPicPr>
                              <pic:blipFill>
                                <a:blip r:embed="rId11"/>
                                <a:stretch>
                                  <a:fillRect/>
                                </a:stretch>
                              </pic:blipFill>
                              <pic:spPr>
                                <a:xfrm>
                                  <a:off x="0" y="0"/>
                                  <a:ext cx="2412365" cy="3217545"/>
                                </a:xfrm>
                                <a:prstGeom prst="rect">
                                  <a:avLst/>
                                </a:prstGeom>
                              </pic:spPr>
                            </pic:pic>
                          </a:graphicData>
                        </a:graphic>
                      </wp:inline>
                    </w:drawing>
                  </w:r>
                </w:p>
              </w:tc>
              <w:tc>
                <w:tcPr>
                  <w:tcW w:w="4026" w:type="dxa"/>
                  <w:tcBorders>
                    <w:tl2br w:val="nil"/>
                    <w:tr2bl w:val="nil"/>
                  </w:tcBorders>
                  <w:noWrap w:val="0"/>
                  <w:vAlign w:val="center"/>
                </w:tcPr>
                <w:p w14:paraId="0E77726B">
                  <w:pPr>
                    <w:keepNext/>
                    <w:adjustRightInd w:val="0"/>
                    <w:snapToGrid w:val="0"/>
                    <w:spacing w:line="240" w:lineRule="auto"/>
                    <w:jc w:val="both"/>
                    <w:rPr>
                      <w:rFonts w:hint="eastAsia" w:eastAsia="宋体"/>
                      <w:b w:val="0"/>
                      <w:bCs w:val="0"/>
                      <w:color w:val="000000"/>
                      <w:sz w:val="21"/>
                      <w:szCs w:val="21"/>
                      <w:highlight w:val="none"/>
                      <w:vertAlign w:val="baseline"/>
                      <w:lang w:val="en-US" w:eastAsia="zh-CN"/>
                    </w:rPr>
                  </w:pPr>
                  <w:r>
                    <w:rPr>
                      <w:rFonts w:hint="eastAsia"/>
                      <w:color w:val="000000"/>
                      <w:sz w:val="21"/>
                      <w:szCs w:val="21"/>
                      <w:highlight w:val="none"/>
                    </w:rPr>
                    <w:drawing>
                      <wp:inline distT="0" distB="0" distL="114300" distR="114300">
                        <wp:extent cx="2412365" cy="3217545"/>
                        <wp:effectExtent l="0" t="0" r="6985" b="1905"/>
                        <wp:docPr id="23" name="图片 23" descr="365669a7bb27da02d464e34ec6c857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365669a7bb27da02d464e34ec6c8574d"/>
                                <pic:cNvPicPr>
                                  <a:picLocks noChangeAspect="1"/>
                                </pic:cNvPicPr>
                              </pic:nvPicPr>
                              <pic:blipFill>
                                <a:blip r:embed="rId12"/>
                                <a:stretch>
                                  <a:fillRect/>
                                </a:stretch>
                              </pic:blipFill>
                              <pic:spPr>
                                <a:xfrm>
                                  <a:off x="0" y="0"/>
                                  <a:ext cx="2412365" cy="3217545"/>
                                </a:xfrm>
                                <a:prstGeom prst="rect">
                                  <a:avLst/>
                                </a:prstGeom>
                              </pic:spPr>
                            </pic:pic>
                          </a:graphicData>
                        </a:graphic>
                      </wp:inline>
                    </w:drawing>
                  </w:r>
                </w:p>
              </w:tc>
            </w:tr>
            <w:tr w14:paraId="43CAA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tcBorders>
                    <w:tl2br w:val="nil"/>
                    <w:tr2bl w:val="nil"/>
                  </w:tcBorders>
                  <w:noWrap w:val="0"/>
                  <w:vAlign w:val="center"/>
                </w:tcPr>
                <w:p w14:paraId="35BB100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清净废水及WRT甲烷气沿支墩敷设后沿</w:t>
                  </w:r>
                  <w:r>
                    <w:rPr>
                      <w:rFonts w:hint="eastAsia" w:ascii="Times New Roman" w:hAnsi="Times New Roman" w:eastAsia="宋体" w:cs="Times New Roman"/>
                      <w:highlight w:val="none"/>
                      <w:lang w:val="en-US" w:eastAsia="zh-CN"/>
                    </w:rPr>
                    <w:t>厂区外</w:t>
                  </w:r>
                  <w:r>
                    <w:rPr>
                      <w:rFonts w:hint="eastAsia" w:ascii="Times New Roman" w:hAnsi="Times New Roman" w:eastAsia="宋体" w:cs="Times New Roman"/>
                      <w:highlight w:val="none"/>
                    </w:rPr>
                    <w:t>管廊敷设</w:t>
                  </w:r>
                </w:p>
              </w:tc>
              <w:tc>
                <w:tcPr>
                  <w:tcW w:w="4026" w:type="dxa"/>
                  <w:tcBorders>
                    <w:tl2br w:val="nil"/>
                    <w:tr2bl w:val="nil"/>
                  </w:tcBorders>
                  <w:noWrap w:val="0"/>
                  <w:vAlign w:val="center"/>
                </w:tcPr>
                <w:p w14:paraId="7B3135A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清净废水及WRT甲烷气沿</w:t>
                  </w:r>
                  <w:r>
                    <w:rPr>
                      <w:rFonts w:hint="eastAsia" w:ascii="Times New Roman" w:hAnsi="Times New Roman" w:eastAsia="宋体" w:cs="Times New Roman"/>
                      <w:highlight w:val="none"/>
                      <w:lang w:val="en-US" w:eastAsia="zh-CN"/>
                    </w:rPr>
                    <w:t>旧</w:t>
                  </w:r>
                  <w:r>
                    <w:rPr>
                      <w:rFonts w:hint="eastAsia" w:ascii="Times New Roman" w:hAnsi="Times New Roman" w:eastAsia="宋体" w:cs="Times New Roman"/>
                      <w:highlight w:val="none"/>
                    </w:rPr>
                    <w:t>支墩敷设</w:t>
                  </w:r>
                </w:p>
              </w:tc>
            </w:tr>
          </w:tbl>
          <w:p w14:paraId="6449FBD5">
            <w:pPr>
              <w:adjustRightInd w:val="0"/>
              <w:snapToGrid w:val="0"/>
              <w:spacing w:line="360" w:lineRule="auto"/>
              <w:jc w:val="center"/>
              <w:rPr>
                <w:rFonts w:hint="default" w:cs="Times New Roman"/>
                <w:b/>
                <w:bCs w:val="0"/>
                <w:sz w:val="21"/>
                <w:szCs w:val="21"/>
                <w:highlight w:val="none"/>
                <w:lang w:val="en-US" w:eastAsia="zh-CN"/>
              </w:rPr>
            </w:pPr>
            <w:r>
              <w:rPr>
                <w:rFonts w:hint="eastAsia" w:cs="Times New Roman"/>
                <w:b/>
                <w:bCs w:val="0"/>
                <w:sz w:val="21"/>
                <w:szCs w:val="21"/>
                <w:highlight w:val="none"/>
                <w:lang w:val="en-US" w:eastAsia="zh-CN"/>
              </w:rPr>
              <w:t>图2-1   现场照片</w:t>
            </w:r>
          </w:p>
          <w:p w14:paraId="393C28D6">
            <w:pPr>
              <w:adjustRightInd w:val="0"/>
              <w:snapToGrid w:val="0"/>
              <w:spacing w:line="360" w:lineRule="auto"/>
              <w:ind w:firstLine="480" w:firstLineChars="200"/>
              <w:jc w:val="left"/>
              <w:rPr>
                <w:rFonts w:hint="default" w:ascii="Times New Roman" w:hAnsi="Times New Roman" w:eastAsia="宋体" w:cs="Times New Roman"/>
                <w:bCs/>
                <w:sz w:val="24"/>
                <w:highlight w:val="none"/>
                <w:lang w:val="en-US" w:eastAsia="zh-CN"/>
              </w:rPr>
            </w:pPr>
            <w:r>
              <w:rPr>
                <w:rFonts w:hint="eastAsia" w:ascii="Times New Roman" w:hAnsi="Times New Roman" w:eastAsia="宋体" w:cs="Times New Roman"/>
                <w:bCs/>
                <w:sz w:val="24"/>
                <w:highlight w:val="none"/>
                <w:lang w:val="en-US" w:eastAsia="zh-CN"/>
              </w:rPr>
              <w:t>本次</w:t>
            </w:r>
            <w:r>
              <w:rPr>
                <w:rFonts w:hint="default" w:ascii="Times New Roman" w:hAnsi="Times New Roman" w:eastAsia="宋体" w:cs="Times New Roman"/>
                <w:bCs/>
                <w:sz w:val="24"/>
                <w:highlight w:val="none"/>
                <w:lang w:val="en-US" w:eastAsia="zh-CN"/>
              </w:rPr>
              <w:t>管线</w:t>
            </w:r>
            <w:r>
              <w:rPr>
                <w:rFonts w:hint="eastAsia" w:cs="Times New Roman"/>
                <w:bCs/>
                <w:sz w:val="24"/>
                <w:highlight w:val="none"/>
                <w:lang w:val="en-US" w:eastAsia="zh-CN"/>
              </w:rPr>
              <w:t>起点</w:t>
            </w:r>
            <w:r>
              <w:rPr>
                <w:rFonts w:hint="default" w:ascii="Times New Roman" w:hAnsi="Times New Roman" w:eastAsia="宋体" w:cs="Times New Roman"/>
                <w:bCs/>
                <w:sz w:val="24"/>
                <w:highlight w:val="none"/>
                <w:lang w:val="en-US" w:eastAsia="zh-CN"/>
              </w:rPr>
              <w:t>坐标如下表2-1</w:t>
            </w:r>
            <w:r>
              <w:rPr>
                <w:rFonts w:hint="eastAsia" w:cs="Times New Roman"/>
                <w:bCs/>
                <w:sz w:val="24"/>
                <w:highlight w:val="none"/>
                <w:lang w:val="en-US" w:eastAsia="zh-CN"/>
              </w:rPr>
              <w:t>所示</w:t>
            </w:r>
            <w:r>
              <w:rPr>
                <w:rFonts w:hint="default" w:ascii="Times New Roman" w:hAnsi="Times New Roman" w:eastAsia="宋体" w:cs="Times New Roman"/>
                <w:bCs/>
                <w:sz w:val="24"/>
                <w:highlight w:val="none"/>
                <w:lang w:val="en-US" w:eastAsia="zh-CN"/>
              </w:rPr>
              <w:t>，项目具体</w:t>
            </w:r>
            <w:r>
              <w:rPr>
                <w:rFonts w:hint="eastAsia" w:cs="Times New Roman"/>
                <w:bCs/>
                <w:sz w:val="24"/>
                <w:highlight w:val="none"/>
                <w:lang w:val="en-US" w:eastAsia="zh-CN"/>
              </w:rPr>
              <w:t>位置见附图1，走向</w:t>
            </w:r>
            <w:r>
              <w:rPr>
                <w:rFonts w:hint="default" w:ascii="Times New Roman" w:hAnsi="Times New Roman" w:eastAsia="宋体" w:cs="Times New Roman"/>
                <w:bCs/>
                <w:sz w:val="24"/>
                <w:highlight w:val="none"/>
                <w:lang w:val="en-US" w:eastAsia="zh-CN"/>
              </w:rPr>
              <w:t>位置见附图</w:t>
            </w:r>
            <w:r>
              <w:rPr>
                <w:rFonts w:hint="eastAsia" w:cs="Times New Roman"/>
                <w:bCs/>
                <w:sz w:val="24"/>
                <w:highlight w:val="none"/>
                <w:lang w:val="en-US" w:eastAsia="zh-CN"/>
              </w:rPr>
              <w:t>2</w:t>
            </w:r>
            <w:r>
              <w:rPr>
                <w:rFonts w:hint="default" w:ascii="Times New Roman" w:hAnsi="Times New Roman" w:eastAsia="宋体" w:cs="Times New Roman"/>
                <w:bCs/>
                <w:sz w:val="24"/>
                <w:highlight w:val="none"/>
                <w:lang w:val="en-US" w:eastAsia="zh-CN"/>
              </w:rPr>
              <w:t>。</w:t>
            </w:r>
          </w:p>
          <w:p w14:paraId="1343A336">
            <w:pPr>
              <w:adjustRightInd w:val="0"/>
              <w:snapToGrid w:val="0"/>
              <w:spacing w:line="360" w:lineRule="auto"/>
              <w:jc w:val="center"/>
              <w:rPr>
                <w:rFonts w:hint="default" w:ascii="Times New Roman" w:hAnsi="Times New Roman" w:eastAsia="宋体" w:cs="Times New Roman"/>
                <w:b/>
                <w:bCs w:val="0"/>
                <w:sz w:val="21"/>
                <w:szCs w:val="21"/>
                <w:highlight w:val="none"/>
                <w:lang w:val="en-US" w:eastAsia="zh-CN"/>
              </w:rPr>
            </w:pPr>
            <w:r>
              <w:rPr>
                <w:rFonts w:hint="eastAsia" w:cs="Times New Roman"/>
                <w:b/>
                <w:bCs w:val="0"/>
                <w:sz w:val="21"/>
                <w:szCs w:val="21"/>
                <w:highlight w:val="none"/>
                <w:lang w:val="en-US" w:eastAsia="zh-CN"/>
              </w:rPr>
              <w:t>表2-1   管线坐标</w:t>
            </w:r>
          </w:p>
          <w:tbl>
            <w:tblPr>
              <w:tblStyle w:val="19"/>
              <w:tblW w:w="464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2361"/>
              <w:gridCol w:w="2361"/>
              <w:gridCol w:w="2511"/>
            </w:tblGrid>
            <w:tr w14:paraId="282E3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419" w:type="pct"/>
                  <w:noWrap/>
                  <w:vAlign w:val="center"/>
                </w:tcPr>
                <w:p w14:paraId="221B71AD">
                  <w:pPr>
                    <w:pStyle w:val="38"/>
                    <w:rPr>
                      <w:rFonts w:hint="eastAsia" w:eastAsia="宋体"/>
                      <w:color w:val="auto"/>
                      <w:highlight w:val="none"/>
                      <w:lang w:val="en-US" w:eastAsia="zh-CN"/>
                    </w:rPr>
                  </w:pPr>
                  <w:r>
                    <w:rPr>
                      <w:rFonts w:hint="eastAsia"/>
                      <w:color w:val="auto"/>
                      <w:highlight w:val="none"/>
                      <w:lang w:val="en-US" w:eastAsia="zh-CN"/>
                    </w:rPr>
                    <w:t>序号</w:t>
                  </w:r>
                </w:p>
              </w:tc>
              <w:tc>
                <w:tcPr>
                  <w:tcW w:w="1495" w:type="pct"/>
                  <w:noWrap/>
                  <w:vAlign w:val="center"/>
                </w:tcPr>
                <w:p w14:paraId="449A4299">
                  <w:pPr>
                    <w:pStyle w:val="38"/>
                    <w:rPr>
                      <w:rFonts w:hint="eastAsia" w:eastAsia="宋体"/>
                      <w:color w:val="auto"/>
                      <w:highlight w:val="none"/>
                      <w:lang w:val="en-US" w:eastAsia="zh-CN"/>
                    </w:rPr>
                  </w:pPr>
                  <w:r>
                    <w:rPr>
                      <w:rFonts w:hint="eastAsia"/>
                      <w:color w:val="auto"/>
                      <w:highlight w:val="none"/>
                      <w:lang w:val="en-US" w:eastAsia="zh-CN"/>
                    </w:rPr>
                    <w:t>名称</w:t>
                  </w:r>
                </w:p>
              </w:tc>
              <w:tc>
                <w:tcPr>
                  <w:tcW w:w="1495" w:type="pct"/>
                  <w:noWrap/>
                  <w:vAlign w:val="center"/>
                </w:tcPr>
                <w:p w14:paraId="479F7A84">
                  <w:pPr>
                    <w:pStyle w:val="38"/>
                    <w:rPr>
                      <w:rFonts w:hint="eastAsia" w:eastAsia="宋体"/>
                      <w:color w:val="auto"/>
                      <w:highlight w:val="none"/>
                      <w:lang w:val="en-US" w:eastAsia="zh-CN"/>
                    </w:rPr>
                  </w:pPr>
                  <w:r>
                    <w:rPr>
                      <w:rFonts w:hint="eastAsia"/>
                      <w:color w:val="auto"/>
                      <w:highlight w:val="none"/>
                      <w:lang w:val="en-US" w:eastAsia="zh-CN"/>
                    </w:rPr>
                    <w:t>起点</w:t>
                  </w:r>
                </w:p>
              </w:tc>
              <w:tc>
                <w:tcPr>
                  <w:tcW w:w="1589" w:type="pct"/>
                  <w:noWrap/>
                  <w:vAlign w:val="center"/>
                </w:tcPr>
                <w:p w14:paraId="77472823">
                  <w:pPr>
                    <w:pStyle w:val="38"/>
                    <w:rPr>
                      <w:rFonts w:hint="eastAsia" w:eastAsia="宋体"/>
                      <w:color w:val="auto"/>
                      <w:highlight w:val="none"/>
                      <w:lang w:val="en-US" w:eastAsia="zh-CN"/>
                    </w:rPr>
                  </w:pPr>
                  <w:r>
                    <w:rPr>
                      <w:rFonts w:hint="eastAsia"/>
                      <w:color w:val="auto"/>
                      <w:highlight w:val="none"/>
                      <w:lang w:val="en-US" w:eastAsia="zh-CN"/>
                    </w:rPr>
                    <w:t>终点</w:t>
                  </w:r>
                </w:p>
              </w:tc>
            </w:tr>
            <w:tr w14:paraId="0093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19" w:type="pct"/>
                  <w:noWrap/>
                  <w:vAlign w:val="center"/>
                </w:tcPr>
                <w:p w14:paraId="52A871CF">
                  <w:pPr>
                    <w:pStyle w:val="38"/>
                    <w:rPr>
                      <w:color w:val="auto"/>
                      <w:highlight w:val="none"/>
                    </w:rPr>
                  </w:pPr>
                  <w:r>
                    <w:rPr>
                      <w:rFonts w:hint="eastAsia"/>
                      <w:color w:val="auto"/>
                      <w:highlight w:val="none"/>
                    </w:rPr>
                    <w:t>1</w:t>
                  </w:r>
                </w:p>
              </w:tc>
              <w:tc>
                <w:tcPr>
                  <w:tcW w:w="1495" w:type="pct"/>
                  <w:noWrap/>
                  <w:vAlign w:val="center"/>
                </w:tcPr>
                <w:p w14:paraId="04FD1281">
                  <w:pPr>
                    <w:jc w:val="center"/>
                    <w:rPr>
                      <w:rFonts w:hint="eastAsia" w:eastAsia="宋体"/>
                      <w:color w:val="auto"/>
                      <w:highlight w:val="none"/>
                      <w:lang w:val="en-US" w:eastAsia="zh-CN"/>
                    </w:rPr>
                  </w:pPr>
                  <w:r>
                    <w:rPr>
                      <w:rFonts w:hint="eastAsia"/>
                      <w:highlight w:val="none"/>
                      <w:lang w:val="en-US" w:eastAsia="zh-CN"/>
                    </w:rPr>
                    <w:t>合成脱碳尾气管道</w:t>
                  </w:r>
                </w:p>
              </w:tc>
              <w:tc>
                <w:tcPr>
                  <w:tcW w:w="1495" w:type="pct"/>
                  <w:noWrap/>
                  <w:vAlign w:val="center"/>
                </w:tcPr>
                <w:p w14:paraId="5BC43FC1">
                  <w:pPr>
                    <w:pStyle w:val="38"/>
                    <w:rPr>
                      <w:rFonts w:hint="eastAsia" w:eastAsia="宋体"/>
                      <w:color w:val="auto"/>
                      <w:highlight w:val="none"/>
                      <w:lang w:eastAsia="zh-CN"/>
                    </w:rPr>
                  </w:pPr>
                  <w:r>
                    <w:rPr>
                      <w:rFonts w:hint="eastAsia"/>
                      <w:color w:val="auto"/>
                      <w:highlight w:val="none"/>
                    </w:rPr>
                    <w:t>108.499034290</w:t>
                  </w:r>
                  <w:r>
                    <w:rPr>
                      <w:rFonts w:hint="eastAsia"/>
                      <w:color w:val="auto"/>
                      <w:highlight w:val="none"/>
                      <w:lang w:eastAsia="zh-CN"/>
                    </w:rPr>
                    <w:t>，</w:t>
                  </w:r>
                </w:p>
                <w:p w14:paraId="27E36F12">
                  <w:pPr>
                    <w:pStyle w:val="38"/>
                    <w:rPr>
                      <w:color w:val="auto"/>
                      <w:highlight w:val="none"/>
                    </w:rPr>
                  </w:pPr>
                  <w:r>
                    <w:rPr>
                      <w:rFonts w:hint="eastAsia"/>
                      <w:color w:val="auto"/>
                      <w:highlight w:val="none"/>
                    </w:rPr>
                    <w:t>40.027871235</w:t>
                  </w:r>
                </w:p>
              </w:tc>
              <w:tc>
                <w:tcPr>
                  <w:tcW w:w="1589" w:type="pct"/>
                  <w:noWrap/>
                  <w:vAlign w:val="center"/>
                </w:tcPr>
                <w:p w14:paraId="37C0AC45">
                  <w:pPr>
                    <w:pStyle w:val="38"/>
                    <w:rPr>
                      <w:rFonts w:hint="eastAsia" w:eastAsia="宋体"/>
                      <w:color w:val="auto"/>
                      <w:highlight w:val="none"/>
                      <w:lang w:eastAsia="zh-CN"/>
                    </w:rPr>
                  </w:pPr>
                  <w:r>
                    <w:rPr>
                      <w:rFonts w:hint="eastAsia"/>
                      <w:color w:val="auto"/>
                      <w:highlight w:val="none"/>
                    </w:rPr>
                    <w:t>108.499985133</w:t>
                  </w:r>
                  <w:r>
                    <w:rPr>
                      <w:rFonts w:hint="eastAsia"/>
                      <w:color w:val="auto"/>
                      <w:highlight w:val="none"/>
                      <w:lang w:eastAsia="zh-CN"/>
                    </w:rPr>
                    <w:t>，</w:t>
                  </w:r>
                </w:p>
                <w:p w14:paraId="0C853E34">
                  <w:pPr>
                    <w:pStyle w:val="38"/>
                    <w:rPr>
                      <w:color w:val="auto"/>
                      <w:highlight w:val="none"/>
                    </w:rPr>
                  </w:pPr>
                  <w:r>
                    <w:rPr>
                      <w:rFonts w:hint="eastAsia"/>
                      <w:color w:val="auto"/>
                      <w:highlight w:val="none"/>
                    </w:rPr>
                    <w:t>40.026430889</w:t>
                  </w:r>
                </w:p>
              </w:tc>
            </w:tr>
            <w:tr w14:paraId="5950A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19" w:type="pct"/>
                  <w:noWrap/>
                  <w:vAlign w:val="center"/>
                </w:tcPr>
                <w:p w14:paraId="5A9CBCC5">
                  <w:pPr>
                    <w:pStyle w:val="38"/>
                    <w:rPr>
                      <w:color w:val="auto"/>
                      <w:highlight w:val="none"/>
                    </w:rPr>
                  </w:pPr>
                  <w:r>
                    <w:rPr>
                      <w:rFonts w:hint="eastAsia"/>
                      <w:color w:val="auto"/>
                      <w:highlight w:val="none"/>
                    </w:rPr>
                    <w:t>2</w:t>
                  </w:r>
                </w:p>
              </w:tc>
              <w:tc>
                <w:tcPr>
                  <w:tcW w:w="1495" w:type="pct"/>
                  <w:noWrap/>
                  <w:vAlign w:val="center"/>
                </w:tcPr>
                <w:p w14:paraId="3E206CB3">
                  <w:pPr>
                    <w:jc w:val="center"/>
                    <w:rPr>
                      <w:rFonts w:hint="default"/>
                      <w:color w:val="auto"/>
                      <w:highlight w:val="none"/>
                      <w:lang w:val="en-US"/>
                    </w:rPr>
                  </w:pPr>
                  <w:r>
                    <w:rPr>
                      <w:rFonts w:hint="eastAsia"/>
                      <w:highlight w:val="none"/>
                      <w:lang w:val="en-US" w:eastAsia="zh-CN"/>
                    </w:rPr>
                    <w:t>未变换净化气管道</w:t>
                  </w:r>
                </w:p>
              </w:tc>
              <w:tc>
                <w:tcPr>
                  <w:tcW w:w="1495" w:type="pct"/>
                  <w:noWrap/>
                  <w:vAlign w:val="center"/>
                </w:tcPr>
                <w:p w14:paraId="31CB4E4A">
                  <w:pPr>
                    <w:pStyle w:val="38"/>
                    <w:rPr>
                      <w:rFonts w:hint="eastAsia" w:eastAsia="宋体"/>
                      <w:color w:val="auto"/>
                      <w:highlight w:val="none"/>
                      <w:lang w:eastAsia="zh-CN"/>
                    </w:rPr>
                  </w:pPr>
                  <w:r>
                    <w:rPr>
                      <w:rFonts w:hint="eastAsia"/>
                      <w:color w:val="auto"/>
                      <w:highlight w:val="none"/>
                    </w:rPr>
                    <w:t>108.496523742</w:t>
                  </w:r>
                  <w:r>
                    <w:rPr>
                      <w:rFonts w:hint="eastAsia"/>
                      <w:color w:val="auto"/>
                      <w:highlight w:val="none"/>
                      <w:lang w:eastAsia="zh-CN"/>
                    </w:rPr>
                    <w:t>，</w:t>
                  </w:r>
                </w:p>
                <w:p w14:paraId="656DA26C">
                  <w:pPr>
                    <w:pStyle w:val="38"/>
                    <w:rPr>
                      <w:color w:val="auto"/>
                      <w:highlight w:val="none"/>
                    </w:rPr>
                  </w:pPr>
                  <w:r>
                    <w:rPr>
                      <w:rFonts w:hint="eastAsia"/>
                      <w:color w:val="auto"/>
                      <w:highlight w:val="none"/>
                    </w:rPr>
                    <w:t>40.028025463</w:t>
                  </w:r>
                </w:p>
              </w:tc>
              <w:tc>
                <w:tcPr>
                  <w:tcW w:w="1589" w:type="pct"/>
                  <w:noWrap/>
                  <w:vAlign w:val="center"/>
                </w:tcPr>
                <w:p w14:paraId="52A63299">
                  <w:pPr>
                    <w:pStyle w:val="38"/>
                    <w:rPr>
                      <w:rFonts w:hint="eastAsia" w:eastAsia="宋体"/>
                      <w:color w:val="auto"/>
                      <w:highlight w:val="none"/>
                      <w:lang w:eastAsia="zh-CN"/>
                    </w:rPr>
                  </w:pPr>
                  <w:r>
                    <w:rPr>
                      <w:rFonts w:hint="eastAsia"/>
                      <w:color w:val="auto"/>
                      <w:highlight w:val="none"/>
                    </w:rPr>
                    <w:t>108.499991838</w:t>
                  </w:r>
                  <w:r>
                    <w:rPr>
                      <w:rFonts w:hint="eastAsia"/>
                      <w:color w:val="auto"/>
                      <w:highlight w:val="none"/>
                      <w:lang w:eastAsia="zh-CN"/>
                    </w:rPr>
                    <w:t>，</w:t>
                  </w:r>
                </w:p>
                <w:p w14:paraId="0FED4466">
                  <w:pPr>
                    <w:pStyle w:val="38"/>
                    <w:rPr>
                      <w:rFonts w:hint="eastAsia"/>
                      <w:color w:val="auto"/>
                      <w:highlight w:val="none"/>
                    </w:rPr>
                  </w:pPr>
                  <w:r>
                    <w:rPr>
                      <w:rFonts w:hint="eastAsia"/>
                      <w:color w:val="auto"/>
                      <w:highlight w:val="none"/>
                    </w:rPr>
                    <w:t>40.026434913</w:t>
                  </w:r>
                </w:p>
              </w:tc>
            </w:tr>
            <w:tr w14:paraId="1012A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19" w:type="pct"/>
                  <w:noWrap/>
                  <w:vAlign w:val="center"/>
                </w:tcPr>
                <w:p w14:paraId="1F0978BB">
                  <w:pPr>
                    <w:pStyle w:val="38"/>
                    <w:rPr>
                      <w:color w:val="auto"/>
                      <w:highlight w:val="none"/>
                    </w:rPr>
                  </w:pPr>
                  <w:r>
                    <w:rPr>
                      <w:rFonts w:hint="eastAsia"/>
                      <w:color w:val="auto"/>
                      <w:highlight w:val="none"/>
                    </w:rPr>
                    <w:t>3</w:t>
                  </w:r>
                </w:p>
              </w:tc>
              <w:tc>
                <w:tcPr>
                  <w:tcW w:w="1495" w:type="pct"/>
                  <w:noWrap/>
                  <w:vAlign w:val="center"/>
                </w:tcPr>
                <w:p w14:paraId="5BFE46DF">
                  <w:pPr>
                    <w:jc w:val="center"/>
                    <w:rPr>
                      <w:rFonts w:hint="default"/>
                      <w:color w:val="auto"/>
                      <w:highlight w:val="none"/>
                      <w:lang w:val="en-US"/>
                    </w:rPr>
                  </w:pPr>
                  <w:r>
                    <w:rPr>
                      <w:rFonts w:hint="eastAsia"/>
                      <w:highlight w:val="none"/>
                      <w:lang w:val="en-US" w:eastAsia="zh-CN"/>
                    </w:rPr>
                    <w:t>尾气管道</w:t>
                  </w:r>
                </w:p>
              </w:tc>
              <w:tc>
                <w:tcPr>
                  <w:tcW w:w="1495" w:type="pct"/>
                  <w:noWrap/>
                  <w:vAlign w:val="center"/>
                </w:tcPr>
                <w:p w14:paraId="553AD38B">
                  <w:pPr>
                    <w:pStyle w:val="38"/>
                    <w:rPr>
                      <w:rFonts w:hint="eastAsia" w:eastAsia="宋体"/>
                      <w:color w:val="auto"/>
                      <w:highlight w:val="none"/>
                      <w:lang w:eastAsia="zh-CN"/>
                    </w:rPr>
                  </w:pPr>
                  <w:r>
                    <w:rPr>
                      <w:rFonts w:hint="eastAsia"/>
                      <w:color w:val="auto"/>
                      <w:highlight w:val="none"/>
                    </w:rPr>
                    <w:t>108.499951605</w:t>
                  </w:r>
                  <w:r>
                    <w:rPr>
                      <w:rFonts w:hint="eastAsia"/>
                      <w:color w:val="auto"/>
                      <w:highlight w:val="none"/>
                      <w:lang w:eastAsia="zh-CN"/>
                    </w:rPr>
                    <w:t>，</w:t>
                  </w:r>
                </w:p>
                <w:p w14:paraId="2A2C910A">
                  <w:pPr>
                    <w:pStyle w:val="38"/>
                    <w:ind w:firstLine="0" w:firstLineChars="0"/>
                    <w:rPr>
                      <w:color w:val="auto"/>
                      <w:highlight w:val="none"/>
                    </w:rPr>
                  </w:pPr>
                  <w:r>
                    <w:rPr>
                      <w:rFonts w:hint="eastAsia"/>
                      <w:color w:val="auto"/>
                      <w:highlight w:val="none"/>
                    </w:rPr>
                    <w:t>40.026386633</w:t>
                  </w:r>
                </w:p>
              </w:tc>
              <w:tc>
                <w:tcPr>
                  <w:tcW w:w="1589" w:type="pct"/>
                  <w:noWrap/>
                  <w:vAlign w:val="center"/>
                </w:tcPr>
                <w:p w14:paraId="284CBADA">
                  <w:pPr>
                    <w:pStyle w:val="38"/>
                    <w:rPr>
                      <w:rFonts w:hint="eastAsia" w:eastAsia="宋体"/>
                      <w:color w:val="auto"/>
                      <w:highlight w:val="none"/>
                      <w:lang w:eastAsia="zh-CN"/>
                    </w:rPr>
                  </w:pPr>
                  <w:r>
                    <w:rPr>
                      <w:rFonts w:hint="eastAsia"/>
                      <w:color w:val="auto"/>
                      <w:highlight w:val="none"/>
                    </w:rPr>
                    <w:t>108.496735637</w:t>
                  </w:r>
                  <w:r>
                    <w:rPr>
                      <w:rFonts w:hint="eastAsia"/>
                      <w:color w:val="auto"/>
                      <w:highlight w:val="none"/>
                      <w:lang w:eastAsia="zh-CN"/>
                    </w:rPr>
                    <w:t>，</w:t>
                  </w:r>
                </w:p>
                <w:p w14:paraId="00AAEC3D">
                  <w:pPr>
                    <w:pStyle w:val="38"/>
                    <w:ind w:firstLine="0" w:firstLineChars="0"/>
                    <w:rPr>
                      <w:rFonts w:hint="eastAsia"/>
                      <w:color w:val="auto"/>
                      <w:highlight w:val="none"/>
                    </w:rPr>
                  </w:pPr>
                  <w:r>
                    <w:rPr>
                      <w:rFonts w:hint="eastAsia"/>
                      <w:color w:val="auto"/>
                      <w:highlight w:val="none"/>
                    </w:rPr>
                    <w:t>40.028969600</w:t>
                  </w:r>
                </w:p>
              </w:tc>
            </w:tr>
            <w:tr w14:paraId="6F515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19" w:type="pct"/>
                  <w:noWrap/>
                  <w:vAlign w:val="center"/>
                </w:tcPr>
                <w:p w14:paraId="43015A89">
                  <w:pPr>
                    <w:pStyle w:val="38"/>
                    <w:rPr>
                      <w:color w:val="auto"/>
                      <w:highlight w:val="none"/>
                    </w:rPr>
                  </w:pPr>
                  <w:r>
                    <w:rPr>
                      <w:rFonts w:hint="eastAsia"/>
                      <w:color w:val="auto"/>
                      <w:highlight w:val="none"/>
                    </w:rPr>
                    <w:t>4</w:t>
                  </w:r>
                </w:p>
              </w:tc>
              <w:tc>
                <w:tcPr>
                  <w:tcW w:w="1495" w:type="pct"/>
                  <w:noWrap/>
                  <w:vAlign w:val="center"/>
                </w:tcPr>
                <w:p w14:paraId="1C5A2E10">
                  <w:pPr>
                    <w:jc w:val="center"/>
                    <w:rPr>
                      <w:rFonts w:hint="default"/>
                      <w:color w:val="auto"/>
                      <w:highlight w:val="none"/>
                      <w:lang w:val="en-US"/>
                    </w:rPr>
                  </w:pPr>
                  <w:r>
                    <w:rPr>
                      <w:rFonts w:hint="eastAsia"/>
                      <w:highlight w:val="none"/>
                      <w:lang w:val="en-US" w:eastAsia="zh-CN"/>
                    </w:rPr>
                    <w:t>WTR甲烷气管道</w:t>
                  </w:r>
                </w:p>
              </w:tc>
              <w:tc>
                <w:tcPr>
                  <w:tcW w:w="1495" w:type="pct"/>
                  <w:noWrap/>
                  <w:vAlign w:val="center"/>
                </w:tcPr>
                <w:p w14:paraId="3DE97447">
                  <w:pPr>
                    <w:pStyle w:val="38"/>
                    <w:rPr>
                      <w:rFonts w:hint="eastAsia" w:eastAsia="宋体"/>
                      <w:color w:val="auto"/>
                      <w:highlight w:val="none"/>
                      <w:lang w:eastAsia="zh-CN"/>
                    </w:rPr>
                  </w:pPr>
                  <w:r>
                    <w:rPr>
                      <w:rFonts w:hint="eastAsia"/>
                      <w:color w:val="auto"/>
                      <w:highlight w:val="none"/>
                    </w:rPr>
                    <w:t>108.500077669</w:t>
                  </w:r>
                  <w:r>
                    <w:rPr>
                      <w:rFonts w:hint="eastAsia"/>
                      <w:color w:val="auto"/>
                      <w:highlight w:val="none"/>
                      <w:lang w:eastAsia="zh-CN"/>
                    </w:rPr>
                    <w:t>，</w:t>
                  </w:r>
                </w:p>
                <w:p w14:paraId="1B67AA1E">
                  <w:pPr>
                    <w:pStyle w:val="38"/>
                    <w:rPr>
                      <w:color w:val="auto"/>
                      <w:highlight w:val="none"/>
                    </w:rPr>
                  </w:pPr>
                  <w:r>
                    <w:rPr>
                      <w:rFonts w:hint="eastAsia"/>
                      <w:color w:val="auto"/>
                      <w:highlight w:val="none"/>
                    </w:rPr>
                    <w:t>40.026523425</w:t>
                  </w:r>
                </w:p>
              </w:tc>
              <w:tc>
                <w:tcPr>
                  <w:tcW w:w="1589" w:type="pct"/>
                  <w:noWrap/>
                  <w:vAlign w:val="center"/>
                </w:tcPr>
                <w:p w14:paraId="783B6172">
                  <w:pPr>
                    <w:pStyle w:val="38"/>
                    <w:rPr>
                      <w:rFonts w:hint="eastAsia" w:eastAsia="宋体"/>
                      <w:color w:val="auto"/>
                      <w:highlight w:val="none"/>
                      <w:lang w:eastAsia="zh-CN"/>
                    </w:rPr>
                  </w:pPr>
                  <w:r>
                    <w:rPr>
                      <w:rFonts w:hint="eastAsia"/>
                      <w:color w:val="auto"/>
                      <w:highlight w:val="none"/>
                    </w:rPr>
                    <w:t>108.507275377</w:t>
                  </w:r>
                  <w:r>
                    <w:rPr>
                      <w:rFonts w:hint="eastAsia"/>
                      <w:color w:val="auto"/>
                      <w:highlight w:val="none"/>
                      <w:lang w:eastAsia="zh-CN"/>
                    </w:rPr>
                    <w:t>，</w:t>
                  </w:r>
                </w:p>
                <w:p w14:paraId="582937AB">
                  <w:pPr>
                    <w:pStyle w:val="38"/>
                    <w:rPr>
                      <w:rFonts w:hint="eastAsia"/>
                      <w:color w:val="auto"/>
                      <w:highlight w:val="none"/>
                    </w:rPr>
                  </w:pPr>
                  <w:r>
                    <w:rPr>
                      <w:rFonts w:hint="eastAsia"/>
                      <w:color w:val="auto"/>
                      <w:highlight w:val="none"/>
                    </w:rPr>
                    <w:t>40.031288370</w:t>
                  </w:r>
                </w:p>
              </w:tc>
            </w:tr>
            <w:tr w14:paraId="1D06C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19" w:type="pct"/>
                  <w:noWrap/>
                  <w:vAlign w:val="center"/>
                </w:tcPr>
                <w:p w14:paraId="146A662C">
                  <w:pPr>
                    <w:pStyle w:val="38"/>
                    <w:rPr>
                      <w:color w:val="auto"/>
                      <w:highlight w:val="none"/>
                    </w:rPr>
                  </w:pPr>
                  <w:r>
                    <w:rPr>
                      <w:rFonts w:hint="eastAsia"/>
                      <w:color w:val="auto"/>
                      <w:highlight w:val="none"/>
                    </w:rPr>
                    <w:t>5</w:t>
                  </w:r>
                </w:p>
              </w:tc>
              <w:tc>
                <w:tcPr>
                  <w:tcW w:w="1495" w:type="pct"/>
                  <w:noWrap/>
                  <w:vAlign w:val="center"/>
                </w:tcPr>
                <w:p w14:paraId="11607CDC">
                  <w:pPr>
                    <w:jc w:val="center"/>
                    <w:rPr>
                      <w:rFonts w:hint="eastAsia"/>
                      <w:color w:val="auto"/>
                      <w:highlight w:val="none"/>
                    </w:rPr>
                  </w:pPr>
                  <w:r>
                    <w:rPr>
                      <w:rFonts w:hint="eastAsia"/>
                      <w:highlight w:val="none"/>
                      <w:lang w:val="en-US" w:eastAsia="zh-CN"/>
                    </w:rPr>
                    <w:t>甲烷气管道</w:t>
                  </w:r>
                </w:p>
              </w:tc>
              <w:tc>
                <w:tcPr>
                  <w:tcW w:w="1495" w:type="pct"/>
                  <w:noWrap/>
                  <w:vAlign w:val="center"/>
                </w:tcPr>
                <w:p w14:paraId="5DB54390">
                  <w:pPr>
                    <w:pStyle w:val="38"/>
                    <w:rPr>
                      <w:rFonts w:hint="eastAsia" w:eastAsia="宋体"/>
                      <w:color w:val="auto"/>
                      <w:highlight w:val="none"/>
                      <w:lang w:eastAsia="zh-CN"/>
                    </w:rPr>
                  </w:pPr>
                  <w:r>
                    <w:rPr>
                      <w:rFonts w:hint="eastAsia"/>
                      <w:color w:val="auto"/>
                      <w:highlight w:val="none"/>
                    </w:rPr>
                    <w:t>108.500997667</w:t>
                  </w:r>
                  <w:r>
                    <w:rPr>
                      <w:rFonts w:hint="eastAsia"/>
                      <w:color w:val="auto"/>
                      <w:highlight w:val="none"/>
                      <w:lang w:eastAsia="zh-CN"/>
                    </w:rPr>
                    <w:t>，</w:t>
                  </w:r>
                </w:p>
                <w:p w14:paraId="6852EBE0">
                  <w:pPr>
                    <w:pStyle w:val="38"/>
                    <w:rPr>
                      <w:color w:val="auto"/>
                      <w:highlight w:val="none"/>
                    </w:rPr>
                  </w:pPr>
                  <w:r>
                    <w:rPr>
                      <w:rFonts w:hint="eastAsia"/>
                      <w:color w:val="auto"/>
                      <w:highlight w:val="none"/>
                    </w:rPr>
                    <w:t>40.032633498</w:t>
                  </w:r>
                </w:p>
              </w:tc>
              <w:tc>
                <w:tcPr>
                  <w:tcW w:w="1589" w:type="pct"/>
                  <w:noWrap/>
                  <w:vAlign w:val="center"/>
                </w:tcPr>
                <w:p w14:paraId="7B259749">
                  <w:pPr>
                    <w:pStyle w:val="38"/>
                    <w:rPr>
                      <w:rFonts w:hint="eastAsia" w:eastAsia="宋体"/>
                      <w:color w:val="auto"/>
                      <w:highlight w:val="none"/>
                      <w:lang w:eastAsia="zh-CN"/>
                    </w:rPr>
                  </w:pPr>
                  <w:r>
                    <w:rPr>
                      <w:rFonts w:hint="eastAsia"/>
                      <w:color w:val="auto"/>
                      <w:highlight w:val="none"/>
                    </w:rPr>
                    <w:t>108.499975745</w:t>
                  </w:r>
                  <w:r>
                    <w:rPr>
                      <w:rFonts w:hint="eastAsia"/>
                      <w:color w:val="auto"/>
                      <w:highlight w:val="none"/>
                      <w:lang w:eastAsia="zh-CN"/>
                    </w:rPr>
                    <w:t>，</w:t>
                  </w:r>
                </w:p>
                <w:p w14:paraId="7B5AE726">
                  <w:pPr>
                    <w:pStyle w:val="38"/>
                    <w:rPr>
                      <w:rFonts w:hint="eastAsia"/>
                      <w:color w:val="auto"/>
                      <w:highlight w:val="none"/>
                    </w:rPr>
                  </w:pPr>
                  <w:r>
                    <w:rPr>
                      <w:rFonts w:hint="eastAsia"/>
                      <w:color w:val="auto"/>
                      <w:highlight w:val="none"/>
                    </w:rPr>
                    <w:t>40.026404067</w:t>
                  </w:r>
                </w:p>
              </w:tc>
            </w:tr>
            <w:tr w14:paraId="33947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19" w:type="pct"/>
                  <w:noWrap/>
                  <w:vAlign w:val="center"/>
                </w:tcPr>
                <w:p w14:paraId="310FDF0D">
                  <w:pPr>
                    <w:pStyle w:val="38"/>
                    <w:rPr>
                      <w:color w:val="auto"/>
                      <w:highlight w:val="none"/>
                    </w:rPr>
                  </w:pPr>
                  <w:r>
                    <w:rPr>
                      <w:rFonts w:hint="eastAsia"/>
                      <w:color w:val="auto"/>
                      <w:highlight w:val="none"/>
                    </w:rPr>
                    <w:t>6</w:t>
                  </w:r>
                </w:p>
              </w:tc>
              <w:tc>
                <w:tcPr>
                  <w:tcW w:w="1495" w:type="pct"/>
                  <w:noWrap/>
                  <w:vAlign w:val="center"/>
                </w:tcPr>
                <w:p w14:paraId="3BEFE43C">
                  <w:pPr>
                    <w:jc w:val="center"/>
                    <w:rPr>
                      <w:rFonts w:hint="eastAsia"/>
                      <w:color w:val="auto"/>
                      <w:highlight w:val="none"/>
                    </w:rPr>
                  </w:pPr>
                  <w:r>
                    <w:rPr>
                      <w:rFonts w:hint="eastAsia"/>
                      <w:highlight w:val="none"/>
                      <w:lang w:val="en-US" w:eastAsia="zh-CN"/>
                    </w:rPr>
                    <w:t>低压含烃火炬燃料气输送管道</w:t>
                  </w:r>
                </w:p>
              </w:tc>
              <w:tc>
                <w:tcPr>
                  <w:tcW w:w="1495" w:type="pct"/>
                  <w:noWrap/>
                  <w:vAlign w:val="center"/>
                </w:tcPr>
                <w:p w14:paraId="50BFEEF7">
                  <w:pPr>
                    <w:pStyle w:val="38"/>
                    <w:rPr>
                      <w:rFonts w:hint="eastAsia" w:eastAsia="宋体"/>
                      <w:color w:val="auto"/>
                      <w:highlight w:val="none"/>
                      <w:lang w:eastAsia="zh-CN"/>
                    </w:rPr>
                  </w:pPr>
                  <w:r>
                    <w:rPr>
                      <w:rFonts w:hint="eastAsia"/>
                      <w:color w:val="auto"/>
                      <w:highlight w:val="none"/>
                    </w:rPr>
                    <w:t>108.499963675</w:t>
                  </w:r>
                  <w:r>
                    <w:rPr>
                      <w:rFonts w:hint="eastAsia"/>
                      <w:color w:val="auto"/>
                      <w:highlight w:val="none"/>
                      <w:lang w:eastAsia="zh-CN"/>
                    </w:rPr>
                    <w:t>，</w:t>
                  </w:r>
                </w:p>
                <w:p w14:paraId="71F6054B">
                  <w:pPr>
                    <w:pStyle w:val="38"/>
                    <w:rPr>
                      <w:color w:val="auto"/>
                      <w:highlight w:val="none"/>
                    </w:rPr>
                  </w:pPr>
                  <w:r>
                    <w:rPr>
                      <w:rFonts w:hint="eastAsia"/>
                      <w:color w:val="auto"/>
                      <w:highlight w:val="none"/>
                    </w:rPr>
                    <w:t>40.026416137</w:t>
                  </w:r>
                </w:p>
              </w:tc>
              <w:tc>
                <w:tcPr>
                  <w:tcW w:w="1589" w:type="pct"/>
                  <w:noWrap/>
                  <w:vAlign w:val="center"/>
                </w:tcPr>
                <w:p w14:paraId="510EA60B">
                  <w:pPr>
                    <w:pStyle w:val="38"/>
                    <w:rPr>
                      <w:rFonts w:hint="eastAsia" w:eastAsia="宋体"/>
                      <w:color w:val="auto"/>
                      <w:highlight w:val="none"/>
                      <w:lang w:eastAsia="zh-CN"/>
                    </w:rPr>
                  </w:pPr>
                  <w:r>
                    <w:rPr>
                      <w:rFonts w:hint="eastAsia"/>
                      <w:color w:val="auto"/>
                      <w:highlight w:val="none"/>
                    </w:rPr>
                    <w:t>108.503512238</w:t>
                  </w:r>
                  <w:r>
                    <w:rPr>
                      <w:rFonts w:hint="eastAsia"/>
                      <w:color w:val="auto"/>
                      <w:highlight w:val="none"/>
                      <w:lang w:eastAsia="zh-CN"/>
                    </w:rPr>
                    <w:t>，</w:t>
                  </w:r>
                </w:p>
                <w:p w14:paraId="69F69367">
                  <w:pPr>
                    <w:pStyle w:val="38"/>
                    <w:rPr>
                      <w:rFonts w:hint="eastAsia"/>
                      <w:color w:val="auto"/>
                      <w:highlight w:val="none"/>
                    </w:rPr>
                  </w:pPr>
                  <w:r>
                    <w:rPr>
                      <w:rFonts w:hint="eastAsia"/>
                      <w:color w:val="auto"/>
                      <w:highlight w:val="none"/>
                    </w:rPr>
                    <w:t>40.032984867</w:t>
                  </w:r>
                </w:p>
              </w:tc>
            </w:tr>
            <w:tr w14:paraId="7686A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19" w:type="pct"/>
                  <w:noWrap/>
                  <w:vAlign w:val="center"/>
                </w:tcPr>
                <w:p w14:paraId="2C63F82C">
                  <w:pPr>
                    <w:pStyle w:val="38"/>
                    <w:rPr>
                      <w:color w:val="auto"/>
                      <w:highlight w:val="none"/>
                    </w:rPr>
                  </w:pPr>
                  <w:r>
                    <w:rPr>
                      <w:rFonts w:hint="eastAsia"/>
                      <w:color w:val="auto"/>
                      <w:highlight w:val="none"/>
                    </w:rPr>
                    <w:t>7</w:t>
                  </w:r>
                </w:p>
              </w:tc>
              <w:tc>
                <w:tcPr>
                  <w:tcW w:w="1495" w:type="pct"/>
                  <w:noWrap/>
                  <w:vAlign w:val="center"/>
                </w:tcPr>
                <w:p w14:paraId="204A36B4">
                  <w:pPr>
                    <w:jc w:val="center"/>
                    <w:rPr>
                      <w:rFonts w:hint="eastAsia"/>
                      <w:color w:val="auto"/>
                      <w:highlight w:val="none"/>
                    </w:rPr>
                  </w:pPr>
                  <w:r>
                    <w:rPr>
                      <w:rFonts w:hint="eastAsia"/>
                      <w:highlight w:val="none"/>
                      <w:lang w:val="en-US" w:eastAsia="zh-CN"/>
                    </w:rPr>
                    <w:t>湿酸火炬燃料气输送管道</w:t>
                  </w:r>
                </w:p>
              </w:tc>
              <w:tc>
                <w:tcPr>
                  <w:tcW w:w="1495" w:type="pct"/>
                  <w:noWrap/>
                  <w:vAlign w:val="center"/>
                </w:tcPr>
                <w:p w14:paraId="3872CD2B">
                  <w:pPr>
                    <w:pStyle w:val="38"/>
                    <w:rPr>
                      <w:rFonts w:hint="eastAsia" w:eastAsia="宋体"/>
                      <w:color w:val="auto"/>
                      <w:highlight w:val="none"/>
                      <w:lang w:eastAsia="zh-CN"/>
                    </w:rPr>
                  </w:pPr>
                  <w:r>
                    <w:rPr>
                      <w:rFonts w:hint="eastAsia"/>
                      <w:color w:val="auto"/>
                      <w:highlight w:val="none"/>
                    </w:rPr>
                    <w:t>108.499955628</w:t>
                  </w:r>
                  <w:r>
                    <w:rPr>
                      <w:rFonts w:hint="eastAsia"/>
                      <w:color w:val="auto"/>
                      <w:highlight w:val="none"/>
                      <w:lang w:eastAsia="zh-CN"/>
                    </w:rPr>
                    <w:t>，</w:t>
                  </w:r>
                </w:p>
                <w:p w14:paraId="7F8F8B78">
                  <w:pPr>
                    <w:pStyle w:val="38"/>
                    <w:rPr>
                      <w:color w:val="auto"/>
                      <w:highlight w:val="none"/>
                    </w:rPr>
                  </w:pPr>
                  <w:r>
                    <w:rPr>
                      <w:rFonts w:hint="eastAsia"/>
                      <w:color w:val="auto"/>
                      <w:highlight w:val="none"/>
                    </w:rPr>
                    <w:t>40.026410773</w:t>
                  </w:r>
                </w:p>
              </w:tc>
              <w:tc>
                <w:tcPr>
                  <w:tcW w:w="1589" w:type="pct"/>
                  <w:noWrap/>
                  <w:vAlign w:val="center"/>
                </w:tcPr>
                <w:p w14:paraId="079DF788">
                  <w:pPr>
                    <w:pStyle w:val="38"/>
                    <w:rPr>
                      <w:rFonts w:hint="eastAsia" w:eastAsia="宋体"/>
                      <w:color w:val="auto"/>
                      <w:highlight w:val="none"/>
                      <w:lang w:eastAsia="zh-CN"/>
                    </w:rPr>
                  </w:pPr>
                  <w:r>
                    <w:rPr>
                      <w:rFonts w:hint="eastAsia"/>
                      <w:color w:val="auto"/>
                      <w:highlight w:val="none"/>
                    </w:rPr>
                    <w:t>108.495147769</w:t>
                  </w:r>
                  <w:r>
                    <w:rPr>
                      <w:rFonts w:hint="eastAsia"/>
                      <w:color w:val="auto"/>
                      <w:highlight w:val="none"/>
                      <w:lang w:eastAsia="zh-CN"/>
                    </w:rPr>
                    <w:t>，</w:t>
                  </w:r>
                </w:p>
                <w:p w14:paraId="3A410A69">
                  <w:pPr>
                    <w:pStyle w:val="38"/>
                    <w:rPr>
                      <w:rFonts w:hint="eastAsia"/>
                      <w:color w:val="auto"/>
                      <w:highlight w:val="none"/>
                    </w:rPr>
                  </w:pPr>
                  <w:r>
                    <w:rPr>
                      <w:rFonts w:hint="eastAsia"/>
                      <w:color w:val="auto"/>
                      <w:highlight w:val="none"/>
                    </w:rPr>
                    <w:t>40.027364298</w:t>
                  </w:r>
                </w:p>
              </w:tc>
            </w:tr>
            <w:tr w14:paraId="382F3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19" w:type="pct"/>
                  <w:noWrap/>
                  <w:vAlign w:val="center"/>
                </w:tcPr>
                <w:p w14:paraId="62F5C016">
                  <w:pPr>
                    <w:pStyle w:val="38"/>
                    <w:rPr>
                      <w:color w:val="auto"/>
                      <w:highlight w:val="none"/>
                    </w:rPr>
                  </w:pPr>
                  <w:r>
                    <w:rPr>
                      <w:rFonts w:hint="eastAsia"/>
                      <w:color w:val="auto"/>
                      <w:highlight w:val="none"/>
                    </w:rPr>
                    <w:t>8</w:t>
                  </w:r>
                </w:p>
              </w:tc>
              <w:tc>
                <w:tcPr>
                  <w:tcW w:w="1495" w:type="pct"/>
                  <w:noWrap/>
                  <w:vAlign w:val="center"/>
                </w:tcPr>
                <w:p w14:paraId="44E00480">
                  <w:pPr>
                    <w:jc w:val="center"/>
                    <w:rPr>
                      <w:rFonts w:hint="eastAsia"/>
                      <w:color w:val="auto"/>
                      <w:highlight w:val="none"/>
                    </w:rPr>
                  </w:pPr>
                  <w:r>
                    <w:rPr>
                      <w:rFonts w:hint="eastAsia"/>
                      <w:highlight w:val="none"/>
                      <w:lang w:val="en-US" w:eastAsia="zh-CN"/>
                    </w:rPr>
                    <w:t>中压蒸汽管道</w:t>
                  </w:r>
                </w:p>
              </w:tc>
              <w:tc>
                <w:tcPr>
                  <w:tcW w:w="1495" w:type="pct"/>
                  <w:noWrap/>
                  <w:vAlign w:val="center"/>
                </w:tcPr>
                <w:p w14:paraId="3E01A333">
                  <w:pPr>
                    <w:pStyle w:val="38"/>
                    <w:rPr>
                      <w:rFonts w:hint="eastAsia" w:eastAsia="宋体"/>
                      <w:color w:val="auto"/>
                      <w:highlight w:val="none"/>
                      <w:lang w:eastAsia="zh-CN"/>
                    </w:rPr>
                  </w:pPr>
                  <w:r>
                    <w:rPr>
                      <w:rFonts w:hint="eastAsia"/>
                      <w:color w:val="auto"/>
                      <w:highlight w:val="none"/>
                    </w:rPr>
                    <w:t>108.497229163</w:t>
                  </w:r>
                  <w:r>
                    <w:rPr>
                      <w:rFonts w:hint="eastAsia"/>
                      <w:color w:val="auto"/>
                      <w:highlight w:val="none"/>
                      <w:lang w:eastAsia="zh-CN"/>
                    </w:rPr>
                    <w:t>，</w:t>
                  </w:r>
                </w:p>
                <w:p w14:paraId="47328AAE">
                  <w:pPr>
                    <w:pStyle w:val="38"/>
                    <w:rPr>
                      <w:color w:val="auto"/>
                      <w:highlight w:val="none"/>
                    </w:rPr>
                  </w:pPr>
                  <w:r>
                    <w:rPr>
                      <w:rFonts w:hint="eastAsia"/>
                      <w:color w:val="auto"/>
                      <w:highlight w:val="none"/>
                    </w:rPr>
                    <w:t>40.029417529</w:t>
                  </w:r>
                </w:p>
              </w:tc>
              <w:tc>
                <w:tcPr>
                  <w:tcW w:w="1589" w:type="pct"/>
                  <w:noWrap/>
                  <w:vAlign w:val="center"/>
                </w:tcPr>
                <w:p w14:paraId="030EE326">
                  <w:pPr>
                    <w:pStyle w:val="38"/>
                    <w:rPr>
                      <w:rFonts w:hint="eastAsia" w:eastAsia="宋体"/>
                      <w:color w:val="auto"/>
                      <w:highlight w:val="none"/>
                      <w:lang w:eastAsia="zh-CN"/>
                    </w:rPr>
                  </w:pPr>
                  <w:r>
                    <w:rPr>
                      <w:rFonts w:hint="eastAsia"/>
                      <w:color w:val="auto"/>
                      <w:highlight w:val="none"/>
                    </w:rPr>
                    <w:t>108.499989156</w:t>
                  </w:r>
                  <w:r>
                    <w:rPr>
                      <w:rFonts w:hint="eastAsia"/>
                      <w:color w:val="auto"/>
                      <w:highlight w:val="none"/>
                      <w:lang w:eastAsia="zh-CN"/>
                    </w:rPr>
                    <w:t>，</w:t>
                  </w:r>
                </w:p>
                <w:p w14:paraId="16784AA3">
                  <w:pPr>
                    <w:pStyle w:val="38"/>
                    <w:rPr>
                      <w:color w:val="auto"/>
                      <w:highlight w:val="none"/>
                    </w:rPr>
                  </w:pPr>
                  <w:r>
                    <w:rPr>
                      <w:rFonts w:hint="eastAsia"/>
                      <w:color w:val="auto"/>
                      <w:highlight w:val="none"/>
                    </w:rPr>
                    <w:t>40.026414796</w:t>
                  </w:r>
                </w:p>
              </w:tc>
            </w:tr>
            <w:tr w14:paraId="61DFB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19" w:type="pct"/>
                  <w:noWrap/>
                  <w:vAlign w:val="center"/>
                </w:tcPr>
                <w:p w14:paraId="62075465">
                  <w:pPr>
                    <w:pStyle w:val="38"/>
                    <w:rPr>
                      <w:color w:val="auto"/>
                      <w:highlight w:val="none"/>
                    </w:rPr>
                  </w:pPr>
                  <w:r>
                    <w:rPr>
                      <w:rFonts w:hint="eastAsia"/>
                      <w:color w:val="auto"/>
                      <w:highlight w:val="none"/>
                    </w:rPr>
                    <w:t>9</w:t>
                  </w:r>
                </w:p>
              </w:tc>
              <w:tc>
                <w:tcPr>
                  <w:tcW w:w="1495" w:type="pct"/>
                  <w:noWrap/>
                  <w:vAlign w:val="center"/>
                </w:tcPr>
                <w:p w14:paraId="66784316">
                  <w:pPr>
                    <w:jc w:val="center"/>
                    <w:rPr>
                      <w:rFonts w:hint="eastAsia"/>
                      <w:color w:val="auto"/>
                      <w:highlight w:val="none"/>
                    </w:rPr>
                  </w:pPr>
                  <w:r>
                    <w:rPr>
                      <w:rFonts w:hint="eastAsia"/>
                      <w:highlight w:val="none"/>
                      <w:lang w:val="en-US" w:eastAsia="zh-CN"/>
                    </w:rPr>
                    <w:t>凝结水管道</w:t>
                  </w:r>
                </w:p>
              </w:tc>
              <w:tc>
                <w:tcPr>
                  <w:tcW w:w="1495" w:type="pct"/>
                  <w:noWrap/>
                  <w:vAlign w:val="center"/>
                </w:tcPr>
                <w:p w14:paraId="5F18F023">
                  <w:pPr>
                    <w:pStyle w:val="38"/>
                    <w:rPr>
                      <w:rFonts w:hint="eastAsia" w:eastAsia="宋体"/>
                      <w:color w:val="auto"/>
                      <w:highlight w:val="none"/>
                      <w:lang w:eastAsia="zh-CN"/>
                    </w:rPr>
                  </w:pPr>
                  <w:r>
                    <w:rPr>
                      <w:rFonts w:hint="eastAsia"/>
                      <w:color w:val="auto"/>
                      <w:highlight w:val="none"/>
                    </w:rPr>
                    <w:t>108.496895228</w:t>
                  </w:r>
                  <w:r>
                    <w:rPr>
                      <w:rFonts w:hint="eastAsia"/>
                      <w:color w:val="auto"/>
                      <w:highlight w:val="none"/>
                      <w:lang w:eastAsia="zh-CN"/>
                    </w:rPr>
                    <w:t>，</w:t>
                  </w:r>
                </w:p>
                <w:p w14:paraId="5BFCFF54">
                  <w:pPr>
                    <w:pStyle w:val="38"/>
                    <w:rPr>
                      <w:color w:val="auto"/>
                      <w:highlight w:val="none"/>
                    </w:rPr>
                  </w:pPr>
                  <w:r>
                    <w:rPr>
                      <w:rFonts w:hint="eastAsia"/>
                      <w:color w:val="auto"/>
                      <w:highlight w:val="none"/>
                    </w:rPr>
                    <w:t>40.029098346</w:t>
                  </w:r>
                </w:p>
              </w:tc>
              <w:tc>
                <w:tcPr>
                  <w:tcW w:w="1589" w:type="pct"/>
                  <w:noWrap/>
                  <w:vAlign w:val="center"/>
                </w:tcPr>
                <w:p w14:paraId="03EB1DE3">
                  <w:pPr>
                    <w:pStyle w:val="38"/>
                    <w:rPr>
                      <w:rFonts w:hint="eastAsia" w:eastAsia="宋体"/>
                      <w:color w:val="auto"/>
                      <w:highlight w:val="none"/>
                      <w:lang w:eastAsia="zh-CN"/>
                    </w:rPr>
                  </w:pPr>
                  <w:r>
                    <w:rPr>
                      <w:rFonts w:hint="eastAsia"/>
                      <w:color w:val="auto"/>
                      <w:highlight w:val="none"/>
                    </w:rPr>
                    <w:t>108.500026707</w:t>
                  </w:r>
                  <w:r>
                    <w:rPr>
                      <w:rFonts w:hint="eastAsia"/>
                      <w:color w:val="auto"/>
                      <w:highlight w:val="none"/>
                      <w:lang w:eastAsia="zh-CN"/>
                    </w:rPr>
                    <w:t>，</w:t>
                  </w:r>
                </w:p>
                <w:p w14:paraId="08994E7F">
                  <w:pPr>
                    <w:pStyle w:val="38"/>
                    <w:rPr>
                      <w:color w:val="auto"/>
                      <w:highlight w:val="none"/>
                    </w:rPr>
                  </w:pPr>
                  <w:r>
                    <w:rPr>
                      <w:rFonts w:hint="eastAsia"/>
                      <w:color w:val="auto"/>
                      <w:highlight w:val="none"/>
                    </w:rPr>
                    <w:t>40.026460394</w:t>
                  </w:r>
                </w:p>
              </w:tc>
            </w:tr>
            <w:tr w14:paraId="59A2F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9" w:type="pct"/>
                  <w:noWrap/>
                  <w:vAlign w:val="center"/>
                </w:tcPr>
                <w:p w14:paraId="51BCF513">
                  <w:pPr>
                    <w:pStyle w:val="38"/>
                    <w:rPr>
                      <w:color w:val="auto"/>
                      <w:highlight w:val="none"/>
                    </w:rPr>
                  </w:pPr>
                  <w:r>
                    <w:rPr>
                      <w:rFonts w:hint="eastAsia"/>
                      <w:color w:val="auto"/>
                      <w:highlight w:val="none"/>
                    </w:rPr>
                    <w:t>10</w:t>
                  </w:r>
                </w:p>
              </w:tc>
              <w:tc>
                <w:tcPr>
                  <w:tcW w:w="1495" w:type="pct"/>
                  <w:noWrap/>
                  <w:vAlign w:val="center"/>
                </w:tcPr>
                <w:p w14:paraId="5F6ADF58">
                  <w:pPr>
                    <w:jc w:val="center"/>
                    <w:rPr>
                      <w:rFonts w:hint="eastAsia"/>
                      <w:color w:val="auto"/>
                      <w:highlight w:val="none"/>
                    </w:rPr>
                  </w:pPr>
                  <w:r>
                    <w:rPr>
                      <w:rFonts w:hint="eastAsia"/>
                      <w:highlight w:val="none"/>
                      <w:lang w:val="en-US" w:eastAsia="zh-CN"/>
                    </w:rPr>
                    <w:t>仪表风管道</w:t>
                  </w:r>
                </w:p>
              </w:tc>
              <w:tc>
                <w:tcPr>
                  <w:tcW w:w="1495" w:type="pct"/>
                  <w:noWrap/>
                  <w:vAlign w:val="center"/>
                </w:tcPr>
                <w:p w14:paraId="4EA43B44">
                  <w:pPr>
                    <w:pStyle w:val="38"/>
                    <w:rPr>
                      <w:rFonts w:hint="eastAsia" w:eastAsia="宋体"/>
                      <w:color w:val="auto"/>
                      <w:highlight w:val="none"/>
                      <w:lang w:eastAsia="zh-CN"/>
                    </w:rPr>
                  </w:pPr>
                  <w:r>
                    <w:rPr>
                      <w:rFonts w:hint="eastAsia"/>
                      <w:color w:val="auto"/>
                      <w:highlight w:val="none"/>
                    </w:rPr>
                    <w:t>108.496860359</w:t>
                  </w:r>
                  <w:r>
                    <w:rPr>
                      <w:rFonts w:hint="eastAsia"/>
                      <w:color w:val="auto"/>
                      <w:highlight w:val="none"/>
                      <w:lang w:eastAsia="zh-CN"/>
                    </w:rPr>
                    <w:t>，</w:t>
                  </w:r>
                </w:p>
                <w:p w14:paraId="253B3420">
                  <w:pPr>
                    <w:pStyle w:val="38"/>
                    <w:rPr>
                      <w:color w:val="auto"/>
                      <w:highlight w:val="none"/>
                    </w:rPr>
                  </w:pPr>
                  <w:r>
                    <w:rPr>
                      <w:rFonts w:hint="eastAsia"/>
                      <w:color w:val="auto"/>
                      <w:highlight w:val="none"/>
                    </w:rPr>
                    <w:t>40.02907554</w:t>
                  </w:r>
                </w:p>
              </w:tc>
              <w:tc>
                <w:tcPr>
                  <w:tcW w:w="1589" w:type="pct"/>
                  <w:noWrap/>
                  <w:vAlign w:val="center"/>
                </w:tcPr>
                <w:p w14:paraId="24F42933">
                  <w:pPr>
                    <w:pStyle w:val="38"/>
                    <w:rPr>
                      <w:rFonts w:hint="eastAsia" w:eastAsia="宋体"/>
                      <w:color w:val="auto"/>
                      <w:highlight w:val="none"/>
                      <w:lang w:eastAsia="zh-CN"/>
                    </w:rPr>
                  </w:pPr>
                  <w:r>
                    <w:rPr>
                      <w:rFonts w:hint="eastAsia"/>
                      <w:color w:val="auto"/>
                      <w:highlight w:val="none"/>
                    </w:rPr>
                    <w:t>108.500018660</w:t>
                  </w:r>
                  <w:r>
                    <w:rPr>
                      <w:rFonts w:hint="eastAsia"/>
                      <w:color w:val="auto"/>
                      <w:highlight w:val="none"/>
                      <w:lang w:eastAsia="zh-CN"/>
                    </w:rPr>
                    <w:t>，</w:t>
                  </w:r>
                </w:p>
                <w:p w14:paraId="64071505">
                  <w:pPr>
                    <w:pStyle w:val="38"/>
                    <w:rPr>
                      <w:color w:val="auto"/>
                      <w:highlight w:val="none"/>
                    </w:rPr>
                  </w:pPr>
                  <w:r>
                    <w:rPr>
                      <w:rFonts w:hint="eastAsia"/>
                      <w:color w:val="auto"/>
                      <w:highlight w:val="none"/>
                    </w:rPr>
                    <w:t>40.026457711</w:t>
                  </w:r>
                </w:p>
              </w:tc>
            </w:tr>
            <w:tr w14:paraId="31693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19" w:type="pct"/>
                  <w:noWrap/>
                  <w:vAlign w:val="center"/>
                </w:tcPr>
                <w:p w14:paraId="207A2BDE">
                  <w:pPr>
                    <w:pStyle w:val="38"/>
                    <w:rPr>
                      <w:color w:val="auto"/>
                      <w:highlight w:val="none"/>
                    </w:rPr>
                  </w:pPr>
                  <w:r>
                    <w:rPr>
                      <w:rFonts w:hint="eastAsia"/>
                      <w:color w:val="auto"/>
                      <w:highlight w:val="none"/>
                    </w:rPr>
                    <w:t>11</w:t>
                  </w:r>
                </w:p>
              </w:tc>
              <w:tc>
                <w:tcPr>
                  <w:tcW w:w="1495" w:type="pct"/>
                  <w:noWrap/>
                  <w:vAlign w:val="center"/>
                </w:tcPr>
                <w:p w14:paraId="21B9A385">
                  <w:pPr>
                    <w:jc w:val="center"/>
                    <w:rPr>
                      <w:rFonts w:hint="eastAsia"/>
                      <w:color w:val="auto"/>
                      <w:highlight w:val="none"/>
                    </w:rPr>
                  </w:pPr>
                  <w:r>
                    <w:rPr>
                      <w:rFonts w:hint="eastAsia"/>
                      <w:highlight w:val="none"/>
                      <w:lang w:val="en-US" w:eastAsia="zh-CN"/>
                    </w:rPr>
                    <w:t>工厂风管道</w:t>
                  </w:r>
                </w:p>
              </w:tc>
              <w:tc>
                <w:tcPr>
                  <w:tcW w:w="1495" w:type="pct"/>
                  <w:noWrap/>
                  <w:vAlign w:val="center"/>
                </w:tcPr>
                <w:p w14:paraId="241FD151">
                  <w:pPr>
                    <w:pStyle w:val="38"/>
                    <w:rPr>
                      <w:rFonts w:hint="eastAsia" w:eastAsia="宋体"/>
                      <w:color w:val="auto"/>
                      <w:highlight w:val="none"/>
                      <w:lang w:eastAsia="zh-CN"/>
                    </w:rPr>
                  </w:pPr>
                  <w:r>
                    <w:rPr>
                      <w:rFonts w:hint="eastAsia"/>
                      <w:color w:val="auto"/>
                      <w:highlight w:val="none"/>
                    </w:rPr>
                    <w:t>108.496849630</w:t>
                  </w:r>
                  <w:r>
                    <w:rPr>
                      <w:rFonts w:hint="eastAsia"/>
                      <w:color w:val="auto"/>
                      <w:highlight w:val="none"/>
                      <w:lang w:eastAsia="zh-CN"/>
                    </w:rPr>
                    <w:t>，</w:t>
                  </w:r>
                </w:p>
                <w:p w14:paraId="08847C54">
                  <w:pPr>
                    <w:pStyle w:val="38"/>
                    <w:rPr>
                      <w:color w:val="auto"/>
                      <w:highlight w:val="none"/>
                    </w:rPr>
                  </w:pPr>
                  <w:r>
                    <w:rPr>
                      <w:rFonts w:hint="eastAsia"/>
                      <w:color w:val="auto"/>
                      <w:highlight w:val="none"/>
                    </w:rPr>
                    <w:t>40.029072865</w:t>
                  </w:r>
                </w:p>
              </w:tc>
              <w:tc>
                <w:tcPr>
                  <w:tcW w:w="1589" w:type="pct"/>
                  <w:noWrap/>
                  <w:vAlign w:val="center"/>
                </w:tcPr>
                <w:p w14:paraId="769F0839">
                  <w:pPr>
                    <w:pStyle w:val="38"/>
                    <w:rPr>
                      <w:rFonts w:hint="eastAsia" w:eastAsia="宋体"/>
                      <w:color w:val="auto"/>
                      <w:highlight w:val="none"/>
                      <w:lang w:eastAsia="zh-CN"/>
                    </w:rPr>
                  </w:pPr>
                  <w:r>
                    <w:rPr>
                      <w:rFonts w:hint="eastAsia"/>
                      <w:color w:val="auto"/>
                      <w:highlight w:val="none"/>
                    </w:rPr>
                    <w:t>108.500010614</w:t>
                  </w:r>
                  <w:r>
                    <w:rPr>
                      <w:rFonts w:hint="eastAsia"/>
                      <w:color w:val="auto"/>
                      <w:highlight w:val="none"/>
                      <w:lang w:eastAsia="zh-CN"/>
                    </w:rPr>
                    <w:t>，</w:t>
                  </w:r>
                </w:p>
                <w:p w14:paraId="6F8089FF">
                  <w:pPr>
                    <w:pStyle w:val="38"/>
                    <w:rPr>
                      <w:color w:val="auto"/>
                      <w:highlight w:val="none"/>
                    </w:rPr>
                  </w:pPr>
                  <w:r>
                    <w:rPr>
                      <w:rFonts w:hint="eastAsia"/>
                      <w:color w:val="auto"/>
                      <w:highlight w:val="none"/>
                    </w:rPr>
                    <w:t>40.026452347</w:t>
                  </w:r>
                </w:p>
              </w:tc>
            </w:tr>
            <w:tr w14:paraId="458CE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19" w:type="pct"/>
                  <w:noWrap/>
                  <w:vAlign w:val="center"/>
                </w:tcPr>
                <w:p w14:paraId="3EED332C">
                  <w:pPr>
                    <w:pStyle w:val="38"/>
                    <w:rPr>
                      <w:color w:val="auto"/>
                      <w:highlight w:val="none"/>
                    </w:rPr>
                  </w:pPr>
                  <w:r>
                    <w:rPr>
                      <w:rFonts w:hint="eastAsia"/>
                      <w:color w:val="auto"/>
                      <w:highlight w:val="none"/>
                    </w:rPr>
                    <w:t>12</w:t>
                  </w:r>
                </w:p>
              </w:tc>
              <w:tc>
                <w:tcPr>
                  <w:tcW w:w="1495" w:type="pct"/>
                  <w:noWrap/>
                  <w:vAlign w:val="center"/>
                </w:tcPr>
                <w:p w14:paraId="3A77CBF6">
                  <w:pPr>
                    <w:jc w:val="center"/>
                    <w:rPr>
                      <w:rFonts w:hint="eastAsia"/>
                      <w:color w:val="auto"/>
                      <w:highlight w:val="none"/>
                    </w:rPr>
                  </w:pPr>
                  <w:r>
                    <w:rPr>
                      <w:rFonts w:hint="eastAsia"/>
                      <w:highlight w:val="none"/>
                      <w:lang w:val="en-US" w:eastAsia="zh-CN"/>
                    </w:rPr>
                    <w:t>氮气管道</w:t>
                  </w:r>
                </w:p>
              </w:tc>
              <w:tc>
                <w:tcPr>
                  <w:tcW w:w="1495" w:type="pct"/>
                  <w:noWrap/>
                  <w:vAlign w:val="center"/>
                </w:tcPr>
                <w:p w14:paraId="6ACDADD7">
                  <w:pPr>
                    <w:pStyle w:val="38"/>
                    <w:rPr>
                      <w:rFonts w:hint="eastAsia" w:eastAsia="宋体"/>
                      <w:color w:val="auto"/>
                      <w:highlight w:val="none"/>
                      <w:lang w:eastAsia="zh-CN"/>
                    </w:rPr>
                  </w:pPr>
                  <w:r>
                    <w:rPr>
                      <w:rFonts w:hint="eastAsia"/>
                      <w:color w:val="auto"/>
                      <w:highlight w:val="none"/>
                    </w:rPr>
                    <w:t>108.496860359</w:t>
                  </w:r>
                  <w:r>
                    <w:rPr>
                      <w:rFonts w:hint="eastAsia"/>
                      <w:color w:val="auto"/>
                      <w:highlight w:val="none"/>
                      <w:lang w:eastAsia="zh-CN"/>
                    </w:rPr>
                    <w:t>，</w:t>
                  </w:r>
                </w:p>
                <w:p w14:paraId="4A09FEDA">
                  <w:pPr>
                    <w:pStyle w:val="38"/>
                    <w:rPr>
                      <w:color w:val="auto"/>
                      <w:highlight w:val="none"/>
                    </w:rPr>
                  </w:pPr>
                  <w:r>
                    <w:rPr>
                      <w:rFonts w:hint="eastAsia"/>
                      <w:color w:val="auto"/>
                      <w:highlight w:val="none"/>
                    </w:rPr>
                    <w:t>40.029075547</w:t>
                  </w:r>
                </w:p>
              </w:tc>
              <w:tc>
                <w:tcPr>
                  <w:tcW w:w="1589" w:type="pct"/>
                  <w:noWrap/>
                  <w:vAlign w:val="center"/>
                </w:tcPr>
                <w:p w14:paraId="1E3CEA7C">
                  <w:pPr>
                    <w:pStyle w:val="38"/>
                    <w:rPr>
                      <w:rFonts w:hint="eastAsia" w:eastAsia="宋体"/>
                      <w:color w:val="auto"/>
                      <w:highlight w:val="none"/>
                      <w:lang w:eastAsia="zh-CN"/>
                    </w:rPr>
                  </w:pPr>
                  <w:r>
                    <w:rPr>
                      <w:rFonts w:hint="eastAsia"/>
                      <w:color w:val="auto"/>
                      <w:highlight w:val="none"/>
                    </w:rPr>
                    <w:t>108.500021343</w:t>
                  </w:r>
                  <w:r>
                    <w:rPr>
                      <w:rFonts w:hint="eastAsia"/>
                      <w:color w:val="auto"/>
                      <w:highlight w:val="none"/>
                      <w:lang w:eastAsia="zh-CN"/>
                    </w:rPr>
                    <w:t>，</w:t>
                  </w:r>
                </w:p>
                <w:p w14:paraId="6CACEAA9">
                  <w:pPr>
                    <w:pStyle w:val="38"/>
                    <w:rPr>
                      <w:color w:val="auto"/>
                      <w:highlight w:val="none"/>
                    </w:rPr>
                  </w:pPr>
                  <w:r>
                    <w:rPr>
                      <w:rFonts w:hint="eastAsia"/>
                      <w:color w:val="auto"/>
                      <w:highlight w:val="none"/>
                    </w:rPr>
                    <w:t>40.026455029</w:t>
                  </w:r>
                </w:p>
              </w:tc>
            </w:tr>
            <w:tr w14:paraId="04F0C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19" w:type="pct"/>
                  <w:noWrap/>
                  <w:vAlign w:val="center"/>
                </w:tcPr>
                <w:p w14:paraId="4A57AC37">
                  <w:pPr>
                    <w:pStyle w:val="38"/>
                    <w:rPr>
                      <w:color w:val="auto"/>
                      <w:highlight w:val="none"/>
                    </w:rPr>
                  </w:pPr>
                  <w:r>
                    <w:rPr>
                      <w:rFonts w:hint="eastAsia"/>
                      <w:color w:val="auto"/>
                      <w:highlight w:val="none"/>
                    </w:rPr>
                    <w:t>13</w:t>
                  </w:r>
                </w:p>
              </w:tc>
              <w:tc>
                <w:tcPr>
                  <w:tcW w:w="1495" w:type="pct"/>
                  <w:noWrap/>
                  <w:vAlign w:val="center"/>
                </w:tcPr>
                <w:p w14:paraId="043768C5">
                  <w:pPr>
                    <w:jc w:val="center"/>
                    <w:rPr>
                      <w:rFonts w:hint="eastAsia"/>
                      <w:color w:val="auto"/>
                      <w:highlight w:val="none"/>
                    </w:rPr>
                  </w:pPr>
                  <w:r>
                    <w:rPr>
                      <w:rFonts w:hint="eastAsia"/>
                      <w:highlight w:val="none"/>
                      <w:lang w:val="en-US" w:eastAsia="zh-CN"/>
                    </w:rPr>
                    <w:t>黄河水管道</w:t>
                  </w:r>
                </w:p>
              </w:tc>
              <w:tc>
                <w:tcPr>
                  <w:tcW w:w="1495" w:type="pct"/>
                  <w:noWrap/>
                  <w:vAlign w:val="center"/>
                </w:tcPr>
                <w:p w14:paraId="2026FF93">
                  <w:pPr>
                    <w:pStyle w:val="38"/>
                    <w:rPr>
                      <w:rFonts w:hint="eastAsia" w:eastAsia="宋体"/>
                      <w:highlight w:val="none"/>
                      <w:lang w:eastAsia="zh-CN"/>
                    </w:rPr>
                  </w:pPr>
                  <w:r>
                    <w:rPr>
                      <w:rFonts w:hint="eastAsia"/>
                      <w:highlight w:val="none"/>
                    </w:rPr>
                    <w:t>108.508656715</w:t>
                  </w:r>
                  <w:r>
                    <w:rPr>
                      <w:rFonts w:hint="eastAsia"/>
                      <w:highlight w:val="none"/>
                      <w:lang w:eastAsia="zh-CN"/>
                    </w:rPr>
                    <w:t>，</w:t>
                  </w:r>
                </w:p>
                <w:p w14:paraId="2BD33AE3">
                  <w:pPr>
                    <w:pStyle w:val="38"/>
                    <w:rPr>
                      <w:color w:val="auto"/>
                      <w:highlight w:val="none"/>
                    </w:rPr>
                  </w:pPr>
                  <w:r>
                    <w:rPr>
                      <w:rFonts w:hint="eastAsia"/>
                      <w:highlight w:val="none"/>
                    </w:rPr>
                    <w:t>40.035823985</w:t>
                  </w:r>
                </w:p>
              </w:tc>
              <w:tc>
                <w:tcPr>
                  <w:tcW w:w="1589" w:type="pct"/>
                  <w:noWrap/>
                  <w:vAlign w:val="center"/>
                </w:tcPr>
                <w:p w14:paraId="3DE44CBD">
                  <w:pPr>
                    <w:pStyle w:val="38"/>
                    <w:rPr>
                      <w:rFonts w:hint="eastAsia" w:eastAsia="宋体"/>
                      <w:color w:val="auto"/>
                      <w:highlight w:val="none"/>
                      <w:lang w:eastAsia="zh-CN"/>
                    </w:rPr>
                  </w:pPr>
                  <w:r>
                    <w:rPr>
                      <w:rFonts w:hint="eastAsia"/>
                      <w:color w:val="auto"/>
                      <w:highlight w:val="none"/>
                    </w:rPr>
                    <w:t>108.499991838</w:t>
                  </w:r>
                  <w:r>
                    <w:rPr>
                      <w:rFonts w:hint="eastAsia"/>
                      <w:color w:val="auto"/>
                      <w:highlight w:val="none"/>
                      <w:lang w:eastAsia="zh-CN"/>
                    </w:rPr>
                    <w:t>，</w:t>
                  </w:r>
                </w:p>
                <w:p w14:paraId="2B5444F7">
                  <w:pPr>
                    <w:pStyle w:val="38"/>
                    <w:rPr>
                      <w:color w:val="auto"/>
                      <w:highlight w:val="none"/>
                    </w:rPr>
                  </w:pPr>
                  <w:r>
                    <w:rPr>
                      <w:rFonts w:hint="eastAsia"/>
                      <w:color w:val="auto"/>
                      <w:highlight w:val="none"/>
                    </w:rPr>
                    <w:t>40.026387974</w:t>
                  </w:r>
                </w:p>
              </w:tc>
            </w:tr>
            <w:tr w14:paraId="7A7BF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19" w:type="pct"/>
                  <w:noWrap/>
                  <w:vAlign w:val="center"/>
                </w:tcPr>
                <w:p w14:paraId="56197ECD">
                  <w:pPr>
                    <w:pStyle w:val="38"/>
                    <w:rPr>
                      <w:color w:val="auto"/>
                      <w:highlight w:val="none"/>
                    </w:rPr>
                  </w:pPr>
                  <w:r>
                    <w:rPr>
                      <w:rFonts w:hint="eastAsia"/>
                      <w:color w:val="auto"/>
                      <w:highlight w:val="none"/>
                    </w:rPr>
                    <w:t>14</w:t>
                  </w:r>
                </w:p>
              </w:tc>
              <w:tc>
                <w:tcPr>
                  <w:tcW w:w="1495" w:type="pct"/>
                  <w:noWrap/>
                  <w:vAlign w:val="center"/>
                </w:tcPr>
                <w:p w14:paraId="72E8E1F1">
                  <w:pPr>
                    <w:jc w:val="center"/>
                    <w:rPr>
                      <w:rFonts w:hint="eastAsia"/>
                      <w:color w:val="auto"/>
                      <w:highlight w:val="none"/>
                    </w:rPr>
                  </w:pPr>
                  <w:r>
                    <w:rPr>
                      <w:rFonts w:hint="eastAsia"/>
                      <w:highlight w:val="none"/>
                      <w:lang w:val="en-US" w:eastAsia="zh-CN"/>
                    </w:rPr>
                    <w:t>回用水管道</w:t>
                  </w:r>
                </w:p>
              </w:tc>
              <w:tc>
                <w:tcPr>
                  <w:tcW w:w="1495" w:type="pct"/>
                  <w:noWrap/>
                  <w:vAlign w:val="center"/>
                </w:tcPr>
                <w:p w14:paraId="43CA7BAC">
                  <w:pPr>
                    <w:pStyle w:val="38"/>
                    <w:rPr>
                      <w:rFonts w:hint="eastAsia" w:eastAsia="宋体"/>
                      <w:color w:val="auto"/>
                      <w:highlight w:val="none"/>
                      <w:lang w:eastAsia="zh-CN"/>
                    </w:rPr>
                  </w:pPr>
                  <w:r>
                    <w:rPr>
                      <w:rFonts w:hint="eastAsia"/>
                      <w:color w:val="auto"/>
                      <w:highlight w:val="none"/>
                    </w:rPr>
                    <w:t>108.497335110</w:t>
                  </w:r>
                  <w:r>
                    <w:rPr>
                      <w:rFonts w:hint="eastAsia"/>
                      <w:color w:val="auto"/>
                      <w:highlight w:val="none"/>
                      <w:lang w:eastAsia="zh-CN"/>
                    </w:rPr>
                    <w:t>，</w:t>
                  </w:r>
                </w:p>
                <w:p w14:paraId="029C2B6E">
                  <w:pPr>
                    <w:pStyle w:val="38"/>
                    <w:rPr>
                      <w:color w:val="auto"/>
                      <w:highlight w:val="none"/>
                    </w:rPr>
                  </w:pPr>
                  <w:r>
                    <w:rPr>
                      <w:rFonts w:hint="eastAsia"/>
                      <w:color w:val="auto"/>
                      <w:highlight w:val="none"/>
                    </w:rPr>
                    <w:t>40.029386684</w:t>
                  </w:r>
                </w:p>
              </w:tc>
              <w:tc>
                <w:tcPr>
                  <w:tcW w:w="1589" w:type="pct"/>
                  <w:noWrap/>
                  <w:vAlign w:val="center"/>
                </w:tcPr>
                <w:p w14:paraId="43E8806A">
                  <w:pPr>
                    <w:pStyle w:val="38"/>
                    <w:rPr>
                      <w:rFonts w:hint="eastAsia" w:eastAsia="宋体"/>
                      <w:color w:val="auto"/>
                      <w:highlight w:val="none"/>
                      <w:lang w:eastAsia="zh-CN"/>
                    </w:rPr>
                  </w:pPr>
                  <w:r>
                    <w:rPr>
                      <w:rFonts w:hint="eastAsia"/>
                      <w:color w:val="auto"/>
                      <w:highlight w:val="none"/>
                    </w:rPr>
                    <w:t>108.499967698</w:t>
                  </w:r>
                  <w:r>
                    <w:rPr>
                      <w:rFonts w:hint="eastAsia"/>
                      <w:color w:val="auto"/>
                      <w:highlight w:val="none"/>
                      <w:lang w:eastAsia="zh-CN"/>
                    </w:rPr>
                    <w:t>，</w:t>
                  </w:r>
                </w:p>
                <w:p w14:paraId="1C12C218">
                  <w:pPr>
                    <w:pStyle w:val="38"/>
                    <w:rPr>
                      <w:color w:val="auto"/>
                      <w:highlight w:val="none"/>
                    </w:rPr>
                  </w:pPr>
                  <w:r>
                    <w:rPr>
                      <w:rFonts w:hint="eastAsia"/>
                      <w:color w:val="auto"/>
                      <w:highlight w:val="none"/>
                    </w:rPr>
                    <w:t>40.026401385</w:t>
                  </w:r>
                </w:p>
              </w:tc>
            </w:tr>
            <w:tr w14:paraId="6ADE1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19" w:type="pct"/>
                  <w:noWrap/>
                  <w:vAlign w:val="center"/>
                </w:tcPr>
                <w:p w14:paraId="34DBA749">
                  <w:pPr>
                    <w:pStyle w:val="38"/>
                    <w:rPr>
                      <w:color w:val="auto"/>
                      <w:highlight w:val="none"/>
                    </w:rPr>
                  </w:pPr>
                  <w:r>
                    <w:rPr>
                      <w:rFonts w:hint="eastAsia"/>
                      <w:color w:val="auto"/>
                      <w:highlight w:val="none"/>
                    </w:rPr>
                    <w:t>15</w:t>
                  </w:r>
                </w:p>
              </w:tc>
              <w:tc>
                <w:tcPr>
                  <w:tcW w:w="1495" w:type="pct"/>
                  <w:noWrap/>
                  <w:vAlign w:val="center"/>
                </w:tcPr>
                <w:p w14:paraId="20FA6CA6">
                  <w:pPr>
                    <w:jc w:val="center"/>
                    <w:rPr>
                      <w:rFonts w:hint="eastAsia"/>
                      <w:color w:val="auto"/>
                      <w:highlight w:val="none"/>
                    </w:rPr>
                  </w:pPr>
                  <w:r>
                    <w:rPr>
                      <w:rFonts w:hint="eastAsia"/>
                      <w:highlight w:val="none"/>
                      <w:lang w:val="en-US" w:eastAsia="zh-CN"/>
                    </w:rPr>
                    <w:t>污水1管道</w:t>
                  </w:r>
                </w:p>
              </w:tc>
              <w:tc>
                <w:tcPr>
                  <w:tcW w:w="1495" w:type="pct"/>
                  <w:noWrap/>
                  <w:vAlign w:val="center"/>
                </w:tcPr>
                <w:p w14:paraId="41F46F64">
                  <w:pPr>
                    <w:pStyle w:val="38"/>
                    <w:rPr>
                      <w:rFonts w:hint="eastAsia" w:eastAsia="宋体"/>
                      <w:color w:val="auto"/>
                      <w:highlight w:val="none"/>
                      <w:lang w:eastAsia="zh-CN"/>
                    </w:rPr>
                  </w:pPr>
                  <w:r>
                    <w:rPr>
                      <w:rFonts w:hint="eastAsia"/>
                      <w:color w:val="auto"/>
                      <w:highlight w:val="none"/>
                    </w:rPr>
                    <w:t>108.499979768</w:t>
                  </w:r>
                  <w:r>
                    <w:rPr>
                      <w:rFonts w:hint="eastAsia"/>
                      <w:color w:val="auto"/>
                      <w:highlight w:val="none"/>
                      <w:lang w:eastAsia="zh-CN"/>
                    </w:rPr>
                    <w:t>，</w:t>
                  </w:r>
                </w:p>
                <w:p w14:paraId="64A0C0A5">
                  <w:pPr>
                    <w:pStyle w:val="38"/>
                    <w:rPr>
                      <w:color w:val="auto"/>
                      <w:highlight w:val="none"/>
                    </w:rPr>
                  </w:pPr>
                  <w:r>
                    <w:rPr>
                      <w:rFonts w:hint="eastAsia"/>
                      <w:color w:val="auto"/>
                      <w:highlight w:val="none"/>
                    </w:rPr>
                    <w:t>40.026426866</w:t>
                  </w:r>
                </w:p>
              </w:tc>
              <w:tc>
                <w:tcPr>
                  <w:tcW w:w="1589" w:type="pct"/>
                  <w:noWrap/>
                  <w:vAlign w:val="center"/>
                </w:tcPr>
                <w:p w14:paraId="6EF8E33D">
                  <w:pPr>
                    <w:pStyle w:val="38"/>
                    <w:rPr>
                      <w:rFonts w:hint="eastAsia" w:eastAsia="宋体"/>
                      <w:color w:val="auto"/>
                      <w:highlight w:val="none"/>
                      <w:lang w:eastAsia="zh-CN"/>
                    </w:rPr>
                  </w:pPr>
                  <w:r>
                    <w:rPr>
                      <w:rFonts w:hint="eastAsia"/>
                      <w:color w:val="auto"/>
                      <w:highlight w:val="none"/>
                    </w:rPr>
                    <w:t>108.499989156</w:t>
                  </w:r>
                  <w:r>
                    <w:rPr>
                      <w:rFonts w:hint="eastAsia"/>
                      <w:color w:val="auto"/>
                      <w:highlight w:val="none"/>
                      <w:lang w:eastAsia="zh-CN"/>
                    </w:rPr>
                    <w:t>，</w:t>
                  </w:r>
                </w:p>
                <w:p w14:paraId="6F98E8E8">
                  <w:pPr>
                    <w:pStyle w:val="38"/>
                    <w:rPr>
                      <w:color w:val="auto"/>
                      <w:highlight w:val="none"/>
                    </w:rPr>
                  </w:pPr>
                  <w:r>
                    <w:rPr>
                      <w:rFonts w:hint="eastAsia"/>
                      <w:color w:val="auto"/>
                      <w:highlight w:val="none"/>
                    </w:rPr>
                    <w:t>40.033291980</w:t>
                  </w:r>
                </w:p>
              </w:tc>
            </w:tr>
            <w:tr w14:paraId="7E8DD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19" w:type="pct"/>
                  <w:noWrap/>
                  <w:vAlign w:val="center"/>
                </w:tcPr>
                <w:p w14:paraId="5FEC6B46">
                  <w:pPr>
                    <w:pStyle w:val="38"/>
                    <w:rPr>
                      <w:color w:val="auto"/>
                      <w:highlight w:val="none"/>
                    </w:rPr>
                  </w:pPr>
                  <w:r>
                    <w:rPr>
                      <w:rFonts w:hint="eastAsia"/>
                      <w:color w:val="auto"/>
                      <w:highlight w:val="none"/>
                    </w:rPr>
                    <w:t>16</w:t>
                  </w:r>
                </w:p>
              </w:tc>
              <w:tc>
                <w:tcPr>
                  <w:tcW w:w="1495" w:type="pct"/>
                  <w:noWrap/>
                  <w:vAlign w:val="center"/>
                </w:tcPr>
                <w:p w14:paraId="376AFCD7">
                  <w:pPr>
                    <w:jc w:val="center"/>
                    <w:rPr>
                      <w:rFonts w:hint="eastAsia"/>
                      <w:color w:val="auto"/>
                      <w:highlight w:val="none"/>
                    </w:rPr>
                  </w:pPr>
                  <w:r>
                    <w:rPr>
                      <w:rFonts w:hint="eastAsia"/>
                      <w:highlight w:val="none"/>
                      <w:lang w:val="en-US" w:eastAsia="zh-CN"/>
                    </w:rPr>
                    <w:t>污水2管道</w:t>
                  </w:r>
                </w:p>
              </w:tc>
              <w:tc>
                <w:tcPr>
                  <w:tcW w:w="1495" w:type="pct"/>
                  <w:noWrap/>
                  <w:vAlign w:val="center"/>
                </w:tcPr>
                <w:p w14:paraId="0A17DFE8">
                  <w:pPr>
                    <w:pStyle w:val="38"/>
                    <w:rPr>
                      <w:rFonts w:hint="eastAsia" w:eastAsia="宋体"/>
                      <w:color w:val="auto"/>
                      <w:highlight w:val="none"/>
                      <w:lang w:eastAsia="zh-CN"/>
                    </w:rPr>
                  </w:pPr>
                  <w:r>
                    <w:rPr>
                      <w:rFonts w:hint="eastAsia"/>
                      <w:color w:val="auto"/>
                      <w:highlight w:val="none"/>
                    </w:rPr>
                    <w:t>108.500033412</w:t>
                  </w:r>
                  <w:r>
                    <w:rPr>
                      <w:rFonts w:hint="eastAsia"/>
                      <w:color w:val="auto"/>
                      <w:highlight w:val="none"/>
                      <w:lang w:eastAsia="zh-CN"/>
                    </w:rPr>
                    <w:t>，</w:t>
                  </w:r>
                </w:p>
                <w:p w14:paraId="3C4C47B2">
                  <w:pPr>
                    <w:pStyle w:val="38"/>
                    <w:rPr>
                      <w:color w:val="auto"/>
                      <w:highlight w:val="none"/>
                    </w:rPr>
                  </w:pPr>
                  <w:r>
                    <w:rPr>
                      <w:rFonts w:hint="eastAsia"/>
                      <w:color w:val="auto"/>
                      <w:highlight w:val="none"/>
                    </w:rPr>
                    <w:t>40.026463076</w:t>
                  </w:r>
                </w:p>
              </w:tc>
              <w:tc>
                <w:tcPr>
                  <w:tcW w:w="1589" w:type="pct"/>
                  <w:noWrap/>
                  <w:vAlign w:val="center"/>
                </w:tcPr>
                <w:p w14:paraId="2E109DC0">
                  <w:pPr>
                    <w:pStyle w:val="38"/>
                    <w:rPr>
                      <w:rFonts w:hint="eastAsia" w:eastAsia="宋体"/>
                      <w:color w:val="auto"/>
                      <w:highlight w:val="none"/>
                      <w:lang w:eastAsia="zh-CN"/>
                    </w:rPr>
                  </w:pPr>
                  <w:r>
                    <w:rPr>
                      <w:rFonts w:hint="eastAsia"/>
                      <w:color w:val="auto"/>
                      <w:highlight w:val="none"/>
                    </w:rPr>
                    <w:t>108.492043112</w:t>
                  </w:r>
                  <w:r>
                    <w:rPr>
                      <w:rFonts w:hint="eastAsia"/>
                      <w:color w:val="auto"/>
                      <w:highlight w:val="none"/>
                      <w:lang w:eastAsia="zh-CN"/>
                    </w:rPr>
                    <w:t>，</w:t>
                  </w:r>
                </w:p>
                <w:p w14:paraId="4FF59844">
                  <w:pPr>
                    <w:pStyle w:val="38"/>
                    <w:rPr>
                      <w:color w:val="auto"/>
                      <w:highlight w:val="none"/>
                    </w:rPr>
                  </w:pPr>
                  <w:r>
                    <w:rPr>
                      <w:rFonts w:hint="eastAsia"/>
                      <w:color w:val="auto"/>
                      <w:highlight w:val="none"/>
                    </w:rPr>
                    <w:t>40.025309726</w:t>
                  </w:r>
                </w:p>
              </w:tc>
            </w:tr>
            <w:tr w14:paraId="317A3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19" w:type="pct"/>
                  <w:noWrap/>
                  <w:vAlign w:val="center"/>
                </w:tcPr>
                <w:p w14:paraId="0F8AF5EE">
                  <w:pPr>
                    <w:pStyle w:val="38"/>
                    <w:rPr>
                      <w:color w:val="auto"/>
                      <w:highlight w:val="none"/>
                    </w:rPr>
                  </w:pPr>
                  <w:r>
                    <w:rPr>
                      <w:rFonts w:hint="eastAsia"/>
                      <w:color w:val="auto"/>
                      <w:highlight w:val="none"/>
                    </w:rPr>
                    <w:t>17</w:t>
                  </w:r>
                </w:p>
              </w:tc>
              <w:tc>
                <w:tcPr>
                  <w:tcW w:w="1495" w:type="pct"/>
                  <w:noWrap/>
                  <w:vAlign w:val="center"/>
                </w:tcPr>
                <w:p w14:paraId="4E62C8C5">
                  <w:pPr>
                    <w:jc w:val="center"/>
                    <w:rPr>
                      <w:rFonts w:hint="eastAsia"/>
                      <w:color w:val="auto"/>
                      <w:highlight w:val="none"/>
                    </w:rPr>
                  </w:pPr>
                  <w:r>
                    <w:rPr>
                      <w:rFonts w:hint="eastAsia"/>
                      <w:highlight w:val="none"/>
                      <w:lang w:val="en-US" w:eastAsia="zh-CN"/>
                    </w:rPr>
                    <w:t>清净废水管道</w:t>
                  </w:r>
                </w:p>
              </w:tc>
              <w:tc>
                <w:tcPr>
                  <w:tcW w:w="1495" w:type="pct"/>
                  <w:noWrap/>
                  <w:vAlign w:val="center"/>
                </w:tcPr>
                <w:p w14:paraId="7C53A72C">
                  <w:pPr>
                    <w:pStyle w:val="38"/>
                    <w:rPr>
                      <w:rFonts w:hint="eastAsia" w:eastAsia="宋体"/>
                      <w:color w:val="auto"/>
                      <w:highlight w:val="none"/>
                      <w:lang w:eastAsia="zh-CN"/>
                    </w:rPr>
                  </w:pPr>
                  <w:r>
                    <w:rPr>
                      <w:rFonts w:hint="eastAsia"/>
                      <w:color w:val="auto"/>
                      <w:highlight w:val="none"/>
                    </w:rPr>
                    <w:t>108.500062917</w:t>
                  </w:r>
                  <w:r>
                    <w:rPr>
                      <w:rFonts w:hint="eastAsia"/>
                      <w:color w:val="auto"/>
                      <w:highlight w:val="none"/>
                      <w:lang w:eastAsia="zh-CN"/>
                    </w:rPr>
                    <w:t>，</w:t>
                  </w:r>
                </w:p>
                <w:p w14:paraId="751C48A1">
                  <w:pPr>
                    <w:pStyle w:val="38"/>
                    <w:rPr>
                      <w:color w:val="auto"/>
                      <w:highlight w:val="none"/>
                    </w:rPr>
                  </w:pPr>
                  <w:r>
                    <w:rPr>
                      <w:rFonts w:hint="eastAsia"/>
                      <w:color w:val="auto"/>
                      <w:highlight w:val="none"/>
                    </w:rPr>
                    <w:t>40.026465758</w:t>
                  </w:r>
                </w:p>
              </w:tc>
              <w:tc>
                <w:tcPr>
                  <w:tcW w:w="1589" w:type="pct"/>
                  <w:noWrap/>
                  <w:vAlign w:val="center"/>
                </w:tcPr>
                <w:p w14:paraId="4619AFAC">
                  <w:pPr>
                    <w:pStyle w:val="38"/>
                    <w:rPr>
                      <w:rFonts w:hint="eastAsia" w:eastAsia="宋体"/>
                      <w:color w:val="auto"/>
                      <w:highlight w:val="none"/>
                      <w:lang w:eastAsia="zh-CN"/>
                    </w:rPr>
                  </w:pPr>
                  <w:r>
                    <w:rPr>
                      <w:rFonts w:hint="eastAsia"/>
                      <w:color w:val="auto"/>
                      <w:highlight w:val="none"/>
                    </w:rPr>
                    <w:t>108.506698702</w:t>
                  </w:r>
                  <w:r>
                    <w:rPr>
                      <w:rFonts w:hint="eastAsia"/>
                      <w:color w:val="auto"/>
                      <w:highlight w:val="none"/>
                      <w:lang w:eastAsia="zh-CN"/>
                    </w:rPr>
                    <w:t>，</w:t>
                  </w:r>
                </w:p>
                <w:p w14:paraId="2EADDF56">
                  <w:pPr>
                    <w:pStyle w:val="38"/>
                    <w:rPr>
                      <w:color w:val="auto"/>
                      <w:highlight w:val="none"/>
                    </w:rPr>
                  </w:pPr>
                  <w:r>
                    <w:rPr>
                      <w:rFonts w:hint="eastAsia"/>
                      <w:color w:val="auto"/>
                      <w:highlight w:val="none"/>
                    </w:rPr>
                    <w:t>40.031352743</w:t>
                  </w:r>
                </w:p>
              </w:tc>
            </w:tr>
            <w:tr w14:paraId="7C59A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19" w:type="pct"/>
                  <w:noWrap/>
                  <w:vAlign w:val="center"/>
                </w:tcPr>
                <w:p w14:paraId="01BE98FB">
                  <w:pPr>
                    <w:pStyle w:val="38"/>
                    <w:rPr>
                      <w:color w:val="auto"/>
                      <w:highlight w:val="none"/>
                    </w:rPr>
                  </w:pPr>
                  <w:r>
                    <w:rPr>
                      <w:rFonts w:hint="eastAsia"/>
                      <w:color w:val="auto"/>
                      <w:highlight w:val="none"/>
                    </w:rPr>
                    <w:t>18</w:t>
                  </w:r>
                </w:p>
              </w:tc>
              <w:tc>
                <w:tcPr>
                  <w:tcW w:w="1495" w:type="pct"/>
                  <w:noWrap/>
                  <w:vAlign w:val="center"/>
                </w:tcPr>
                <w:p w14:paraId="2BB10102">
                  <w:pPr>
                    <w:jc w:val="center"/>
                    <w:rPr>
                      <w:rFonts w:hint="default" w:eastAsia="宋体"/>
                      <w:color w:val="auto"/>
                      <w:highlight w:val="none"/>
                      <w:lang w:val="en-US" w:eastAsia="zh-CN"/>
                    </w:rPr>
                  </w:pPr>
                  <w:r>
                    <w:rPr>
                      <w:rFonts w:hint="eastAsia"/>
                      <w:color w:val="auto"/>
                      <w:highlight w:val="none"/>
                      <w:lang w:val="en-US" w:eastAsia="zh-CN"/>
                    </w:rPr>
                    <w:t>酸性气体</w:t>
                  </w:r>
                  <w:r>
                    <w:rPr>
                      <w:rFonts w:hint="eastAsia"/>
                      <w:highlight w:val="none"/>
                      <w:lang w:val="en-US" w:eastAsia="zh-CN"/>
                    </w:rPr>
                    <w:t>管道</w:t>
                  </w:r>
                </w:p>
              </w:tc>
              <w:tc>
                <w:tcPr>
                  <w:tcW w:w="1495" w:type="pct"/>
                  <w:noWrap/>
                  <w:vAlign w:val="center"/>
                </w:tcPr>
                <w:p w14:paraId="42853C3D">
                  <w:pPr>
                    <w:pStyle w:val="38"/>
                    <w:rPr>
                      <w:rFonts w:hint="eastAsia" w:eastAsia="宋体"/>
                      <w:color w:val="auto"/>
                      <w:highlight w:val="none"/>
                      <w:lang w:eastAsia="zh-CN"/>
                    </w:rPr>
                  </w:pPr>
                  <w:r>
                    <w:rPr>
                      <w:rFonts w:hint="eastAsia"/>
                      <w:color w:val="auto"/>
                      <w:highlight w:val="none"/>
                    </w:rPr>
                    <w:t>108.499952276</w:t>
                  </w:r>
                  <w:r>
                    <w:rPr>
                      <w:rFonts w:hint="eastAsia"/>
                      <w:color w:val="auto"/>
                      <w:highlight w:val="none"/>
                      <w:lang w:eastAsia="zh-CN"/>
                    </w:rPr>
                    <w:t>，</w:t>
                  </w:r>
                </w:p>
                <w:p w14:paraId="59C8C214">
                  <w:pPr>
                    <w:pStyle w:val="38"/>
                    <w:rPr>
                      <w:color w:val="auto"/>
                      <w:highlight w:val="none"/>
                    </w:rPr>
                  </w:pPr>
                  <w:r>
                    <w:rPr>
                      <w:rFonts w:hint="eastAsia"/>
                      <w:color w:val="auto"/>
                      <w:highlight w:val="none"/>
                    </w:rPr>
                    <w:t>40.026383280</w:t>
                  </w:r>
                </w:p>
              </w:tc>
              <w:tc>
                <w:tcPr>
                  <w:tcW w:w="1589" w:type="pct"/>
                  <w:noWrap/>
                  <w:vAlign w:val="center"/>
                </w:tcPr>
                <w:p w14:paraId="4792DF40">
                  <w:pPr>
                    <w:pStyle w:val="38"/>
                    <w:rPr>
                      <w:rFonts w:hint="eastAsia" w:eastAsia="宋体"/>
                      <w:color w:val="auto"/>
                      <w:highlight w:val="none"/>
                      <w:lang w:eastAsia="zh-CN"/>
                    </w:rPr>
                  </w:pPr>
                  <w:r>
                    <w:rPr>
                      <w:rFonts w:hint="eastAsia"/>
                      <w:color w:val="auto"/>
                      <w:highlight w:val="none"/>
                    </w:rPr>
                    <w:t>108.493794595</w:t>
                  </w:r>
                  <w:r>
                    <w:rPr>
                      <w:rFonts w:hint="eastAsia"/>
                      <w:color w:val="auto"/>
                      <w:highlight w:val="none"/>
                      <w:lang w:eastAsia="zh-CN"/>
                    </w:rPr>
                    <w:t>，</w:t>
                  </w:r>
                </w:p>
                <w:p w14:paraId="5933B564">
                  <w:pPr>
                    <w:pStyle w:val="38"/>
                    <w:rPr>
                      <w:color w:val="auto"/>
                      <w:highlight w:val="none"/>
                    </w:rPr>
                  </w:pPr>
                  <w:r>
                    <w:rPr>
                      <w:rFonts w:hint="eastAsia"/>
                      <w:color w:val="auto"/>
                      <w:highlight w:val="none"/>
                    </w:rPr>
                    <w:t>40.026864066</w:t>
                  </w:r>
                </w:p>
              </w:tc>
            </w:tr>
            <w:tr w14:paraId="2D7D5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19" w:type="pct"/>
                  <w:noWrap/>
                  <w:vAlign w:val="center"/>
                </w:tcPr>
                <w:p w14:paraId="18DDA855">
                  <w:pPr>
                    <w:pStyle w:val="38"/>
                    <w:rPr>
                      <w:color w:val="auto"/>
                      <w:highlight w:val="none"/>
                    </w:rPr>
                  </w:pPr>
                  <w:r>
                    <w:rPr>
                      <w:rFonts w:hint="eastAsia"/>
                      <w:color w:val="auto"/>
                      <w:highlight w:val="none"/>
                    </w:rPr>
                    <w:t>19</w:t>
                  </w:r>
                </w:p>
              </w:tc>
              <w:tc>
                <w:tcPr>
                  <w:tcW w:w="1495" w:type="pct"/>
                  <w:noWrap/>
                  <w:vAlign w:val="center"/>
                </w:tcPr>
                <w:p w14:paraId="0EBDA626">
                  <w:pPr>
                    <w:jc w:val="center"/>
                    <w:rPr>
                      <w:rFonts w:hint="eastAsia"/>
                      <w:color w:val="auto"/>
                      <w:highlight w:val="none"/>
                    </w:rPr>
                  </w:pPr>
                  <w:r>
                    <w:rPr>
                      <w:rFonts w:hint="eastAsia"/>
                      <w:highlight w:val="none"/>
                      <w:lang w:val="en-US" w:eastAsia="zh-CN"/>
                    </w:rPr>
                    <w:t>冷冻来水管道</w:t>
                  </w:r>
                </w:p>
              </w:tc>
              <w:tc>
                <w:tcPr>
                  <w:tcW w:w="1495" w:type="pct"/>
                  <w:noWrap/>
                  <w:vAlign w:val="center"/>
                </w:tcPr>
                <w:p w14:paraId="3D73C60D">
                  <w:pPr>
                    <w:pStyle w:val="38"/>
                    <w:rPr>
                      <w:rFonts w:hint="eastAsia" w:eastAsia="宋体"/>
                      <w:color w:val="auto"/>
                      <w:highlight w:val="none"/>
                      <w:lang w:eastAsia="zh-CN"/>
                    </w:rPr>
                  </w:pPr>
                  <w:r>
                    <w:rPr>
                      <w:rFonts w:hint="eastAsia"/>
                      <w:color w:val="auto"/>
                      <w:highlight w:val="none"/>
                    </w:rPr>
                    <w:t>108.494813834</w:t>
                  </w:r>
                  <w:r>
                    <w:rPr>
                      <w:rFonts w:hint="eastAsia"/>
                      <w:color w:val="auto"/>
                      <w:highlight w:val="none"/>
                      <w:lang w:eastAsia="zh-CN"/>
                    </w:rPr>
                    <w:t>，</w:t>
                  </w:r>
                </w:p>
                <w:p w14:paraId="5638D785">
                  <w:pPr>
                    <w:pStyle w:val="38"/>
                    <w:rPr>
                      <w:color w:val="auto"/>
                      <w:highlight w:val="none"/>
                    </w:rPr>
                  </w:pPr>
                  <w:r>
                    <w:rPr>
                      <w:rFonts w:hint="eastAsia"/>
                      <w:color w:val="auto"/>
                      <w:highlight w:val="none"/>
                    </w:rPr>
                    <w:t>40.030427381</w:t>
                  </w:r>
                </w:p>
              </w:tc>
              <w:tc>
                <w:tcPr>
                  <w:tcW w:w="1589" w:type="pct"/>
                  <w:noWrap/>
                  <w:vAlign w:val="center"/>
                </w:tcPr>
                <w:p w14:paraId="453F0500">
                  <w:pPr>
                    <w:pStyle w:val="38"/>
                    <w:rPr>
                      <w:rFonts w:hint="eastAsia" w:eastAsia="宋体"/>
                      <w:color w:val="auto"/>
                      <w:highlight w:val="none"/>
                      <w:lang w:eastAsia="zh-CN"/>
                    </w:rPr>
                  </w:pPr>
                  <w:r>
                    <w:rPr>
                      <w:rFonts w:hint="eastAsia"/>
                      <w:color w:val="auto"/>
                      <w:highlight w:val="none"/>
                    </w:rPr>
                    <w:t>108.499947582</w:t>
                  </w:r>
                  <w:r>
                    <w:rPr>
                      <w:rFonts w:hint="eastAsia"/>
                      <w:color w:val="auto"/>
                      <w:highlight w:val="none"/>
                      <w:lang w:eastAsia="zh-CN"/>
                    </w:rPr>
                    <w:t>，</w:t>
                  </w:r>
                </w:p>
                <w:p w14:paraId="77EAE1D4">
                  <w:pPr>
                    <w:pStyle w:val="38"/>
                    <w:rPr>
                      <w:color w:val="auto"/>
                      <w:highlight w:val="none"/>
                    </w:rPr>
                  </w:pPr>
                  <w:r>
                    <w:rPr>
                      <w:rFonts w:hint="eastAsia"/>
                      <w:color w:val="auto"/>
                      <w:highlight w:val="none"/>
                    </w:rPr>
                    <w:t>40.026383951</w:t>
                  </w:r>
                </w:p>
              </w:tc>
            </w:tr>
            <w:tr w14:paraId="3A322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19" w:type="pct"/>
                  <w:noWrap/>
                  <w:vAlign w:val="center"/>
                </w:tcPr>
                <w:p w14:paraId="16723960">
                  <w:pPr>
                    <w:pStyle w:val="38"/>
                    <w:rPr>
                      <w:color w:val="auto"/>
                      <w:highlight w:val="none"/>
                    </w:rPr>
                  </w:pPr>
                  <w:r>
                    <w:rPr>
                      <w:rFonts w:hint="eastAsia"/>
                      <w:color w:val="auto"/>
                      <w:highlight w:val="none"/>
                    </w:rPr>
                    <w:t>20</w:t>
                  </w:r>
                </w:p>
              </w:tc>
              <w:tc>
                <w:tcPr>
                  <w:tcW w:w="1495" w:type="pct"/>
                  <w:noWrap/>
                  <w:vAlign w:val="center"/>
                </w:tcPr>
                <w:p w14:paraId="21B0797F">
                  <w:pPr>
                    <w:jc w:val="center"/>
                    <w:rPr>
                      <w:rFonts w:hint="eastAsia"/>
                      <w:color w:val="auto"/>
                      <w:highlight w:val="none"/>
                    </w:rPr>
                  </w:pPr>
                  <w:r>
                    <w:rPr>
                      <w:rFonts w:hint="eastAsia"/>
                      <w:highlight w:val="none"/>
                      <w:lang w:val="en-US" w:eastAsia="zh-CN"/>
                    </w:rPr>
                    <w:t>冷冻回水管道</w:t>
                  </w:r>
                </w:p>
              </w:tc>
              <w:tc>
                <w:tcPr>
                  <w:tcW w:w="1495" w:type="pct"/>
                  <w:noWrap/>
                  <w:vAlign w:val="center"/>
                </w:tcPr>
                <w:p w14:paraId="440E97C9">
                  <w:pPr>
                    <w:pStyle w:val="38"/>
                    <w:rPr>
                      <w:rFonts w:hint="eastAsia" w:eastAsia="宋体"/>
                      <w:color w:val="auto"/>
                      <w:highlight w:val="none"/>
                      <w:lang w:eastAsia="zh-CN"/>
                    </w:rPr>
                  </w:pPr>
                  <w:r>
                    <w:rPr>
                      <w:rFonts w:hint="eastAsia"/>
                      <w:color w:val="auto"/>
                      <w:highlight w:val="none"/>
                    </w:rPr>
                    <w:t>108.499938194</w:t>
                  </w:r>
                  <w:r>
                    <w:rPr>
                      <w:rFonts w:hint="eastAsia"/>
                      <w:color w:val="auto"/>
                      <w:highlight w:val="none"/>
                      <w:lang w:eastAsia="zh-CN"/>
                    </w:rPr>
                    <w:t>，</w:t>
                  </w:r>
                </w:p>
                <w:p w14:paraId="6FCEFE00">
                  <w:pPr>
                    <w:pStyle w:val="38"/>
                    <w:rPr>
                      <w:color w:val="auto"/>
                      <w:highlight w:val="none"/>
                    </w:rPr>
                  </w:pPr>
                  <w:r>
                    <w:rPr>
                      <w:rFonts w:hint="eastAsia"/>
                      <w:color w:val="auto"/>
                      <w:highlight w:val="none"/>
                    </w:rPr>
                    <w:t>40.026381268</w:t>
                  </w:r>
                </w:p>
              </w:tc>
              <w:tc>
                <w:tcPr>
                  <w:tcW w:w="1589" w:type="pct"/>
                  <w:noWrap/>
                  <w:vAlign w:val="center"/>
                </w:tcPr>
                <w:p w14:paraId="78543E77">
                  <w:pPr>
                    <w:pStyle w:val="38"/>
                    <w:rPr>
                      <w:rFonts w:hint="eastAsia" w:eastAsia="宋体"/>
                      <w:color w:val="auto"/>
                      <w:highlight w:val="none"/>
                      <w:lang w:eastAsia="zh-CN"/>
                    </w:rPr>
                  </w:pPr>
                  <w:r>
                    <w:rPr>
                      <w:rFonts w:hint="eastAsia"/>
                      <w:color w:val="auto"/>
                      <w:highlight w:val="none"/>
                    </w:rPr>
                    <w:t>108.494823222</w:t>
                  </w:r>
                  <w:r>
                    <w:rPr>
                      <w:rFonts w:hint="eastAsia"/>
                      <w:color w:val="auto"/>
                      <w:highlight w:val="none"/>
                      <w:lang w:eastAsia="zh-CN"/>
                    </w:rPr>
                    <w:t>，</w:t>
                  </w:r>
                </w:p>
                <w:p w14:paraId="6B2B965E">
                  <w:pPr>
                    <w:pStyle w:val="38"/>
                    <w:rPr>
                      <w:color w:val="auto"/>
                      <w:highlight w:val="none"/>
                    </w:rPr>
                  </w:pPr>
                  <w:r>
                    <w:rPr>
                      <w:rFonts w:hint="eastAsia"/>
                      <w:color w:val="auto"/>
                      <w:highlight w:val="none"/>
                    </w:rPr>
                    <w:t>40.030434086</w:t>
                  </w:r>
                </w:p>
              </w:tc>
            </w:tr>
            <w:tr w14:paraId="42A55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19" w:type="pct"/>
                  <w:noWrap/>
                  <w:vAlign w:val="center"/>
                </w:tcPr>
                <w:p w14:paraId="2499D768">
                  <w:pPr>
                    <w:pStyle w:val="38"/>
                    <w:rPr>
                      <w:color w:val="auto"/>
                      <w:highlight w:val="none"/>
                    </w:rPr>
                  </w:pPr>
                  <w:r>
                    <w:rPr>
                      <w:rFonts w:hint="eastAsia"/>
                      <w:color w:val="auto"/>
                      <w:highlight w:val="none"/>
                    </w:rPr>
                    <w:t>21</w:t>
                  </w:r>
                </w:p>
              </w:tc>
              <w:tc>
                <w:tcPr>
                  <w:tcW w:w="1495" w:type="pct"/>
                  <w:noWrap/>
                  <w:vAlign w:val="center"/>
                </w:tcPr>
                <w:p w14:paraId="25862FC9">
                  <w:pPr>
                    <w:jc w:val="center"/>
                    <w:rPr>
                      <w:rFonts w:hint="eastAsia"/>
                      <w:color w:val="auto"/>
                      <w:highlight w:val="none"/>
                    </w:rPr>
                  </w:pPr>
                  <w:r>
                    <w:rPr>
                      <w:rFonts w:hint="eastAsia"/>
                      <w:highlight w:val="none"/>
                      <w:lang w:val="en-US" w:eastAsia="zh-CN"/>
                    </w:rPr>
                    <w:t>富甲烷气管道</w:t>
                  </w:r>
                </w:p>
              </w:tc>
              <w:tc>
                <w:tcPr>
                  <w:tcW w:w="1495" w:type="pct"/>
                  <w:noWrap/>
                  <w:vAlign w:val="center"/>
                </w:tcPr>
                <w:p w14:paraId="541D7D84">
                  <w:pPr>
                    <w:pStyle w:val="38"/>
                    <w:rPr>
                      <w:rFonts w:hint="eastAsia" w:eastAsia="宋体"/>
                      <w:color w:val="auto"/>
                      <w:highlight w:val="none"/>
                      <w:lang w:eastAsia="zh-CN"/>
                    </w:rPr>
                  </w:pPr>
                  <w:r>
                    <w:rPr>
                      <w:rFonts w:hint="eastAsia"/>
                      <w:color w:val="auto"/>
                      <w:highlight w:val="none"/>
                    </w:rPr>
                    <w:t>108.499991838</w:t>
                  </w:r>
                  <w:r>
                    <w:rPr>
                      <w:rFonts w:hint="eastAsia"/>
                      <w:color w:val="auto"/>
                      <w:highlight w:val="none"/>
                      <w:lang w:eastAsia="zh-CN"/>
                    </w:rPr>
                    <w:t>，</w:t>
                  </w:r>
                </w:p>
                <w:p w14:paraId="27FAA922">
                  <w:pPr>
                    <w:pStyle w:val="38"/>
                    <w:rPr>
                      <w:color w:val="auto"/>
                      <w:highlight w:val="none"/>
                    </w:rPr>
                  </w:pPr>
                  <w:r>
                    <w:rPr>
                      <w:rFonts w:hint="eastAsia"/>
                      <w:color w:val="auto"/>
                      <w:highlight w:val="none"/>
                    </w:rPr>
                    <w:t>40.026434913</w:t>
                  </w:r>
                </w:p>
              </w:tc>
              <w:tc>
                <w:tcPr>
                  <w:tcW w:w="1589" w:type="pct"/>
                  <w:noWrap/>
                  <w:vAlign w:val="center"/>
                </w:tcPr>
                <w:p w14:paraId="25CA5C94">
                  <w:pPr>
                    <w:pStyle w:val="38"/>
                    <w:rPr>
                      <w:rFonts w:hint="eastAsia" w:eastAsia="宋体"/>
                      <w:color w:val="auto"/>
                      <w:highlight w:val="none"/>
                      <w:lang w:eastAsia="zh-CN"/>
                    </w:rPr>
                  </w:pPr>
                  <w:r>
                    <w:rPr>
                      <w:rFonts w:hint="eastAsia"/>
                      <w:color w:val="auto"/>
                      <w:highlight w:val="none"/>
                    </w:rPr>
                    <w:t>108.496687025</w:t>
                  </w:r>
                  <w:r>
                    <w:rPr>
                      <w:rFonts w:hint="eastAsia"/>
                      <w:color w:val="auto"/>
                      <w:highlight w:val="none"/>
                      <w:lang w:eastAsia="zh-CN"/>
                    </w:rPr>
                    <w:t>，</w:t>
                  </w:r>
                </w:p>
                <w:p w14:paraId="1AF0B80D">
                  <w:pPr>
                    <w:pStyle w:val="38"/>
                    <w:rPr>
                      <w:color w:val="auto"/>
                      <w:highlight w:val="none"/>
                    </w:rPr>
                  </w:pPr>
                  <w:r>
                    <w:rPr>
                      <w:rFonts w:hint="eastAsia"/>
                      <w:color w:val="auto"/>
                      <w:highlight w:val="none"/>
                    </w:rPr>
                    <w:t>40.027827582</w:t>
                  </w:r>
                </w:p>
              </w:tc>
            </w:tr>
            <w:tr w14:paraId="6517A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19" w:type="pct"/>
                  <w:noWrap/>
                  <w:vAlign w:val="center"/>
                </w:tcPr>
                <w:p w14:paraId="70B4DA10">
                  <w:pPr>
                    <w:pStyle w:val="38"/>
                    <w:rPr>
                      <w:color w:val="auto"/>
                      <w:highlight w:val="none"/>
                    </w:rPr>
                  </w:pPr>
                  <w:r>
                    <w:rPr>
                      <w:rFonts w:hint="eastAsia"/>
                      <w:color w:val="auto"/>
                      <w:highlight w:val="none"/>
                    </w:rPr>
                    <w:t>22</w:t>
                  </w:r>
                </w:p>
              </w:tc>
              <w:tc>
                <w:tcPr>
                  <w:tcW w:w="1495" w:type="pct"/>
                  <w:noWrap/>
                  <w:vAlign w:val="center"/>
                </w:tcPr>
                <w:p w14:paraId="7F8C1C89">
                  <w:pPr>
                    <w:jc w:val="center"/>
                    <w:rPr>
                      <w:rFonts w:hint="eastAsia"/>
                      <w:color w:val="auto"/>
                      <w:highlight w:val="none"/>
                    </w:rPr>
                  </w:pPr>
                  <w:r>
                    <w:rPr>
                      <w:rFonts w:hint="eastAsia"/>
                      <w:highlight w:val="none"/>
                      <w:lang w:val="en-US" w:eastAsia="zh-CN"/>
                    </w:rPr>
                    <w:t>真空泵尾气管道</w:t>
                  </w:r>
                </w:p>
              </w:tc>
              <w:tc>
                <w:tcPr>
                  <w:tcW w:w="1495" w:type="pct"/>
                  <w:noWrap/>
                  <w:vAlign w:val="center"/>
                </w:tcPr>
                <w:p w14:paraId="7F359343">
                  <w:pPr>
                    <w:pStyle w:val="38"/>
                    <w:rPr>
                      <w:rFonts w:hint="eastAsia" w:eastAsia="宋体"/>
                      <w:color w:val="auto"/>
                      <w:highlight w:val="none"/>
                      <w:lang w:eastAsia="zh-CN"/>
                    </w:rPr>
                  </w:pPr>
                  <w:r>
                    <w:rPr>
                      <w:rFonts w:hint="eastAsia"/>
                      <w:color w:val="auto"/>
                      <w:highlight w:val="none"/>
                    </w:rPr>
                    <w:t>108.499971722</w:t>
                  </w:r>
                  <w:r>
                    <w:rPr>
                      <w:rFonts w:hint="eastAsia"/>
                      <w:color w:val="auto"/>
                      <w:highlight w:val="none"/>
                      <w:lang w:eastAsia="zh-CN"/>
                    </w:rPr>
                    <w:t>，</w:t>
                  </w:r>
                </w:p>
                <w:p w14:paraId="4EBAE840">
                  <w:pPr>
                    <w:pStyle w:val="38"/>
                    <w:rPr>
                      <w:color w:val="auto"/>
                      <w:highlight w:val="none"/>
                    </w:rPr>
                  </w:pPr>
                  <w:r>
                    <w:rPr>
                      <w:rFonts w:hint="eastAsia"/>
                      <w:color w:val="auto"/>
                      <w:highlight w:val="none"/>
                    </w:rPr>
                    <w:t>40.026381268</w:t>
                  </w:r>
                </w:p>
              </w:tc>
              <w:tc>
                <w:tcPr>
                  <w:tcW w:w="1589" w:type="pct"/>
                  <w:noWrap/>
                  <w:vAlign w:val="center"/>
                </w:tcPr>
                <w:p w14:paraId="2BBD64EE">
                  <w:pPr>
                    <w:pStyle w:val="38"/>
                    <w:rPr>
                      <w:rFonts w:hint="eastAsia" w:eastAsia="宋体"/>
                      <w:color w:val="auto"/>
                      <w:highlight w:val="none"/>
                      <w:lang w:eastAsia="zh-CN"/>
                    </w:rPr>
                  </w:pPr>
                  <w:r>
                    <w:rPr>
                      <w:rFonts w:hint="eastAsia"/>
                      <w:color w:val="auto"/>
                      <w:highlight w:val="none"/>
                    </w:rPr>
                    <w:t>108.492898737</w:t>
                  </w:r>
                  <w:r>
                    <w:rPr>
                      <w:rFonts w:hint="eastAsia"/>
                      <w:color w:val="auto"/>
                      <w:highlight w:val="none"/>
                      <w:lang w:eastAsia="zh-CN"/>
                    </w:rPr>
                    <w:t>，</w:t>
                  </w:r>
                </w:p>
                <w:p w14:paraId="06BFC5FF">
                  <w:pPr>
                    <w:pStyle w:val="38"/>
                    <w:rPr>
                      <w:color w:val="auto"/>
                      <w:highlight w:val="none"/>
                    </w:rPr>
                  </w:pPr>
                  <w:r>
                    <w:rPr>
                      <w:rFonts w:hint="eastAsia"/>
                      <w:color w:val="auto"/>
                      <w:highlight w:val="none"/>
                    </w:rPr>
                    <w:t>40.027483656</w:t>
                  </w:r>
                </w:p>
              </w:tc>
            </w:tr>
            <w:tr w14:paraId="59205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419" w:type="pct"/>
                  <w:noWrap/>
                  <w:vAlign w:val="center"/>
                </w:tcPr>
                <w:p w14:paraId="24E5583F">
                  <w:pPr>
                    <w:pStyle w:val="38"/>
                    <w:rPr>
                      <w:color w:val="auto"/>
                      <w:highlight w:val="none"/>
                    </w:rPr>
                  </w:pPr>
                  <w:r>
                    <w:rPr>
                      <w:rFonts w:hint="eastAsia"/>
                      <w:color w:val="auto"/>
                      <w:highlight w:val="none"/>
                    </w:rPr>
                    <w:t>23</w:t>
                  </w:r>
                </w:p>
              </w:tc>
              <w:tc>
                <w:tcPr>
                  <w:tcW w:w="1495" w:type="pct"/>
                  <w:noWrap/>
                  <w:vAlign w:val="center"/>
                </w:tcPr>
                <w:p w14:paraId="259B64A8">
                  <w:pPr>
                    <w:jc w:val="center"/>
                    <w:rPr>
                      <w:rFonts w:hint="eastAsia"/>
                      <w:color w:val="auto"/>
                      <w:highlight w:val="none"/>
                    </w:rPr>
                  </w:pPr>
                  <w:r>
                    <w:rPr>
                      <w:rFonts w:hint="eastAsia"/>
                      <w:highlight w:val="none"/>
                      <w:lang w:val="en-US" w:eastAsia="zh-CN"/>
                    </w:rPr>
                    <w:t>CO</w:t>
                  </w:r>
                  <w:r>
                    <w:rPr>
                      <w:rFonts w:hint="eastAsia"/>
                      <w:highlight w:val="none"/>
                      <w:vertAlign w:val="subscript"/>
                      <w:lang w:val="en-US" w:eastAsia="zh-CN"/>
                    </w:rPr>
                    <w:t>2</w:t>
                  </w:r>
                  <w:r>
                    <w:rPr>
                      <w:rFonts w:hint="eastAsia"/>
                      <w:highlight w:val="none"/>
                      <w:lang w:val="en-US" w:eastAsia="zh-CN"/>
                    </w:rPr>
                    <w:t>管线管道</w:t>
                  </w:r>
                </w:p>
              </w:tc>
              <w:tc>
                <w:tcPr>
                  <w:tcW w:w="1495" w:type="pct"/>
                  <w:noWrap/>
                  <w:vAlign w:val="center"/>
                </w:tcPr>
                <w:p w14:paraId="66DDBBA5">
                  <w:pPr>
                    <w:pStyle w:val="38"/>
                    <w:rPr>
                      <w:rFonts w:hint="eastAsia" w:eastAsia="宋体"/>
                      <w:color w:val="auto"/>
                      <w:highlight w:val="none"/>
                      <w:lang w:eastAsia="zh-CN"/>
                    </w:rPr>
                  </w:pPr>
                  <w:r>
                    <w:rPr>
                      <w:rFonts w:hint="eastAsia"/>
                      <w:color w:val="auto"/>
                      <w:highlight w:val="none"/>
                    </w:rPr>
                    <w:t>108.498960529</w:t>
                  </w:r>
                  <w:r>
                    <w:rPr>
                      <w:rFonts w:hint="eastAsia"/>
                      <w:color w:val="auto"/>
                      <w:highlight w:val="none"/>
                      <w:lang w:eastAsia="zh-CN"/>
                    </w:rPr>
                    <w:t>，</w:t>
                  </w:r>
                </w:p>
                <w:p w14:paraId="6BC9A418">
                  <w:pPr>
                    <w:pStyle w:val="38"/>
                    <w:rPr>
                      <w:color w:val="auto"/>
                      <w:highlight w:val="none"/>
                    </w:rPr>
                  </w:pPr>
                  <w:r>
                    <w:rPr>
                      <w:rFonts w:hint="eastAsia"/>
                      <w:color w:val="auto"/>
                      <w:highlight w:val="none"/>
                    </w:rPr>
                    <w:t>40.027934267</w:t>
                  </w:r>
                </w:p>
              </w:tc>
              <w:tc>
                <w:tcPr>
                  <w:tcW w:w="1589" w:type="pct"/>
                  <w:noWrap/>
                  <w:vAlign w:val="center"/>
                </w:tcPr>
                <w:p w14:paraId="5136965F">
                  <w:pPr>
                    <w:pStyle w:val="38"/>
                    <w:rPr>
                      <w:rFonts w:hint="eastAsia" w:eastAsia="宋体"/>
                      <w:color w:val="auto"/>
                      <w:highlight w:val="none"/>
                      <w:lang w:eastAsia="zh-CN"/>
                    </w:rPr>
                  </w:pPr>
                  <w:r>
                    <w:rPr>
                      <w:rFonts w:hint="eastAsia"/>
                      <w:color w:val="auto"/>
                      <w:highlight w:val="none"/>
                    </w:rPr>
                    <w:t>108.499970381</w:t>
                  </w:r>
                  <w:r>
                    <w:rPr>
                      <w:rFonts w:hint="eastAsia"/>
                      <w:color w:val="auto"/>
                      <w:highlight w:val="none"/>
                      <w:lang w:eastAsia="zh-CN"/>
                    </w:rPr>
                    <w:t>，</w:t>
                  </w:r>
                </w:p>
                <w:p w14:paraId="0BA52A31">
                  <w:pPr>
                    <w:pStyle w:val="38"/>
                    <w:rPr>
                      <w:color w:val="auto"/>
                      <w:highlight w:val="none"/>
                    </w:rPr>
                  </w:pPr>
                  <w:r>
                    <w:rPr>
                      <w:rFonts w:hint="eastAsia"/>
                      <w:color w:val="auto"/>
                      <w:highlight w:val="none"/>
                    </w:rPr>
                    <w:t>40.026416137</w:t>
                  </w:r>
                </w:p>
              </w:tc>
            </w:tr>
          </w:tbl>
          <w:p w14:paraId="4C302731">
            <w:pPr>
              <w:adjustRightInd w:val="0"/>
              <w:snapToGrid w:val="0"/>
              <w:spacing w:line="360" w:lineRule="auto"/>
              <w:jc w:val="center"/>
              <w:rPr>
                <w:rFonts w:hint="eastAsia" w:ascii="Times New Roman" w:hAnsi="Times New Roman" w:eastAsia="宋体" w:cs="Times New Roman"/>
                <w:bCs/>
                <w:sz w:val="24"/>
                <w:highlight w:val="none"/>
                <w:lang w:val="en-US" w:eastAsia="zh-CN"/>
              </w:rPr>
            </w:pPr>
            <w:r>
              <w:rPr>
                <w:highlight w:val="none"/>
              </w:rPr>
              <w:drawing>
                <wp:inline distT="0" distB="0" distL="114300" distR="114300">
                  <wp:extent cx="5107940" cy="3677285"/>
                  <wp:effectExtent l="0" t="0" r="16510" b="18415"/>
                  <wp:docPr id="4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
                          <pic:cNvPicPr>
                            <a:picLocks noChangeAspect="1"/>
                          </pic:cNvPicPr>
                        </pic:nvPicPr>
                        <pic:blipFill>
                          <a:blip r:embed="rId13"/>
                          <a:stretch>
                            <a:fillRect/>
                          </a:stretch>
                        </pic:blipFill>
                        <pic:spPr>
                          <a:xfrm>
                            <a:off x="0" y="0"/>
                            <a:ext cx="5107940" cy="3677285"/>
                          </a:xfrm>
                          <a:prstGeom prst="rect">
                            <a:avLst/>
                          </a:prstGeom>
                          <a:noFill/>
                          <a:ln>
                            <a:noFill/>
                          </a:ln>
                        </pic:spPr>
                      </pic:pic>
                    </a:graphicData>
                  </a:graphic>
                </wp:inline>
              </w:drawing>
            </w:r>
          </w:p>
          <w:p w14:paraId="48DADD96">
            <w:pPr>
              <w:adjustRightInd w:val="0"/>
              <w:snapToGrid w:val="0"/>
              <w:spacing w:line="360" w:lineRule="auto"/>
              <w:jc w:val="center"/>
              <w:rPr>
                <w:rFonts w:hint="eastAsia" w:ascii="宋体" w:hAnsi="宋体" w:eastAsia="宋体" w:cs="宋体"/>
                <w:color w:val="0000FF"/>
                <w:kern w:val="0"/>
                <w:szCs w:val="21"/>
                <w:highlight w:val="none"/>
                <w:lang w:val="en-US" w:eastAsia="zh-CN"/>
              </w:rPr>
            </w:pPr>
            <w:r>
              <w:rPr>
                <w:rFonts w:hint="eastAsia" w:cs="Times New Roman"/>
                <w:b/>
                <w:bCs w:val="0"/>
                <w:sz w:val="21"/>
                <w:szCs w:val="21"/>
                <w:highlight w:val="none"/>
                <w:lang w:val="en-US" w:eastAsia="zh-CN"/>
              </w:rPr>
              <w:t>图2-2   管线走向</w:t>
            </w:r>
          </w:p>
        </w:tc>
      </w:tr>
      <w:tr w14:paraId="603EF8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100" w:hRule="atLeast"/>
          <w:jc w:val="center"/>
        </w:trPr>
        <w:tc>
          <w:tcPr>
            <w:tcW w:w="456" w:type="dxa"/>
            <w:noWrap w:val="0"/>
            <w:vAlign w:val="center"/>
          </w:tcPr>
          <w:p w14:paraId="0DF01045">
            <w:pPr>
              <w:adjustRightInd w:val="0"/>
              <w:snapToGrid w:val="0"/>
              <w:jc w:val="center"/>
              <w:rPr>
                <w:rFonts w:ascii="宋体" w:hAnsi="宋体" w:cs="宋体"/>
                <w:kern w:val="0"/>
                <w:sz w:val="24"/>
                <w:highlight w:val="none"/>
              </w:rPr>
            </w:pPr>
            <w:r>
              <w:rPr>
                <w:rFonts w:hint="eastAsia" w:ascii="宋体" w:hAnsi="宋体" w:cs="宋体"/>
                <w:kern w:val="0"/>
                <w:sz w:val="24"/>
                <w:highlight w:val="none"/>
              </w:rPr>
              <w:t>项目组成及规模</w:t>
            </w:r>
          </w:p>
        </w:tc>
        <w:tc>
          <w:tcPr>
            <w:tcW w:w="8732" w:type="dxa"/>
            <w:noWrap w:val="0"/>
            <w:vAlign w:val="center"/>
          </w:tcPr>
          <w:p w14:paraId="005C14AB">
            <w:pPr>
              <w:numPr>
                <w:ilvl w:val="0"/>
                <w:numId w:val="0"/>
              </w:numPr>
              <w:spacing w:line="360" w:lineRule="auto"/>
              <w:rPr>
                <w:rFonts w:hint="eastAsia"/>
                <w:b/>
                <w:bCs/>
                <w:sz w:val="24"/>
                <w:highlight w:val="none"/>
              </w:rPr>
            </w:pPr>
            <w:r>
              <w:rPr>
                <w:rFonts w:hint="eastAsia"/>
                <w:b/>
                <w:bCs/>
                <w:sz w:val="24"/>
                <w:highlight w:val="none"/>
                <w:lang w:val="en-US" w:eastAsia="zh-CN"/>
              </w:rPr>
              <w:t>1.</w:t>
            </w:r>
            <w:r>
              <w:rPr>
                <w:rFonts w:hint="eastAsia"/>
                <w:b/>
                <w:bCs/>
                <w:sz w:val="24"/>
                <w:highlight w:val="none"/>
              </w:rPr>
              <w:t>项目背景</w:t>
            </w:r>
          </w:p>
          <w:p w14:paraId="7169C7A1">
            <w:pPr>
              <w:numPr>
                <w:ilvl w:val="0"/>
                <w:numId w:val="0"/>
              </w:numPr>
              <w:spacing w:line="360" w:lineRule="auto"/>
              <w:ind w:firstLine="482" w:firstLineChars="200"/>
              <w:rPr>
                <w:rFonts w:hint="default"/>
                <w:b/>
                <w:bCs/>
                <w:sz w:val="24"/>
                <w:highlight w:val="none"/>
                <w:lang w:val="en-US"/>
              </w:rPr>
            </w:pPr>
            <w:r>
              <w:rPr>
                <w:rFonts w:hint="eastAsia"/>
                <w:b/>
                <w:bCs/>
                <w:sz w:val="24"/>
                <w:highlight w:val="none"/>
                <w:lang w:eastAsia="zh-CN"/>
              </w:rPr>
              <w:t>（</w:t>
            </w:r>
            <w:r>
              <w:rPr>
                <w:rFonts w:hint="eastAsia"/>
                <w:b/>
                <w:bCs/>
                <w:sz w:val="24"/>
                <w:highlight w:val="none"/>
                <w:lang w:val="en-US" w:eastAsia="zh-CN"/>
              </w:rPr>
              <w:t>1</w:t>
            </w:r>
            <w:r>
              <w:rPr>
                <w:rFonts w:hint="eastAsia"/>
                <w:b/>
                <w:bCs/>
                <w:sz w:val="24"/>
                <w:highlight w:val="none"/>
                <w:lang w:eastAsia="zh-CN"/>
              </w:rPr>
              <w:t>）</w:t>
            </w:r>
            <w:r>
              <w:rPr>
                <w:rFonts w:hint="eastAsia"/>
                <w:b/>
                <w:bCs/>
                <w:sz w:val="24"/>
                <w:highlight w:val="none"/>
                <w:lang w:val="en-US" w:eastAsia="zh-CN"/>
              </w:rPr>
              <w:t>伊泰化工</w:t>
            </w:r>
          </w:p>
          <w:p w14:paraId="2DB95306">
            <w:pPr>
              <w:adjustRightInd w:val="0"/>
              <w:snapToGrid w:val="0"/>
              <w:spacing w:line="360" w:lineRule="auto"/>
              <w:ind w:firstLine="480" w:firstLineChars="200"/>
              <w:jc w:val="left"/>
              <w:rPr>
                <w:rFonts w:hint="eastAsia" w:ascii="Times New Roman" w:hAnsi="Times New Roman" w:eastAsia="宋体" w:cs="Times New Roman"/>
                <w:bCs/>
                <w:sz w:val="24"/>
                <w:highlight w:val="none"/>
                <w:lang w:val="en-US" w:eastAsia="zh-CN"/>
              </w:rPr>
            </w:pPr>
            <w:r>
              <w:rPr>
                <w:rFonts w:hint="eastAsia" w:ascii="Times New Roman" w:hAnsi="Times New Roman" w:eastAsia="宋体" w:cs="Times New Roman"/>
                <w:bCs/>
                <w:sz w:val="24"/>
                <w:highlight w:val="none"/>
                <w:lang w:val="en-US" w:eastAsia="zh-CN"/>
              </w:rPr>
              <w:t>内蒙古伊泰化工有限责任公司成立于2009年，公司位于鄂尔多斯市杭锦旗独贵塔拉工业园区锦泰精细化工园，公司注册资本壹亿元人民币，是隶属于内蒙古伊泰集团有限公司下属的内蒙古伊泰煤炭股份有限公司的全资子公司。</w:t>
            </w:r>
          </w:p>
          <w:p w14:paraId="160F749F">
            <w:pPr>
              <w:adjustRightInd w:val="0"/>
              <w:snapToGrid w:val="0"/>
              <w:spacing w:line="360" w:lineRule="auto"/>
              <w:ind w:firstLine="480" w:firstLineChars="200"/>
              <w:jc w:val="left"/>
              <w:rPr>
                <w:rFonts w:hint="eastAsia" w:ascii="Times New Roman" w:hAnsi="Times New Roman" w:eastAsia="宋体" w:cs="Times New Roman"/>
                <w:bCs/>
                <w:sz w:val="24"/>
                <w:highlight w:val="none"/>
                <w:lang w:val="en-US" w:eastAsia="zh-CN"/>
              </w:rPr>
            </w:pPr>
            <w:r>
              <w:rPr>
                <w:rFonts w:hint="eastAsia" w:ascii="Times New Roman" w:hAnsi="Times New Roman" w:eastAsia="宋体" w:cs="Times New Roman"/>
                <w:bCs/>
                <w:sz w:val="24"/>
                <w:highlight w:val="none"/>
                <w:lang w:val="en-US" w:eastAsia="zh-CN"/>
              </w:rPr>
              <w:t>原鄂尔多斯市环境保护局于2016年12月29日以《内蒙古伊泰化工有限责任公司120万吨/年精细化工项目（变更）环境影响报告书的批复》（鄂环评字〔2016〕162号）对内蒙古伊泰化工有限责任公司120万吨/年精细化工项目（变更）进行批复。</w:t>
            </w:r>
          </w:p>
          <w:p w14:paraId="5744412E">
            <w:pPr>
              <w:adjustRightInd w:val="0"/>
              <w:snapToGrid w:val="0"/>
              <w:spacing w:line="360" w:lineRule="auto"/>
              <w:ind w:firstLine="480" w:firstLineChars="200"/>
              <w:jc w:val="left"/>
              <w:rPr>
                <w:rFonts w:hint="eastAsia" w:ascii="Times New Roman" w:hAnsi="Times New Roman" w:eastAsia="宋体" w:cs="Times New Roman"/>
                <w:bCs/>
                <w:sz w:val="24"/>
                <w:highlight w:val="none"/>
                <w:lang w:val="en-US" w:eastAsia="zh-CN"/>
              </w:rPr>
            </w:pPr>
            <w:r>
              <w:rPr>
                <w:rFonts w:hint="eastAsia" w:ascii="Times New Roman" w:hAnsi="Times New Roman" w:eastAsia="宋体" w:cs="Times New Roman"/>
                <w:bCs/>
                <w:sz w:val="24"/>
                <w:highlight w:val="none"/>
                <w:lang w:val="en-US" w:eastAsia="zh-CN"/>
              </w:rPr>
              <w:t>内蒙古伊泰化工有限责任公司于2017年9月获得《鄂尔多斯市环境保护局关于内蒙古伊泰化工有限责任公司120万吨/年精细化学品示范项目竣工环境保护验收意见的通知》（鄂环监字﹝2017﹞190号）。</w:t>
            </w:r>
          </w:p>
          <w:p w14:paraId="0A1C4E4E">
            <w:pPr>
              <w:adjustRightInd w:val="0"/>
              <w:snapToGrid w:val="0"/>
              <w:spacing w:line="360" w:lineRule="auto"/>
              <w:ind w:firstLine="480" w:firstLineChars="200"/>
              <w:jc w:val="left"/>
              <w:rPr>
                <w:rFonts w:hint="default" w:ascii="Times New Roman" w:hAnsi="Times New Roman" w:eastAsia="宋体" w:cs="Times New Roman"/>
                <w:bCs/>
                <w:sz w:val="24"/>
                <w:highlight w:val="none"/>
                <w:lang w:val="en-US" w:eastAsia="zh-CN"/>
              </w:rPr>
            </w:pPr>
            <w:r>
              <w:rPr>
                <w:rFonts w:ascii="CIDFont" w:hAnsi="CIDFont" w:eastAsia="CIDFont" w:cs="CIDFont"/>
                <w:color w:val="000000"/>
                <w:kern w:val="0"/>
                <w:sz w:val="24"/>
                <w:szCs w:val="24"/>
                <w:highlight w:val="none"/>
                <w:lang w:val="en-US" w:eastAsia="zh-CN" w:bidi="ar"/>
              </w:rPr>
              <w:t>伊</w:t>
            </w:r>
            <w:r>
              <w:rPr>
                <w:rFonts w:hint="eastAsia" w:ascii="Times New Roman" w:hAnsi="Times New Roman" w:eastAsia="宋体" w:cs="Times New Roman"/>
                <w:bCs/>
                <w:sz w:val="24"/>
                <w:highlight w:val="none"/>
                <w:lang w:val="en-US" w:eastAsia="zh-CN"/>
              </w:rPr>
              <w:t>泰化工120万吨/年精细化学品示范项目主要产品为LPG，正构稳定轻烃，1#</w:t>
            </w:r>
            <w:r>
              <w:rPr>
                <w:rFonts w:hint="default" w:ascii="Times New Roman" w:hAnsi="Times New Roman" w:eastAsia="宋体" w:cs="Times New Roman"/>
                <w:bCs/>
                <w:sz w:val="24"/>
                <w:highlight w:val="none"/>
                <w:lang w:val="en-US" w:eastAsia="zh-CN"/>
              </w:rPr>
              <w:t>粗液蜡，稳定轻烃，2#粗液蜡等。产品优点有清洁环保（不含硫</w:t>
            </w:r>
            <w:r>
              <w:rPr>
                <w:rFonts w:hint="eastAsia" w:cs="Times New Roman"/>
                <w:bCs/>
                <w:sz w:val="24"/>
                <w:highlight w:val="none"/>
                <w:lang w:val="en-US" w:eastAsia="zh-CN"/>
              </w:rPr>
              <w:t>、</w:t>
            </w:r>
            <w:r>
              <w:rPr>
                <w:rFonts w:hint="default" w:ascii="Times New Roman" w:hAnsi="Times New Roman" w:eastAsia="宋体" w:cs="Times New Roman"/>
                <w:bCs/>
                <w:sz w:val="24"/>
                <w:highlight w:val="none"/>
                <w:lang w:val="en-US" w:eastAsia="zh-CN"/>
              </w:rPr>
              <w:t>氮</w:t>
            </w:r>
            <w:r>
              <w:rPr>
                <w:rFonts w:hint="eastAsia" w:cs="Times New Roman"/>
                <w:bCs/>
                <w:sz w:val="24"/>
                <w:highlight w:val="none"/>
                <w:lang w:val="en-US" w:eastAsia="zh-CN"/>
              </w:rPr>
              <w:t>、</w:t>
            </w:r>
            <w:r>
              <w:rPr>
                <w:rFonts w:hint="default" w:ascii="Times New Roman" w:hAnsi="Times New Roman" w:eastAsia="宋体" w:cs="Times New Roman"/>
                <w:bCs/>
                <w:sz w:val="24"/>
                <w:highlight w:val="none"/>
                <w:lang w:val="en-US" w:eastAsia="zh-CN"/>
              </w:rPr>
              <w:t>芳烃</w:t>
            </w:r>
            <w:r>
              <w:rPr>
                <w:rFonts w:hint="eastAsia" w:cs="Times New Roman"/>
                <w:bCs/>
                <w:sz w:val="24"/>
                <w:highlight w:val="none"/>
                <w:lang w:val="en-US" w:eastAsia="zh-CN"/>
              </w:rPr>
              <w:t>、</w:t>
            </w:r>
            <w:r>
              <w:rPr>
                <w:rFonts w:hint="default" w:ascii="Times New Roman" w:hAnsi="Times New Roman" w:eastAsia="宋体" w:cs="Times New Roman"/>
                <w:bCs/>
                <w:sz w:val="24"/>
                <w:highlight w:val="none"/>
                <w:lang w:val="en-US" w:eastAsia="zh-CN"/>
              </w:rPr>
              <w:t>重金属等杂质），正构烷烃含量高（90%）以上，轻组分中α-烯烃含量高（55%）以上，重组分中长碳链正构烷烃含量高等特点。质量优良，目标市场可靠，在煤制油行业中也起到了技术引领作用。目前，该示范工程自2017年9月份一次性投料试车成功后，已稳定运行6年，其中煤气化装置采用航天长征6台粉煤加压气化和3台多原料浆水煤浆气化技术生产合成气，共</w:t>
            </w:r>
            <w:r>
              <w:rPr>
                <w:rFonts w:hint="eastAsia" w:cs="Times New Roman"/>
                <w:bCs/>
                <w:sz w:val="24"/>
                <w:highlight w:val="none"/>
                <w:lang w:val="en-US" w:eastAsia="zh-CN"/>
              </w:rPr>
              <w:t>生产</w:t>
            </w:r>
            <w:r>
              <w:rPr>
                <w:rFonts w:hint="default" w:ascii="Times New Roman" w:hAnsi="Times New Roman" w:eastAsia="宋体" w:cs="Times New Roman"/>
                <w:bCs/>
                <w:sz w:val="24"/>
                <w:highlight w:val="none"/>
                <w:lang w:val="en-US" w:eastAsia="zh-CN"/>
              </w:rPr>
              <w:t>71.4万</w:t>
            </w:r>
            <w:r>
              <w:rPr>
                <w:rFonts w:hint="eastAsia" w:ascii="Times New Roman" w:hAnsi="Times New Roman" w:eastAsia="宋体" w:cs="Times New Roman"/>
                <w:bCs/>
                <w:sz w:val="24"/>
                <w:highlight w:val="none"/>
                <w:lang w:val="en-US" w:eastAsia="zh-CN"/>
              </w:rPr>
              <w:t>立方米</w:t>
            </w:r>
            <w:r>
              <w:rPr>
                <w:rFonts w:hint="default" w:ascii="Times New Roman" w:hAnsi="Times New Roman" w:eastAsia="宋体" w:cs="Times New Roman"/>
                <w:bCs/>
                <w:sz w:val="24"/>
                <w:highlight w:val="none"/>
                <w:lang w:val="en-US" w:eastAsia="zh-CN"/>
              </w:rPr>
              <w:t>的有效气，其中航天炉单炉设计能力为10.2万</w:t>
            </w:r>
            <w:r>
              <w:rPr>
                <w:rFonts w:hint="eastAsia" w:ascii="Times New Roman" w:hAnsi="Times New Roman" w:eastAsia="宋体" w:cs="Times New Roman"/>
                <w:bCs/>
                <w:sz w:val="24"/>
                <w:highlight w:val="none"/>
                <w:lang w:val="en-US" w:eastAsia="zh-CN"/>
              </w:rPr>
              <w:t>立方米</w:t>
            </w:r>
            <w:r>
              <w:rPr>
                <w:rFonts w:hint="default" w:ascii="Times New Roman" w:hAnsi="Times New Roman" w:eastAsia="宋体" w:cs="Times New Roman"/>
                <w:bCs/>
                <w:sz w:val="24"/>
                <w:highlight w:val="none"/>
                <w:lang w:val="en-US" w:eastAsia="zh-CN"/>
              </w:rPr>
              <w:t>有效气，6台航天炉合计生产61.2万</w:t>
            </w:r>
            <w:r>
              <w:rPr>
                <w:rFonts w:hint="eastAsia" w:ascii="Times New Roman" w:hAnsi="Times New Roman" w:eastAsia="宋体" w:cs="Times New Roman"/>
                <w:bCs/>
                <w:sz w:val="24"/>
                <w:highlight w:val="none"/>
                <w:lang w:val="en-US" w:eastAsia="zh-CN"/>
              </w:rPr>
              <w:t>立方米</w:t>
            </w:r>
            <w:r>
              <w:rPr>
                <w:rFonts w:hint="default" w:ascii="Times New Roman" w:hAnsi="Times New Roman" w:eastAsia="宋体" w:cs="Times New Roman"/>
                <w:bCs/>
                <w:sz w:val="24"/>
                <w:highlight w:val="none"/>
                <w:lang w:val="en-US" w:eastAsia="zh-CN"/>
              </w:rPr>
              <w:t>有效气。</w:t>
            </w:r>
          </w:p>
          <w:p w14:paraId="454C0726">
            <w:pPr>
              <w:adjustRightInd w:val="0"/>
              <w:snapToGrid w:val="0"/>
              <w:spacing w:line="360" w:lineRule="auto"/>
              <w:ind w:firstLine="480" w:firstLineChars="200"/>
              <w:jc w:val="left"/>
              <w:rPr>
                <w:rFonts w:hint="eastAsia" w:cs="Times New Roman"/>
                <w:bCs/>
                <w:sz w:val="24"/>
                <w:highlight w:val="none"/>
                <w:lang w:val="en-US" w:eastAsia="zh-CN"/>
              </w:rPr>
            </w:pPr>
            <w:r>
              <w:rPr>
                <w:rFonts w:hint="eastAsia" w:ascii="Times New Roman" w:hAnsi="Times New Roman" w:eastAsia="宋体" w:cs="Times New Roman"/>
                <w:bCs/>
                <w:sz w:val="24"/>
                <w:highlight w:val="none"/>
                <w:lang w:val="en-US" w:eastAsia="zh-CN"/>
              </w:rPr>
              <w:t>由于</w:t>
            </w:r>
            <w:r>
              <w:rPr>
                <w:rFonts w:hint="default" w:ascii="Times New Roman" w:hAnsi="Times New Roman" w:eastAsia="宋体" w:cs="Times New Roman"/>
                <w:bCs/>
                <w:sz w:val="24"/>
                <w:highlight w:val="none"/>
                <w:lang w:val="en-US" w:eastAsia="zh-CN"/>
              </w:rPr>
              <w:t>伊泰</w:t>
            </w:r>
            <w:r>
              <w:rPr>
                <w:rFonts w:hint="eastAsia" w:cs="Times New Roman"/>
                <w:bCs/>
                <w:sz w:val="24"/>
                <w:highlight w:val="none"/>
                <w:lang w:val="en-US" w:eastAsia="zh-CN"/>
              </w:rPr>
              <w:t>化工</w:t>
            </w:r>
            <w:r>
              <w:rPr>
                <w:rFonts w:hint="default" w:ascii="Times New Roman" w:hAnsi="Times New Roman" w:eastAsia="宋体" w:cs="Times New Roman"/>
                <w:bCs/>
                <w:sz w:val="24"/>
                <w:highlight w:val="none"/>
                <w:lang w:val="en-US" w:eastAsia="zh-CN"/>
              </w:rPr>
              <w:t>现有</w:t>
            </w:r>
            <w:r>
              <w:rPr>
                <w:rFonts w:hint="eastAsia" w:cs="Times New Roman"/>
                <w:bCs/>
                <w:sz w:val="24"/>
                <w:highlight w:val="none"/>
                <w:lang w:val="en-US" w:eastAsia="zh-CN"/>
              </w:rPr>
              <w:t>工艺</w:t>
            </w:r>
            <w:r>
              <w:rPr>
                <w:rFonts w:hint="default" w:ascii="Times New Roman" w:hAnsi="Times New Roman" w:eastAsia="宋体" w:cs="Times New Roman"/>
                <w:bCs/>
                <w:sz w:val="24"/>
                <w:highlight w:val="none"/>
                <w:lang w:val="en-US" w:eastAsia="zh-CN"/>
              </w:rPr>
              <w:t>原料尾气</w:t>
            </w:r>
            <w:r>
              <w:rPr>
                <w:rFonts w:hint="eastAsia" w:ascii="Times New Roman" w:hAnsi="Times New Roman" w:eastAsia="宋体" w:cs="Times New Roman"/>
                <w:bCs/>
                <w:sz w:val="24"/>
                <w:highlight w:val="none"/>
                <w:lang w:val="en-US" w:eastAsia="zh-CN"/>
              </w:rPr>
              <w:t>、</w:t>
            </w:r>
            <w:r>
              <w:rPr>
                <w:rFonts w:hint="eastAsia" w:cs="Times New Roman"/>
                <w:bCs/>
                <w:sz w:val="24"/>
                <w:highlight w:val="none"/>
                <w:lang w:val="en-US" w:eastAsia="zh-CN"/>
              </w:rPr>
              <w:t>甲烷气</w:t>
            </w:r>
            <w:r>
              <w:rPr>
                <w:rFonts w:hint="eastAsia" w:ascii="Times New Roman" w:hAnsi="Times New Roman" w:eastAsia="宋体" w:cs="Times New Roman"/>
                <w:bCs/>
                <w:sz w:val="24"/>
                <w:highlight w:val="none"/>
                <w:lang w:val="en-US" w:eastAsia="zh-CN"/>
              </w:rPr>
              <w:t>、</w:t>
            </w:r>
            <w:r>
              <w:rPr>
                <w:rFonts w:hint="default" w:ascii="Times New Roman" w:hAnsi="Times New Roman" w:eastAsia="宋体" w:cs="Times New Roman"/>
                <w:bCs/>
                <w:sz w:val="24"/>
                <w:highlight w:val="none"/>
                <w:lang w:val="en-US" w:eastAsia="zh-CN"/>
              </w:rPr>
              <w:t>公用工程</w:t>
            </w:r>
            <w:r>
              <w:rPr>
                <w:rFonts w:hint="eastAsia" w:ascii="Times New Roman" w:hAnsi="Times New Roman" w:eastAsia="宋体" w:cs="Times New Roman"/>
                <w:bCs/>
                <w:sz w:val="24"/>
                <w:highlight w:val="none"/>
                <w:lang w:val="en-US" w:eastAsia="zh-CN"/>
              </w:rPr>
              <w:t>有</w:t>
            </w:r>
            <w:r>
              <w:rPr>
                <w:rFonts w:hint="default" w:ascii="Times New Roman" w:hAnsi="Times New Roman" w:eastAsia="宋体" w:cs="Times New Roman"/>
                <w:bCs/>
                <w:sz w:val="24"/>
                <w:highlight w:val="none"/>
                <w:lang w:val="en-US" w:eastAsia="zh-CN"/>
              </w:rPr>
              <w:t>剩余</w:t>
            </w:r>
            <w:r>
              <w:rPr>
                <w:rFonts w:hint="eastAsia" w:cs="Times New Roman"/>
                <w:bCs/>
                <w:sz w:val="24"/>
                <w:highlight w:val="none"/>
                <w:lang w:val="en-US" w:eastAsia="zh-CN"/>
              </w:rPr>
              <w:t>，</w:t>
            </w:r>
            <w:r>
              <w:rPr>
                <w:rFonts w:hint="eastAsia" w:ascii="Times New Roman" w:hAnsi="Times New Roman" w:eastAsia="宋体" w:cs="Times New Roman"/>
                <w:bCs/>
                <w:sz w:val="24"/>
                <w:highlight w:val="none"/>
                <w:lang w:val="en-US" w:eastAsia="zh-CN"/>
              </w:rPr>
              <w:t>现将剩余</w:t>
            </w:r>
            <w:r>
              <w:rPr>
                <w:rFonts w:hint="eastAsia" w:cs="Times New Roman"/>
                <w:bCs/>
                <w:sz w:val="24"/>
                <w:highlight w:val="none"/>
                <w:lang w:val="en-US" w:eastAsia="zh-CN"/>
              </w:rPr>
              <w:t>量</w:t>
            </w:r>
            <w:r>
              <w:rPr>
                <w:rFonts w:hint="default" w:ascii="Times New Roman" w:hAnsi="Times New Roman" w:eastAsia="宋体" w:cs="Times New Roman"/>
                <w:bCs/>
                <w:sz w:val="24"/>
                <w:highlight w:val="none"/>
                <w:lang w:val="en-US" w:eastAsia="zh-CN"/>
              </w:rPr>
              <w:t>输送至鹏泰生物公司，鹏泰生物公司现有</w:t>
            </w:r>
            <w:r>
              <w:rPr>
                <w:rFonts w:hint="eastAsia" w:cs="Times New Roman"/>
                <w:bCs/>
                <w:sz w:val="24"/>
                <w:highlight w:val="none"/>
                <w:lang w:val="en-US" w:eastAsia="zh-CN"/>
              </w:rPr>
              <w:t>富甲烷</w:t>
            </w:r>
            <w:r>
              <w:rPr>
                <w:rFonts w:hint="default" w:ascii="Times New Roman" w:hAnsi="Times New Roman" w:eastAsia="宋体" w:cs="Times New Roman"/>
                <w:bCs/>
                <w:sz w:val="24"/>
                <w:highlight w:val="none"/>
                <w:lang w:val="en-US" w:eastAsia="zh-CN"/>
              </w:rPr>
              <w:t>气</w:t>
            </w:r>
            <w:r>
              <w:rPr>
                <w:rFonts w:hint="eastAsia" w:cs="Times New Roman"/>
                <w:bCs/>
                <w:sz w:val="24"/>
                <w:highlight w:val="none"/>
                <w:lang w:val="en-US" w:eastAsia="zh-CN"/>
              </w:rPr>
              <w:t>、</w:t>
            </w:r>
            <w:r>
              <w:rPr>
                <w:rFonts w:hint="default" w:ascii="Times New Roman" w:hAnsi="Times New Roman" w:eastAsia="宋体" w:cs="Times New Roman"/>
                <w:bCs/>
                <w:sz w:val="24"/>
                <w:highlight w:val="none"/>
                <w:lang w:val="en-US" w:eastAsia="zh-CN"/>
              </w:rPr>
              <w:t>火炬气</w:t>
            </w:r>
            <w:r>
              <w:rPr>
                <w:rFonts w:hint="eastAsia" w:cs="Times New Roman"/>
                <w:bCs/>
                <w:sz w:val="24"/>
                <w:highlight w:val="none"/>
                <w:lang w:val="en-US" w:eastAsia="zh-CN"/>
              </w:rPr>
              <w:t>、</w:t>
            </w:r>
            <w:r>
              <w:rPr>
                <w:rFonts w:hint="default" w:ascii="Times New Roman" w:hAnsi="Times New Roman" w:eastAsia="宋体" w:cs="Times New Roman"/>
                <w:bCs/>
                <w:sz w:val="24"/>
                <w:highlight w:val="none"/>
                <w:lang w:val="en-US" w:eastAsia="zh-CN"/>
              </w:rPr>
              <w:t>低压蒸汽冷凝液</w:t>
            </w:r>
            <w:r>
              <w:rPr>
                <w:rFonts w:hint="eastAsia" w:cs="Times New Roman"/>
                <w:bCs/>
                <w:sz w:val="24"/>
                <w:highlight w:val="none"/>
                <w:lang w:val="en-US" w:eastAsia="zh-CN"/>
              </w:rPr>
              <w:t>、</w:t>
            </w:r>
            <w:r>
              <w:rPr>
                <w:rFonts w:hint="default" w:ascii="Times New Roman" w:hAnsi="Times New Roman" w:eastAsia="宋体" w:cs="Times New Roman"/>
                <w:bCs/>
                <w:sz w:val="24"/>
                <w:highlight w:val="none"/>
                <w:lang w:val="en-US" w:eastAsia="zh-CN"/>
              </w:rPr>
              <w:t>污水</w:t>
            </w:r>
            <w:r>
              <w:rPr>
                <w:rFonts w:hint="eastAsia" w:cs="Times New Roman"/>
                <w:bCs/>
                <w:sz w:val="24"/>
                <w:highlight w:val="none"/>
                <w:lang w:val="en-US" w:eastAsia="zh-CN"/>
              </w:rPr>
              <w:t>、</w:t>
            </w:r>
            <w:r>
              <w:rPr>
                <w:rFonts w:hint="default" w:ascii="Times New Roman" w:hAnsi="Times New Roman" w:eastAsia="宋体" w:cs="Times New Roman"/>
                <w:bCs/>
                <w:sz w:val="24"/>
                <w:highlight w:val="none"/>
                <w:lang w:val="en-US" w:eastAsia="zh-CN"/>
              </w:rPr>
              <w:t>酸性气体等工艺介质和公用工程介质输送至伊泰化工。</w:t>
            </w:r>
          </w:p>
          <w:p w14:paraId="344B530F">
            <w:pPr>
              <w:numPr>
                <w:ilvl w:val="0"/>
                <w:numId w:val="0"/>
              </w:numPr>
              <w:spacing w:line="360" w:lineRule="auto"/>
              <w:ind w:firstLine="482" w:firstLineChars="200"/>
              <w:rPr>
                <w:rFonts w:hint="eastAsia" w:ascii="Times New Roman" w:hAnsi="Times New Roman" w:eastAsia="宋体" w:cs="Times New Roman"/>
                <w:b/>
                <w:bCs/>
                <w:sz w:val="24"/>
                <w:highlight w:val="none"/>
                <w:lang w:val="en-US" w:eastAsia="zh-CN"/>
              </w:rPr>
            </w:pPr>
            <w:r>
              <w:rPr>
                <w:rFonts w:hint="eastAsia" w:ascii="Times New Roman" w:hAnsi="Times New Roman" w:eastAsia="宋体" w:cs="Times New Roman"/>
                <w:b/>
                <w:bCs/>
                <w:sz w:val="24"/>
                <w:highlight w:val="none"/>
                <w:lang w:val="en-US" w:eastAsia="zh-CN"/>
              </w:rPr>
              <w:t>（2）鹏泰生物</w:t>
            </w:r>
          </w:p>
          <w:p w14:paraId="22637979">
            <w:pPr>
              <w:adjustRightInd w:val="0"/>
              <w:snapToGrid w:val="0"/>
              <w:spacing w:line="360" w:lineRule="auto"/>
              <w:ind w:firstLine="480" w:firstLineChars="200"/>
              <w:jc w:val="left"/>
              <w:rPr>
                <w:rFonts w:hint="eastAsia" w:ascii="Times New Roman" w:hAnsi="Times New Roman" w:eastAsia="宋体" w:cs="Times New Roman"/>
                <w:bCs/>
                <w:sz w:val="24"/>
                <w:highlight w:val="none"/>
                <w:lang w:val="en-US" w:eastAsia="zh-CN"/>
              </w:rPr>
            </w:pPr>
            <w:r>
              <w:rPr>
                <w:rFonts w:hint="eastAsia" w:ascii="Times New Roman" w:hAnsi="Times New Roman" w:eastAsia="宋体" w:cs="Times New Roman"/>
                <w:bCs/>
                <w:sz w:val="24"/>
                <w:highlight w:val="none"/>
                <w:lang w:val="en-US" w:eastAsia="zh-CN"/>
              </w:rPr>
              <w:t>巨鹏生物科技（鄂尔多斯）有限公司成立于2023年10月，是巨鹏生物科技有限公司（以下简称</w:t>
            </w:r>
            <w:r>
              <w:rPr>
                <w:rFonts w:hint="eastAsia" w:cs="Times New Roman"/>
                <w:bCs/>
                <w:sz w:val="24"/>
                <w:highlight w:val="none"/>
                <w:lang w:val="en-US" w:eastAsia="zh-CN"/>
              </w:rPr>
              <w:t>“</w:t>
            </w:r>
            <w:r>
              <w:rPr>
                <w:rFonts w:hint="eastAsia" w:ascii="Times New Roman" w:hAnsi="Times New Roman" w:eastAsia="宋体" w:cs="Times New Roman"/>
                <w:bCs/>
                <w:sz w:val="24"/>
                <w:highlight w:val="none"/>
                <w:lang w:val="en-US" w:eastAsia="zh-CN"/>
              </w:rPr>
              <w:t>巨鹏生物</w:t>
            </w:r>
            <w:r>
              <w:rPr>
                <w:rFonts w:hint="eastAsia" w:cs="Times New Roman"/>
                <w:bCs/>
                <w:sz w:val="24"/>
                <w:highlight w:val="none"/>
                <w:lang w:val="en-US" w:eastAsia="zh-CN"/>
              </w:rPr>
              <w:t>”</w:t>
            </w:r>
            <w:r>
              <w:rPr>
                <w:rFonts w:hint="eastAsia" w:ascii="Times New Roman" w:hAnsi="Times New Roman" w:eastAsia="宋体" w:cs="Times New Roman"/>
                <w:bCs/>
                <w:sz w:val="24"/>
                <w:highlight w:val="none"/>
                <w:lang w:val="en-US" w:eastAsia="zh-CN"/>
              </w:rPr>
              <w:t>）控股子公司，投资方包括内蒙古伊泰化工有限责任公司（以下简称</w:t>
            </w:r>
            <w:r>
              <w:rPr>
                <w:rFonts w:hint="eastAsia" w:cs="Times New Roman"/>
                <w:bCs/>
                <w:sz w:val="24"/>
                <w:highlight w:val="none"/>
                <w:lang w:val="en-US" w:eastAsia="zh-CN"/>
              </w:rPr>
              <w:t>“</w:t>
            </w:r>
            <w:r>
              <w:rPr>
                <w:rFonts w:hint="eastAsia" w:ascii="Times New Roman" w:hAnsi="Times New Roman" w:eastAsia="宋体" w:cs="Times New Roman"/>
                <w:bCs/>
                <w:sz w:val="24"/>
                <w:highlight w:val="none"/>
                <w:lang w:val="en-US" w:eastAsia="zh-CN"/>
              </w:rPr>
              <w:t>伊泰化工</w:t>
            </w:r>
            <w:r>
              <w:rPr>
                <w:rFonts w:hint="eastAsia" w:cs="Times New Roman"/>
                <w:bCs/>
                <w:sz w:val="24"/>
                <w:highlight w:val="none"/>
                <w:lang w:val="en-US" w:eastAsia="zh-CN"/>
              </w:rPr>
              <w:t>”</w:t>
            </w:r>
            <w:r>
              <w:rPr>
                <w:rFonts w:hint="eastAsia" w:ascii="Times New Roman" w:hAnsi="Times New Roman" w:eastAsia="宋体" w:cs="Times New Roman"/>
                <w:bCs/>
                <w:sz w:val="24"/>
                <w:highlight w:val="none"/>
                <w:lang w:val="en-US" w:eastAsia="zh-CN"/>
              </w:rPr>
              <w:t>）、内蒙古弘瑞能源集团有限公司、鄂尔多斯市盛泰产业投资管理中心（有限合伙）、中国国际经济技术开发有限公司。2024年8月21日，巨鹏生物科技（鄂尔多斯）有限公司变更为内蒙古鹏泰生物科技有限公司。</w:t>
            </w:r>
          </w:p>
          <w:p w14:paraId="7E5BAC07">
            <w:pPr>
              <w:adjustRightInd w:val="0"/>
              <w:snapToGrid w:val="0"/>
              <w:spacing w:line="360" w:lineRule="auto"/>
              <w:ind w:firstLine="480" w:firstLineChars="200"/>
              <w:jc w:val="left"/>
              <w:rPr>
                <w:rFonts w:hint="eastAsia" w:ascii="Times New Roman" w:hAnsi="Times New Roman" w:eastAsia="宋体" w:cs="Times New Roman"/>
                <w:bCs/>
                <w:sz w:val="24"/>
                <w:highlight w:val="none"/>
                <w:lang w:val="en-US" w:eastAsia="zh-CN"/>
              </w:rPr>
            </w:pPr>
            <w:r>
              <w:rPr>
                <w:rFonts w:hint="eastAsia" w:ascii="Times New Roman" w:hAnsi="Times New Roman" w:eastAsia="宋体" w:cs="Times New Roman"/>
                <w:bCs/>
                <w:sz w:val="24"/>
                <w:highlight w:val="none"/>
                <w:lang w:val="en-US" w:eastAsia="zh-CN"/>
              </w:rPr>
              <w:t>内蒙古伊泰化工有限责任公司是</w:t>
            </w:r>
            <w:r>
              <w:rPr>
                <w:rFonts w:hint="eastAsia" w:cs="Times New Roman"/>
                <w:bCs/>
                <w:sz w:val="24"/>
                <w:highlight w:val="none"/>
                <w:lang w:val="en-US" w:eastAsia="zh-CN"/>
              </w:rPr>
              <w:t>“伊泰-巨鹏 CO</w:t>
            </w:r>
            <w:r>
              <w:rPr>
                <w:rFonts w:hint="eastAsia" w:cs="Times New Roman"/>
                <w:bCs/>
                <w:sz w:val="24"/>
                <w:highlight w:val="none"/>
                <w:vertAlign w:val="subscript"/>
                <w:lang w:val="en-US" w:eastAsia="zh-CN"/>
              </w:rPr>
              <w:t>2</w:t>
            </w:r>
            <w:r>
              <w:rPr>
                <w:rFonts w:hint="eastAsia" w:cs="Times New Roman"/>
                <w:bCs/>
                <w:sz w:val="24"/>
                <w:highlight w:val="none"/>
                <w:lang w:val="en-US" w:eastAsia="zh-CN"/>
              </w:rPr>
              <w:t>和工业尾气生物发酵法制10万吨乙醇联产2万吨菌体蛋白</w:t>
            </w:r>
            <w:r>
              <w:rPr>
                <w:rFonts w:hint="eastAsia" w:ascii="Times New Roman" w:hAnsi="Times New Roman" w:eastAsia="宋体" w:cs="Times New Roman"/>
                <w:bCs/>
                <w:sz w:val="24"/>
                <w:highlight w:val="none"/>
                <w:lang w:val="en-US" w:eastAsia="zh-CN"/>
              </w:rPr>
              <w:t>项目</w:t>
            </w:r>
            <w:r>
              <w:rPr>
                <w:rFonts w:hint="eastAsia" w:cs="Times New Roman"/>
                <w:bCs/>
                <w:sz w:val="24"/>
                <w:highlight w:val="none"/>
                <w:lang w:val="en-US" w:eastAsia="zh-CN"/>
              </w:rPr>
              <w:t>”的</w:t>
            </w:r>
            <w:r>
              <w:rPr>
                <w:rFonts w:hint="eastAsia" w:ascii="Times New Roman" w:hAnsi="Times New Roman" w:eastAsia="宋体" w:cs="Times New Roman"/>
                <w:bCs/>
                <w:sz w:val="24"/>
                <w:highlight w:val="none"/>
                <w:lang w:val="en-US" w:eastAsia="zh-CN"/>
              </w:rPr>
              <w:t>投资方、原料气及公用工程提供方</w:t>
            </w:r>
            <w:r>
              <w:rPr>
                <w:rFonts w:hint="eastAsia" w:cs="Times New Roman"/>
                <w:bCs/>
                <w:sz w:val="24"/>
                <w:highlight w:val="none"/>
                <w:lang w:val="en-US" w:eastAsia="zh-CN"/>
              </w:rPr>
              <w:t>。</w:t>
            </w:r>
          </w:p>
          <w:p w14:paraId="5427F9A9">
            <w:pPr>
              <w:adjustRightInd w:val="0"/>
              <w:snapToGrid w:val="0"/>
              <w:spacing w:line="360" w:lineRule="auto"/>
              <w:ind w:firstLine="480" w:firstLineChars="200"/>
              <w:jc w:val="left"/>
              <w:rPr>
                <w:highlight w:val="none"/>
              </w:rPr>
            </w:pPr>
            <w:r>
              <w:rPr>
                <w:rFonts w:hint="eastAsia" w:cs="Times New Roman"/>
                <w:bCs/>
                <w:sz w:val="24"/>
                <w:highlight w:val="none"/>
                <w:lang w:val="en-US" w:eastAsia="zh-CN"/>
              </w:rPr>
              <w:t>伊泰厂区的合成脱碳尾气和未变换净化气管</w:t>
            </w:r>
            <w:r>
              <w:rPr>
                <w:rFonts w:hint="default" w:cs="Times New Roman"/>
                <w:bCs/>
                <w:sz w:val="24"/>
                <w:highlight w:val="none"/>
                <w:lang w:val="en-US" w:eastAsia="zh-CN"/>
              </w:rPr>
              <w:t>道作为鹏泰生物公司的原料，采用生物发酵法，将合成气中的一氧化碳转化为乙醇，同时生成二氧化碳和菌体。</w:t>
            </w:r>
            <w:r>
              <w:rPr>
                <w:rFonts w:hint="eastAsia" w:cs="Times New Roman"/>
                <w:bCs/>
                <w:sz w:val="24"/>
                <w:highlight w:val="none"/>
                <w:lang w:val="en-US" w:eastAsia="zh-CN"/>
              </w:rPr>
              <w:t>鄂尔多斯市生态环境局于2025年以鄂环审字﹝2025﹞90号文件出具了《鄂尔多斯市生态环境局关于伊泰-巨鹏CO</w:t>
            </w:r>
            <w:r>
              <w:rPr>
                <w:rFonts w:hint="eastAsia" w:cs="Times New Roman"/>
                <w:bCs/>
                <w:sz w:val="24"/>
                <w:highlight w:val="none"/>
                <w:vertAlign w:val="subscript"/>
                <w:lang w:val="en-US" w:eastAsia="zh-CN"/>
              </w:rPr>
              <w:t>2</w:t>
            </w:r>
            <w:r>
              <w:rPr>
                <w:rFonts w:hint="eastAsia" w:cs="Times New Roman"/>
                <w:bCs/>
                <w:sz w:val="24"/>
                <w:highlight w:val="none"/>
                <w:lang w:val="en-US" w:eastAsia="zh-CN"/>
              </w:rPr>
              <w:t>和工业尾气生物发酵法制10万吨乙醇联产2万吨菌体蛋白项目环境影响报告书的批复》。目前该项目未进行验收工作。根据该项目环境影响报告书，项目原料气、污水处理、蒸汽、氮气、工厂空气、仪表空气、火炬、硫回收、燃料气等管网依托内蒙古伊泰化工有限责任公司120万吨/年精细化学品示范项目</w:t>
            </w:r>
            <w:r>
              <w:rPr>
                <w:rFonts w:hint="eastAsia" w:ascii="Times New Roman" w:hAnsi="Times New Roman" w:eastAsia="宋体" w:cs="Times New Roman"/>
                <w:bCs/>
                <w:sz w:val="24"/>
                <w:highlight w:val="none"/>
                <w:lang w:val="en-US" w:eastAsia="zh-CN"/>
              </w:rPr>
              <w:t>。</w:t>
            </w:r>
          </w:p>
          <w:p w14:paraId="54CB02B1">
            <w:pPr>
              <w:adjustRightInd w:val="0"/>
              <w:snapToGrid w:val="0"/>
              <w:spacing w:line="360" w:lineRule="auto"/>
              <w:ind w:firstLine="480" w:firstLineChars="200"/>
              <w:jc w:val="left"/>
              <w:rPr>
                <w:rFonts w:hint="eastAsia" w:cs="Times New Roman"/>
                <w:bCs/>
                <w:sz w:val="24"/>
                <w:highlight w:val="none"/>
                <w:lang w:val="en-US" w:eastAsia="zh-CN"/>
              </w:rPr>
            </w:pPr>
            <w:r>
              <w:rPr>
                <w:rFonts w:hint="default" w:ascii="Times New Roman" w:hAnsi="Times New Roman" w:eastAsia="宋体" w:cs="Times New Roman"/>
                <w:bCs/>
                <w:sz w:val="24"/>
                <w:highlight w:val="none"/>
                <w:lang w:val="en-US" w:eastAsia="zh-CN"/>
              </w:rPr>
              <w:t>两家剩余的</w:t>
            </w:r>
            <w:r>
              <w:rPr>
                <w:rFonts w:hint="default" w:cs="Times New Roman"/>
                <w:bCs/>
                <w:sz w:val="24"/>
                <w:highlight w:val="none"/>
                <w:lang w:val="en-US" w:eastAsia="zh-CN"/>
              </w:rPr>
              <w:t>公用工程和工艺介质通过管廊输送至对方装置，将现有的工艺废料和公用工程合理分配利用，</w:t>
            </w:r>
            <w:r>
              <w:rPr>
                <w:rFonts w:ascii="Segoe UI" w:hAnsi="Segoe UI" w:eastAsia="Segoe UI" w:cs="Segoe UI"/>
                <w:i w:val="0"/>
                <w:iCs w:val="0"/>
                <w:caps w:val="0"/>
                <w:color w:val="0F1115"/>
                <w:spacing w:val="0"/>
                <w:sz w:val="24"/>
                <w:szCs w:val="24"/>
                <w:highlight w:val="none"/>
                <w:shd w:val="clear" w:fill="FFFFFF"/>
              </w:rPr>
              <w:t>实现了能源与物料的循环利用。提升了资源综合利用效率，有效减少了因介质放空或单独处理造成的能源浪费与污染物新增排放</w:t>
            </w:r>
            <w:r>
              <w:rPr>
                <w:rFonts w:hint="default" w:cs="Times New Roman"/>
                <w:bCs/>
                <w:sz w:val="24"/>
                <w:highlight w:val="none"/>
                <w:lang w:val="en-US" w:eastAsia="zh-CN"/>
              </w:rPr>
              <w:t>。</w:t>
            </w:r>
          </w:p>
          <w:p w14:paraId="2B1F5121">
            <w:pPr>
              <w:numPr>
                <w:ilvl w:val="0"/>
                <w:numId w:val="0"/>
              </w:numPr>
              <w:spacing w:line="360" w:lineRule="auto"/>
              <w:rPr>
                <w:rFonts w:hint="default" w:ascii="Times New Roman" w:hAnsi="Times New Roman" w:eastAsia="宋体" w:cs="Times New Roman"/>
                <w:b/>
                <w:bCs/>
                <w:sz w:val="24"/>
                <w:highlight w:val="none"/>
                <w:lang w:val="en-US" w:eastAsia="zh-CN"/>
              </w:rPr>
            </w:pPr>
            <w:r>
              <w:rPr>
                <w:rFonts w:hint="eastAsia" w:cs="Times New Roman"/>
                <w:b/>
                <w:bCs/>
                <w:sz w:val="24"/>
                <w:highlight w:val="none"/>
                <w:lang w:val="en-US" w:eastAsia="zh-CN"/>
              </w:rPr>
              <w:t>2.</w:t>
            </w:r>
            <w:r>
              <w:rPr>
                <w:rFonts w:hint="eastAsia" w:ascii="Times New Roman" w:hAnsi="Times New Roman" w:eastAsia="宋体" w:cs="Times New Roman"/>
                <w:b/>
                <w:bCs/>
                <w:sz w:val="24"/>
                <w:highlight w:val="none"/>
                <w:lang w:val="en-US" w:eastAsia="zh-CN"/>
              </w:rPr>
              <w:t>本次项目建设内容</w:t>
            </w:r>
          </w:p>
          <w:p w14:paraId="49A57133">
            <w:pPr>
              <w:adjustRightInd w:val="0"/>
              <w:snapToGrid w:val="0"/>
              <w:spacing w:line="360" w:lineRule="auto"/>
              <w:ind w:firstLine="480" w:firstLineChars="200"/>
              <w:jc w:val="left"/>
              <w:rPr>
                <w:rFonts w:hint="eastAsia" w:ascii="Times New Roman" w:hAnsi="Times New Roman" w:eastAsia="宋体" w:cs="Times New Roman"/>
                <w:bCs/>
                <w:sz w:val="24"/>
                <w:highlight w:val="none"/>
                <w:lang w:val="en-US" w:eastAsia="zh-CN"/>
              </w:rPr>
            </w:pPr>
            <w:r>
              <w:rPr>
                <w:rFonts w:hint="eastAsia" w:cs="Times New Roman"/>
                <w:bCs/>
                <w:sz w:val="24"/>
                <w:highlight w:val="none"/>
                <w:lang w:val="en-US" w:eastAsia="zh-CN"/>
              </w:rPr>
              <w:t>本</w:t>
            </w:r>
            <w:r>
              <w:rPr>
                <w:rFonts w:hint="eastAsia" w:ascii="Times New Roman" w:hAnsi="Times New Roman" w:eastAsia="宋体" w:cs="Times New Roman"/>
                <w:bCs/>
                <w:sz w:val="24"/>
                <w:highlight w:val="none"/>
                <w:lang w:val="en-US" w:eastAsia="zh-CN"/>
              </w:rPr>
              <w:t>项目技改内容主要为伊泰化工在原有联博管廊的基础上通过加固、加两层的方式，</w:t>
            </w:r>
            <w:r>
              <w:rPr>
                <w:rFonts w:hint="eastAsia" w:cs="Times New Roman"/>
                <w:bCs/>
                <w:sz w:val="24"/>
                <w:highlight w:val="none"/>
                <w:lang w:val="en-US" w:eastAsia="zh-CN"/>
              </w:rPr>
              <w:t>全部</w:t>
            </w:r>
            <w:r>
              <w:rPr>
                <w:rFonts w:hint="eastAsia" w:ascii="Times New Roman" w:hAnsi="Times New Roman" w:eastAsia="宋体" w:cs="Times New Roman"/>
                <w:bCs/>
                <w:sz w:val="24"/>
                <w:highlight w:val="none"/>
                <w:lang w:val="en-US" w:eastAsia="zh-CN"/>
              </w:rPr>
              <w:t>采用架空的方式将</w:t>
            </w:r>
            <w:r>
              <w:rPr>
                <w:rFonts w:hint="eastAsia" w:cs="Times New Roman"/>
                <w:bCs/>
                <w:sz w:val="24"/>
                <w:highlight w:val="none"/>
                <w:lang w:val="en-US" w:eastAsia="zh-CN"/>
              </w:rPr>
              <w:t>新建的</w:t>
            </w:r>
            <w:r>
              <w:rPr>
                <w:rFonts w:hint="eastAsia" w:ascii="Times New Roman" w:hAnsi="Times New Roman" w:eastAsia="宋体" w:cs="Times New Roman"/>
                <w:bCs/>
                <w:sz w:val="24"/>
                <w:highlight w:val="none"/>
                <w:lang w:val="en-US" w:eastAsia="zh-CN"/>
              </w:rPr>
              <w:t>23条物料管线布置在改造后的联博管廊，并将物料输送至鹏泰生物装置界区</w:t>
            </w:r>
            <w:r>
              <w:rPr>
                <w:rFonts w:hint="eastAsia" w:cs="Times New Roman"/>
                <w:bCs/>
                <w:sz w:val="24"/>
                <w:highlight w:val="none"/>
                <w:lang w:val="en-US" w:eastAsia="zh-CN"/>
              </w:rPr>
              <w:t>，</w:t>
            </w:r>
            <w:r>
              <w:rPr>
                <w:rFonts w:hint="eastAsia" w:ascii="Times New Roman" w:hAnsi="Times New Roman" w:eastAsia="宋体" w:cs="Times New Roman"/>
                <w:bCs/>
                <w:sz w:val="24"/>
                <w:highlight w:val="none"/>
                <w:lang w:val="en-US" w:eastAsia="zh-CN"/>
              </w:rPr>
              <w:t>给每条管线设置用于物料结算计量的流量计，以及相配套的自控系统，并增设一台甲烷气压缩机。</w:t>
            </w:r>
          </w:p>
          <w:p w14:paraId="2B784F98">
            <w:pPr>
              <w:adjustRightInd w:val="0"/>
              <w:snapToGrid w:val="0"/>
              <w:spacing w:line="360" w:lineRule="auto"/>
              <w:ind w:firstLine="480" w:firstLineChars="200"/>
              <w:jc w:val="left"/>
              <w:rPr>
                <w:rFonts w:hint="eastAsia" w:ascii="Times New Roman" w:hAnsi="Times New Roman" w:eastAsia="宋体" w:cs="Times New Roman"/>
                <w:bCs/>
                <w:sz w:val="24"/>
                <w:highlight w:val="none"/>
                <w:lang w:val="en-US" w:eastAsia="zh-CN"/>
              </w:rPr>
            </w:pPr>
            <w:r>
              <w:rPr>
                <w:rFonts w:hint="eastAsia" w:ascii="Times New Roman" w:hAnsi="Times New Roman" w:eastAsia="宋体" w:cs="Times New Roman"/>
                <w:bCs/>
                <w:sz w:val="24"/>
                <w:highlight w:val="none"/>
                <w:lang w:val="en-US" w:eastAsia="zh-CN"/>
              </w:rPr>
              <w:t>原有联博管廊长378m，宽6.7m。底层距离地坪6.7m，底层管廊预留8</w:t>
            </w:r>
            <w:r>
              <w:rPr>
                <w:rFonts w:hint="eastAsia" w:cs="Times New Roman"/>
                <w:bCs/>
                <w:sz w:val="24"/>
                <w:highlight w:val="none"/>
                <w:lang w:val="en-US" w:eastAsia="zh-CN"/>
              </w:rPr>
              <w:t>根</w:t>
            </w:r>
            <w:r>
              <w:rPr>
                <w:rFonts w:hint="eastAsia" w:ascii="Times New Roman" w:hAnsi="Times New Roman" w:eastAsia="宋体" w:cs="Times New Roman"/>
                <w:bCs/>
                <w:sz w:val="24"/>
                <w:highlight w:val="none"/>
                <w:lang w:val="en-US" w:eastAsia="zh-CN"/>
              </w:rPr>
              <w:t>管道位置，目前已经使用2</w:t>
            </w:r>
            <w:r>
              <w:rPr>
                <w:rFonts w:hint="eastAsia" w:cs="Times New Roman"/>
                <w:bCs/>
                <w:sz w:val="24"/>
                <w:highlight w:val="none"/>
                <w:lang w:val="en-US" w:eastAsia="zh-CN"/>
              </w:rPr>
              <w:t>根，</w:t>
            </w:r>
            <w:r>
              <w:rPr>
                <w:rFonts w:hint="eastAsia" w:ascii="Times New Roman" w:hAnsi="Times New Roman" w:eastAsia="宋体" w:cs="Times New Roman"/>
                <w:bCs/>
                <w:sz w:val="24"/>
                <w:highlight w:val="none"/>
                <w:lang w:val="en-US" w:eastAsia="zh-CN"/>
              </w:rPr>
              <w:t>剩余6</w:t>
            </w:r>
            <w:r>
              <w:rPr>
                <w:rFonts w:hint="eastAsia" w:cs="Times New Roman"/>
                <w:bCs/>
                <w:sz w:val="24"/>
                <w:highlight w:val="none"/>
                <w:lang w:val="en-US" w:eastAsia="zh-CN"/>
              </w:rPr>
              <w:t>根</w:t>
            </w:r>
            <w:r>
              <w:rPr>
                <w:rFonts w:hint="eastAsia" w:ascii="Times New Roman" w:hAnsi="Times New Roman" w:eastAsia="宋体" w:cs="Times New Roman"/>
                <w:bCs/>
                <w:sz w:val="24"/>
                <w:highlight w:val="none"/>
                <w:lang w:val="en-US" w:eastAsia="zh-CN"/>
              </w:rPr>
              <w:t>为本项目新建管道分别为仪表风管道、工厂风管道、氮气管道、凝结水管道、污水2管道、酸性气管道。二层距离地坪11m、铺设9</w:t>
            </w:r>
            <w:r>
              <w:rPr>
                <w:rFonts w:hint="eastAsia" w:cs="Times New Roman"/>
                <w:bCs/>
                <w:sz w:val="24"/>
                <w:highlight w:val="none"/>
                <w:lang w:val="en-US" w:eastAsia="zh-CN"/>
              </w:rPr>
              <w:t>根</w:t>
            </w:r>
            <w:r>
              <w:rPr>
                <w:rFonts w:hint="eastAsia" w:ascii="Times New Roman" w:hAnsi="Times New Roman" w:eastAsia="宋体" w:cs="Times New Roman"/>
                <w:bCs/>
                <w:sz w:val="24"/>
                <w:highlight w:val="none"/>
                <w:lang w:val="en-US" w:eastAsia="zh-CN"/>
              </w:rPr>
              <w:t>管道，分别为冷冻水来管道、冷冻水回管道、尾气管道、富甲烷气管道、真空泵尾气管道、回用水管道、甲烷气管道、黄河水管道、中压蒸汽管道。三层距离地坪14m、铺设6</w:t>
            </w:r>
            <w:r>
              <w:rPr>
                <w:rFonts w:hint="eastAsia" w:cs="Times New Roman"/>
                <w:bCs/>
                <w:sz w:val="24"/>
                <w:highlight w:val="none"/>
                <w:lang w:val="en-US" w:eastAsia="zh-CN"/>
              </w:rPr>
              <w:t>根</w:t>
            </w:r>
            <w:r>
              <w:rPr>
                <w:rFonts w:hint="eastAsia" w:ascii="Times New Roman" w:hAnsi="Times New Roman" w:eastAsia="宋体" w:cs="Times New Roman"/>
                <w:bCs/>
                <w:sz w:val="24"/>
                <w:highlight w:val="none"/>
                <w:lang w:val="en-US" w:eastAsia="zh-CN"/>
              </w:rPr>
              <w:t>管道，分别为酸湿火炬管道、低压含烃火炬</w:t>
            </w:r>
            <w:r>
              <w:rPr>
                <w:rFonts w:hint="eastAsia" w:cs="Times New Roman"/>
                <w:bCs/>
                <w:sz w:val="24"/>
                <w:highlight w:val="none"/>
                <w:lang w:val="en-US" w:eastAsia="zh-CN"/>
              </w:rPr>
              <w:t>管道</w:t>
            </w:r>
            <w:r>
              <w:rPr>
                <w:rFonts w:hint="eastAsia" w:ascii="Times New Roman" w:hAnsi="Times New Roman" w:eastAsia="宋体" w:cs="Times New Roman"/>
                <w:bCs/>
                <w:sz w:val="24"/>
                <w:highlight w:val="none"/>
                <w:lang w:val="en-US" w:eastAsia="zh-CN"/>
              </w:rPr>
              <w:t>、CO</w:t>
            </w:r>
            <w:r>
              <w:rPr>
                <w:rFonts w:hint="eastAsia" w:ascii="Times New Roman" w:hAnsi="Times New Roman" w:eastAsia="宋体" w:cs="Times New Roman"/>
                <w:bCs/>
                <w:sz w:val="24"/>
                <w:highlight w:val="none"/>
                <w:vertAlign w:val="subscript"/>
                <w:lang w:val="en-US" w:eastAsia="zh-CN"/>
              </w:rPr>
              <w:t>2</w:t>
            </w:r>
            <w:r>
              <w:rPr>
                <w:rFonts w:hint="eastAsia" w:ascii="Times New Roman" w:hAnsi="Times New Roman" w:eastAsia="宋体" w:cs="Times New Roman"/>
                <w:bCs/>
                <w:sz w:val="24"/>
                <w:highlight w:val="none"/>
                <w:lang w:val="en-US" w:eastAsia="zh-CN"/>
              </w:rPr>
              <w:t>管道、污水1</w:t>
            </w:r>
            <w:r>
              <w:rPr>
                <w:rFonts w:hint="eastAsia" w:cs="Times New Roman"/>
                <w:bCs/>
                <w:sz w:val="24"/>
                <w:highlight w:val="none"/>
                <w:lang w:val="en-US" w:eastAsia="zh-CN"/>
              </w:rPr>
              <w:t>管道</w:t>
            </w:r>
            <w:r>
              <w:rPr>
                <w:rFonts w:hint="eastAsia" w:ascii="Times New Roman" w:hAnsi="Times New Roman" w:eastAsia="宋体" w:cs="Times New Roman"/>
                <w:bCs/>
                <w:sz w:val="24"/>
                <w:highlight w:val="none"/>
                <w:lang w:val="en-US" w:eastAsia="zh-CN"/>
              </w:rPr>
              <w:t>、合成脱碳尾气</w:t>
            </w:r>
            <w:r>
              <w:rPr>
                <w:rFonts w:hint="eastAsia" w:cs="Times New Roman"/>
                <w:bCs/>
                <w:sz w:val="24"/>
                <w:highlight w:val="none"/>
                <w:lang w:val="en-US" w:eastAsia="zh-CN"/>
              </w:rPr>
              <w:t>管道</w:t>
            </w:r>
            <w:r>
              <w:rPr>
                <w:rFonts w:hint="eastAsia" w:ascii="Times New Roman" w:hAnsi="Times New Roman" w:eastAsia="宋体" w:cs="Times New Roman"/>
                <w:bCs/>
                <w:sz w:val="24"/>
                <w:highlight w:val="none"/>
                <w:lang w:val="en-US" w:eastAsia="zh-CN"/>
              </w:rPr>
              <w:t>、未变换净化气管道。</w:t>
            </w:r>
          </w:p>
          <w:p w14:paraId="23610314">
            <w:pPr>
              <w:adjustRightInd w:val="0"/>
              <w:snapToGrid w:val="0"/>
              <w:spacing w:line="360" w:lineRule="auto"/>
              <w:ind w:firstLine="480" w:firstLineChars="200"/>
              <w:jc w:val="left"/>
              <w:rPr>
                <w:rFonts w:hint="eastAsia" w:ascii="Times New Roman" w:hAnsi="Times New Roman" w:eastAsia="宋体" w:cs="Times New Roman"/>
                <w:bCs/>
                <w:sz w:val="24"/>
                <w:highlight w:val="none"/>
                <w:lang w:val="en-US" w:eastAsia="zh-CN"/>
              </w:rPr>
            </w:pPr>
            <w:r>
              <w:rPr>
                <w:rFonts w:hint="eastAsia" w:ascii="Times New Roman" w:hAnsi="Times New Roman" w:eastAsia="宋体" w:cs="Times New Roman"/>
                <w:bCs/>
                <w:sz w:val="24"/>
                <w:highlight w:val="none"/>
                <w:lang w:val="en-US" w:eastAsia="zh-CN"/>
              </w:rPr>
              <w:t>清净废水、WRT甲烷气不进入管廊，单独设置独立柱架空敷设。</w:t>
            </w:r>
          </w:p>
          <w:p w14:paraId="2304895F">
            <w:pPr>
              <w:adjustRightInd w:val="0"/>
              <w:snapToGrid w:val="0"/>
              <w:spacing w:line="360" w:lineRule="auto"/>
              <w:ind w:firstLine="480" w:firstLineChars="200"/>
              <w:jc w:val="left"/>
              <w:rPr>
                <w:rFonts w:hint="default" w:ascii="Times New Roman" w:hAnsi="Times New Roman" w:eastAsia="宋体" w:cs="Times New Roman"/>
                <w:bCs/>
                <w:sz w:val="24"/>
                <w:highlight w:val="none"/>
                <w:lang w:val="en-US" w:eastAsia="zh-CN"/>
              </w:rPr>
            </w:pPr>
            <w:r>
              <w:rPr>
                <w:rFonts w:hint="eastAsia" w:cs="Times New Roman"/>
                <w:bCs/>
                <w:sz w:val="24"/>
                <w:highlight w:val="none"/>
                <w:lang w:val="en-US" w:eastAsia="zh-CN"/>
              </w:rPr>
              <w:t>项目黄河水管道</w:t>
            </w:r>
            <w:r>
              <w:rPr>
                <w:rFonts w:hint="default" w:ascii="Times New Roman" w:hAnsi="Times New Roman" w:cs="Times New Roman" w:eastAsiaTheme="minorEastAsia"/>
                <w:spacing w:val="9"/>
                <w:sz w:val="24"/>
                <w:szCs w:val="24"/>
                <w:highlight w:val="none"/>
                <w:lang w:val="en-US" w:eastAsia="zh-CN"/>
              </w:rPr>
              <w:t>厂区外取水点</w:t>
            </w:r>
            <w:r>
              <w:rPr>
                <w:rFonts w:hint="default" w:ascii="Times New Roman" w:hAnsi="Times New Roman" w:cs="Times New Roman" w:eastAsiaTheme="minorEastAsia"/>
                <w:spacing w:val="9"/>
                <w:sz w:val="24"/>
                <w:szCs w:val="24"/>
                <w:highlight w:val="none"/>
                <w:lang w:eastAsia="zh-CN"/>
              </w:rPr>
              <w:t>已有埋地管道</w:t>
            </w:r>
            <w:r>
              <w:rPr>
                <w:rFonts w:hint="default" w:ascii="Times New Roman" w:hAnsi="Times New Roman" w:cs="Times New Roman" w:eastAsiaTheme="minorEastAsia"/>
                <w:spacing w:val="9"/>
                <w:sz w:val="24"/>
                <w:szCs w:val="24"/>
                <w:highlight w:val="none"/>
                <w:lang w:val="en-US" w:eastAsia="zh-CN"/>
              </w:rPr>
              <w:t>预留接口，本项目建设直接从接口接入</w:t>
            </w:r>
            <w:r>
              <w:rPr>
                <w:rFonts w:hint="eastAsia" w:ascii="Times New Roman" w:hAnsi="Times New Roman" w:cs="Times New Roman" w:eastAsiaTheme="minorEastAsia"/>
                <w:spacing w:val="9"/>
                <w:sz w:val="24"/>
                <w:szCs w:val="24"/>
                <w:highlight w:val="none"/>
                <w:lang w:val="en-US" w:eastAsia="zh-CN"/>
              </w:rPr>
              <w:t>，采取架空敷设。</w:t>
            </w:r>
          </w:p>
          <w:p w14:paraId="1A46D04D">
            <w:pPr>
              <w:adjustRightInd w:val="0"/>
              <w:snapToGrid w:val="0"/>
              <w:spacing w:line="360" w:lineRule="auto"/>
              <w:ind w:firstLine="480" w:firstLineChars="200"/>
              <w:jc w:val="left"/>
              <w:rPr>
                <w:rFonts w:hint="eastAsia" w:ascii="Times New Roman" w:hAnsi="Times New Roman" w:eastAsia="宋体" w:cs="Times New Roman"/>
                <w:sz w:val="24"/>
                <w:highlight w:val="none"/>
                <w:lang w:val="en-US"/>
              </w:rPr>
            </w:pPr>
            <w:r>
              <w:rPr>
                <w:rFonts w:hint="eastAsia" w:cs="Times New Roman"/>
                <w:bCs/>
                <w:sz w:val="24"/>
                <w:highlight w:val="none"/>
                <w:lang w:val="en-US" w:eastAsia="zh-CN"/>
              </w:rPr>
              <w:t>根据《国民经济行业分类代码》（GB/T4754-2017），本工程行业类别为G交通运输、仓储和邮政业5720陆地管道运输。按照《建设项目环境影响评价分类管理名录》（2021年版），本工程属于“五十二、交通运输业、管道运输业；148、危险化学品输送管线（不含企业厂区内管线）；其他”，应</w:t>
            </w:r>
            <w:r>
              <w:rPr>
                <w:rFonts w:hint="eastAsia" w:ascii="Times New Roman" w:hAnsi="Times New Roman" w:eastAsia="宋体" w:cs="Times New Roman"/>
                <w:sz w:val="24"/>
                <w:highlight w:val="none"/>
                <w:lang w:val="en-US"/>
              </w:rPr>
              <w:t>编制环境影响报告表。根据《中华人民共和国环境保护法》《中华人民共和国环境影响评价法》和《建设项目环境保护管理条例》中有关规定，受</w:t>
            </w:r>
            <w:r>
              <w:rPr>
                <w:rFonts w:hint="eastAsia" w:cs="Times New Roman"/>
                <w:sz w:val="24"/>
                <w:highlight w:val="none"/>
                <w:lang w:val="en-US" w:eastAsia="zh-CN"/>
              </w:rPr>
              <w:t>内蒙古伊泰化工有限责任公司</w:t>
            </w:r>
            <w:r>
              <w:rPr>
                <w:rFonts w:hint="eastAsia" w:ascii="Times New Roman" w:hAnsi="Times New Roman" w:eastAsia="宋体" w:cs="Times New Roman"/>
                <w:sz w:val="24"/>
                <w:highlight w:val="none"/>
                <w:lang w:val="en-US"/>
              </w:rPr>
              <w:t>委托，我公司承担本工程的环境影响评价工作。我公司接受委托后，派有关工程技术人员到现场进行调查和资料收集，按照国家有关环评技术规范要求，编制完成本工程环境影响报告表。</w:t>
            </w:r>
          </w:p>
          <w:p w14:paraId="2B2046DE">
            <w:pPr>
              <w:spacing w:line="360" w:lineRule="auto"/>
              <w:rPr>
                <w:rFonts w:hint="eastAsia"/>
                <w:b/>
                <w:bCs/>
                <w:sz w:val="24"/>
                <w:highlight w:val="none"/>
              </w:rPr>
            </w:pPr>
            <w:r>
              <w:rPr>
                <w:rFonts w:hint="eastAsia"/>
                <w:b/>
                <w:bCs/>
                <w:sz w:val="24"/>
                <w:highlight w:val="none"/>
                <w:lang w:val="en-US" w:eastAsia="zh-CN"/>
              </w:rPr>
              <w:t>3.</w:t>
            </w:r>
            <w:r>
              <w:rPr>
                <w:rFonts w:hint="eastAsia"/>
                <w:b/>
                <w:bCs/>
                <w:sz w:val="24"/>
                <w:highlight w:val="none"/>
              </w:rPr>
              <w:t>项目组成</w:t>
            </w:r>
          </w:p>
          <w:p w14:paraId="7A97489D">
            <w:pPr>
              <w:spacing w:line="360" w:lineRule="auto"/>
              <w:ind w:firstLine="480" w:firstLineChars="200"/>
              <w:rPr>
                <w:sz w:val="24"/>
                <w:highlight w:val="none"/>
              </w:rPr>
            </w:pPr>
            <w:r>
              <w:rPr>
                <w:rFonts w:hint="eastAsia"/>
                <w:sz w:val="24"/>
                <w:highlight w:val="none"/>
              </w:rPr>
              <w:t>本项目建设内容及规模见表2-</w:t>
            </w:r>
            <w:r>
              <w:rPr>
                <w:rFonts w:hint="eastAsia"/>
                <w:sz w:val="24"/>
                <w:highlight w:val="none"/>
                <w:lang w:val="en-US" w:eastAsia="zh-CN"/>
              </w:rPr>
              <w:t>2</w:t>
            </w:r>
            <w:r>
              <w:rPr>
                <w:rFonts w:hint="eastAsia"/>
                <w:sz w:val="24"/>
                <w:highlight w:val="none"/>
              </w:rPr>
              <w:t>。</w:t>
            </w:r>
          </w:p>
          <w:p w14:paraId="0A44BFB5">
            <w:pPr>
              <w:adjustRightInd w:val="0"/>
              <w:snapToGrid w:val="0"/>
              <w:spacing w:line="360" w:lineRule="auto"/>
              <w:jc w:val="center"/>
              <w:rPr>
                <w:rFonts w:hint="eastAsia" w:ascii="Times New Roman" w:hAnsi="Times New Roman" w:eastAsia="宋体" w:cs="Times New Roman"/>
                <w:b/>
                <w:bCs/>
                <w:szCs w:val="21"/>
                <w:highlight w:val="none"/>
                <w:lang w:val="en-US"/>
              </w:rPr>
            </w:pPr>
            <w:r>
              <w:rPr>
                <w:rFonts w:hint="eastAsia" w:ascii="Times New Roman" w:hAnsi="Times New Roman" w:eastAsia="宋体" w:cs="Times New Roman"/>
                <w:b/>
                <w:bCs/>
                <w:sz w:val="21"/>
                <w:szCs w:val="21"/>
                <w:highlight w:val="none"/>
                <w:lang w:val="en-US"/>
              </w:rPr>
              <w:t>表2-</w:t>
            </w:r>
            <w:r>
              <w:rPr>
                <w:rFonts w:hint="eastAsia" w:cs="Times New Roman"/>
                <w:b/>
                <w:bCs/>
                <w:sz w:val="21"/>
                <w:szCs w:val="21"/>
                <w:highlight w:val="none"/>
                <w:lang w:val="en-US" w:eastAsia="zh-CN"/>
              </w:rPr>
              <w:t>2</w:t>
            </w:r>
            <w:r>
              <w:rPr>
                <w:rFonts w:hint="eastAsia" w:ascii="Times New Roman" w:hAnsi="Times New Roman" w:eastAsia="宋体" w:cs="Times New Roman"/>
                <w:b/>
                <w:bCs/>
                <w:sz w:val="21"/>
                <w:szCs w:val="21"/>
                <w:highlight w:val="none"/>
                <w:lang w:val="en-US"/>
              </w:rPr>
              <w:t xml:space="preserve">   项目组成表</w:t>
            </w:r>
          </w:p>
          <w:tbl>
            <w:tblPr>
              <w:tblStyle w:val="19"/>
              <w:tblW w:w="84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1"/>
              <w:gridCol w:w="426"/>
              <w:gridCol w:w="633"/>
              <w:gridCol w:w="5850"/>
              <w:gridCol w:w="919"/>
            </w:tblGrid>
            <w:tr w14:paraId="20F4E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710" w:type="dxa"/>
                  <w:gridSpan w:val="3"/>
                  <w:noWrap w:val="0"/>
                  <w:vAlign w:val="center"/>
                </w:tcPr>
                <w:p w14:paraId="4FB2E69C">
                  <w:pPr>
                    <w:jc w:val="center"/>
                    <w:rPr>
                      <w:b w:val="0"/>
                      <w:bCs w:val="0"/>
                      <w:szCs w:val="21"/>
                      <w:highlight w:val="none"/>
                    </w:rPr>
                  </w:pPr>
                  <w:r>
                    <w:rPr>
                      <w:rFonts w:hint="eastAsia"/>
                      <w:b w:val="0"/>
                      <w:bCs w:val="0"/>
                      <w:szCs w:val="21"/>
                      <w:highlight w:val="none"/>
                    </w:rPr>
                    <w:t>项目</w:t>
                  </w:r>
                </w:p>
              </w:tc>
              <w:tc>
                <w:tcPr>
                  <w:tcW w:w="5850" w:type="dxa"/>
                  <w:noWrap w:val="0"/>
                  <w:vAlign w:val="center"/>
                </w:tcPr>
                <w:p w14:paraId="1D8F7B7E">
                  <w:pPr>
                    <w:jc w:val="center"/>
                    <w:rPr>
                      <w:b w:val="0"/>
                      <w:bCs w:val="0"/>
                      <w:szCs w:val="21"/>
                      <w:highlight w:val="none"/>
                    </w:rPr>
                  </w:pPr>
                  <w:r>
                    <w:rPr>
                      <w:rFonts w:hint="eastAsia"/>
                      <w:b w:val="0"/>
                      <w:bCs w:val="0"/>
                      <w:szCs w:val="21"/>
                      <w:highlight w:val="none"/>
                    </w:rPr>
                    <w:t>建设内容与规模</w:t>
                  </w:r>
                </w:p>
              </w:tc>
              <w:tc>
                <w:tcPr>
                  <w:tcW w:w="919" w:type="dxa"/>
                  <w:noWrap w:val="0"/>
                  <w:vAlign w:val="center"/>
                </w:tcPr>
                <w:p w14:paraId="01180A5B">
                  <w:pPr>
                    <w:jc w:val="center"/>
                    <w:rPr>
                      <w:b w:val="0"/>
                      <w:bCs w:val="0"/>
                      <w:szCs w:val="21"/>
                      <w:highlight w:val="none"/>
                    </w:rPr>
                  </w:pPr>
                  <w:r>
                    <w:rPr>
                      <w:rFonts w:hint="eastAsia"/>
                      <w:b w:val="0"/>
                      <w:bCs w:val="0"/>
                      <w:szCs w:val="21"/>
                      <w:highlight w:val="none"/>
                    </w:rPr>
                    <w:t>备注</w:t>
                  </w:r>
                </w:p>
              </w:tc>
            </w:tr>
            <w:tr w14:paraId="4904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9" w:hRule="atLeast"/>
                <w:jc w:val="center"/>
              </w:trPr>
              <w:tc>
                <w:tcPr>
                  <w:tcW w:w="651" w:type="dxa"/>
                  <w:vMerge w:val="restart"/>
                  <w:noWrap w:val="0"/>
                  <w:vAlign w:val="center"/>
                </w:tcPr>
                <w:p w14:paraId="46486994">
                  <w:pPr>
                    <w:rPr>
                      <w:szCs w:val="21"/>
                      <w:highlight w:val="none"/>
                    </w:rPr>
                  </w:pPr>
                  <w:r>
                    <w:rPr>
                      <w:rFonts w:hint="eastAsia"/>
                      <w:szCs w:val="21"/>
                      <w:highlight w:val="none"/>
                    </w:rPr>
                    <w:t>主体工程</w:t>
                  </w:r>
                </w:p>
              </w:tc>
              <w:tc>
                <w:tcPr>
                  <w:tcW w:w="1059" w:type="dxa"/>
                  <w:gridSpan w:val="2"/>
                  <w:noWrap w:val="0"/>
                  <w:vAlign w:val="center"/>
                </w:tcPr>
                <w:p w14:paraId="6805AA9C">
                  <w:pPr>
                    <w:spacing w:line="240" w:lineRule="auto"/>
                    <w:jc w:val="center"/>
                    <w:rPr>
                      <w:sz w:val="21"/>
                      <w:szCs w:val="21"/>
                      <w:highlight w:val="none"/>
                    </w:rPr>
                  </w:pPr>
                  <w:r>
                    <w:rPr>
                      <w:rFonts w:hint="eastAsia"/>
                      <w:sz w:val="21"/>
                      <w:szCs w:val="21"/>
                      <w:highlight w:val="none"/>
                      <w:lang w:val="en-US" w:eastAsia="zh-CN"/>
                    </w:rPr>
                    <w:t>联博</w:t>
                  </w:r>
                  <w:r>
                    <w:rPr>
                      <w:rFonts w:hint="eastAsia"/>
                      <w:sz w:val="21"/>
                      <w:szCs w:val="21"/>
                      <w:highlight w:val="none"/>
                    </w:rPr>
                    <w:t>管廊</w:t>
                  </w:r>
                </w:p>
              </w:tc>
              <w:tc>
                <w:tcPr>
                  <w:tcW w:w="5850" w:type="dxa"/>
                  <w:noWrap w:val="0"/>
                  <w:vAlign w:val="center"/>
                </w:tcPr>
                <w:p w14:paraId="34105651">
                  <w:pPr>
                    <w:spacing w:line="240" w:lineRule="auto"/>
                    <w:jc w:val="center"/>
                    <w:rPr>
                      <w:rFonts w:hint="eastAsia"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伊泰化工在原有联博管廊的基础上通过加固、加两层的方式，</w:t>
                  </w:r>
                  <w:r>
                    <w:rPr>
                      <w:rFonts w:hint="eastAsia"/>
                      <w:color w:val="auto"/>
                      <w:highlight w:val="none"/>
                      <w:lang w:val="en-US"/>
                    </w:rPr>
                    <w:t>采用架空的方式</w:t>
                  </w:r>
                  <w:r>
                    <w:rPr>
                      <w:rFonts w:hint="eastAsia" w:ascii="Times New Roman" w:hAnsi="Times New Roman" w:eastAsia="宋体" w:cs="Times New Roman"/>
                      <w:sz w:val="21"/>
                      <w:szCs w:val="21"/>
                      <w:highlight w:val="none"/>
                      <w:lang w:val="en-US" w:eastAsia="zh-CN"/>
                    </w:rPr>
                    <w:t>将23条物料管线布置在改造后的联博管廊，并将物料输送至鹏泰生物装置界区</w:t>
                  </w:r>
                  <w:r>
                    <w:rPr>
                      <w:rFonts w:hint="eastAsia" w:cs="Times New Roman"/>
                      <w:sz w:val="21"/>
                      <w:szCs w:val="21"/>
                      <w:highlight w:val="none"/>
                      <w:lang w:val="en-US" w:eastAsia="zh-CN"/>
                    </w:rPr>
                    <w:t>，</w:t>
                  </w:r>
                  <w:r>
                    <w:rPr>
                      <w:rFonts w:hint="eastAsia" w:ascii="Times New Roman" w:hAnsi="Times New Roman" w:eastAsia="宋体" w:cs="Times New Roman"/>
                      <w:sz w:val="21"/>
                      <w:szCs w:val="21"/>
                      <w:highlight w:val="none"/>
                      <w:lang w:val="en-US" w:eastAsia="zh-CN"/>
                    </w:rPr>
                    <w:t>给每条管线设置用于物料结算计量的流量计，以及相配套的自控系统，并增设一台甲烷气压缩机</w:t>
                  </w:r>
                  <w:r>
                    <w:rPr>
                      <w:rFonts w:hint="eastAsia" w:cs="Times New Roman"/>
                      <w:sz w:val="21"/>
                      <w:szCs w:val="21"/>
                      <w:highlight w:val="none"/>
                      <w:lang w:val="en-US" w:eastAsia="zh-CN"/>
                    </w:rPr>
                    <w:t>。伊泰厂界与鹏泰厂界中间设置独立柱连接。</w:t>
                  </w:r>
                </w:p>
                <w:p w14:paraId="52E7AF1F">
                  <w:pPr>
                    <w:spacing w:line="240" w:lineRule="auto"/>
                    <w:jc w:val="center"/>
                    <w:rPr>
                      <w:rFonts w:hint="default" w:cs="Times New Roman"/>
                      <w:sz w:val="21"/>
                      <w:szCs w:val="21"/>
                      <w:highlight w:val="none"/>
                      <w:lang w:val="en-US" w:eastAsia="zh-CN"/>
                    </w:rPr>
                  </w:pPr>
                  <w:r>
                    <w:rPr>
                      <w:rFonts w:hint="eastAsia" w:cs="Times New Roman"/>
                      <w:sz w:val="21"/>
                      <w:szCs w:val="21"/>
                      <w:highlight w:val="none"/>
                      <w:lang w:val="en-US" w:eastAsia="zh-CN"/>
                    </w:rPr>
                    <w:t>原有联博管廊长378m，宽6.7m。底层距离地坪6.7m，底层管廊预留8根管道位置，目前已经使用2根，剩余6根为本项目新建管道分别为仪表风、工厂风、氮气、凝结水、污水2、酸性气管道。二层距离地坪11m、铺设9根管道，分别为冷冻水来、冷冻水回、尾气、富甲烷气、真空泵尾气、回用水、甲烷气、黄河水、中压蒸汽管道。三层距离地坪14m、铺设6根管道，分别为酸湿火炬燃料气输送管道、低压含烃火炬燃料气输送管道、CO</w:t>
                  </w:r>
                  <w:r>
                    <w:rPr>
                      <w:rFonts w:hint="eastAsia" w:cs="Times New Roman"/>
                      <w:sz w:val="21"/>
                      <w:szCs w:val="21"/>
                      <w:highlight w:val="none"/>
                      <w:vertAlign w:val="subscript"/>
                      <w:lang w:val="en-US" w:eastAsia="zh-CN"/>
                    </w:rPr>
                    <w:t>2</w:t>
                  </w:r>
                  <w:r>
                    <w:rPr>
                      <w:rFonts w:hint="eastAsia" w:cs="Times New Roman"/>
                      <w:sz w:val="21"/>
                      <w:szCs w:val="21"/>
                      <w:highlight w:val="none"/>
                      <w:lang w:val="en-US" w:eastAsia="zh-CN"/>
                    </w:rPr>
                    <w:t>管道、污水1管道、合成脱碳尾气管道、未变换净化气管道。清净废水管道、WRT甲烷气管道不进入联博管廊，位于厂区外。单独设置独立柱架空敷设后沿着厂区外</w:t>
                  </w:r>
                  <w:r>
                    <w:rPr>
                      <w:rFonts w:hint="eastAsia"/>
                      <w:highlight w:val="none"/>
                    </w:rPr>
                    <w:t>沿</w:t>
                  </w:r>
                  <w:r>
                    <w:rPr>
                      <w:rFonts w:hint="eastAsia" w:cs="Times New Roman"/>
                      <w:sz w:val="21"/>
                      <w:szCs w:val="21"/>
                      <w:highlight w:val="none"/>
                      <w:lang w:val="en-US" w:eastAsia="zh-CN"/>
                    </w:rPr>
                    <w:t>现有</w:t>
                  </w:r>
                  <w:r>
                    <w:rPr>
                      <w:rFonts w:hint="eastAsia"/>
                      <w:highlight w:val="none"/>
                    </w:rPr>
                    <w:t>管廊敷设</w:t>
                  </w:r>
                  <w:r>
                    <w:rPr>
                      <w:rFonts w:hint="eastAsia"/>
                      <w:highlight w:val="none"/>
                      <w:lang w:eastAsia="zh-CN"/>
                    </w:rPr>
                    <w:t>，</w:t>
                  </w:r>
                  <w:r>
                    <w:rPr>
                      <w:rFonts w:hint="eastAsia"/>
                      <w:highlight w:val="none"/>
                      <w:lang w:val="en-US" w:eastAsia="zh-CN"/>
                    </w:rPr>
                    <w:t>厂区外管廊长300m</w:t>
                  </w:r>
                  <w:r>
                    <w:rPr>
                      <w:rFonts w:hint="eastAsia" w:cs="Times New Roman"/>
                      <w:sz w:val="21"/>
                      <w:szCs w:val="21"/>
                      <w:highlight w:val="none"/>
                      <w:lang w:val="en-US" w:eastAsia="zh-CN"/>
                    </w:rPr>
                    <w:t>。</w:t>
                  </w:r>
                </w:p>
              </w:tc>
              <w:tc>
                <w:tcPr>
                  <w:tcW w:w="919" w:type="dxa"/>
                  <w:noWrap w:val="0"/>
                  <w:vAlign w:val="center"/>
                </w:tcPr>
                <w:p w14:paraId="786E2DE7">
                  <w:pPr>
                    <w:jc w:val="center"/>
                    <w:rPr>
                      <w:rFonts w:hint="default" w:eastAsia="宋体"/>
                      <w:szCs w:val="21"/>
                      <w:highlight w:val="none"/>
                      <w:lang w:val="en-US" w:eastAsia="zh-CN"/>
                    </w:rPr>
                  </w:pPr>
                  <w:r>
                    <w:rPr>
                      <w:rFonts w:hint="eastAsia"/>
                      <w:szCs w:val="21"/>
                      <w:highlight w:val="none"/>
                      <w:lang w:val="en-US" w:eastAsia="zh-CN"/>
                    </w:rPr>
                    <w:t>依托+新建</w:t>
                  </w:r>
                </w:p>
              </w:tc>
            </w:tr>
            <w:tr w14:paraId="320E9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Merge w:val="continue"/>
                  <w:noWrap w:val="0"/>
                  <w:vAlign w:val="center"/>
                </w:tcPr>
                <w:p w14:paraId="1ADF859E">
                  <w:pPr>
                    <w:rPr>
                      <w:szCs w:val="21"/>
                      <w:highlight w:val="none"/>
                    </w:rPr>
                  </w:pPr>
                </w:p>
              </w:tc>
              <w:tc>
                <w:tcPr>
                  <w:tcW w:w="1059" w:type="dxa"/>
                  <w:gridSpan w:val="2"/>
                  <w:noWrap w:val="0"/>
                  <w:vAlign w:val="center"/>
                </w:tcPr>
                <w:p w14:paraId="6A904D80">
                  <w:pPr>
                    <w:spacing w:line="240" w:lineRule="auto"/>
                    <w:jc w:val="center"/>
                    <w:rPr>
                      <w:rFonts w:hint="eastAsia"/>
                      <w:sz w:val="21"/>
                      <w:szCs w:val="21"/>
                      <w:highlight w:val="none"/>
                    </w:rPr>
                  </w:pPr>
                  <w:r>
                    <w:rPr>
                      <w:rFonts w:hint="eastAsia"/>
                      <w:sz w:val="21"/>
                      <w:szCs w:val="21"/>
                      <w:highlight w:val="none"/>
                      <w:lang w:val="en-US" w:eastAsia="zh-CN"/>
                    </w:rPr>
                    <w:t>合成脱碳尾气</w:t>
                  </w:r>
                  <w:r>
                    <w:rPr>
                      <w:rFonts w:hint="eastAsia"/>
                      <w:sz w:val="21"/>
                      <w:szCs w:val="21"/>
                      <w:highlight w:val="none"/>
                    </w:rPr>
                    <w:t>管道</w:t>
                  </w:r>
                </w:p>
              </w:tc>
              <w:tc>
                <w:tcPr>
                  <w:tcW w:w="5850" w:type="dxa"/>
                  <w:noWrap w:val="0"/>
                  <w:vAlign w:val="center"/>
                </w:tcPr>
                <w:p w14:paraId="22BB034C">
                  <w:pPr>
                    <w:spacing w:line="240" w:lineRule="auto"/>
                    <w:jc w:val="center"/>
                    <w:rPr>
                      <w:rFonts w:hint="default"/>
                      <w:sz w:val="21"/>
                      <w:szCs w:val="21"/>
                      <w:highlight w:val="none"/>
                      <w:lang w:val="en-US"/>
                    </w:rPr>
                  </w:pPr>
                  <w:r>
                    <w:rPr>
                      <w:rFonts w:hint="eastAsia"/>
                      <w:sz w:val="21"/>
                      <w:szCs w:val="21"/>
                      <w:highlight w:val="none"/>
                    </w:rPr>
                    <w:t>1根总长度为</w:t>
                  </w:r>
                  <w:r>
                    <w:rPr>
                      <w:rFonts w:hint="eastAsia"/>
                      <w:sz w:val="21"/>
                      <w:szCs w:val="21"/>
                      <w:highlight w:val="none"/>
                      <w:lang w:val="en-US" w:eastAsia="zh-CN"/>
                    </w:rPr>
                    <w:t>288</w:t>
                  </w:r>
                  <w:r>
                    <w:rPr>
                      <w:rFonts w:hint="eastAsia"/>
                      <w:sz w:val="21"/>
                      <w:szCs w:val="21"/>
                      <w:highlight w:val="none"/>
                    </w:rPr>
                    <w:t>m的</w:t>
                  </w:r>
                  <w:r>
                    <w:rPr>
                      <w:rFonts w:hint="eastAsia"/>
                      <w:sz w:val="21"/>
                      <w:szCs w:val="21"/>
                      <w:highlight w:val="none"/>
                      <w:lang w:val="en-US" w:eastAsia="zh-CN"/>
                    </w:rPr>
                    <w:t>合成脱碳尾气</w:t>
                  </w:r>
                  <w:r>
                    <w:rPr>
                      <w:rFonts w:hint="eastAsia"/>
                      <w:sz w:val="21"/>
                      <w:szCs w:val="21"/>
                      <w:highlight w:val="none"/>
                    </w:rPr>
                    <w:t>管道，</w:t>
                  </w:r>
                  <w:r>
                    <w:rPr>
                      <w:rFonts w:hint="eastAsia"/>
                      <w:sz w:val="21"/>
                      <w:szCs w:val="21"/>
                      <w:highlight w:val="none"/>
                      <w:lang w:val="en-US" w:eastAsia="zh-CN"/>
                    </w:rPr>
                    <w:t>来自</w:t>
                  </w:r>
                  <w:r>
                    <w:rPr>
                      <w:rFonts w:hint="default"/>
                      <w:sz w:val="21"/>
                      <w:szCs w:val="21"/>
                      <w:highlight w:val="none"/>
                      <w:lang w:val="en-US" w:eastAsia="zh-CN"/>
                    </w:rPr>
                    <w:t>尾气脱碳单元，该管道现在已经做好抽头，抽头位于尾气脱碳车间，通过该抽头沿着</w:t>
                  </w:r>
                  <w:r>
                    <w:rPr>
                      <w:rFonts w:hint="eastAsia"/>
                      <w:sz w:val="21"/>
                      <w:szCs w:val="21"/>
                      <w:highlight w:val="none"/>
                      <w:lang w:val="en-US" w:eastAsia="zh-CN"/>
                    </w:rPr>
                    <w:t>改造后的</w:t>
                  </w:r>
                  <w:r>
                    <w:rPr>
                      <w:rFonts w:hint="default"/>
                      <w:sz w:val="21"/>
                      <w:szCs w:val="21"/>
                      <w:highlight w:val="none"/>
                      <w:lang w:val="en-US" w:eastAsia="zh-CN"/>
                    </w:rPr>
                    <w:t>管廊</w:t>
                  </w:r>
                  <w:r>
                    <w:rPr>
                      <w:rFonts w:hint="eastAsia"/>
                      <w:sz w:val="21"/>
                      <w:szCs w:val="21"/>
                      <w:highlight w:val="none"/>
                      <w:lang w:val="en-US" w:eastAsia="zh-CN"/>
                    </w:rPr>
                    <w:t>，</w:t>
                  </w:r>
                  <w:r>
                    <w:rPr>
                      <w:rFonts w:hint="default"/>
                      <w:sz w:val="21"/>
                      <w:szCs w:val="21"/>
                      <w:highlight w:val="none"/>
                      <w:lang w:val="en-US" w:eastAsia="zh-CN"/>
                    </w:rPr>
                    <w:t>新建管道至鹏泰生物公司管廊处</w:t>
                  </w:r>
                  <w:r>
                    <w:rPr>
                      <w:rFonts w:hint="eastAsia"/>
                      <w:sz w:val="21"/>
                      <w:szCs w:val="21"/>
                      <w:highlight w:val="none"/>
                      <w:lang w:eastAsia="zh-CN"/>
                    </w:rPr>
                    <w:t>。</w:t>
                  </w:r>
                  <w:r>
                    <w:rPr>
                      <w:rFonts w:hint="default"/>
                      <w:sz w:val="21"/>
                      <w:szCs w:val="21"/>
                      <w:highlight w:val="none"/>
                      <w:lang w:val="en-US" w:eastAsia="zh-CN"/>
                    </w:rPr>
                    <w:t>管道上增加流量计和快速切断阀</w:t>
                  </w:r>
                  <w:r>
                    <w:rPr>
                      <w:rFonts w:hint="eastAsia"/>
                      <w:sz w:val="21"/>
                      <w:szCs w:val="21"/>
                      <w:highlight w:val="none"/>
                    </w:rPr>
                    <w:t>。输送的</w:t>
                  </w:r>
                  <w:r>
                    <w:rPr>
                      <w:rFonts w:hint="eastAsia"/>
                      <w:sz w:val="21"/>
                      <w:szCs w:val="21"/>
                      <w:highlight w:val="none"/>
                      <w:lang w:val="en-US" w:eastAsia="zh-CN"/>
                    </w:rPr>
                    <w:t>合成脱碳尾气的</w:t>
                  </w:r>
                  <w:r>
                    <w:rPr>
                      <w:rFonts w:hint="eastAsia"/>
                      <w:sz w:val="21"/>
                      <w:szCs w:val="21"/>
                      <w:highlight w:val="none"/>
                    </w:rPr>
                    <w:t>流量</w:t>
                  </w:r>
                  <w:r>
                    <w:rPr>
                      <w:rFonts w:hint="eastAsia"/>
                      <w:sz w:val="21"/>
                      <w:szCs w:val="21"/>
                      <w:highlight w:val="none"/>
                      <w:lang w:val="en-US" w:eastAsia="zh-CN"/>
                    </w:rPr>
                    <w:t>为32365Nm</w:t>
                  </w:r>
                  <w:r>
                    <w:rPr>
                      <w:rFonts w:hint="eastAsia"/>
                      <w:sz w:val="21"/>
                      <w:szCs w:val="21"/>
                      <w:highlight w:val="none"/>
                      <w:vertAlign w:val="superscript"/>
                      <w:lang w:val="en-US" w:eastAsia="zh-CN"/>
                    </w:rPr>
                    <w:t>3</w:t>
                  </w:r>
                  <w:r>
                    <w:rPr>
                      <w:rFonts w:hint="eastAsia"/>
                      <w:sz w:val="21"/>
                      <w:szCs w:val="21"/>
                      <w:highlight w:val="none"/>
                      <w:lang w:val="en-US" w:eastAsia="zh-CN"/>
                    </w:rPr>
                    <w:t>/h</w:t>
                  </w:r>
                  <w:r>
                    <w:rPr>
                      <w:rFonts w:hint="eastAsia"/>
                      <w:sz w:val="21"/>
                      <w:szCs w:val="21"/>
                      <w:highlight w:val="none"/>
                    </w:rPr>
                    <w:t>、</w:t>
                  </w:r>
                  <w:r>
                    <w:rPr>
                      <w:rFonts w:hint="eastAsia"/>
                      <w:sz w:val="21"/>
                      <w:szCs w:val="21"/>
                      <w:highlight w:val="none"/>
                      <w:lang w:val="en-US" w:eastAsia="zh-CN"/>
                    </w:rPr>
                    <w:t>压力等级为CL300</w:t>
                  </w:r>
                  <w:r>
                    <w:rPr>
                      <w:rFonts w:hint="eastAsia"/>
                      <w:sz w:val="21"/>
                      <w:szCs w:val="21"/>
                      <w:highlight w:val="none"/>
                    </w:rPr>
                    <w:t>、</w:t>
                  </w:r>
                  <w:r>
                    <w:rPr>
                      <w:rFonts w:hint="eastAsia"/>
                      <w:sz w:val="21"/>
                      <w:szCs w:val="21"/>
                      <w:highlight w:val="none"/>
                      <w:lang w:val="en-US" w:eastAsia="zh-CN"/>
                    </w:rPr>
                    <w:t>内径200mm。</w:t>
                  </w:r>
                </w:p>
              </w:tc>
              <w:tc>
                <w:tcPr>
                  <w:tcW w:w="919" w:type="dxa"/>
                  <w:noWrap w:val="0"/>
                  <w:vAlign w:val="center"/>
                </w:tcPr>
                <w:p w14:paraId="3EEBEB28">
                  <w:pPr>
                    <w:jc w:val="center"/>
                    <w:rPr>
                      <w:rFonts w:hint="eastAsia" w:eastAsia="宋体"/>
                      <w:szCs w:val="21"/>
                      <w:highlight w:val="none"/>
                      <w:lang w:val="en-US" w:eastAsia="zh-CN"/>
                    </w:rPr>
                  </w:pPr>
                  <w:r>
                    <w:rPr>
                      <w:rFonts w:hint="eastAsia"/>
                      <w:szCs w:val="21"/>
                      <w:highlight w:val="none"/>
                      <w:lang w:val="en-US" w:eastAsia="zh-CN"/>
                    </w:rPr>
                    <w:t>新建（联博管廊内）</w:t>
                  </w:r>
                </w:p>
              </w:tc>
            </w:tr>
            <w:tr w14:paraId="1DC1E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Merge w:val="continue"/>
                  <w:noWrap w:val="0"/>
                  <w:vAlign w:val="center"/>
                </w:tcPr>
                <w:p w14:paraId="2D32413F">
                  <w:pPr>
                    <w:rPr>
                      <w:szCs w:val="21"/>
                      <w:highlight w:val="none"/>
                    </w:rPr>
                  </w:pPr>
                </w:p>
              </w:tc>
              <w:tc>
                <w:tcPr>
                  <w:tcW w:w="1059" w:type="dxa"/>
                  <w:gridSpan w:val="2"/>
                  <w:noWrap w:val="0"/>
                  <w:vAlign w:val="center"/>
                </w:tcPr>
                <w:p w14:paraId="099EF2D1">
                  <w:pPr>
                    <w:spacing w:line="240" w:lineRule="auto"/>
                    <w:jc w:val="center"/>
                    <w:rPr>
                      <w:rFonts w:hint="eastAsia"/>
                      <w:sz w:val="21"/>
                      <w:szCs w:val="21"/>
                      <w:highlight w:val="none"/>
                      <w:lang w:val="en-US" w:eastAsia="zh-CN"/>
                    </w:rPr>
                  </w:pPr>
                  <w:r>
                    <w:rPr>
                      <w:rFonts w:hint="eastAsia"/>
                      <w:sz w:val="21"/>
                      <w:szCs w:val="21"/>
                      <w:highlight w:val="none"/>
                      <w:lang w:val="en-US" w:eastAsia="zh-CN"/>
                    </w:rPr>
                    <w:t>未变换净化气</w:t>
                  </w:r>
                  <w:r>
                    <w:rPr>
                      <w:rFonts w:hint="eastAsia"/>
                      <w:sz w:val="21"/>
                      <w:szCs w:val="21"/>
                      <w:highlight w:val="none"/>
                    </w:rPr>
                    <w:t>管道</w:t>
                  </w:r>
                </w:p>
              </w:tc>
              <w:tc>
                <w:tcPr>
                  <w:tcW w:w="5850" w:type="dxa"/>
                  <w:noWrap w:val="0"/>
                  <w:vAlign w:val="center"/>
                </w:tcPr>
                <w:p w14:paraId="7322152B">
                  <w:pPr>
                    <w:spacing w:line="240" w:lineRule="auto"/>
                    <w:jc w:val="center"/>
                    <w:rPr>
                      <w:rFonts w:hint="eastAsia"/>
                      <w:sz w:val="21"/>
                      <w:szCs w:val="21"/>
                      <w:highlight w:val="none"/>
                      <w:lang w:val="en-US" w:eastAsia="zh-CN"/>
                    </w:rPr>
                  </w:pPr>
                  <w:r>
                    <w:rPr>
                      <w:rFonts w:hint="eastAsia"/>
                      <w:sz w:val="21"/>
                      <w:szCs w:val="21"/>
                      <w:highlight w:val="none"/>
                      <w:lang w:val="en-US" w:eastAsia="zh-CN"/>
                    </w:rPr>
                    <w:t>1根总长度为597m的未变换净化气管道，</w:t>
                  </w:r>
                  <w:r>
                    <w:rPr>
                      <w:rFonts w:hint="default"/>
                      <w:sz w:val="21"/>
                      <w:szCs w:val="21"/>
                      <w:highlight w:val="none"/>
                      <w:lang w:val="en-US" w:eastAsia="zh-CN"/>
                    </w:rPr>
                    <w:t>现有管道抽头已经位于</w:t>
                  </w:r>
                  <w:r>
                    <w:rPr>
                      <w:rFonts w:hint="eastAsia"/>
                      <w:sz w:val="21"/>
                      <w:szCs w:val="21"/>
                      <w:highlight w:val="none"/>
                      <w:lang w:val="en-US" w:eastAsia="zh-CN"/>
                    </w:rPr>
                    <w:t>改造后</w:t>
                  </w:r>
                  <w:r>
                    <w:rPr>
                      <w:rFonts w:hint="default"/>
                      <w:sz w:val="21"/>
                      <w:szCs w:val="21"/>
                      <w:highlight w:val="none"/>
                      <w:lang w:val="en-US" w:eastAsia="zh-CN"/>
                    </w:rPr>
                    <w:t>管廊处，需要沿着该抽头处新建管道至鹏泰生物公司管廊</w:t>
                  </w:r>
                  <w:r>
                    <w:rPr>
                      <w:rFonts w:hint="eastAsia"/>
                      <w:sz w:val="21"/>
                      <w:szCs w:val="21"/>
                      <w:highlight w:val="none"/>
                      <w:lang w:val="en-US" w:eastAsia="zh-CN"/>
                    </w:rPr>
                    <w:t>，</w:t>
                  </w:r>
                  <w:r>
                    <w:rPr>
                      <w:rFonts w:hint="default"/>
                      <w:sz w:val="21"/>
                      <w:szCs w:val="21"/>
                      <w:highlight w:val="none"/>
                      <w:lang w:val="en-US" w:eastAsia="zh-CN"/>
                    </w:rPr>
                    <w:t>增加流量计和快速切断阀</w:t>
                  </w:r>
                  <w:r>
                    <w:rPr>
                      <w:rFonts w:hint="eastAsia"/>
                      <w:sz w:val="21"/>
                      <w:szCs w:val="21"/>
                      <w:highlight w:val="none"/>
                      <w:lang w:val="en-US" w:eastAsia="zh-CN"/>
                    </w:rPr>
                    <w:t>。输送的未变换净化气流量59897Nm</w:t>
                  </w:r>
                  <w:r>
                    <w:rPr>
                      <w:rFonts w:hint="eastAsia"/>
                      <w:sz w:val="21"/>
                      <w:szCs w:val="21"/>
                      <w:highlight w:val="none"/>
                      <w:vertAlign w:val="superscript"/>
                      <w:lang w:val="en-US" w:eastAsia="zh-CN"/>
                    </w:rPr>
                    <w:t>3</w:t>
                  </w:r>
                  <w:r>
                    <w:rPr>
                      <w:rFonts w:hint="eastAsia"/>
                      <w:sz w:val="21"/>
                      <w:szCs w:val="21"/>
                      <w:highlight w:val="none"/>
                      <w:lang w:val="en-US" w:eastAsia="zh-CN"/>
                    </w:rPr>
                    <w:t>/h，压力等级为CL300</w:t>
                  </w:r>
                  <w:r>
                    <w:rPr>
                      <w:rFonts w:hint="eastAsia"/>
                      <w:sz w:val="21"/>
                      <w:szCs w:val="21"/>
                      <w:highlight w:val="none"/>
                    </w:rPr>
                    <w:t>、</w:t>
                  </w:r>
                  <w:r>
                    <w:rPr>
                      <w:rFonts w:hint="eastAsia"/>
                      <w:sz w:val="21"/>
                      <w:szCs w:val="21"/>
                      <w:highlight w:val="none"/>
                      <w:lang w:val="en-US" w:eastAsia="zh-CN"/>
                    </w:rPr>
                    <w:t>内径200mm。</w:t>
                  </w:r>
                </w:p>
              </w:tc>
              <w:tc>
                <w:tcPr>
                  <w:tcW w:w="919" w:type="dxa"/>
                  <w:noWrap w:val="0"/>
                  <w:vAlign w:val="center"/>
                </w:tcPr>
                <w:p w14:paraId="0DE249C6">
                  <w:pPr>
                    <w:jc w:val="center"/>
                    <w:rPr>
                      <w:rFonts w:hint="eastAsia" w:eastAsia="宋体"/>
                      <w:szCs w:val="21"/>
                      <w:highlight w:val="none"/>
                      <w:lang w:val="en-US" w:eastAsia="zh-CN"/>
                    </w:rPr>
                  </w:pPr>
                  <w:r>
                    <w:rPr>
                      <w:rFonts w:hint="eastAsia"/>
                      <w:szCs w:val="21"/>
                      <w:highlight w:val="none"/>
                      <w:lang w:val="en-US" w:eastAsia="zh-CN"/>
                    </w:rPr>
                    <w:t>新建（联博管廊内）</w:t>
                  </w:r>
                </w:p>
              </w:tc>
            </w:tr>
            <w:tr w14:paraId="0C675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Merge w:val="continue"/>
                  <w:noWrap w:val="0"/>
                  <w:vAlign w:val="center"/>
                </w:tcPr>
                <w:p w14:paraId="272C5BF3">
                  <w:pPr>
                    <w:rPr>
                      <w:szCs w:val="21"/>
                      <w:highlight w:val="none"/>
                    </w:rPr>
                  </w:pPr>
                </w:p>
              </w:tc>
              <w:tc>
                <w:tcPr>
                  <w:tcW w:w="1059" w:type="dxa"/>
                  <w:gridSpan w:val="2"/>
                  <w:noWrap w:val="0"/>
                  <w:vAlign w:val="center"/>
                </w:tcPr>
                <w:p w14:paraId="71374860">
                  <w:pPr>
                    <w:spacing w:line="240" w:lineRule="auto"/>
                    <w:jc w:val="center"/>
                    <w:rPr>
                      <w:sz w:val="21"/>
                      <w:szCs w:val="21"/>
                      <w:highlight w:val="none"/>
                    </w:rPr>
                  </w:pPr>
                  <w:r>
                    <w:rPr>
                      <w:rFonts w:hint="eastAsia"/>
                      <w:sz w:val="21"/>
                      <w:szCs w:val="21"/>
                      <w:highlight w:val="none"/>
                      <w:lang w:val="en-US" w:eastAsia="zh-CN"/>
                    </w:rPr>
                    <w:t>尾气</w:t>
                  </w:r>
                  <w:r>
                    <w:rPr>
                      <w:rFonts w:hint="eastAsia"/>
                      <w:sz w:val="21"/>
                      <w:szCs w:val="21"/>
                      <w:highlight w:val="none"/>
                    </w:rPr>
                    <w:t>管道</w:t>
                  </w:r>
                </w:p>
              </w:tc>
              <w:tc>
                <w:tcPr>
                  <w:tcW w:w="5850" w:type="dxa"/>
                  <w:noWrap w:val="0"/>
                  <w:vAlign w:val="center"/>
                </w:tcPr>
                <w:p w14:paraId="3B1C60DD">
                  <w:pPr>
                    <w:spacing w:line="240" w:lineRule="auto"/>
                    <w:jc w:val="center"/>
                    <w:rPr>
                      <w:sz w:val="21"/>
                      <w:szCs w:val="21"/>
                      <w:highlight w:val="none"/>
                    </w:rPr>
                  </w:pPr>
                  <w:r>
                    <w:rPr>
                      <w:rFonts w:hint="eastAsia"/>
                      <w:sz w:val="21"/>
                      <w:szCs w:val="21"/>
                      <w:highlight w:val="none"/>
                    </w:rPr>
                    <w:t>1根总长度为</w:t>
                  </w:r>
                  <w:r>
                    <w:rPr>
                      <w:rFonts w:hint="eastAsia"/>
                      <w:sz w:val="21"/>
                      <w:szCs w:val="21"/>
                      <w:highlight w:val="none"/>
                      <w:lang w:val="en-US" w:eastAsia="zh-CN"/>
                    </w:rPr>
                    <w:t>417</w:t>
                  </w:r>
                  <w:r>
                    <w:rPr>
                      <w:rFonts w:hint="eastAsia"/>
                      <w:sz w:val="21"/>
                      <w:szCs w:val="21"/>
                      <w:highlight w:val="none"/>
                    </w:rPr>
                    <w:t>m的</w:t>
                  </w:r>
                  <w:r>
                    <w:rPr>
                      <w:rFonts w:hint="eastAsia"/>
                      <w:sz w:val="21"/>
                      <w:szCs w:val="21"/>
                      <w:highlight w:val="none"/>
                      <w:lang w:val="en-US" w:eastAsia="zh-CN"/>
                    </w:rPr>
                    <w:t>尾气</w:t>
                  </w:r>
                  <w:r>
                    <w:rPr>
                      <w:rFonts w:hint="eastAsia"/>
                      <w:sz w:val="21"/>
                      <w:szCs w:val="21"/>
                      <w:highlight w:val="none"/>
                    </w:rPr>
                    <w:t>管道，</w:t>
                  </w:r>
                  <w:r>
                    <w:rPr>
                      <w:rFonts w:hint="default" w:ascii="Times New Roman" w:hAnsi="Times New Roman" w:eastAsia="宋体" w:cs="Times New Roman"/>
                      <w:bCs/>
                      <w:sz w:val="21"/>
                      <w:szCs w:val="21"/>
                      <w:highlight w:val="none"/>
                      <w:lang w:val="en-US" w:eastAsia="zh-CN"/>
                    </w:rPr>
                    <w:t>鹏泰生物公司尾气，该处接点位于鹏泰生物管廊处，需要沿着该抽头新建管道至伊泰化工管廊抽头处</w:t>
                  </w:r>
                  <w:r>
                    <w:rPr>
                      <w:rFonts w:hint="default"/>
                      <w:sz w:val="21"/>
                      <w:szCs w:val="21"/>
                      <w:highlight w:val="none"/>
                      <w:lang w:val="en-US" w:eastAsia="zh-CN"/>
                    </w:rPr>
                    <w:t>设置流量计</w:t>
                  </w:r>
                  <w:r>
                    <w:rPr>
                      <w:rFonts w:hint="eastAsia"/>
                      <w:sz w:val="21"/>
                      <w:szCs w:val="21"/>
                      <w:highlight w:val="none"/>
                    </w:rPr>
                    <w:t>。输送的</w:t>
                  </w:r>
                  <w:r>
                    <w:rPr>
                      <w:rFonts w:hint="eastAsia"/>
                      <w:sz w:val="21"/>
                      <w:szCs w:val="21"/>
                      <w:highlight w:val="none"/>
                      <w:lang w:val="en-US" w:eastAsia="zh-CN"/>
                    </w:rPr>
                    <w:t>尾气</w:t>
                  </w:r>
                  <w:r>
                    <w:rPr>
                      <w:rFonts w:hint="eastAsia"/>
                      <w:sz w:val="21"/>
                      <w:szCs w:val="21"/>
                      <w:highlight w:val="none"/>
                    </w:rPr>
                    <w:t>流量为</w:t>
                  </w:r>
                  <w:r>
                    <w:rPr>
                      <w:rFonts w:hint="eastAsia"/>
                      <w:sz w:val="21"/>
                      <w:szCs w:val="21"/>
                      <w:highlight w:val="none"/>
                      <w:lang w:val="en-US" w:eastAsia="zh-CN"/>
                    </w:rPr>
                    <w:t>14324Nm</w:t>
                  </w:r>
                  <w:r>
                    <w:rPr>
                      <w:rFonts w:hint="eastAsia"/>
                      <w:sz w:val="21"/>
                      <w:szCs w:val="21"/>
                      <w:highlight w:val="none"/>
                      <w:vertAlign w:val="superscript"/>
                      <w:lang w:val="en-US" w:eastAsia="zh-CN"/>
                    </w:rPr>
                    <w:t>3</w:t>
                  </w:r>
                  <w:r>
                    <w:rPr>
                      <w:rFonts w:hint="eastAsia"/>
                      <w:sz w:val="21"/>
                      <w:szCs w:val="21"/>
                      <w:highlight w:val="none"/>
                      <w:lang w:val="en-US" w:eastAsia="zh-CN"/>
                    </w:rPr>
                    <w:t>/h</w:t>
                  </w:r>
                  <w:r>
                    <w:rPr>
                      <w:rFonts w:hint="eastAsia"/>
                      <w:sz w:val="21"/>
                      <w:szCs w:val="21"/>
                      <w:highlight w:val="none"/>
                    </w:rPr>
                    <w:t>、</w:t>
                  </w:r>
                  <w:r>
                    <w:rPr>
                      <w:rFonts w:hint="eastAsia"/>
                      <w:sz w:val="21"/>
                      <w:szCs w:val="21"/>
                      <w:highlight w:val="none"/>
                      <w:lang w:val="en-US" w:eastAsia="zh-CN"/>
                    </w:rPr>
                    <w:t>压力等级为CL150</w:t>
                  </w:r>
                  <w:r>
                    <w:rPr>
                      <w:rFonts w:hint="eastAsia"/>
                      <w:sz w:val="21"/>
                      <w:szCs w:val="21"/>
                      <w:highlight w:val="none"/>
                    </w:rPr>
                    <w:t>、</w:t>
                  </w:r>
                  <w:r>
                    <w:rPr>
                      <w:rFonts w:hint="eastAsia"/>
                      <w:sz w:val="21"/>
                      <w:szCs w:val="21"/>
                      <w:highlight w:val="none"/>
                      <w:lang w:val="en-US" w:eastAsia="zh-CN"/>
                    </w:rPr>
                    <w:t>内径250mm</w:t>
                  </w:r>
                  <w:r>
                    <w:rPr>
                      <w:rFonts w:hint="eastAsia"/>
                      <w:sz w:val="21"/>
                      <w:szCs w:val="21"/>
                      <w:highlight w:val="none"/>
                    </w:rPr>
                    <w:t>。</w:t>
                  </w:r>
                </w:p>
              </w:tc>
              <w:tc>
                <w:tcPr>
                  <w:tcW w:w="919" w:type="dxa"/>
                  <w:noWrap w:val="0"/>
                  <w:vAlign w:val="center"/>
                </w:tcPr>
                <w:p w14:paraId="681641BF">
                  <w:pPr>
                    <w:jc w:val="center"/>
                    <w:rPr>
                      <w:rFonts w:hint="eastAsia" w:eastAsia="宋体"/>
                      <w:szCs w:val="21"/>
                      <w:highlight w:val="none"/>
                      <w:lang w:val="en-US" w:eastAsia="zh-CN"/>
                    </w:rPr>
                  </w:pPr>
                  <w:r>
                    <w:rPr>
                      <w:rFonts w:hint="eastAsia"/>
                      <w:szCs w:val="21"/>
                      <w:highlight w:val="none"/>
                      <w:lang w:val="en-US" w:eastAsia="zh-CN"/>
                    </w:rPr>
                    <w:t>新建（联博管廊内）</w:t>
                  </w:r>
                </w:p>
              </w:tc>
            </w:tr>
            <w:tr w14:paraId="21AB2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Merge w:val="continue"/>
                  <w:noWrap w:val="0"/>
                  <w:vAlign w:val="center"/>
                </w:tcPr>
                <w:p w14:paraId="531F4B48">
                  <w:pPr>
                    <w:rPr>
                      <w:szCs w:val="21"/>
                      <w:highlight w:val="none"/>
                    </w:rPr>
                  </w:pPr>
                </w:p>
              </w:tc>
              <w:tc>
                <w:tcPr>
                  <w:tcW w:w="1059" w:type="dxa"/>
                  <w:gridSpan w:val="2"/>
                  <w:noWrap w:val="0"/>
                  <w:vAlign w:val="center"/>
                </w:tcPr>
                <w:p w14:paraId="6E5D789A">
                  <w:pPr>
                    <w:spacing w:line="240" w:lineRule="auto"/>
                    <w:jc w:val="center"/>
                    <w:rPr>
                      <w:sz w:val="21"/>
                      <w:szCs w:val="21"/>
                      <w:highlight w:val="none"/>
                    </w:rPr>
                  </w:pPr>
                  <w:r>
                    <w:rPr>
                      <w:rFonts w:hint="eastAsia"/>
                      <w:sz w:val="21"/>
                      <w:szCs w:val="21"/>
                      <w:highlight w:val="none"/>
                      <w:lang w:val="en-US" w:eastAsia="zh-CN"/>
                    </w:rPr>
                    <w:t>WTR甲烷气</w:t>
                  </w:r>
                  <w:r>
                    <w:rPr>
                      <w:rFonts w:hint="eastAsia"/>
                      <w:sz w:val="21"/>
                      <w:szCs w:val="21"/>
                      <w:highlight w:val="none"/>
                    </w:rPr>
                    <w:t>管道</w:t>
                  </w:r>
                </w:p>
              </w:tc>
              <w:tc>
                <w:tcPr>
                  <w:tcW w:w="5850" w:type="dxa"/>
                  <w:noWrap w:val="0"/>
                  <w:vAlign w:val="center"/>
                </w:tcPr>
                <w:p w14:paraId="61ED5A57">
                  <w:pPr>
                    <w:adjustRightInd w:val="0"/>
                    <w:snapToGrid w:val="0"/>
                    <w:spacing w:line="240" w:lineRule="auto"/>
                    <w:jc w:val="center"/>
                    <w:rPr>
                      <w:rFonts w:hint="default" w:eastAsia="宋体"/>
                      <w:sz w:val="21"/>
                      <w:szCs w:val="21"/>
                      <w:highlight w:val="none"/>
                      <w:lang w:val="en-US" w:eastAsia="zh-CN"/>
                    </w:rPr>
                  </w:pPr>
                  <w:r>
                    <w:rPr>
                      <w:rFonts w:hint="eastAsia"/>
                      <w:sz w:val="21"/>
                      <w:szCs w:val="21"/>
                      <w:highlight w:val="none"/>
                    </w:rPr>
                    <w:t>1根</w:t>
                  </w:r>
                  <w:r>
                    <w:rPr>
                      <w:rFonts w:hint="eastAsia"/>
                      <w:sz w:val="21"/>
                      <w:szCs w:val="21"/>
                      <w:highlight w:val="none"/>
                      <w:lang w:val="en-US" w:eastAsia="zh-CN"/>
                    </w:rPr>
                    <w:t>961</w:t>
                  </w:r>
                  <w:r>
                    <w:rPr>
                      <w:rFonts w:hint="eastAsia"/>
                      <w:sz w:val="21"/>
                      <w:szCs w:val="21"/>
                      <w:highlight w:val="none"/>
                    </w:rPr>
                    <w:t>m的</w:t>
                  </w:r>
                  <w:r>
                    <w:rPr>
                      <w:rFonts w:hint="eastAsia"/>
                      <w:sz w:val="21"/>
                      <w:szCs w:val="21"/>
                      <w:highlight w:val="none"/>
                      <w:lang w:val="en-US" w:eastAsia="zh-CN"/>
                    </w:rPr>
                    <w:t>WTR甲烷气</w:t>
                  </w:r>
                  <w:r>
                    <w:rPr>
                      <w:rFonts w:hint="eastAsia"/>
                      <w:sz w:val="21"/>
                      <w:szCs w:val="21"/>
                      <w:highlight w:val="none"/>
                    </w:rPr>
                    <w:t>管道，</w:t>
                  </w:r>
                  <w:r>
                    <w:rPr>
                      <w:rFonts w:hint="default" w:ascii="Times New Roman" w:hAnsi="Times New Roman" w:eastAsia="宋体" w:cs="Times New Roman"/>
                      <w:bCs/>
                      <w:sz w:val="21"/>
                      <w:szCs w:val="21"/>
                      <w:highlight w:val="none"/>
                      <w:lang w:val="en-US" w:eastAsia="zh-CN"/>
                    </w:rPr>
                    <w:t>WRT甲烷尾气，该管道暂未抽头，为鹏泰生物公司输送至伊泰化工管道</w:t>
                  </w:r>
                  <w:r>
                    <w:rPr>
                      <w:rFonts w:hint="eastAsia"/>
                      <w:sz w:val="21"/>
                      <w:szCs w:val="21"/>
                      <w:highlight w:val="none"/>
                    </w:rPr>
                    <w:t>，并配套流量计</w:t>
                  </w:r>
                  <w:r>
                    <w:rPr>
                      <w:rFonts w:hint="eastAsia"/>
                      <w:sz w:val="21"/>
                      <w:szCs w:val="21"/>
                      <w:highlight w:val="none"/>
                      <w:lang w:val="en-US" w:eastAsia="zh-CN"/>
                    </w:rPr>
                    <w:t>。输送的WTR甲烷气流量1650Nm</w:t>
                  </w:r>
                  <w:r>
                    <w:rPr>
                      <w:rFonts w:hint="eastAsia"/>
                      <w:sz w:val="21"/>
                      <w:szCs w:val="21"/>
                      <w:highlight w:val="none"/>
                      <w:vertAlign w:val="superscript"/>
                      <w:lang w:val="en-US" w:eastAsia="zh-CN"/>
                    </w:rPr>
                    <w:t>3</w:t>
                  </w:r>
                  <w:r>
                    <w:rPr>
                      <w:rFonts w:hint="eastAsia"/>
                      <w:sz w:val="21"/>
                      <w:szCs w:val="21"/>
                      <w:highlight w:val="none"/>
                      <w:lang w:val="en-US" w:eastAsia="zh-CN"/>
                    </w:rPr>
                    <w:t>/h、压力等级为CL150</w:t>
                  </w:r>
                  <w:r>
                    <w:rPr>
                      <w:rFonts w:hint="eastAsia"/>
                      <w:sz w:val="21"/>
                      <w:szCs w:val="21"/>
                      <w:highlight w:val="none"/>
                    </w:rPr>
                    <w:t>、</w:t>
                  </w:r>
                  <w:r>
                    <w:rPr>
                      <w:rFonts w:hint="eastAsia"/>
                      <w:sz w:val="21"/>
                      <w:szCs w:val="21"/>
                      <w:highlight w:val="none"/>
                      <w:lang w:val="en-US" w:eastAsia="zh-CN"/>
                    </w:rPr>
                    <w:t>内径150mm。</w:t>
                  </w:r>
                </w:p>
              </w:tc>
              <w:tc>
                <w:tcPr>
                  <w:tcW w:w="919" w:type="dxa"/>
                  <w:noWrap w:val="0"/>
                  <w:vAlign w:val="center"/>
                </w:tcPr>
                <w:p w14:paraId="29D0D062">
                  <w:pPr>
                    <w:jc w:val="center"/>
                    <w:rPr>
                      <w:rFonts w:hint="eastAsia" w:eastAsia="宋体"/>
                      <w:szCs w:val="21"/>
                      <w:highlight w:val="none"/>
                      <w:lang w:val="en-US" w:eastAsia="zh-CN"/>
                    </w:rPr>
                  </w:pPr>
                  <w:r>
                    <w:rPr>
                      <w:rFonts w:hint="eastAsia"/>
                      <w:szCs w:val="21"/>
                      <w:highlight w:val="none"/>
                      <w:lang w:val="en-US" w:eastAsia="zh-CN"/>
                    </w:rPr>
                    <w:t>新建（厂界外管廊）</w:t>
                  </w:r>
                </w:p>
              </w:tc>
            </w:tr>
            <w:tr w14:paraId="0587F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Merge w:val="continue"/>
                  <w:noWrap w:val="0"/>
                  <w:vAlign w:val="center"/>
                </w:tcPr>
                <w:p w14:paraId="473D2F72">
                  <w:pPr>
                    <w:rPr>
                      <w:szCs w:val="21"/>
                      <w:highlight w:val="none"/>
                    </w:rPr>
                  </w:pPr>
                </w:p>
              </w:tc>
              <w:tc>
                <w:tcPr>
                  <w:tcW w:w="1059" w:type="dxa"/>
                  <w:gridSpan w:val="2"/>
                  <w:noWrap w:val="0"/>
                  <w:vAlign w:val="center"/>
                </w:tcPr>
                <w:p w14:paraId="5E5E6C4C">
                  <w:pPr>
                    <w:spacing w:line="240" w:lineRule="auto"/>
                    <w:jc w:val="center"/>
                    <w:rPr>
                      <w:rFonts w:hint="eastAsia" w:eastAsia="宋体"/>
                      <w:sz w:val="21"/>
                      <w:szCs w:val="21"/>
                      <w:highlight w:val="none"/>
                      <w:lang w:val="en-US" w:eastAsia="zh-CN"/>
                    </w:rPr>
                  </w:pPr>
                  <w:r>
                    <w:rPr>
                      <w:rFonts w:hint="eastAsia"/>
                      <w:sz w:val="21"/>
                      <w:szCs w:val="21"/>
                      <w:highlight w:val="none"/>
                      <w:lang w:val="en-US" w:eastAsia="zh-CN"/>
                    </w:rPr>
                    <w:t>甲烷</w:t>
                  </w:r>
                  <w:r>
                    <w:rPr>
                      <w:rFonts w:hint="eastAsia"/>
                      <w:sz w:val="21"/>
                      <w:szCs w:val="21"/>
                      <w:highlight w:val="none"/>
                    </w:rPr>
                    <w:t>管道</w:t>
                  </w:r>
                </w:p>
              </w:tc>
              <w:tc>
                <w:tcPr>
                  <w:tcW w:w="5850" w:type="dxa"/>
                  <w:noWrap w:val="0"/>
                  <w:vAlign w:val="center"/>
                </w:tcPr>
                <w:p w14:paraId="5FAE66BA">
                  <w:pPr>
                    <w:keepNext w:val="0"/>
                    <w:keepLines w:val="0"/>
                    <w:widowControl/>
                    <w:suppressLineNumbers w:val="0"/>
                    <w:spacing w:line="240" w:lineRule="auto"/>
                    <w:jc w:val="center"/>
                    <w:rPr>
                      <w:rFonts w:hint="eastAsia"/>
                      <w:sz w:val="21"/>
                      <w:szCs w:val="21"/>
                      <w:highlight w:val="none"/>
                    </w:rPr>
                  </w:pPr>
                  <w:r>
                    <w:rPr>
                      <w:rFonts w:hint="eastAsia"/>
                      <w:sz w:val="21"/>
                      <w:szCs w:val="21"/>
                      <w:highlight w:val="none"/>
                    </w:rPr>
                    <w:t>1根总长度为</w:t>
                  </w:r>
                  <w:r>
                    <w:rPr>
                      <w:rFonts w:hint="eastAsia"/>
                      <w:sz w:val="21"/>
                      <w:szCs w:val="21"/>
                      <w:highlight w:val="none"/>
                      <w:lang w:val="en-US" w:eastAsia="zh-CN"/>
                    </w:rPr>
                    <w:t>904</w:t>
                  </w:r>
                  <w:r>
                    <w:rPr>
                      <w:rFonts w:hint="eastAsia"/>
                      <w:sz w:val="21"/>
                      <w:szCs w:val="21"/>
                      <w:highlight w:val="none"/>
                    </w:rPr>
                    <w:t>m的</w:t>
                  </w:r>
                  <w:r>
                    <w:rPr>
                      <w:rFonts w:hint="eastAsia"/>
                      <w:sz w:val="21"/>
                      <w:szCs w:val="21"/>
                      <w:highlight w:val="none"/>
                      <w:lang w:val="en-US" w:eastAsia="zh-CN"/>
                    </w:rPr>
                    <w:t>甲烷</w:t>
                  </w:r>
                  <w:r>
                    <w:rPr>
                      <w:rFonts w:hint="eastAsia"/>
                      <w:sz w:val="21"/>
                      <w:szCs w:val="21"/>
                      <w:highlight w:val="none"/>
                    </w:rPr>
                    <w:t>管道，</w:t>
                  </w:r>
                  <w:r>
                    <w:rPr>
                      <w:rFonts w:hint="default" w:ascii="Times New Roman" w:hAnsi="Times New Roman" w:eastAsia="宋体" w:cs="Times New Roman"/>
                      <w:bCs/>
                      <w:sz w:val="21"/>
                      <w:szCs w:val="21"/>
                      <w:highlight w:val="none"/>
                      <w:lang w:val="en-US" w:eastAsia="zh-CN"/>
                    </w:rPr>
                    <w:t>暂未抽头，需要由伊泰化工新建管道至鹏泰生物公司的管廊处</w:t>
                  </w:r>
                  <w:r>
                    <w:rPr>
                      <w:rFonts w:hint="eastAsia"/>
                      <w:sz w:val="21"/>
                      <w:szCs w:val="21"/>
                      <w:highlight w:val="none"/>
                      <w:lang w:eastAsia="zh-CN"/>
                    </w:rPr>
                    <w:t>，</w:t>
                  </w:r>
                  <w:r>
                    <w:rPr>
                      <w:rFonts w:hint="eastAsia"/>
                      <w:sz w:val="21"/>
                      <w:szCs w:val="21"/>
                      <w:highlight w:val="none"/>
                    </w:rPr>
                    <w:t>并配套流量计。输送的</w:t>
                  </w:r>
                  <w:r>
                    <w:rPr>
                      <w:rFonts w:hint="eastAsia"/>
                      <w:sz w:val="21"/>
                      <w:szCs w:val="21"/>
                      <w:highlight w:val="none"/>
                      <w:lang w:val="en-US" w:eastAsia="zh-CN"/>
                    </w:rPr>
                    <w:t>甲烷气的</w:t>
                  </w:r>
                  <w:r>
                    <w:rPr>
                      <w:rFonts w:hint="eastAsia"/>
                      <w:sz w:val="21"/>
                      <w:szCs w:val="21"/>
                      <w:highlight w:val="none"/>
                    </w:rPr>
                    <w:t>流量</w:t>
                  </w:r>
                  <w:r>
                    <w:rPr>
                      <w:rFonts w:hint="eastAsia"/>
                      <w:sz w:val="21"/>
                      <w:szCs w:val="21"/>
                      <w:highlight w:val="none"/>
                      <w:lang w:val="en-US" w:eastAsia="zh-CN"/>
                    </w:rPr>
                    <w:t>为1000Nm</w:t>
                  </w:r>
                  <w:r>
                    <w:rPr>
                      <w:rFonts w:hint="eastAsia"/>
                      <w:sz w:val="21"/>
                      <w:szCs w:val="21"/>
                      <w:highlight w:val="none"/>
                      <w:vertAlign w:val="superscript"/>
                      <w:lang w:val="en-US" w:eastAsia="zh-CN"/>
                    </w:rPr>
                    <w:t>3</w:t>
                  </w:r>
                  <w:r>
                    <w:rPr>
                      <w:rFonts w:hint="eastAsia"/>
                      <w:sz w:val="21"/>
                      <w:szCs w:val="21"/>
                      <w:highlight w:val="none"/>
                      <w:lang w:val="en-US" w:eastAsia="zh-CN"/>
                    </w:rPr>
                    <w:t>/h</w:t>
                  </w:r>
                  <w:r>
                    <w:rPr>
                      <w:rFonts w:hint="eastAsia"/>
                      <w:sz w:val="21"/>
                      <w:szCs w:val="21"/>
                      <w:highlight w:val="none"/>
                    </w:rPr>
                    <w:t>、</w:t>
                  </w:r>
                  <w:r>
                    <w:rPr>
                      <w:rFonts w:hint="eastAsia"/>
                      <w:sz w:val="21"/>
                      <w:szCs w:val="21"/>
                      <w:highlight w:val="none"/>
                      <w:lang w:val="en-US" w:eastAsia="zh-CN"/>
                    </w:rPr>
                    <w:t>压力等级为CL150、内径150mm。</w:t>
                  </w:r>
                </w:p>
              </w:tc>
              <w:tc>
                <w:tcPr>
                  <w:tcW w:w="919" w:type="dxa"/>
                  <w:noWrap w:val="0"/>
                  <w:vAlign w:val="center"/>
                </w:tcPr>
                <w:p w14:paraId="24504220">
                  <w:pPr>
                    <w:jc w:val="center"/>
                    <w:rPr>
                      <w:rFonts w:hint="eastAsia" w:eastAsia="宋体"/>
                      <w:szCs w:val="21"/>
                      <w:highlight w:val="none"/>
                      <w:lang w:val="en-US" w:eastAsia="zh-CN"/>
                    </w:rPr>
                  </w:pPr>
                  <w:r>
                    <w:rPr>
                      <w:rFonts w:hint="eastAsia"/>
                      <w:szCs w:val="21"/>
                      <w:highlight w:val="none"/>
                      <w:lang w:val="en-US" w:eastAsia="zh-CN"/>
                    </w:rPr>
                    <w:t>新建（联博管廊内）</w:t>
                  </w:r>
                </w:p>
              </w:tc>
            </w:tr>
            <w:tr w14:paraId="64359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Merge w:val="continue"/>
                  <w:noWrap w:val="0"/>
                  <w:vAlign w:val="center"/>
                </w:tcPr>
                <w:p w14:paraId="1D346A94">
                  <w:pPr>
                    <w:rPr>
                      <w:szCs w:val="21"/>
                      <w:highlight w:val="none"/>
                    </w:rPr>
                  </w:pPr>
                </w:p>
              </w:tc>
              <w:tc>
                <w:tcPr>
                  <w:tcW w:w="1059" w:type="dxa"/>
                  <w:gridSpan w:val="2"/>
                  <w:noWrap w:val="0"/>
                  <w:vAlign w:val="center"/>
                </w:tcPr>
                <w:p w14:paraId="3A898BEF">
                  <w:pPr>
                    <w:spacing w:line="240" w:lineRule="auto"/>
                    <w:jc w:val="center"/>
                    <w:rPr>
                      <w:rFonts w:hint="eastAsia"/>
                      <w:sz w:val="21"/>
                      <w:szCs w:val="21"/>
                      <w:highlight w:val="none"/>
                    </w:rPr>
                  </w:pPr>
                  <w:r>
                    <w:rPr>
                      <w:rFonts w:hint="eastAsia"/>
                      <w:sz w:val="21"/>
                      <w:szCs w:val="21"/>
                      <w:highlight w:val="none"/>
                      <w:lang w:val="en-US" w:eastAsia="zh-CN"/>
                    </w:rPr>
                    <w:t>低压含烃火炬气</w:t>
                  </w:r>
                  <w:r>
                    <w:rPr>
                      <w:rFonts w:hint="eastAsia"/>
                      <w:sz w:val="21"/>
                      <w:szCs w:val="21"/>
                      <w:highlight w:val="none"/>
                    </w:rPr>
                    <w:t>管道</w:t>
                  </w:r>
                </w:p>
              </w:tc>
              <w:tc>
                <w:tcPr>
                  <w:tcW w:w="5850" w:type="dxa"/>
                  <w:noWrap w:val="0"/>
                  <w:vAlign w:val="center"/>
                </w:tcPr>
                <w:p w14:paraId="5B5B254B">
                  <w:pPr>
                    <w:spacing w:line="240" w:lineRule="auto"/>
                    <w:jc w:val="center"/>
                    <w:rPr>
                      <w:rFonts w:hint="eastAsia"/>
                      <w:sz w:val="21"/>
                      <w:szCs w:val="21"/>
                      <w:highlight w:val="none"/>
                    </w:rPr>
                  </w:pPr>
                  <w:r>
                    <w:rPr>
                      <w:rFonts w:hint="eastAsia"/>
                      <w:sz w:val="21"/>
                      <w:szCs w:val="21"/>
                      <w:highlight w:val="none"/>
                    </w:rPr>
                    <w:t>1根总长度为</w:t>
                  </w:r>
                  <w:r>
                    <w:rPr>
                      <w:rFonts w:hint="eastAsia"/>
                      <w:sz w:val="21"/>
                      <w:szCs w:val="21"/>
                      <w:highlight w:val="none"/>
                      <w:lang w:val="en-US" w:eastAsia="zh-CN"/>
                    </w:rPr>
                    <w:t>1229</w:t>
                  </w:r>
                  <w:r>
                    <w:rPr>
                      <w:rFonts w:hint="eastAsia"/>
                      <w:sz w:val="21"/>
                      <w:szCs w:val="21"/>
                      <w:highlight w:val="none"/>
                    </w:rPr>
                    <w:t>m的</w:t>
                  </w:r>
                  <w:r>
                    <w:rPr>
                      <w:rFonts w:hint="eastAsia"/>
                      <w:sz w:val="21"/>
                      <w:szCs w:val="21"/>
                      <w:highlight w:val="none"/>
                      <w:lang w:val="en-US" w:eastAsia="zh-CN"/>
                    </w:rPr>
                    <w:t>低压含烃火炬</w:t>
                  </w:r>
                  <w:r>
                    <w:rPr>
                      <w:rFonts w:hint="eastAsia"/>
                      <w:sz w:val="21"/>
                      <w:szCs w:val="21"/>
                      <w:highlight w:val="none"/>
                    </w:rPr>
                    <w:t>管道，</w:t>
                  </w:r>
                  <w:r>
                    <w:rPr>
                      <w:rFonts w:hint="default" w:ascii="Times New Roman" w:hAnsi="Times New Roman" w:eastAsia="宋体" w:cs="Times New Roman"/>
                      <w:bCs/>
                      <w:sz w:val="21"/>
                      <w:szCs w:val="21"/>
                      <w:highlight w:val="none"/>
                      <w:lang w:val="en-US" w:eastAsia="zh-CN"/>
                    </w:rPr>
                    <w:t>未抽头，需要在就近的含烃火炬总管处抽头后新建管道至鹏泰生物公司管廊处</w:t>
                  </w:r>
                  <w:r>
                    <w:rPr>
                      <w:rFonts w:hint="eastAsia"/>
                      <w:sz w:val="21"/>
                      <w:szCs w:val="21"/>
                      <w:highlight w:val="none"/>
                      <w:lang w:eastAsia="zh-CN"/>
                    </w:rPr>
                    <w:t>。</w:t>
                  </w:r>
                  <w:r>
                    <w:rPr>
                      <w:rFonts w:hint="eastAsia"/>
                      <w:sz w:val="21"/>
                      <w:szCs w:val="21"/>
                      <w:highlight w:val="none"/>
                    </w:rPr>
                    <w:t>并配套流量计。输送的</w:t>
                  </w:r>
                  <w:r>
                    <w:rPr>
                      <w:rFonts w:hint="eastAsia"/>
                      <w:sz w:val="21"/>
                      <w:szCs w:val="21"/>
                      <w:highlight w:val="none"/>
                      <w:lang w:val="en-US" w:eastAsia="zh-CN"/>
                    </w:rPr>
                    <w:t>低压含烃火炬气的</w:t>
                  </w:r>
                  <w:r>
                    <w:rPr>
                      <w:rFonts w:hint="eastAsia"/>
                      <w:sz w:val="21"/>
                      <w:szCs w:val="21"/>
                      <w:highlight w:val="none"/>
                    </w:rPr>
                    <w:t>流量</w:t>
                  </w:r>
                  <w:r>
                    <w:rPr>
                      <w:rFonts w:hint="eastAsia"/>
                      <w:sz w:val="21"/>
                      <w:szCs w:val="21"/>
                      <w:highlight w:val="none"/>
                      <w:lang w:val="en-US" w:eastAsia="zh-CN"/>
                    </w:rPr>
                    <w:t>为36237Nm</w:t>
                  </w:r>
                  <w:r>
                    <w:rPr>
                      <w:rFonts w:hint="eastAsia"/>
                      <w:sz w:val="21"/>
                      <w:szCs w:val="21"/>
                      <w:highlight w:val="none"/>
                      <w:vertAlign w:val="superscript"/>
                      <w:lang w:val="en-US" w:eastAsia="zh-CN"/>
                    </w:rPr>
                    <w:t>3</w:t>
                  </w:r>
                  <w:r>
                    <w:rPr>
                      <w:rFonts w:hint="eastAsia"/>
                      <w:sz w:val="21"/>
                      <w:szCs w:val="21"/>
                      <w:highlight w:val="none"/>
                      <w:lang w:val="en-US" w:eastAsia="zh-CN"/>
                    </w:rPr>
                    <w:t>/h</w:t>
                  </w:r>
                  <w:r>
                    <w:rPr>
                      <w:rFonts w:hint="eastAsia"/>
                      <w:sz w:val="21"/>
                      <w:szCs w:val="21"/>
                      <w:highlight w:val="none"/>
                    </w:rPr>
                    <w:t>、</w:t>
                  </w:r>
                  <w:r>
                    <w:rPr>
                      <w:rFonts w:hint="eastAsia"/>
                      <w:sz w:val="21"/>
                      <w:szCs w:val="21"/>
                      <w:highlight w:val="none"/>
                      <w:lang w:val="en-US" w:eastAsia="zh-CN"/>
                    </w:rPr>
                    <w:t>压力等级为CL150、内径450mm。</w:t>
                  </w:r>
                </w:p>
              </w:tc>
              <w:tc>
                <w:tcPr>
                  <w:tcW w:w="919" w:type="dxa"/>
                  <w:noWrap w:val="0"/>
                  <w:vAlign w:val="center"/>
                </w:tcPr>
                <w:p w14:paraId="5093BE1D">
                  <w:pPr>
                    <w:jc w:val="center"/>
                    <w:rPr>
                      <w:rFonts w:hint="eastAsia" w:eastAsia="宋体"/>
                      <w:szCs w:val="21"/>
                      <w:highlight w:val="none"/>
                      <w:lang w:val="en-US" w:eastAsia="zh-CN"/>
                    </w:rPr>
                  </w:pPr>
                  <w:r>
                    <w:rPr>
                      <w:rFonts w:hint="eastAsia"/>
                      <w:szCs w:val="21"/>
                      <w:highlight w:val="none"/>
                      <w:lang w:val="en-US" w:eastAsia="zh-CN"/>
                    </w:rPr>
                    <w:t>新建（联博管廊内）</w:t>
                  </w:r>
                </w:p>
              </w:tc>
            </w:tr>
            <w:tr w14:paraId="0D9EB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Merge w:val="continue"/>
                  <w:noWrap w:val="0"/>
                  <w:vAlign w:val="center"/>
                </w:tcPr>
                <w:p w14:paraId="53F60F3B">
                  <w:pPr>
                    <w:rPr>
                      <w:szCs w:val="21"/>
                      <w:highlight w:val="none"/>
                    </w:rPr>
                  </w:pPr>
                </w:p>
              </w:tc>
              <w:tc>
                <w:tcPr>
                  <w:tcW w:w="1059" w:type="dxa"/>
                  <w:gridSpan w:val="2"/>
                  <w:noWrap w:val="0"/>
                  <w:vAlign w:val="center"/>
                </w:tcPr>
                <w:p w14:paraId="5F937D7D">
                  <w:pPr>
                    <w:spacing w:line="240" w:lineRule="auto"/>
                    <w:jc w:val="center"/>
                    <w:rPr>
                      <w:rFonts w:hint="eastAsia"/>
                      <w:sz w:val="21"/>
                      <w:szCs w:val="21"/>
                      <w:highlight w:val="none"/>
                    </w:rPr>
                  </w:pPr>
                  <w:r>
                    <w:rPr>
                      <w:rFonts w:hint="eastAsia"/>
                      <w:sz w:val="21"/>
                      <w:szCs w:val="21"/>
                      <w:highlight w:val="none"/>
                      <w:lang w:val="en-US" w:eastAsia="zh-CN"/>
                    </w:rPr>
                    <w:t>湿酸火炬气</w:t>
                  </w:r>
                  <w:r>
                    <w:rPr>
                      <w:rFonts w:hint="eastAsia"/>
                      <w:sz w:val="21"/>
                      <w:szCs w:val="21"/>
                      <w:highlight w:val="none"/>
                    </w:rPr>
                    <w:t>管道</w:t>
                  </w:r>
                </w:p>
              </w:tc>
              <w:tc>
                <w:tcPr>
                  <w:tcW w:w="5850" w:type="dxa"/>
                  <w:noWrap w:val="0"/>
                  <w:vAlign w:val="center"/>
                </w:tcPr>
                <w:p w14:paraId="26382C1D">
                  <w:pPr>
                    <w:adjustRightInd w:val="0"/>
                    <w:snapToGrid w:val="0"/>
                    <w:spacing w:line="240" w:lineRule="auto"/>
                    <w:ind w:firstLine="420" w:firstLineChars="200"/>
                    <w:jc w:val="center"/>
                    <w:rPr>
                      <w:rFonts w:hint="eastAsia"/>
                      <w:sz w:val="21"/>
                      <w:szCs w:val="21"/>
                      <w:highlight w:val="none"/>
                    </w:rPr>
                  </w:pPr>
                  <w:r>
                    <w:rPr>
                      <w:rFonts w:hint="eastAsia"/>
                      <w:sz w:val="21"/>
                      <w:szCs w:val="21"/>
                      <w:highlight w:val="none"/>
                    </w:rPr>
                    <w:t>1根总长度为</w:t>
                  </w:r>
                  <w:r>
                    <w:rPr>
                      <w:rFonts w:hint="eastAsia"/>
                      <w:sz w:val="21"/>
                      <w:szCs w:val="21"/>
                      <w:highlight w:val="none"/>
                      <w:lang w:val="en-US" w:eastAsia="zh-CN"/>
                    </w:rPr>
                    <w:t>707</w:t>
                  </w:r>
                  <w:r>
                    <w:rPr>
                      <w:rFonts w:hint="eastAsia"/>
                      <w:sz w:val="21"/>
                      <w:szCs w:val="21"/>
                      <w:highlight w:val="none"/>
                    </w:rPr>
                    <w:t>m的</w:t>
                  </w:r>
                  <w:r>
                    <w:rPr>
                      <w:rFonts w:hint="eastAsia"/>
                      <w:sz w:val="21"/>
                      <w:szCs w:val="21"/>
                      <w:highlight w:val="none"/>
                      <w:lang w:val="en-US" w:eastAsia="zh-CN"/>
                    </w:rPr>
                    <w:t>湿酸火炬气</w:t>
                  </w:r>
                  <w:r>
                    <w:rPr>
                      <w:rFonts w:hint="eastAsia"/>
                      <w:sz w:val="21"/>
                      <w:szCs w:val="21"/>
                      <w:highlight w:val="none"/>
                    </w:rPr>
                    <w:t>管道，</w:t>
                  </w:r>
                  <w:r>
                    <w:rPr>
                      <w:rFonts w:hint="default" w:ascii="Times New Roman" w:hAnsi="Times New Roman" w:eastAsia="宋体" w:cs="Times New Roman"/>
                      <w:bCs/>
                      <w:sz w:val="21"/>
                      <w:szCs w:val="21"/>
                      <w:highlight w:val="none"/>
                      <w:lang w:val="en-US" w:eastAsia="zh-CN"/>
                    </w:rPr>
                    <w:t>需要</w:t>
                  </w:r>
                  <w:r>
                    <w:rPr>
                      <w:rFonts w:hint="eastAsia" w:cs="Times New Roman"/>
                      <w:bCs/>
                      <w:sz w:val="21"/>
                      <w:szCs w:val="21"/>
                      <w:highlight w:val="none"/>
                      <w:lang w:val="en-US" w:eastAsia="zh-CN"/>
                    </w:rPr>
                    <w:t>在</w:t>
                  </w:r>
                  <w:r>
                    <w:rPr>
                      <w:rFonts w:hint="default" w:ascii="Times New Roman" w:hAnsi="Times New Roman" w:eastAsia="宋体" w:cs="Times New Roman"/>
                      <w:bCs/>
                      <w:sz w:val="21"/>
                      <w:szCs w:val="21"/>
                      <w:highlight w:val="none"/>
                      <w:lang w:val="en-US" w:eastAsia="zh-CN"/>
                    </w:rPr>
                    <w:t>就近的湿酸火炬总管处抽头，新建管道至鹏泰生物公司管廊处。</w:t>
                  </w:r>
                  <w:r>
                    <w:rPr>
                      <w:rFonts w:hint="eastAsia"/>
                      <w:sz w:val="21"/>
                      <w:szCs w:val="21"/>
                      <w:highlight w:val="none"/>
                    </w:rPr>
                    <w:t>并配套流量计。输送的</w:t>
                  </w:r>
                  <w:r>
                    <w:rPr>
                      <w:rFonts w:hint="eastAsia"/>
                      <w:sz w:val="21"/>
                      <w:szCs w:val="21"/>
                      <w:highlight w:val="none"/>
                      <w:lang w:val="en-US" w:eastAsia="zh-CN"/>
                    </w:rPr>
                    <w:t>湿酸火炬气的</w:t>
                  </w:r>
                  <w:r>
                    <w:rPr>
                      <w:rFonts w:hint="eastAsia"/>
                      <w:sz w:val="21"/>
                      <w:szCs w:val="21"/>
                      <w:highlight w:val="none"/>
                    </w:rPr>
                    <w:t>流量</w:t>
                  </w:r>
                  <w:r>
                    <w:rPr>
                      <w:rFonts w:hint="eastAsia"/>
                      <w:sz w:val="21"/>
                      <w:szCs w:val="21"/>
                      <w:highlight w:val="none"/>
                      <w:lang w:val="en-US" w:eastAsia="zh-CN"/>
                    </w:rPr>
                    <w:t>为25000Nm</w:t>
                  </w:r>
                  <w:r>
                    <w:rPr>
                      <w:rFonts w:hint="eastAsia"/>
                      <w:sz w:val="21"/>
                      <w:szCs w:val="21"/>
                      <w:highlight w:val="none"/>
                      <w:vertAlign w:val="superscript"/>
                      <w:lang w:val="en-US" w:eastAsia="zh-CN"/>
                    </w:rPr>
                    <w:t>3</w:t>
                  </w:r>
                  <w:r>
                    <w:rPr>
                      <w:rFonts w:hint="eastAsia"/>
                      <w:sz w:val="21"/>
                      <w:szCs w:val="21"/>
                      <w:highlight w:val="none"/>
                      <w:lang w:val="en-US" w:eastAsia="zh-CN"/>
                    </w:rPr>
                    <w:t>/h</w:t>
                  </w:r>
                  <w:r>
                    <w:rPr>
                      <w:rFonts w:hint="eastAsia"/>
                      <w:sz w:val="21"/>
                      <w:szCs w:val="21"/>
                      <w:highlight w:val="none"/>
                    </w:rPr>
                    <w:t>、</w:t>
                  </w:r>
                  <w:r>
                    <w:rPr>
                      <w:rFonts w:hint="eastAsia"/>
                      <w:sz w:val="21"/>
                      <w:szCs w:val="21"/>
                      <w:highlight w:val="none"/>
                      <w:lang w:val="en-US" w:eastAsia="zh-CN"/>
                    </w:rPr>
                    <w:t>压力等级为CL150</w:t>
                  </w:r>
                  <w:r>
                    <w:rPr>
                      <w:rFonts w:hint="eastAsia"/>
                      <w:sz w:val="21"/>
                      <w:szCs w:val="21"/>
                      <w:highlight w:val="none"/>
                    </w:rPr>
                    <w:t>、</w:t>
                  </w:r>
                  <w:r>
                    <w:rPr>
                      <w:rFonts w:hint="eastAsia"/>
                      <w:sz w:val="21"/>
                      <w:szCs w:val="21"/>
                      <w:highlight w:val="none"/>
                      <w:lang w:val="en-US" w:eastAsia="zh-CN"/>
                    </w:rPr>
                    <w:t>内径400mm。</w:t>
                  </w:r>
                </w:p>
              </w:tc>
              <w:tc>
                <w:tcPr>
                  <w:tcW w:w="919" w:type="dxa"/>
                  <w:noWrap w:val="0"/>
                  <w:vAlign w:val="center"/>
                </w:tcPr>
                <w:p w14:paraId="7365B4D7">
                  <w:pPr>
                    <w:jc w:val="center"/>
                    <w:rPr>
                      <w:szCs w:val="21"/>
                      <w:highlight w:val="none"/>
                    </w:rPr>
                  </w:pPr>
                  <w:r>
                    <w:rPr>
                      <w:rFonts w:hint="eastAsia"/>
                      <w:szCs w:val="21"/>
                      <w:highlight w:val="none"/>
                      <w:lang w:val="en-US" w:eastAsia="zh-CN"/>
                    </w:rPr>
                    <w:t>新建（联博管廊内）</w:t>
                  </w:r>
                </w:p>
              </w:tc>
            </w:tr>
            <w:tr w14:paraId="09CB0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Merge w:val="continue"/>
                  <w:noWrap w:val="0"/>
                  <w:vAlign w:val="center"/>
                </w:tcPr>
                <w:p w14:paraId="1BD21A4E">
                  <w:pPr>
                    <w:rPr>
                      <w:szCs w:val="21"/>
                      <w:highlight w:val="none"/>
                    </w:rPr>
                  </w:pPr>
                </w:p>
              </w:tc>
              <w:tc>
                <w:tcPr>
                  <w:tcW w:w="1059" w:type="dxa"/>
                  <w:gridSpan w:val="2"/>
                  <w:noWrap w:val="0"/>
                  <w:vAlign w:val="center"/>
                </w:tcPr>
                <w:p w14:paraId="7C2FA2FA">
                  <w:pPr>
                    <w:spacing w:line="240" w:lineRule="auto"/>
                    <w:jc w:val="center"/>
                    <w:rPr>
                      <w:rFonts w:hint="default" w:eastAsia="宋体"/>
                      <w:sz w:val="21"/>
                      <w:szCs w:val="21"/>
                      <w:highlight w:val="none"/>
                      <w:lang w:val="en-US" w:eastAsia="zh-CN"/>
                    </w:rPr>
                  </w:pPr>
                  <w:r>
                    <w:rPr>
                      <w:rFonts w:hint="eastAsia"/>
                      <w:sz w:val="21"/>
                      <w:szCs w:val="21"/>
                      <w:highlight w:val="none"/>
                      <w:lang w:val="en-US" w:eastAsia="zh-CN"/>
                    </w:rPr>
                    <w:t>中压蒸汽</w:t>
                  </w:r>
                  <w:r>
                    <w:rPr>
                      <w:rFonts w:hint="eastAsia"/>
                      <w:sz w:val="21"/>
                      <w:szCs w:val="21"/>
                      <w:highlight w:val="none"/>
                    </w:rPr>
                    <w:t>管道</w:t>
                  </w:r>
                </w:p>
              </w:tc>
              <w:tc>
                <w:tcPr>
                  <w:tcW w:w="5850" w:type="dxa"/>
                  <w:noWrap w:val="0"/>
                  <w:vAlign w:val="center"/>
                </w:tcPr>
                <w:p w14:paraId="7A71D133">
                  <w:pPr>
                    <w:spacing w:line="240" w:lineRule="auto"/>
                    <w:jc w:val="center"/>
                    <w:rPr>
                      <w:rFonts w:hint="eastAsia"/>
                      <w:sz w:val="21"/>
                      <w:szCs w:val="21"/>
                      <w:highlight w:val="none"/>
                    </w:rPr>
                  </w:pPr>
                  <w:r>
                    <w:rPr>
                      <w:rFonts w:hint="eastAsia"/>
                      <w:sz w:val="21"/>
                      <w:szCs w:val="21"/>
                      <w:highlight w:val="none"/>
                    </w:rPr>
                    <w:t>1根总长度为</w:t>
                  </w:r>
                  <w:r>
                    <w:rPr>
                      <w:rFonts w:hint="eastAsia"/>
                      <w:sz w:val="21"/>
                      <w:szCs w:val="21"/>
                      <w:highlight w:val="none"/>
                      <w:lang w:val="en-US" w:eastAsia="zh-CN"/>
                    </w:rPr>
                    <w:t>521</w:t>
                  </w:r>
                  <w:r>
                    <w:rPr>
                      <w:rFonts w:hint="eastAsia"/>
                      <w:sz w:val="21"/>
                      <w:szCs w:val="21"/>
                      <w:highlight w:val="none"/>
                    </w:rPr>
                    <w:t>m的</w:t>
                  </w:r>
                  <w:r>
                    <w:rPr>
                      <w:rFonts w:hint="eastAsia"/>
                      <w:sz w:val="21"/>
                      <w:szCs w:val="21"/>
                      <w:highlight w:val="none"/>
                      <w:lang w:val="en-US" w:eastAsia="zh-CN"/>
                    </w:rPr>
                    <w:t>蒸汽</w:t>
                  </w:r>
                  <w:r>
                    <w:rPr>
                      <w:rFonts w:hint="eastAsia"/>
                      <w:sz w:val="21"/>
                      <w:szCs w:val="21"/>
                      <w:highlight w:val="none"/>
                    </w:rPr>
                    <w:t>管道，</w:t>
                  </w:r>
                  <w:r>
                    <w:rPr>
                      <w:rFonts w:hint="default" w:ascii="Times New Roman" w:hAnsi="Times New Roman" w:eastAsia="宋体" w:cs="Times New Roman"/>
                      <w:bCs/>
                      <w:sz w:val="21"/>
                      <w:szCs w:val="21"/>
                      <w:highlight w:val="none"/>
                      <w:lang w:val="en-US" w:eastAsia="zh-CN"/>
                    </w:rPr>
                    <w:t>已在现有伊泰化工管廊处抽头，需要在抽头处新增管道至鹏泰生物公司管廊。</w:t>
                  </w:r>
                  <w:r>
                    <w:rPr>
                      <w:rFonts w:hint="eastAsia"/>
                      <w:sz w:val="21"/>
                      <w:szCs w:val="21"/>
                      <w:highlight w:val="none"/>
                    </w:rPr>
                    <w:t>并配套流量计。输送的</w:t>
                  </w:r>
                  <w:r>
                    <w:rPr>
                      <w:rFonts w:hint="eastAsia"/>
                      <w:sz w:val="21"/>
                      <w:szCs w:val="21"/>
                      <w:highlight w:val="none"/>
                      <w:lang w:val="en-US" w:eastAsia="zh-CN"/>
                    </w:rPr>
                    <w:t>蒸汽的</w:t>
                  </w:r>
                  <w:r>
                    <w:rPr>
                      <w:rFonts w:hint="eastAsia"/>
                      <w:sz w:val="21"/>
                      <w:szCs w:val="21"/>
                      <w:highlight w:val="none"/>
                    </w:rPr>
                    <w:t>流量</w:t>
                  </w:r>
                  <w:r>
                    <w:rPr>
                      <w:rFonts w:hint="eastAsia"/>
                      <w:sz w:val="21"/>
                      <w:szCs w:val="21"/>
                      <w:highlight w:val="none"/>
                      <w:lang w:val="en-US" w:eastAsia="zh-CN"/>
                    </w:rPr>
                    <w:t>为150t/h</w:t>
                  </w:r>
                  <w:r>
                    <w:rPr>
                      <w:rFonts w:hint="eastAsia"/>
                      <w:sz w:val="21"/>
                      <w:szCs w:val="21"/>
                      <w:highlight w:val="none"/>
                    </w:rPr>
                    <w:t>、</w:t>
                  </w:r>
                  <w:r>
                    <w:rPr>
                      <w:rFonts w:hint="eastAsia"/>
                      <w:sz w:val="21"/>
                      <w:szCs w:val="21"/>
                      <w:highlight w:val="none"/>
                      <w:lang w:val="en-US" w:eastAsia="zh-CN"/>
                    </w:rPr>
                    <w:t>压力等级为CL300</w:t>
                  </w:r>
                  <w:r>
                    <w:rPr>
                      <w:rFonts w:hint="eastAsia"/>
                      <w:sz w:val="21"/>
                      <w:szCs w:val="21"/>
                      <w:highlight w:val="none"/>
                    </w:rPr>
                    <w:t>、</w:t>
                  </w:r>
                  <w:r>
                    <w:rPr>
                      <w:rFonts w:hint="eastAsia"/>
                      <w:sz w:val="21"/>
                      <w:szCs w:val="21"/>
                      <w:highlight w:val="none"/>
                      <w:lang w:val="en-US" w:eastAsia="zh-CN"/>
                    </w:rPr>
                    <w:t>内径350mm。</w:t>
                  </w:r>
                </w:p>
              </w:tc>
              <w:tc>
                <w:tcPr>
                  <w:tcW w:w="919" w:type="dxa"/>
                  <w:noWrap w:val="0"/>
                  <w:vAlign w:val="center"/>
                </w:tcPr>
                <w:p w14:paraId="6400B955">
                  <w:pPr>
                    <w:jc w:val="center"/>
                    <w:rPr>
                      <w:szCs w:val="21"/>
                      <w:highlight w:val="none"/>
                    </w:rPr>
                  </w:pPr>
                  <w:r>
                    <w:rPr>
                      <w:rFonts w:hint="eastAsia"/>
                      <w:szCs w:val="21"/>
                      <w:highlight w:val="none"/>
                      <w:lang w:val="en-US" w:eastAsia="zh-CN"/>
                    </w:rPr>
                    <w:t>新建（联博管廊内）</w:t>
                  </w:r>
                </w:p>
              </w:tc>
            </w:tr>
            <w:tr w14:paraId="70023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Merge w:val="continue"/>
                  <w:noWrap w:val="0"/>
                  <w:vAlign w:val="center"/>
                </w:tcPr>
                <w:p w14:paraId="507AA404">
                  <w:pPr>
                    <w:rPr>
                      <w:szCs w:val="21"/>
                      <w:highlight w:val="none"/>
                    </w:rPr>
                  </w:pPr>
                </w:p>
              </w:tc>
              <w:tc>
                <w:tcPr>
                  <w:tcW w:w="1059" w:type="dxa"/>
                  <w:gridSpan w:val="2"/>
                  <w:noWrap w:val="0"/>
                  <w:vAlign w:val="center"/>
                </w:tcPr>
                <w:p w14:paraId="45DFBCD6">
                  <w:pPr>
                    <w:spacing w:line="240" w:lineRule="auto"/>
                    <w:jc w:val="center"/>
                    <w:rPr>
                      <w:rFonts w:hint="eastAsia"/>
                      <w:sz w:val="21"/>
                      <w:szCs w:val="21"/>
                      <w:highlight w:val="none"/>
                    </w:rPr>
                  </w:pPr>
                  <w:r>
                    <w:rPr>
                      <w:rFonts w:hint="eastAsia"/>
                      <w:sz w:val="21"/>
                      <w:szCs w:val="21"/>
                      <w:highlight w:val="none"/>
                      <w:lang w:val="en-US" w:eastAsia="zh-CN"/>
                    </w:rPr>
                    <w:t>凝结水</w:t>
                  </w:r>
                  <w:r>
                    <w:rPr>
                      <w:rFonts w:hint="eastAsia"/>
                      <w:sz w:val="21"/>
                      <w:szCs w:val="21"/>
                      <w:highlight w:val="none"/>
                    </w:rPr>
                    <w:t>管道</w:t>
                  </w:r>
                </w:p>
              </w:tc>
              <w:tc>
                <w:tcPr>
                  <w:tcW w:w="5850" w:type="dxa"/>
                  <w:noWrap w:val="0"/>
                  <w:vAlign w:val="center"/>
                </w:tcPr>
                <w:p w14:paraId="747F565E">
                  <w:pPr>
                    <w:spacing w:line="240" w:lineRule="auto"/>
                    <w:jc w:val="center"/>
                    <w:rPr>
                      <w:rFonts w:hint="eastAsia"/>
                      <w:sz w:val="21"/>
                      <w:szCs w:val="21"/>
                      <w:highlight w:val="none"/>
                    </w:rPr>
                  </w:pPr>
                  <w:r>
                    <w:rPr>
                      <w:rFonts w:hint="eastAsia"/>
                      <w:sz w:val="21"/>
                      <w:szCs w:val="21"/>
                      <w:highlight w:val="none"/>
                    </w:rPr>
                    <w:t>1根总长度为</w:t>
                  </w:r>
                  <w:r>
                    <w:rPr>
                      <w:rFonts w:hint="eastAsia"/>
                      <w:sz w:val="21"/>
                      <w:szCs w:val="21"/>
                      <w:highlight w:val="none"/>
                      <w:lang w:val="en-US" w:eastAsia="zh-CN"/>
                    </w:rPr>
                    <w:t>467</w:t>
                  </w:r>
                  <w:r>
                    <w:rPr>
                      <w:rFonts w:hint="eastAsia"/>
                      <w:sz w:val="21"/>
                      <w:szCs w:val="21"/>
                      <w:highlight w:val="none"/>
                    </w:rPr>
                    <w:t>m的</w:t>
                  </w:r>
                  <w:r>
                    <w:rPr>
                      <w:rFonts w:hint="eastAsia"/>
                      <w:sz w:val="21"/>
                      <w:szCs w:val="21"/>
                      <w:highlight w:val="none"/>
                      <w:lang w:val="en-US" w:eastAsia="zh-CN"/>
                    </w:rPr>
                    <w:t>凝结水</w:t>
                  </w:r>
                  <w:r>
                    <w:rPr>
                      <w:rFonts w:hint="eastAsia"/>
                      <w:sz w:val="21"/>
                      <w:szCs w:val="21"/>
                      <w:highlight w:val="none"/>
                    </w:rPr>
                    <w:t>管道，</w:t>
                  </w:r>
                  <w:r>
                    <w:rPr>
                      <w:rFonts w:hint="default" w:ascii="Times New Roman" w:hAnsi="Times New Roman" w:eastAsia="宋体" w:cs="Times New Roman"/>
                      <w:bCs/>
                      <w:sz w:val="21"/>
                      <w:szCs w:val="21"/>
                      <w:highlight w:val="none"/>
                      <w:lang w:val="en-US" w:eastAsia="zh-CN"/>
                    </w:rPr>
                    <w:t>已在现有伊泰化工管廊处抽头，需要在抽头处新增管道至鹏泰生物公司管廊</w:t>
                  </w:r>
                  <w:r>
                    <w:rPr>
                      <w:rFonts w:hint="eastAsia"/>
                      <w:sz w:val="21"/>
                      <w:szCs w:val="21"/>
                      <w:highlight w:val="none"/>
                      <w:lang w:eastAsia="zh-CN"/>
                    </w:rPr>
                    <w:t>。</w:t>
                  </w:r>
                  <w:r>
                    <w:rPr>
                      <w:rFonts w:hint="eastAsia"/>
                      <w:sz w:val="21"/>
                      <w:szCs w:val="21"/>
                      <w:highlight w:val="none"/>
                    </w:rPr>
                    <w:t>并配套流量计。输送的</w:t>
                  </w:r>
                  <w:r>
                    <w:rPr>
                      <w:rFonts w:hint="eastAsia"/>
                      <w:sz w:val="21"/>
                      <w:szCs w:val="21"/>
                      <w:highlight w:val="none"/>
                      <w:lang w:val="en-US" w:eastAsia="zh-CN"/>
                    </w:rPr>
                    <w:t>凝结水</w:t>
                  </w:r>
                  <w:r>
                    <w:rPr>
                      <w:rFonts w:hint="eastAsia"/>
                      <w:sz w:val="21"/>
                      <w:szCs w:val="21"/>
                      <w:highlight w:val="none"/>
                    </w:rPr>
                    <w:t>流量</w:t>
                  </w:r>
                  <w:r>
                    <w:rPr>
                      <w:rFonts w:hint="eastAsia"/>
                      <w:sz w:val="21"/>
                      <w:szCs w:val="21"/>
                      <w:highlight w:val="none"/>
                      <w:lang w:val="en-US" w:eastAsia="zh-CN"/>
                    </w:rPr>
                    <w:t>为150t/h</w:t>
                  </w:r>
                  <w:r>
                    <w:rPr>
                      <w:rFonts w:hint="eastAsia"/>
                      <w:sz w:val="21"/>
                      <w:szCs w:val="21"/>
                      <w:highlight w:val="none"/>
                    </w:rPr>
                    <w:t>、</w:t>
                  </w:r>
                  <w:r>
                    <w:rPr>
                      <w:rFonts w:hint="eastAsia"/>
                      <w:sz w:val="21"/>
                      <w:szCs w:val="21"/>
                      <w:highlight w:val="none"/>
                      <w:lang w:val="en-US" w:eastAsia="zh-CN"/>
                    </w:rPr>
                    <w:t>压力等级为CL150</w:t>
                  </w:r>
                  <w:r>
                    <w:rPr>
                      <w:rFonts w:hint="eastAsia"/>
                      <w:sz w:val="21"/>
                      <w:szCs w:val="21"/>
                      <w:highlight w:val="none"/>
                      <w:lang w:eastAsia="zh-CN"/>
                    </w:rPr>
                    <w:t>，</w:t>
                  </w:r>
                  <w:r>
                    <w:rPr>
                      <w:rFonts w:hint="eastAsia"/>
                      <w:sz w:val="21"/>
                      <w:szCs w:val="21"/>
                      <w:highlight w:val="none"/>
                      <w:lang w:val="en-US" w:eastAsia="zh-CN"/>
                    </w:rPr>
                    <w:t>内径200mm。</w:t>
                  </w:r>
                </w:p>
              </w:tc>
              <w:tc>
                <w:tcPr>
                  <w:tcW w:w="919" w:type="dxa"/>
                  <w:noWrap w:val="0"/>
                  <w:vAlign w:val="center"/>
                </w:tcPr>
                <w:p w14:paraId="26AA486F">
                  <w:pPr>
                    <w:jc w:val="center"/>
                    <w:rPr>
                      <w:szCs w:val="21"/>
                      <w:highlight w:val="none"/>
                    </w:rPr>
                  </w:pPr>
                  <w:r>
                    <w:rPr>
                      <w:rFonts w:hint="eastAsia"/>
                      <w:szCs w:val="21"/>
                      <w:highlight w:val="none"/>
                      <w:lang w:val="en-US" w:eastAsia="zh-CN"/>
                    </w:rPr>
                    <w:t>新建（联博管廊内）</w:t>
                  </w:r>
                </w:p>
              </w:tc>
            </w:tr>
            <w:tr w14:paraId="10D54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Merge w:val="continue"/>
                  <w:noWrap w:val="0"/>
                  <w:vAlign w:val="center"/>
                </w:tcPr>
                <w:p w14:paraId="2CB1A8AF">
                  <w:pPr>
                    <w:rPr>
                      <w:szCs w:val="21"/>
                      <w:highlight w:val="none"/>
                    </w:rPr>
                  </w:pPr>
                </w:p>
              </w:tc>
              <w:tc>
                <w:tcPr>
                  <w:tcW w:w="1059" w:type="dxa"/>
                  <w:gridSpan w:val="2"/>
                  <w:noWrap w:val="0"/>
                  <w:vAlign w:val="center"/>
                </w:tcPr>
                <w:p w14:paraId="6CD4F88D">
                  <w:pPr>
                    <w:spacing w:line="240" w:lineRule="auto"/>
                    <w:jc w:val="center"/>
                    <w:rPr>
                      <w:rFonts w:hint="eastAsia"/>
                      <w:sz w:val="21"/>
                      <w:szCs w:val="21"/>
                      <w:highlight w:val="none"/>
                    </w:rPr>
                  </w:pPr>
                  <w:r>
                    <w:rPr>
                      <w:rFonts w:hint="eastAsia"/>
                      <w:sz w:val="21"/>
                      <w:szCs w:val="21"/>
                      <w:highlight w:val="none"/>
                      <w:lang w:val="en-US" w:eastAsia="zh-CN"/>
                    </w:rPr>
                    <w:t>仪表风</w:t>
                  </w:r>
                  <w:r>
                    <w:rPr>
                      <w:rFonts w:hint="eastAsia"/>
                      <w:sz w:val="21"/>
                      <w:szCs w:val="21"/>
                      <w:highlight w:val="none"/>
                    </w:rPr>
                    <w:t>管道</w:t>
                  </w:r>
                </w:p>
              </w:tc>
              <w:tc>
                <w:tcPr>
                  <w:tcW w:w="5850" w:type="dxa"/>
                  <w:noWrap w:val="0"/>
                  <w:vAlign w:val="center"/>
                </w:tcPr>
                <w:p w14:paraId="64246A5D">
                  <w:pPr>
                    <w:spacing w:line="240" w:lineRule="auto"/>
                    <w:jc w:val="center"/>
                    <w:rPr>
                      <w:rFonts w:hint="eastAsia"/>
                      <w:sz w:val="21"/>
                      <w:szCs w:val="21"/>
                      <w:highlight w:val="none"/>
                    </w:rPr>
                  </w:pPr>
                  <w:r>
                    <w:rPr>
                      <w:rFonts w:hint="eastAsia"/>
                      <w:sz w:val="21"/>
                      <w:szCs w:val="21"/>
                      <w:highlight w:val="none"/>
                    </w:rPr>
                    <w:t>1根总长度为</w:t>
                  </w:r>
                  <w:r>
                    <w:rPr>
                      <w:rFonts w:hint="eastAsia"/>
                      <w:sz w:val="21"/>
                      <w:szCs w:val="21"/>
                      <w:highlight w:val="none"/>
                      <w:lang w:val="en-US" w:eastAsia="zh-CN"/>
                    </w:rPr>
                    <w:t>422</w:t>
                  </w:r>
                  <w:r>
                    <w:rPr>
                      <w:rFonts w:hint="eastAsia"/>
                      <w:sz w:val="21"/>
                      <w:szCs w:val="21"/>
                      <w:highlight w:val="none"/>
                    </w:rPr>
                    <w:t>m的</w:t>
                  </w:r>
                  <w:r>
                    <w:rPr>
                      <w:rFonts w:hint="eastAsia"/>
                      <w:sz w:val="21"/>
                      <w:szCs w:val="21"/>
                      <w:highlight w:val="none"/>
                      <w:lang w:val="en-US" w:eastAsia="zh-CN"/>
                    </w:rPr>
                    <w:t>仪表空气</w:t>
                  </w:r>
                  <w:r>
                    <w:rPr>
                      <w:rFonts w:hint="eastAsia"/>
                      <w:sz w:val="21"/>
                      <w:szCs w:val="21"/>
                      <w:highlight w:val="none"/>
                    </w:rPr>
                    <w:t>管道，</w:t>
                  </w:r>
                  <w:r>
                    <w:rPr>
                      <w:rFonts w:hint="default" w:ascii="Times New Roman" w:hAnsi="Times New Roman" w:eastAsia="宋体" w:cs="Times New Roman"/>
                      <w:bCs/>
                      <w:sz w:val="21"/>
                      <w:szCs w:val="21"/>
                      <w:highlight w:val="none"/>
                      <w:lang w:val="en-US" w:eastAsia="zh-CN"/>
                    </w:rPr>
                    <w:t>已在现有伊泰化工管廊处抽头，需要在抽头处新增管道至鹏泰生物公司管廊</w:t>
                  </w:r>
                  <w:r>
                    <w:rPr>
                      <w:rFonts w:hint="eastAsia" w:cs="Times New Roman"/>
                      <w:bCs/>
                      <w:sz w:val="21"/>
                      <w:szCs w:val="21"/>
                      <w:highlight w:val="none"/>
                      <w:lang w:val="en-US" w:eastAsia="zh-CN"/>
                    </w:rPr>
                    <w:t>，</w:t>
                  </w:r>
                  <w:r>
                    <w:rPr>
                      <w:rFonts w:hint="eastAsia"/>
                      <w:sz w:val="21"/>
                      <w:szCs w:val="21"/>
                      <w:highlight w:val="none"/>
                    </w:rPr>
                    <w:t>并配套流量计。输送的</w:t>
                  </w:r>
                  <w:r>
                    <w:rPr>
                      <w:rFonts w:hint="eastAsia"/>
                      <w:sz w:val="21"/>
                      <w:szCs w:val="21"/>
                      <w:highlight w:val="none"/>
                      <w:lang w:val="en-US" w:eastAsia="zh-CN"/>
                    </w:rPr>
                    <w:t>合成仪表风的</w:t>
                  </w:r>
                  <w:r>
                    <w:rPr>
                      <w:rFonts w:hint="eastAsia"/>
                      <w:sz w:val="21"/>
                      <w:szCs w:val="21"/>
                      <w:highlight w:val="none"/>
                    </w:rPr>
                    <w:t>流量</w:t>
                  </w:r>
                  <w:r>
                    <w:rPr>
                      <w:rFonts w:hint="eastAsia"/>
                      <w:sz w:val="21"/>
                      <w:szCs w:val="21"/>
                      <w:highlight w:val="none"/>
                      <w:lang w:val="en-US" w:eastAsia="zh-CN"/>
                    </w:rPr>
                    <w:t>为1600Nm</w:t>
                  </w:r>
                  <w:r>
                    <w:rPr>
                      <w:rFonts w:hint="eastAsia"/>
                      <w:sz w:val="21"/>
                      <w:szCs w:val="21"/>
                      <w:highlight w:val="none"/>
                      <w:vertAlign w:val="superscript"/>
                      <w:lang w:val="en-US" w:eastAsia="zh-CN"/>
                    </w:rPr>
                    <w:t>3</w:t>
                  </w:r>
                  <w:r>
                    <w:rPr>
                      <w:rFonts w:hint="eastAsia"/>
                      <w:sz w:val="21"/>
                      <w:szCs w:val="21"/>
                      <w:highlight w:val="none"/>
                      <w:lang w:val="en-US" w:eastAsia="zh-CN"/>
                    </w:rPr>
                    <w:t>/h</w:t>
                  </w:r>
                  <w:r>
                    <w:rPr>
                      <w:rFonts w:hint="eastAsia"/>
                      <w:sz w:val="21"/>
                      <w:szCs w:val="21"/>
                      <w:highlight w:val="none"/>
                    </w:rPr>
                    <w:t>、</w:t>
                  </w:r>
                  <w:r>
                    <w:rPr>
                      <w:rFonts w:hint="eastAsia"/>
                      <w:sz w:val="21"/>
                      <w:szCs w:val="21"/>
                      <w:highlight w:val="none"/>
                      <w:lang w:val="en-US" w:eastAsia="zh-CN"/>
                    </w:rPr>
                    <w:t>压力等级为CL150</w:t>
                  </w:r>
                  <w:r>
                    <w:rPr>
                      <w:rFonts w:hint="eastAsia"/>
                      <w:sz w:val="21"/>
                      <w:szCs w:val="21"/>
                      <w:highlight w:val="none"/>
                      <w:lang w:eastAsia="zh-CN"/>
                    </w:rPr>
                    <w:t>、</w:t>
                  </w:r>
                  <w:r>
                    <w:rPr>
                      <w:rFonts w:hint="eastAsia"/>
                      <w:sz w:val="21"/>
                      <w:szCs w:val="21"/>
                      <w:highlight w:val="none"/>
                      <w:lang w:val="en-US" w:eastAsia="zh-CN"/>
                    </w:rPr>
                    <w:t>内径100mm。</w:t>
                  </w:r>
                </w:p>
              </w:tc>
              <w:tc>
                <w:tcPr>
                  <w:tcW w:w="919" w:type="dxa"/>
                  <w:noWrap w:val="0"/>
                  <w:vAlign w:val="center"/>
                </w:tcPr>
                <w:p w14:paraId="0B81444D">
                  <w:pPr>
                    <w:jc w:val="center"/>
                    <w:rPr>
                      <w:szCs w:val="21"/>
                      <w:highlight w:val="none"/>
                    </w:rPr>
                  </w:pPr>
                  <w:r>
                    <w:rPr>
                      <w:rFonts w:hint="eastAsia"/>
                      <w:szCs w:val="21"/>
                      <w:highlight w:val="none"/>
                      <w:lang w:val="en-US" w:eastAsia="zh-CN"/>
                    </w:rPr>
                    <w:t>新建（联博管廊内）</w:t>
                  </w:r>
                </w:p>
              </w:tc>
            </w:tr>
            <w:tr w14:paraId="41150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Merge w:val="continue"/>
                  <w:noWrap w:val="0"/>
                  <w:vAlign w:val="center"/>
                </w:tcPr>
                <w:p w14:paraId="13DEFBD7">
                  <w:pPr>
                    <w:rPr>
                      <w:szCs w:val="21"/>
                      <w:highlight w:val="none"/>
                    </w:rPr>
                  </w:pPr>
                </w:p>
              </w:tc>
              <w:tc>
                <w:tcPr>
                  <w:tcW w:w="1059" w:type="dxa"/>
                  <w:gridSpan w:val="2"/>
                  <w:noWrap w:val="0"/>
                  <w:vAlign w:val="center"/>
                </w:tcPr>
                <w:p w14:paraId="1F112A40">
                  <w:pPr>
                    <w:spacing w:line="240" w:lineRule="auto"/>
                    <w:jc w:val="center"/>
                    <w:rPr>
                      <w:rFonts w:hint="eastAsia"/>
                      <w:sz w:val="21"/>
                      <w:szCs w:val="21"/>
                      <w:highlight w:val="none"/>
                    </w:rPr>
                  </w:pPr>
                  <w:r>
                    <w:rPr>
                      <w:rFonts w:hint="eastAsia"/>
                      <w:sz w:val="21"/>
                      <w:szCs w:val="21"/>
                      <w:highlight w:val="none"/>
                      <w:lang w:val="en-US" w:eastAsia="zh-CN"/>
                    </w:rPr>
                    <w:t>工厂风</w:t>
                  </w:r>
                  <w:r>
                    <w:rPr>
                      <w:rFonts w:hint="eastAsia"/>
                      <w:sz w:val="21"/>
                      <w:szCs w:val="21"/>
                      <w:highlight w:val="none"/>
                    </w:rPr>
                    <w:t>管道</w:t>
                  </w:r>
                </w:p>
              </w:tc>
              <w:tc>
                <w:tcPr>
                  <w:tcW w:w="5850" w:type="dxa"/>
                  <w:noWrap w:val="0"/>
                  <w:vAlign w:val="center"/>
                </w:tcPr>
                <w:p w14:paraId="3BA08E4F">
                  <w:pPr>
                    <w:spacing w:line="240" w:lineRule="auto"/>
                    <w:jc w:val="center"/>
                    <w:rPr>
                      <w:rFonts w:hint="eastAsia"/>
                      <w:sz w:val="21"/>
                      <w:szCs w:val="21"/>
                      <w:highlight w:val="none"/>
                    </w:rPr>
                  </w:pPr>
                  <w:r>
                    <w:rPr>
                      <w:rFonts w:hint="eastAsia"/>
                      <w:sz w:val="21"/>
                      <w:szCs w:val="21"/>
                      <w:highlight w:val="none"/>
                    </w:rPr>
                    <w:t>1根总长度为</w:t>
                  </w:r>
                  <w:r>
                    <w:rPr>
                      <w:rFonts w:hint="eastAsia"/>
                      <w:sz w:val="21"/>
                      <w:szCs w:val="21"/>
                      <w:highlight w:val="none"/>
                      <w:lang w:val="en-US" w:eastAsia="zh-CN"/>
                    </w:rPr>
                    <w:t>422</w:t>
                  </w:r>
                  <w:r>
                    <w:rPr>
                      <w:rFonts w:hint="eastAsia"/>
                      <w:sz w:val="21"/>
                      <w:szCs w:val="21"/>
                      <w:highlight w:val="none"/>
                    </w:rPr>
                    <w:t>m的</w:t>
                  </w:r>
                  <w:r>
                    <w:rPr>
                      <w:rFonts w:hint="eastAsia"/>
                      <w:sz w:val="21"/>
                      <w:szCs w:val="21"/>
                      <w:highlight w:val="none"/>
                      <w:lang w:val="en-US" w:eastAsia="zh-CN"/>
                    </w:rPr>
                    <w:t>压缩空气</w:t>
                  </w:r>
                  <w:r>
                    <w:rPr>
                      <w:rFonts w:hint="eastAsia"/>
                      <w:sz w:val="21"/>
                      <w:szCs w:val="21"/>
                      <w:highlight w:val="none"/>
                    </w:rPr>
                    <w:t>管道</w:t>
                  </w:r>
                  <w:r>
                    <w:rPr>
                      <w:rFonts w:hint="eastAsia"/>
                      <w:sz w:val="21"/>
                      <w:szCs w:val="21"/>
                      <w:highlight w:val="none"/>
                      <w:lang w:eastAsia="zh-CN"/>
                    </w:rPr>
                    <w:t>，</w:t>
                  </w:r>
                  <w:r>
                    <w:rPr>
                      <w:rFonts w:hint="default" w:ascii="Times New Roman" w:hAnsi="Times New Roman" w:eastAsia="宋体" w:cs="Times New Roman"/>
                      <w:bCs/>
                      <w:sz w:val="21"/>
                      <w:szCs w:val="21"/>
                      <w:highlight w:val="none"/>
                      <w:lang w:val="en-US" w:eastAsia="zh-CN"/>
                    </w:rPr>
                    <w:t>已在现有伊泰化工管廊处抽头，需要在抽头处新增管道至鹏泰生物公司管廊。</w:t>
                  </w:r>
                  <w:r>
                    <w:rPr>
                      <w:rFonts w:hint="eastAsia"/>
                      <w:sz w:val="21"/>
                      <w:szCs w:val="21"/>
                      <w:highlight w:val="none"/>
                    </w:rPr>
                    <w:t>并配套流量计。输送的</w:t>
                  </w:r>
                  <w:r>
                    <w:rPr>
                      <w:rFonts w:hint="eastAsia"/>
                      <w:sz w:val="21"/>
                      <w:szCs w:val="21"/>
                      <w:highlight w:val="none"/>
                      <w:lang w:val="en-US" w:eastAsia="zh-CN"/>
                    </w:rPr>
                    <w:t>工厂风</w:t>
                  </w:r>
                  <w:r>
                    <w:rPr>
                      <w:rFonts w:hint="eastAsia"/>
                      <w:sz w:val="21"/>
                      <w:szCs w:val="21"/>
                      <w:highlight w:val="none"/>
                    </w:rPr>
                    <w:t>流量</w:t>
                  </w:r>
                  <w:r>
                    <w:rPr>
                      <w:rFonts w:hint="eastAsia"/>
                      <w:sz w:val="21"/>
                      <w:szCs w:val="21"/>
                      <w:highlight w:val="none"/>
                      <w:lang w:val="en-US" w:eastAsia="zh-CN"/>
                    </w:rPr>
                    <w:t>为1000Nm</w:t>
                  </w:r>
                  <w:r>
                    <w:rPr>
                      <w:rFonts w:hint="eastAsia"/>
                      <w:sz w:val="21"/>
                      <w:szCs w:val="21"/>
                      <w:highlight w:val="none"/>
                      <w:vertAlign w:val="superscript"/>
                      <w:lang w:val="en-US" w:eastAsia="zh-CN"/>
                    </w:rPr>
                    <w:t>3</w:t>
                  </w:r>
                  <w:r>
                    <w:rPr>
                      <w:rFonts w:hint="eastAsia"/>
                      <w:sz w:val="21"/>
                      <w:szCs w:val="21"/>
                      <w:highlight w:val="none"/>
                      <w:lang w:val="en-US" w:eastAsia="zh-CN"/>
                    </w:rPr>
                    <w:t>/h</w:t>
                  </w:r>
                  <w:r>
                    <w:rPr>
                      <w:rFonts w:hint="eastAsia"/>
                      <w:sz w:val="21"/>
                      <w:szCs w:val="21"/>
                      <w:highlight w:val="none"/>
                    </w:rPr>
                    <w:t>、</w:t>
                  </w:r>
                  <w:r>
                    <w:rPr>
                      <w:rFonts w:hint="eastAsia"/>
                      <w:sz w:val="21"/>
                      <w:szCs w:val="21"/>
                      <w:highlight w:val="none"/>
                      <w:lang w:val="en-US" w:eastAsia="zh-CN"/>
                    </w:rPr>
                    <w:t>压力等级为CL150</w:t>
                  </w:r>
                  <w:r>
                    <w:rPr>
                      <w:rFonts w:hint="eastAsia"/>
                      <w:sz w:val="21"/>
                      <w:szCs w:val="21"/>
                      <w:highlight w:val="none"/>
                    </w:rPr>
                    <w:t>、</w:t>
                  </w:r>
                  <w:r>
                    <w:rPr>
                      <w:rFonts w:hint="eastAsia"/>
                      <w:sz w:val="21"/>
                      <w:szCs w:val="21"/>
                      <w:highlight w:val="none"/>
                      <w:lang w:val="en-US" w:eastAsia="zh-CN"/>
                    </w:rPr>
                    <w:t>内径100mm。</w:t>
                  </w:r>
                </w:p>
              </w:tc>
              <w:tc>
                <w:tcPr>
                  <w:tcW w:w="919" w:type="dxa"/>
                  <w:noWrap w:val="0"/>
                  <w:vAlign w:val="center"/>
                </w:tcPr>
                <w:p w14:paraId="052DCA61">
                  <w:pPr>
                    <w:jc w:val="center"/>
                    <w:rPr>
                      <w:szCs w:val="21"/>
                      <w:highlight w:val="none"/>
                    </w:rPr>
                  </w:pPr>
                  <w:r>
                    <w:rPr>
                      <w:rFonts w:hint="eastAsia"/>
                      <w:szCs w:val="21"/>
                      <w:highlight w:val="none"/>
                      <w:lang w:val="en-US" w:eastAsia="zh-CN"/>
                    </w:rPr>
                    <w:t>新建（联博管廊内）</w:t>
                  </w:r>
                </w:p>
              </w:tc>
            </w:tr>
            <w:tr w14:paraId="43EE1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Merge w:val="continue"/>
                  <w:noWrap w:val="0"/>
                  <w:vAlign w:val="center"/>
                </w:tcPr>
                <w:p w14:paraId="4C0A1845">
                  <w:pPr>
                    <w:rPr>
                      <w:szCs w:val="21"/>
                      <w:highlight w:val="none"/>
                    </w:rPr>
                  </w:pPr>
                </w:p>
              </w:tc>
              <w:tc>
                <w:tcPr>
                  <w:tcW w:w="1059" w:type="dxa"/>
                  <w:gridSpan w:val="2"/>
                  <w:noWrap w:val="0"/>
                  <w:vAlign w:val="center"/>
                </w:tcPr>
                <w:p w14:paraId="1D2E49D2">
                  <w:pPr>
                    <w:spacing w:line="240" w:lineRule="auto"/>
                    <w:jc w:val="center"/>
                    <w:rPr>
                      <w:rFonts w:hint="eastAsia"/>
                      <w:sz w:val="21"/>
                      <w:szCs w:val="21"/>
                      <w:highlight w:val="none"/>
                    </w:rPr>
                  </w:pPr>
                  <w:r>
                    <w:rPr>
                      <w:rFonts w:hint="eastAsia"/>
                      <w:sz w:val="21"/>
                      <w:szCs w:val="21"/>
                      <w:highlight w:val="none"/>
                      <w:lang w:val="en-US" w:eastAsia="zh-CN"/>
                    </w:rPr>
                    <w:t>氮气</w:t>
                  </w:r>
                  <w:r>
                    <w:rPr>
                      <w:rFonts w:hint="eastAsia"/>
                      <w:sz w:val="21"/>
                      <w:szCs w:val="21"/>
                      <w:highlight w:val="none"/>
                    </w:rPr>
                    <w:t>管道</w:t>
                  </w:r>
                </w:p>
              </w:tc>
              <w:tc>
                <w:tcPr>
                  <w:tcW w:w="5850" w:type="dxa"/>
                  <w:noWrap w:val="0"/>
                  <w:vAlign w:val="center"/>
                </w:tcPr>
                <w:p w14:paraId="62724A5C">
                  <w:pPr>
                    <w:spacing w:line="240" w:lineRule="auto"/>
                    <w:jc w:val="center"/>
                    <w:rPr>
                      <w:rFonts w:hint="eastAsia"/>
                      <w:sz w:val="21"/>
                      <w:szCs w:val="21"/>
                      <w:highlight w:val="none"/>
                    </w:rPr>
                  </w:pPr>
                  <w:r>
                    <w:rPr>
                      <w:rFonts w:hint="eastAsia"/>
                      <w:sz w:val="21"/>
                      <w:szCs w:val="21"/>
                      <w:highlight w:val="none"/>
                    </w:rPr>
                    <w:t>1根总长度为</w:t>
                  </w:r>
                  <w:r>
                    <w:rPr>
                      <w:rFonts w:hint="eastAsia"/>
                      <w:sz w:val="21"/>
                      <w:szCs w:val="21"/>
                      <w:highlight w:val="none"/>
                      <w:lang w:val="en-US" w:eastAsia="zh-CN"/>
                    </w:rPr>
                    <w:t>422</w:t>
                  </w:r>
                  <w:r>
                    <w:rPr>
                      <w:rFonts w:hint="eastAsia"/>
                      <w:sz w:val="21"/>
                      <w:szCs w:val="21"/>
                      <w:highlight w:val="none"/>
                    </w:rPr>
                    <w:t>m的</w:t>
                  </w:r>
                  <w:r>
                    <w:rPr>
                      <w:rFonts w:hint="eastAsia"/>
                      <w:sz w:val="21"/>
                      <w:szCs w:val="21"/>
                      <w:highlight w:val="none"/>
                      <w:lang w:val="en-US" w:eastAsia="zh-CN"/>
                    </w:rPr>
                    <w:t>氮气</w:t>
                  </w:r>
                  <w:r>
                    <w:rPr>
                      <w:rFonts w:hint="eastAsia"/>
                      <w:sz w:val="21"/>
                      <w:szCs w:val="21"/>
                      <w:highlight w:val="none"/>
                    </w:rPr>
                    <w:t>管道</w:t>
                  </w:r>
                  <w:r>
                    <w:rPr>
                      <w:rFonts w:hint="eastAsia"/>
                      <w:sz w:val="21"/>
                      <w:szCs w:val="21"/>
                      <w:highlight w:val="none"/>
                      <w:lang w:eastAsia="zh-CN"/>
                    </w:rPr>
                    <w:t>，</w:t>
                  </w:r>
                  <w:r>
                    <w:rPr>
                      <w:rFonts w:hint="default" w:ascii="Times New Roman" w:hAnsi="Times New Roman" w:eastAsia="宋体" w:cs="Times New Roman"/>
                      <w:bCs/>
                      <w:sz w:val="21"/>
                      <w:szCs w:val="21"/>
                      <w:highlight w:val="none"/>
                      <w:lang w:val="en-US" w:eastAsia="zh-CN"/>
                    </w:rPr>
                    <w:t>已在现有伊泰化工管廊处抽头，需要在抽头处新增管道至鹏泰生物公司管廊。</w:t>
                  </w:r>
                  <w:r>
                    <w:rPr>
                      <w:rFonts w:hint="eastAsia"/>
                      <w:sz w:val="21"/>
                      <w:szCs w:val="21"/>
                      <w:highlight w:val="none"/>
                    </w:rPr>
                    <w:t>并配套流量计。输送的</w:t>
                  </w:r>
                  <w:r>
                    <w:rPr>
                      <w:rFonts w:hint="eastAsia"/>
                      <w:sz w:val="21"/>
                      <w:szCs w:val="21"/>
                      <w:highlight w:val="none"/>
                      <w:lang w:val="en-US" w:eastAsia="zh-CN"/>
                    </w:rPr>
                    <w:t>合成氮气</w:t>
                  </w:r>
                  <w:r>
                    <w:rPr>
                      <w:rFonts w:hint="eastAsia"/>
                      <w:sz w:val="21"/>
                      <w:szCs w:val="21"/>
                      <w:highlight w:val="none"/>
                    </w:rPr>
                    <w:t>流量</w:t>
                  </w:r>
                  <w:r>
                    <w:rPr>
                      <w:rFonts w:hint="eastAsia"/>
                      <w:sz w:val="21"/>
                      <w:szCs w:val="21"/>
                      <w:highlight w:val="none"/>
                      <w:lang w:val="en-US" w:eastAsia="zh-CN"/>
                    </w:rPr>
                    <w:t>为1000Nm</w:t>
                  </w:r>
                  <w:r>
                    <w:rPr>
                      <w:rFonts w:hint="eastAsia"/>
                      <w:sz w:val="21"/>
                      <w:szCs w:val="21"/>
                      <w:highlight w:val="none"/>
                      <w:vertAlign w:val="superscript"/>
                      <w:lang w:val="en-US" w:eastAsia="zh-CN"/>
                    </w:rPr>
                    <w:t>3</w:t>
                  </w:r>
                  <w:r>
                    <w:rPr>
                      <w:rFonts w:hint="eastAsia"/>
                      <w:sz w:val="21"/>
                      <w:szCs w:val="21"/>
                      <w:highlight w:val="none"/>
                      <w:lang w:val="en-US" w:eastAsia="zh-CN"/>
                    </w:rPr>
                    <w:t>/h</w:t>
                  </w:r>
                  <w:r>
                    <w:rPr>
                      <w:rFonts w:hint="eastAsia"/>
                      <w:sz w:val="21"/>
                      <w:szCs w:val="21"/>
                      <w:highlight w:val="none"/>
                    </w:rPr>
                    <w:t>、</w:t>
                  </w:r>
                  <w:r>
                    <w:rPr>
                      <w:rFonts w:hint="eastAsia"/>
                      <w:sz w:val="21"/>
                      <w:szCs w:val="21"/>
                      <w:highlight w:val="none"/>
                      <w:lang w:val="en-US" w:eastAsia="zh-CN"/>
                    </w:rPr>
                    <w:t>压力等级为CL150</w:t>
                  </w:r>
                  <w:r>
                    <w:rPr>
                      <w:rFonts w:hint="eastAsia"/>
                      <w:sz w:val="21"/>
                      <w:szCs w:val="21"/>
                      <w:highlight w:val="none"/>
                    </w:rPr>
                    <w:t>、</w:t>
                  </w:r>
                  <w:r>
                    <w:rPr>
                      <w:rFonts w:hint="eastAsia"/>
                      <w:sz w:val="21"/>
                      <w:szCs w:val="21"/>
                      <w:highlight w:val="none"/>
                      <w:lang w:val="en-US" w:eastAsia="zh-CN"/>
                    </w:rPr>
                    <w:t>内径100mm。</w:t>
                  </w:r>
                </w:p>
              </w:tc>
              <w:tc>
                <w:tcPr>
                  <w:tcW w:w="919" w:type="dxa"/>
                  <w:noWrap w:val="0"/>
                  <w:vAlign w:val="center"/>
                </w:tcPr>
                <w:p w14:paraId="4D7482C1">
                  <w:pPr>
                    <w:jc w:val="center"/>
                    <w:rPr>
                      <w:szCs w:val="21"/>
                      <w:highlight w:val="none"/>
                    </w:rPr>
                  </w:pPr>
                  <w:r>
                    <w:rPr>
                      <w:rFonts w:hint="eastAsia"/>
                      <w:szCs w:val="21"/>
                      <w:highlight w:val="none"/>
                      <w:lang w:val="en-US" w:eastAsia="zh-CN"/>
                    </w:rPr>
                    <w:t>新建（联博管廊内）</w:t>
                  </w:r>
                </w:p>
              </w:tc>
            </w:tr>
            <w:tr w14:paraId="5A8C2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Merge w:val="continue"/>
                  <w:noWrap w:val="0"/>
                  <w:vAlign w:val="center"/>
                </w:tcPr>
                <w:p w14:paraId="679FAE4A">
                  <w:pPr>
                    <w:rPr>
                      <w:szCs w:val="21"/>
                      <w:highlight w:val="none"/>
                    </w:rPr>
                  </w:pPr>
                </w:p>
              </w:tc>
              <w:tc>
                <w:tcPr>
                  <w:tcW w:w="1059" w:type="dxa"/>
                  <w:gridSpan w:val="2"/>
                  <w:noWrap w:val="0"/>
                  <w:vAlign w:val="center"/>
                </w:tcPr>
                <w:p w14:paraId="1B44C529">
                  <w:pPr>
                    <w:spacing w:line="240" w:lineRule="auto"/>
                    <w:jc w:val="center"/>
                    <w:rPr>
                      <w:rFonts w:hint="eastAsia"/>
                      <w:sz w:val="21"/>
                      <w:szCs w:val="21"/>
                      <w:highlight w:val="none"/>
                    </w:rPr>
                  </w:pPr>
                  <w:r>
                    <w:rPr>
                      <w:rFonts w:hint="eastAsia"/>
                      <w:sz w:val="21"/>
                      <w:szCs w:val="21"/>
                      <w:highlight w:val="none"/>
                      <w:lang w:val="en-US" w:eastAsia="zh-CN"/>
                    </w:rPr>
                    <w:t>黄河水</w:t>
                  </w:r>
                  <w:r>
                    <w:rPr>
                      <w:rFonts w:hint="eastAsia"/>
                      <w:sz w:val="21"/>
                      <w:szCs w:val="21"/>
                      <w:highlight w:val="none"/>
                    </w:rPr>
                    <w:t>管道</w:t>
                  </w:r>
                </w:p>
              </w:tc>
              <w:tc>
                <w:tcPr>
                  <w:tcW w:w="5850" w:type="dxa"/>
                  <w:noWrap w:val="0"/>
                  <w:vAlign w:val="center"/>
                </w:tcPr>
                <w:p w14:paraId="064E4ABA">
                  <w:pPr>
                    <w:spacing w:line="240" w:lineRule="auto"/>
                    <w:jc w:val="center"/>
                    <w:rPr>
                      <w:rFonts w:hint="eastAsia"/>
                      <w:sz w:val="21"/>
                      <w:szCs w:val="21"/>
                      <w:highlight w:val="none"/>
                    </w:rPr>
                  </w:pPr>
                  <w:r>
                    <w:rPr>
                      <w:rFonts w:hint="eastAsia"/>
                      <w:sz w:val="21"/>
                      <w:szCs w:val="21"/>
                      <w:highlight w:val="none"/>
                    </w:rPr>
                    <w:t>1根总长度为</w:t>
                  </w:r>
                  <w:r>
                    <w:rPr>
                      <w:rFonts w:hint="eastAsia"/>
                      <w:sz w:val="21"/>
                      <w:szCs w:val="21"/>
                      <w:highlight w:val="none"/>
                      <w:lang w:val="en-US" w:eastAsia="zh-CN"/>
                    </w:rPr>
                    <w:t>1775</w:t>
                  </w:r>
                  <w:r>
                    <w:rPr>
                      <w:rFonts w:hint="eastAsia"/>
                      <w:sz w:val="21"/>
                      <w:szCs w:val="21"/>
                      <w:highlight w:val="none"/>
                    </w:rPr>
                    <w:t>m的</w:t>
                  </w:r>
                  <w:r>
                    <w:rPr>
                      <w:rFonts w:hint="eastAsia"/>
                      <w:sz w:val="21"/>
                      <w:szCs w:val="21"/>
                      <w:highlight w:val="none"/>
                      <w:lang w:val="en-US" w:eastAsia="zh-CN"/>
                    </w:rPr>
                    <w:t>黄河水</w:t>
                  </w:r>
                  <w:r>
                    <w:rPr>
                      <w:rFonts w:hint="eastAsia"/>
                      <w:sz w:val="21"/>
                      <w:szCs w:val="21"/>
                      <w:highlight w:val="none"/>
                    </w:rPr>
                    <w:t>管道</w:t>
                  </w:r>
                  <w:r>
                    <w:rPr>
                      <w:rFonts w:hint="default" w:ascii="Times New Roman" w:hAnsi="Times New Roman" w:eastAsia="宋体" w:cs="Times New Roman"/>
                      <w:bCs/>
                      <w:sz w:val="21"/>
                      <w:szCs w:val="21"/>
                      <w:highlight w:val="none"/>
                      <w:lang w:val="en-US" w:eastAsia="zh-CN"/>
                    </w:rPr>
                    <w:t>需要从场外埋地管线处，引入伊泰化工管廊，输送至鹏泰化工管廊处</w:t>
                  </w:r>
                  <w:r>
                    <w:rPr>
                      <w:rFonts w:hint="eastAsia"/>
                      <w:sz w:val="21"/>
                      <w:szCs w:val="21"/>
                      <w:highlight w:val="none"/>
                    </w:rPr>
                    <w:t>并配套流量计。输送的</w:t>
                  </w:r>
                  <w:r>
                    <w:rPr>
                      <w:rFonts w:hint="eastAsia"/>
                      <w:sz w:val="21"/>
                      <w:szCs w:val="21"/>
                      <w:highlight w:val="none"/>
                      <w:lang w:val="en-US" w:eastAsia="zh-CN"/>
                    </w:rPr>
                    <w:t>黄河水</w:t>
                  </w:r>
                  <w:r>
                    <w:rPr>
                      <w:rFonts w:hint="eastAsia"/>
                      <w:sz w:val="21"/>
                      <w:szCs w:val="21"/>
                      <w:highlight w:val="none"/>
                    </w:rPr>
                    <w:t>流量</w:t>
                  </w:r>
                  <w:r>
                    <w:rPr>
                      <w:rFonts w:hint="eastAsia"/>
                      <w:sz w:val="21"/>
                      <w:szCs w:val="21"/>
                      <w:highlight w:val="none"/>
                      <w:lang w:val="en-US" w:eastAsia="zh-CN"/>
                    </w:rPr>
                    <w:t>为165t/h</w:t>
                  </w:r>
                  <w:r>
                    <w:rPr>
                      <w:rFonts w:hint="eastAsia"/>
                      <w:sz w:val="21"/>
                      <w:szCs w:val="21"/>
                      <w:highlight w:val="none"/>
                    </w:rPr>
                    <w:t>、</w:t>
                  </w:r>
                  <w:r>
                    <w:rPr>
                      <w:rFonts w:hint="eastAsia"/>
                      <w:sz w:val="21"/>
                      <w:szCs w:val="21"/>
                      <w:highlight w:val="none"/>
                      <w:lang w:val="en-US" w:eastAsia="zh-CN"/>
                    </w:rPr>
                    <w:t>压力等级为CL150</w:t>
                  </w:r>
                  <w:r>
                    <w:rPr>
                      <w:rFonts w:hint="eastAsia"/>
                      <w:sz w:val="21"/>
                      <w:szCs w:val="21"/>
                      <w:highlight w:val="none"/>
                    </w:rPr>
                    <w:t>、</w:t>
                  </w:r>
                  <w:r>
                    <w:rPr>
                      <w:rFonts w:hint="eastAsia"/>
                      <w:sz w:val="21"/>
                      <w:szCs w:val="21"/>
                      <w:highlight w:val="none"/>
                      <w:lang w:val="en-US" w:eastAsia="zh-CN"/>
                    </w:rPr>
                    <w:t>内径200mm。</w:t>
                  </w:r>
                </w:p>
              </w:tc>
              <w:tc>
                <w:tcPr>
                  <w:tcW w:w="919" w:type="dxa"/>
                  <w:noWrap w:val="0"/>
                  <w:vAlign w:val="center"/>
                </w:tcPr>
                <w:p w14:paraId="4495193E">
                  <w:pPr>
                    <w:jc w:val="center"/>
                    <w:rPr>
                      <w:szCs w:val="21"/>
                      <w:highlight w:val="none"/>
                    </w:rPr>
                  </w:pPr>
                  <w:r>
                    <w:rPr>
                      <w:rFonts w:hint="eastAsia"/>
                      <w:szCs w:val="21"/>
                      <w:highlight w:val="none"/>
                      <w:lang w:val="en-US" w:eastAsia="zh-CN"/>
                    </w:rPr>
                    <w:t>新建（联博管廊内）</w:t>
                  </w:r>
                </w:p>
              </w:tc>
            </w:tr>
            <w:tr w14:paraId="00AAF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Merge w:val="continue"/>
                  <w:noWrap w:val="0"/>
                  <w:vAlign w:val="center"/>
                </w:tcPr>
                <w:p w14:paraId="4DE9E72E">
                  <w:pPr>
                    <w:rPr>
                      <w:szCs w:val="21"/>
                      <w:highlight w:val="none"/>
                    </w:rPr>
                  </w:pPr>
                </w:p>
              </w:tc>
              <w:tc>
                <w:tcPr>
                  <w:tcW w:w="1059" w:type="dxa"/>
                  <w:gridSpan w:val="2"/>
                  <w:noWrap w:val="0"/>
                  <w:vAlign w:val="center"/>
                </w:tcPr>
                <w:p w14:paraId="1662303C">
                  <w:pPr>
                    <w:spacing w:line="240" w:lineRule="auto"/>
                    <w:jc w:val="center"/>
                    <w:rPr>
                      <w:rFonts w:hint="eastAsia"/>
                      <w:sz w:val="21"/>
                      <w:szCs w:val="21"/>
                      <w:highlight w:val="none"/>
                    </w:rPr>
                  </w:pPr>
                  <w:r>
                    <w:rPr>
                      <w:rFonts w:hint="eastAsia"/>
                      <w:sz w:val="21"/>
                      <w:szCs w:val="21"/>
                      <w:highlight w:val="none"/>
                      <w:lang w:val="en-US" w:eastAsia="zh-CN"/>
                    </w:rPr>
                    <w:t>回用水</w:t>
                  </w:r>
                  <w:r>
                    <w:rPr>
                      <w:rFonts w:hint="eastAsia"/>
                      <w:sz w:val="21"/>
                      <w:szCs w:val="21"/>
                      <w:highlight w:val="none"/>
                    </w:rPr>
                    <w:t>管道</w:t>
                  </w:r>
                </w:p>
              </w:tc>
              <w:tc>
                <w:tcPr>
                  <w:tcW w:w="5850" w:type="dxa"/>
                  <w:noWrap w:val="0"/>
                  <w:vAlign w:val="center"/>
                </w:tcPr>
                <w:p w14:paraId="514B9E2F">
                  <w:pPr>
                    <w:spacing w:line="240" w:lineRule="auto"/>
                    <w:jc w:val="center"/>
                    <w:rPr>
                      <w:rFonts w:hint="eastAsia"/>
                      <w:sz w:val="21"/>
                      <w:szCs w:val="21"/>
                      <w:highlight w:val="none"/>
                    </w:rPr>
                  </w:pPr>
                  <w:r>
                    <w:rPr>
                      <w:rFonts w:hint="eastAsia"/>
                      <w:sz w:val="21"/>
                      <w:szCs w:val="21"/>
                      <w:highlight w:val="none"/>
                    </w:rPr>
                    <w:t>1根总长度为</w:t>
                  </w:r>
                  <w:r>
                    <w:rPr>
                      <w:rFonts w:hint="eastAsia"/>
                      <w:sz w:val="21"/>
                      <w:szCs w:val="21"/>
                      <w:highlight w:val="none"/>
                      <w:lang w:val="en-US" w:eastAsia="zh-CN"/>
                    </w:rPr>
                    <w:t>479</w:t>
                  </w:r>
                  <w:r>
                    <w:rPr>
                      <w:rFonts w:hint="eastAsia"/>
                      <w:sz w:val="21"/>
                      <w:szCs w:val="21"/>
                      <w:highlight w:val="none"/>
                    </w:rPr>
                    <w:t>m的</w:t>
                  </w:r>
                  <w:r>
                    <w:rPr>
                      <w:rFonts w:hint="eastAsia"/>
                      <w:sz w:val="21"/>
                      <w:szCs w:val="21"/>
                      <w:highlight w:val="none"/>
                      <w:lang w:val="en-US" w:eastAsia="zh-CN"/>
                    </w:rPr>
                    <w:t>回用水</w:t>
                  </w:r>
                  <w:r>
                    <w:rPr>
                      <w:rFonts w:hint="eastAsia"/>
                      <w:sz w:val="21"/>
                      <w:szCs w:val="21"/>
                      <w:highlight w:val="none"/>
                    </w:rPr>
                    <w:t>管道，</w:t>
                  </w:r>
                  <w:r>
                    <w:rPr>
                      <w:rFonts w:hint="default" w:ascii="Times New Roman" w:hAnsi="Times New Roman" w:eastAsia="宋体" w:cs="Times New Roman"/>
                      <w:bCs/>
                      <w:sz w:val="21"/>
                      <w:szCs w:val="21"/>
                      <w:highlight w:val="none"/>
                      <w:lang w:val="en-US" w:eastAsia="zh-CN"/>
                    </w:rPr>
                    <w:t>已在现有伊泰化工管廊处抽头，需要在抽头处新增管道至鹏泰生物公司管廊</w:t>
                  </w:r>
                  <w:r>
                    <w:rPr>
                      <w:rFonts w:hint="eastAsia" w:cs="Times New Roman"/>
                      <w:bCs/>
                      <w:sz w:val="21"/>
                      <w:szCs w:val="21"/>
                      <w:highlight w:val="none"/>
                      <w:lang w:val="en-US" w:eastAsia="zh-CN"/>
                    </w:rPr>
                    <w:t>，</w:t>
                  </w:r>
                  <w:r>
                    <w:rPr>
                      <w:rFonts w:hint="eastAsia"/>
                      <w:sz w:val="21"/>
                      <w:szCs w:val="21"/>
                      <w:highlight w:val="none"/>
                    </w:rPr>
                    <w:t>并配套流量计。输送的</w:t>
                  </w:r>
                  <w:r>
                    <w:rPr>
                      <w:rFonts w:hint="eastAsia"/>
                      <w:sz w:val="21"/>
                      <w:szCs w:val="21"/>
                      <w:highlight w:val="none"/>
                      <w:lang w:val="en-US" w:eastAsia="zh-CN"/>
                    </w:rPr>
                    <w:t>回用水</w:t>
                  </w:r>
                  <w:r>
                    <w:rPr>
                      <w:rFonts w:hint="eastAsia"/>
                      <w:sz w:val="21"/>
                      <w:szCs w:val="21"/>
                      <w:highlight w:val="none"/>
                    </w:rPr>
                    <w:t>流量</w:t>
                  </w:r>
                  <w:r>
                    <w:rPr>
                      <w:rFonts w:hint="eastAsia"/>
                      <w:sz w:val="21"/>
                      <w:szCs w:val="21"/>
                      <w:highlight w:val="none"/>
                      <w:lang w:val="en-US" w:eastAsia="zh-CN"/>
                    </w:rPr>
                    <w:t>为270t/h</w:t>
                  </w:r>
                  <w:r>
                    <w:rPr>
                      <w:rFonts w:hint="eastAsia"/>
                      <w:sz w:val="21"/>
                      <w:szCs w:val="21"/>
                      <w:highlight w:val="none"/>
                    </w:rPr>
                    <w:t>、</w:t>
                  </w:r>
                  <w:r>
                    <w:rPr>
                      <w:rFonts w:hint="eastAsia"/>
                      <w:sz w:val="21"/>
                      <w:szCs w:val="21"/>
                      <w:highlight w:val="none"/>
                      <w:lang w:val="en-US" w:eastAsia="zh-CN"/>
                    </w:rPr>
                    <w:t>压力等级为CL150</w:t>
                  </w:r>
                  <w:r>
                    <w:rPr>
                      <w:rFonts w:hint="eastAsia"/>
                      <w:sz w:val="21"/>
                      <w:szCs w:val="21"/>
                      <w:highlight w:val="none"/>
                    </w:rPr>
                    <w:t>、</w:t>
                  </w:r>
                  <w:r>
                    <w:rPr>
                      <w:rFonts w:hint="eastAsia"/>
                      <w:sz w:val="21"/>
                      <w:szCs w:val="21"/>
                      <w:highlight w:val="none"/>
                      <w:lang w:val="en-US" w:eastAsia="zh-CN"/>
                    </w:rPr>
                    <w:t>内径250mm。</w:t>
                  </w:r>
                </w:p>
              </w:tc>
              <w:tc>
                <w:tcPr>
                  <w:tcW w:w="919" w:type="dxa"/>
                  <w:noWrap w:val="0"/>
                  <w:vAlign w:val="center"/>
                </w:tcPr>
                <w:p w14:paraId="51A12DFD">
                  <w:pPr>
                    <w:jc w:val="center"/>
                    <w:rPr>
                      <w:szCs w:val="21"/>
                      <w:highlight w:val="none"/>
                    </w:rPr>
                  </w:pPr>
                  <w:r>
                    <w:rPr>
                      <w:rFonts w:hint="eastAsia"/>
                      <w:szCs w:val="21"/>
                      <w:highlight w:val="none"/>
                      <w:lang w:val="en-US" w:eastAsia="zh-CN"/>
                    </w:rPr>
                    <w:t>新建（联博管廊内）</w:t>
                  </w:r>
                </w:p>
              </w:tc>
            </w:tr>
            <w:tr w14:paraId="28410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Merge w:val="continue"/>
                  <w:noWrap w:val="0"/>
                  <w:vAlign w:val="center"/>
                </w:tcPr>
                <w:p w14:paraId="7C119956">
                  <w:pPr>
                    <w:rPr>
                      <w:szCs w:val="21"/>
                      <w:highlight w:val="none"/>
                    </w:rPr>
                  </w:pPr>
                </w:p>
              </w:tc>
              <w:tc>
                <w:tcPr>
                  <w:tcW w:w="1059" w:type="dxa"/>
                  <w:gridSpan w:val="2"/>
                  <w:noWrap w:val="0"/>
                  <w:vAlign w:val="center"/>
                </w:tcPr>
                <w:p w14:paraId="2E69B7E6">
                  <w:pPr>
                    <w:spacing w:line="240" w:lineRule="auto"/>
                    <w:jc w:val="center"/>
                    <w:rPr>
                      <w:rFonts w:hint="eastAsia"/>
                      <w:sz w:val="21"/>
                      <w:szCs w:val="21"/>
                      <w:highlight w:val="none"/>
                    </w:rPr>
                  </w:pPr>
                  <w:r>
                    <w:rPr>
                      <w:rFonts w:hint="eastAsia"/>
                      <w:sz w:val="21"/>
                      <w:szCs w:val="21"/>
                      <w:highlight w:val="none"/>
                      <w:lang w:val="en-US" w:eastAsia="zh-CN"/>
                    </w:rPr>
                    <w:t>污水1</w:t>
                  </w:r>
                  <w:r>
                    <w:rPr>
                      <w:rFonts w:hint="eastAsia"/>
                      <w:sz w:val="21"/>
                      <w:szCs w:val="21"/>
                      <w:highlight w:val="none"/>
                    </w:rPr>
                    <w:t>管道</w:t>
                  </w:r>
                </w:p>
              </w:tc>
              <w:tc>
                <w:tcPr>
                  <w:tcW w:w="5850" w:type="dxa"/>
                  <w:noWrap w:val="0"/>
                  <w:vAlign w:val="center"/>
                </w:tcPr>
                <w:p w14:paraId="25B06199">
                  <w:pPr>
                    <w:spacing w:line="240" w:lineRule="auto"/>
                    <w:jc w:val="center"/>
                    <w:rPr>
                      <w:rFonts w:hint="eastAsia"/>
                      <w:sz w:val="21"/>
                      <w:szCs w:val="21"/>
                      <w:highlight w:val="none"/>
                    </w:rPr>
                  </w:pPr>
                  <w:r>
                    <w:rPr>
                      <w:rFonts w:hint="eastAsia"/>
                      <w:sz w:val="21"/>
                      <w:szCs w:val="21"/>
                      <w:highlight w:val="none"/>
                    </w:rPr>
                    <w:t>1根总长度为</w:t>
                  </w:r>
                  <w:r>
                    <w:rPr>
                      <w:rFonts w:hint="eastAsia"/>
                      <w:sz w:val="21"/>
                      <w:szCs w:val="21"/>
                      <w:highlight w:val="none"/>
                      <w:lang w:val="en-US" w:eastAsia="zh-CN"/>
                    </w:rPr>
                    <w:t>1051</w:t>
                  </w:r>
                  <w:r>
                    <w:rPr>
                      <w:rFonts w:hint="eastAsia"/>
                      <w:sz w:val="21"/>
                      <w:szCs w:val="21"/>
                      <w:highlight w:val="none"/>
                    </w:rPr>
                    <w:t>m的</w:t>
                  </w:r>
                  <w:r>
                    <w:rPr>
                      <w:rFonts w:hint="eastAsia"/>
                      <w:sz w:val="21"/>
                      <w:szCs w:val="21"/>
                      <w:highlight w:val="none"/>
                      <w:lang w:val="en-US" w:eastAsia="zh-CN"/>
                    </w:rPr>
                    <w:t>污水</w:t>
                  </w:r>
                  <w:r>
                    <w:rPr>
                      <w:rFonts w:hint="eastAsia"/>
                      <w:sz w:val="21"/>
                      <w:szCs w:val="21"/>
                      <w:highlight w:val="none"/>
                    </w:rPr>
                    <w:t>管道，</w:t>
                  </w:r>
                  <w:r>
                    <w:rPr>
                      <w:rFonts w:hint="default" w:ascii="Times New Roman" w:hAnsi="Times New Roman" w:eastAsia="宋体" w:cs="Times New Roman"/>
                      <w:bCs/>
                      <w:sz w:val="21"/>
                      <w:szCs w:val="21"/>
                      <w:highlight w:val="none"/>
                      <w:lang w:val="en-US" w:eastAsia="zh-CN"/>
                    </w:rPr>
                    <w:t>污水处理池附近做好抽头，需要在抽头处新增管道至鹏泰生物公司管廊</w:t>
                  </w:r>
                  <w:r>
                    <w:rPr>
                      <w:rFonts w:hint="eastAsia"/>
                      <w:sz w:val="21"/>
                      <w:szCs w:val="21"/>
                      <w:highlight w:val="none"/>
                    </w:rPr>
                    <w:t>并配套流量计。输送的</w:t>
                  </w:r>
                  <w:r>
                    <w:rPr>
                      <w:rFonts w:hint="eastAsia"/>
                      <w:sz w:val="21"/>
                      <w:szCs w:val="21"/>
                      <w:highlight w:val="none"/>
                      <w:lang w:val="en-US" w:eastAsia="zh-CN"/>
                    </w:rPr>
                    <w:t>污水</w:t>
                  </w:r>
                  <w:r>
                    <w:rPr>
                      <w:rFonts w:hint="eastAsia"/>
                      <w:sz w:val="21"/>
                      <w:szCs w:val="21"/>
                      <w:highlight w:val="none"/>
                    </w:rPr>
                    <w:t>流量</w:t>
                  </w:r>
                  <w:r>
                    <w:rPr>
                      <w:rFonts w:hint="eastAsia"/>
                      <w:sz w:val="21"/>
                      <w:szCs w:val="21"/>
                      <w:highlight w:val="none"/>
                      <w:lang w:val="en-US" w:eastAsia="zh-CN"/>
                    </w:rPr>
                    <w:t>为150t/h</w:t>
                  </w:r>
                  <w:r>
                    <w:rPr>
                      <w:rFonts w:hint="eastAsia"/>
                      <w:sz w:val="21"/>
                      <w:szCs w:val="21"/>
                      <w:highlight w:val="none"/>
                    </w:rPr>
                    <w:t>、</w:t>
                  </w:r>
                  <w:r>
                    <w:rPr>
                      <w:rFonts w:hint="eastAsia"/>
                      <w:sz w:val="21"/>
                      <w:szCs w:val="21"/>
                      <w:highlight w:val="none"/>
                      <w:lang w:val="en-US" w:eastAsia="zh-CN"/>
                    </w:rPr>
                    <w:t>压力等级为CL150</w:t>
                  </w:r>
                  <w:r>
                    <w:rPr>
                      <w:rFonts w:hint="eastAsia"/>
                      <w:sz w:val="21"/>
                      <w:szCs w:val="21"/>
                      <w:highlight w:val="none"/>
                    </w:rPr>
                    <w:t>、</w:t>
                  </w:r>
                  <w:r>
                    <w:rPr>
                      <w:rFonts w:hint="eastAsia"/>
                      <w:sz w:val="21"/>
                      <w:szCs w:val="21"/>
                      <w:highlight w:val="none"/>
                      <w:lang w:val="en-US" w:eastAsia="zh-CN"/>
                    </w:rPr>
                    <w:t>内径200mm。</w:t>
                  </w:r>
                </w:p>
              </w:tc>
              <w:tc>
                <w:tcPr>
                  <w:tcW w:w="919" w:type="dxa"/>
                  <w:noWrap w:val="0"/>
                  <w:vAlign w:val="center"/>
                </w:tcPr>
                <w:p w14:paraId="5146E3ED">
                  <w:pPr>
                    <w:jc w:val="center"/>
                    <w:rPr>
                      <w:szCs w:val="21"/>
                      <w:highlight w:val="none"/>
                    </w:rPr>
                  </w:pPr>
                  <w:r>
                    <w:rPr>
                      <w:rFonts w:hint="eastAsia"/>
                      <w:szCs w:val="21"/>
                      <w:highlight w:val="none"/>
                      <w:lang w:val="en-US" w:eastAsia="zh-CN"/>
                    </w:rPr>
                    <w:t>新建（联博管廊内）</w:t>
                  </w:r>
                </w:p>
              </w:tc>
            </w:tr>
            <w:tr w14:paraId="34E7C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Merge w:val="continue"/>
                  <w:noWrap w:val="0"/>
                  <w:vAlign w:val="center"/>
                </w:tcPr>
                <w:p w14:paraId="4BE761FD">
                  <w:pPr>
                    <w:rPr>
                      <w:szCs w:val="21"/>
                      <w:highlight w:val="none"/>
                    </w:rPr>
                  </w:pPr>
                </w:p>
              </w:tc>
              <w:tc>
                <w:tcPr>
                  <w:tcW w:w="1059" w:type="dxa"/>
                  <w:gridSpan w:val="2"/>
                  <w:noWrap w:val="0"/>
                  <w:vAlign w:val="center"/>
                </w:tcPr>
                <w:p w14:paraId="1D971272">
                  <w:pPr>
                    <w:spacing w:line="240" w:lineRule="auto"/>
                    <w:jc w:val="center"/>
                    <w:rPr>
                      <w:rFonts w:hint="eastAsia"/>
                      <w:sz w:val="21"/>
                      <w:szCs w:val="21"/>
                      <w:highlight w:val="none"/>
                    </w:rPr>
                  </w:pPr>
                  <w:r>
                    <w:rPr>
                      <w:rFonts w:hint="eastAsia"/>
                      <w:sz w:val="21"/>
                      <w:szCs w:val="21"/>
                      <w:highlight w:val="none"/>
                      <w:lang w:val="en-US" w:eastAsia="zh-CN"/>
                    </w:rPr>
                    <w:t>污水2</w:t>
                  </w:r>
                  <w:r>
                    <w:rPr>
                      <w:rFonts w:hint="eastAsia"/>
                      <w:sz w:val="21"/>
                      <w:szCs w:val="21"/>
                      <w:highlight w:val="none"/>
                    </w:rPr>
                    <w:t>管道</w:t>
                  </w:r>
                </w:p>
              </w:tc>
              <w:tc>
                <w:tcPr>
                  <w:tcW w:w="5850" w:type="dxa"/>
                  <w:noWrap w:val="0"/>
                  <w:vAlign w:val="center"/>
                </w:tcPr>
                <w:p w14:paraId="17E93AD8">
                  <w:pPr>
                    <w:spacing w:line="240" w:lineRule="auto"/>
                    <w:jc w:val="center"/>
                    <w:rPr>
                      <w:rFonts w:hint="eastAsia"/>
                      <w:sz w:val="21"/>
                      <w:szCs w:val="21"/>
                      <w:highlight w:val="none"/>
                    </w:rPr>
                  </w:pPr>
                  <w:r>
                    <w:rPr>
                      <w:rFonts w:hint="eastAsia"/>
                      <w:sz w:val="21"/>
                      <w:szCs w:val="21"/>
                      <w:highlight w:val="none"/>
                    </w:rPr>
                    <w:t>1根总长度为</w:t>
                  </w:r>
                  <w:r>
                    <w:rPr>
                      <w:rFonts w:hint="eastAsia"/>
                      <w:sz w:val="21"/>
                      <w:szCs w:val="21"/>
                      <w:highlight w:val="none"/>
                      <w:lang w:val="en-US" w:eastAsia="zh-CN"/>
                    </w:rPr>
                    <w:t>1082</w:t>
                  </w:r>
                  <w:r>
                    <w:rPr>
                      <w:rFonts w:hint="eastAsia"/>
                      <w:sz w:val="21"/>
                      <w:szCs w:val="21"/>
                      <w:highlight w:val="none"/>
                    </w:rPr>
                    <w:t>m的</w:t>
                  </w:r>
                  <w:r>
                    <w:rPr>
                      <w:rFonts w:hint="eastAsia"/>
                      <w:sz w:val="21"/>
                      <w:szCs w:val="21"/>
                      <w:highlight w:val="none"/>
                      <w:lang w:val="en-US" w:eastAsia="zh-CN"/>
                    </w:rPr>
                    <w:t>污水</w:t>
                  </w:r>
                  <w:r>
                    <w:rPr>
                      <w:rFonts w:hint="eastAsia"/>
                      <w:sz w:val="21"/>
                      <w:szCs w:val="21"/>
                      <w:highlight w:val="none"/>
                    </w:rPr>
                    <w:t>管道，</w:t>
                  </w:r>
                  <w:r>
                    <w:rPr>
                      <w:rFonts w:hint="eastAsia"/>
                      <w:sz w:val="21"/>
                      <w:szCs w:val="21"/>
                      <w:highlight w:val="none"/>
                      <w:lang w:val="en-US" w:eastAsia="zh-CN"/>
                    </w:rPr>
                    <w:t>在</w:t>
                  </w:r>
                  <w:r>
                    <w:rPr>
                      <w:rFonts w:hint="default" w:ascii="Times New Roman" w:hAnsi="Times New Roman" w:eastAsia="宋体" w:cs="Times New Roman"/>
                      <w:bCs/>
                      <w:sz w:val="21"/>
                      <w:szCs w:val="21"/>
                      <w:highlight w:val="none"/>
                      <w:lang w:val="en-US" w:eastAsia="zh-CN"/>
                    </w:rPr>
                    <w:t>调浆装置附近做好抽头，需要在抽头处新增管道至鹏泰生物公司管廊</w:t>
                  </w:r>
                  <w:r>
                    <w:rPr>
                      <w:rFonts w:hint="default"/>
                      <w:sz w:val="21"/>
                      <w:szCs w:val="21"/>
                      <w:highlight w:val="none"/>
                      <w:lang w:val="en-US" w:eastAsia="zh-CN"/>
                    </w:rPr>
                    <w:t>管道上设置压力调节阀组和流量计</w:t>
                  </w:r>
                  <w:r>
                    <w:rPr>
                      <w:rFonts w:hint="eastAsia"/>
                      <w:sz w:val="21"/>
                      <w:szCs w:val="21"/>
                      <w:highlight w:val="none"/>
                    </w:rPr>
                    <w:t>。输送的</w:t>
                  </w:r>
                  <w:r>
                    <w:rPr>
                      <w:rFonts w:hint="eastAsia"/>
                      <w:sz w:val="21"/>
                      <w:szCs w:val="21"/>
                      <w:highlight w:val="none"/>
                      <w:lang w:val="en-US" w:eastAsia="zh-CN"/>
                    </w:rPr>
                    <w:t>污水</w:t>
                  </w:r>
                  <w:r>
                    <w:rPr>
                      <w:rFonts w:hint="eastAsia"/>
                      <w:sz w:val="21"/>
                      <w:szCs w:val="21"/>
                      <w:highlight w:val="none"/>
                    </w:rPr>
                    <w:t>流量</w:t>
                  </w:r>
                  <w:r>
                    <w:rPr>
                      <w:rFonts w:hint="eastAsia"/>
                      <w:sz w:val="21"/>
                      <w:szCs w:val="21"/>
                      <w:highlight w:val="none"/>
                      <w:lang w:val="en-US" w:eastAsia="zh-CN"/>
                    </w:rPr>
                    <w:t>为40t/h</w:t>
                  </w:r>
                  <w:r>
                    <w:rPr>
                      <w:rFonts w:hint="eastAsia"/>
                      <w:sz w:val="21"/>
                      <w:szCs w:val="21"/>
                      <w:highlight w:val="none"/>
                    </w:rPr>
                    <w:t>、</w:t>
                  </w:r>
                  <w:r>
                    <w:rPr>
                      <w:rFonts w:hint="eastAsia"/>
                      <w:sz w:val="21"/>
                      <w:szCs w:val="21"/>
                      <w:highlight w:val="none"/>
                      <w:lang w:val="en-US" w:eastAsia="zh-CN"/>
                    </w:rPr>
                    <w:t>压力等级为CL150</w:t>
                  </w:r>
                  <w:r>
                    <w:rPr>
                      <w:rFonts w:hint="eastAsia"/>
                      <w:sz w:val="21"/>
                      <w:szCs w:val="21"/>
                      <w:highlight w:val="none"/>
                    </w:rPr>
                    <w:t>、</w:t>
                  </w:r>
                  <w:r>
                    <w:rPr>
                      <w:rFonts w:hint="eastAsia"/>
                      <w:sz w:val="21"/>
                      <w:szCs w:val="21"/>
                      <w:highlight w:val="none"/>
                      <w:lang w:val="en-US" w:eastAsia="zh-CN"/>
                    </w:rPr>
                    <w:t>内径125mm。</w:t>
                  </w:r>
                </w:p>
              </w:tc>
              <w:tc>
                <w:tcPr>
                  <w:tcW w:w="919" w:type="dxa"/>
                  <w:noWrap w:val="0"/>
                  <w:vAlign w:val="center"/>
                </w:tcPr>
                <w:p w14:paraId="586944E0">
                  <w:pPr>
                    <w:jc w:val="center"/>
                    <w:rPr>
                      <w:szCs w:val="21"/>
                      <w:highlight w:val="none"/>
                    </w:rPr>
                  </w:pPr>
                  <w:r>
                    <w:rPr>
                      <w:rFonts w:hint="eastAsia"/>
                      <w:szCs w:val="21"/>
                      <w:highlight w:val="none"/>
                      <w:lang w:val="en-US" w:eastAsia="zh-CN"/>
                    </w:rPr>
                    <w:t>新建（联博管廊内）</w:t>
                  </w:r>
                </w:p>
              </w:tc>
            </w:tr>
            <w:tr w14:paraId="6E7F0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Merge w:val="continue"/>
                  <w:noWrap w:val="0"/>
                  <w:vAlign w:val="center"/>
                </w:tcPr>
                <w:p w14:paraId="57D66BE6">
                  <w:pPr>
                    <w:rPr>
                      <w:szCs w:val="21"/>
                      <w:highlight w:val="none"/>
                    </w:rPr>
                  </w:pPr>
                </w:p>
              </w:tc>
              <w:tc>
                <w:tcPr>
                  <w:tcW w:w="1059" w:type="dxa"/>
                  <w:gridSpan w:val="2"/>
                  <w:noWrap w:val="0"/>
                  <w:vAlign w:val="center"/>
                </w:tcPr>
                <w:p w14:paraId="24C4033D">
                  <w:pPr>
                    <w:spacing w:line="240" w:lineRule="auto"/>
                    <w:jc w:val="center"/>
                    <w:rPr>
                      <w:rFonts w:hint="eastAsia"/>
                      <w:sz w:val="21"/>
                      <w:szCs w:val="21"/>
                      <w:highlight w:val="none"/>
                    </w:rPr>
                  </w:pPr>
                  <w:r>
                    <w:rPr>
                      <w:rFonts w:hint="eastAsia"/>
                      <w:sz w:val="21"/>
                      <w:szCs w:val="21"/>
                      <w:highlight w:val="none"/>
                      <w:lang w:val="en-US" w:eastAsia="zh-CN"/>
                    </w:rPr>
                    <w:t>清净废水</w:t>
                  </w:r>
                  <w:r>
                    <w:rPr>
                      <w:rFonts w:hint="eastAsia"/>
                      <w:sz w:val="21"/>
                      <w:szCs w:val="21"/>
                      <w:highlight w:val="none"/>
                    </w:rPr>
                    <w:t>管道</w:t>
                  </w:r>
                </w:p>
              </w:tc>
              <w:tc>
                <w:tcPr>
                  <w:tcW w:w="5850" w:type="dxa"/>
                  <w:noWrap w:val="0"/>
                  <w:vAlign w:val="center"/>
                </w:tcPr>
                <w:p w14:paraId="71F420AB">
                  <w:pPr>
                    <w:spacing w:line="240" w:lineRule="auto"/>
                    <w:jc w:val="center"/>
                    <w:rPr>
                      <w:rFonts w:hint="eastAsia"/>
                      <w:sz w:val="21"/>
                      <w:szCs w:val="21"/>
                      <w:highlight w:val="none"/>
                    </w:rPr>
                  </w:pPr>
                  <w:r>
                    <w:rPr>
                      <w:rFonts w:hint="eastAsia"/>
                      <w:sz w:val="21"/>
                      <w:szCs w:val="21"/>
                      <w:highlight w:val="none"/>
                    </w:rPr>
                    <w:t>1根总长度为</w:t>
                  </w:r>
                  <w:r>
                    <w:rPr>
                      <w:rFonts w:hint="eastAsia"/>
                      <w:sz w:val="21"/>
                      <w:szCs w:val="21"/>
                      <w:highlight w:val="none"/>
                      <w:lang w:val="en-US" w:eastAsia="zh-CN"/>
                    </w:rPr>
                    <w:t>907</w:t>
                  </w:r>
                  <w:r>
                    <w:rPr>
                      <w:rFonts w:hint="eastAsia"/>
                      <w:sz w:val="21"/>
                      <w:szCs w:val="21"/>
                      <w:highlight w:val="none"/>
                    </w:rPr>
                    <w:t>m的</w:t>
                  </w:r>
                  <w:r>
                    <w:rPr>
                      <w:rFonts w:hint="eastAsia"/>
                      <w:sz w:val="21"/>
                      <w:szCs w:val="21"/>
                      <w:highlight w:val="none"/>
                      <w:lang w:val="en-US" w:eastAsia="zh-CN"/>
                    </w:rPr>
                    <w:t>清净废水</w:t>
                  </w:r>
                  <w:r>
                    <w:rPr>
                      <w:rFonts w:hint="eastAsia"/>
                      <w:sz w:val="21"/>
                      <w:szCs w:val="21"/>
                      <w:highlight w:val="none"/>
                    </w:rPr>
                    <w:t>管道，</w:t>
                  </w:r>
                  <w:r>
                    <w:rPr>
                      <w:rFonts w:hint="default" w:ascii="Times New Roman" w:hAnsi="Times New Roman" w:eastAsia="宋体" w:cs="Times New Roman"/>
                      <w:bCs/>
                      <w:sz w:val="21"/>
                      <w:szCs w:val="21"/>
                      <w:highlight w:val="none"/>
                      <w:lang w:val="en-US" w:eastAsia="zh-CN"/>
                    </w:rPr>
                    <w:t>暂未抽头，需要在就近清净废水管道处抽头，新增管道至鹏泰生物公司管廊</w:t>
                  </w:r>
                  <w:r>
                    <w:rPr>
                      <w:rFonts w:hint="eastAsia"/>
                      <w:sz w:val="21"/>
                      <w:szCs w:val="21"/>
                      <w:highlight w:val="none"/>
                    </w:rPr>
                    <w:t>并配套流量计。输送的</w:t>
                  </w:r>
                  <w:r>
                    <w:rPr>
                      <w:rFonts w:hint="eastAsia"/>
                      <w:sz w:val="21"/>
                      <w:szCs w:val="21"/>
                      <w:highlight w:val="none"/>
                      <w:lang w:val="en-US" w:eastAsia="zh-CN"/>
                    </w:rPr>
                    <w:t>清净废水</w:t>
                  </w:r>
                  <w:r>
                    <w:rPr>
                      <w:rFonts w:hint="eastAsia"/>
                      <w:sz w:val="21"/>
                      <w:szCs w:val="21"/>
                      <w:highlight w:val="none"/>
                    </w:rPr>
                    <w:t>流量</w:t>
                  </w:r>
                  <w:r>
                    <w:rPr>
                      <w:rFonts w:hint="eastAsia"/>
                      <w:sz w:val="21"/>
                      <w:szCs w:val="21"/>
                      <w:highlight w:val="none"/>
                      <w:lang w:val="en-US" w:eastAsia="zh-CN"/>
                    </w:rPr>
                    <w:t>为120t/h</w:t>
                  </w:r>
                  <w:r>
                    <w:rPr>
                      <w:rFonts w:hint="eastAsia"/>
                      <w:sz w:val="21"/>
                      <w:szCs w:val="21"/>
                      <w:highlight w:val="none"/>
                    </w:rPr>
                    <w:t>、</w:t>
                  </w:r>
                  <w:r>
                    <w:rPr>
                      <w:rFonts w:hint="eastAsia"/>
                      <w:sz w:val="21"/>
                      <w:szCs w:val="21"/>
                      <w:highlight w:val="none"/>
                      <w:lang w:val="en-US" w:eastAsia="zh-CN"/>
                    </w:rPr>
                    <w:t>压力等级为CL150</w:t>
                  </w:r>
                  <w:r>
                    <w:rPr>
                      <w:rFonts w:hint="eastAsia"/>
                      <w:sz w:val="21"/>
                      <w:szCs w:val="21"/>
                      <w:highlight w:val="none"/>
                    </w:rPr>
                    <w:t>、</w:t>
                  </w:r>
                  <w:r>
                    <w:rPr>
                      <w:rFonts w:hint="eastAsia"/>
                      <w:sz w:val="21"/>
                      <w:szCs w:val="21"/>
                      <w:highlight w:val="none"/>
                      <w:lang w:val="en-US" w:eastAsia="zh-CN"/>
                    </w:rPr>
                    <w:t>内径200mm。</w:t>
                  </w:r>
                </w:p>
              </w:tc>
              <w:tc>
                <w:tcPr>
                  <w:tcW w:w="919" w:type="dxa"/>
                  <w:noWrap w:val="0"/>
                  <w:vAlign w:val="center"/>
                </w:tcPr>
                <w:p w14:paraId="18C9C049">
                  <w:pPr>
                    <w:jc w:val="center"/>
                    <w:rPr>
                      <w:szCs w:val="21"/>
                      <w:highlight w:val="none"/>
                    </w:rPr>
                  </w:pPr>
                  <w:r>
                    <w:rPr>
                      <w:rFonts w:hint="eastAsia"/>
                      <w:szCs w:val="21"/>
                      <w:highlight w:val="none"/>
                      <w:lang w:val="en-US" w:eastAsia="zh-CN"/>
                    </w:rPr>
                    <w:t>新建（厂界外管廊）</w:t>
                  </w:r>
                </w:p>
              </w:tc>
            </w:tr>
            <w:tr w14:paraId="6014A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Merge w:val="continue"/>
                  <w:noWrap w:val="0"/>
                  <w:vAlign w:val="center"/>
                </w:tcPr>
                <w:p w14:paraId="497DA02F">
                  <w:pPr>
                    <w:rPr>
                      <w:szCs w:val="21"/>
                      <w:highlight w:val="none"/>
                    </w:rPr>
                  </w:pPr>
                </w:p>
              </w:tc>
              <w:tc>
                <w:tcPr>
                  <w:tcW w:w="1059" w:type="dxa"/>
                  <w:gridSpan w:val="2"/>
                  <w:noWrap w:val="0"/>
                  <w:vAlign w:val="center"/>
                </w:tcPr>
                <w:p w14:paraId="65FB07B0">
                  <w:pPr>
                    <w:spacing w:line="240" w:lineRule="auto"/>
                    <w:jc w:val="center"/>
                    <w:rPr>
                      <w:rFonts w:hint="default"/>
                      <w:sz w:val="21"/>
                      <w:szCs w:val="21"/>
                      <w:highlight w:val="none"/>
                      <w:lang w:val="en-US"/>
                    </w:rPr>
                  </w:pPr>
                  <w:r>
                    <w:rPr>
                      <w:rFonts w:hint="eastAsia"/>
                      <w:sz w:val="21"/>
                      <w:szCs w:val="21"/>
                      <w:highlight w:val="none"/>
                      <w:lang w:val="en-US" w:eastAsia="zh-CN"/>
                    </w:rPr>
                    <w:t>酸性气</w:t>
                  </w:r>
                  <w:r>
                    <w:rPr>
                      <w:rFonts w:hint="eastAsia"/>
                      <w:sz w:val="21"/>
                      <w:szCs w:val="21"/>
                      <w:highlight w:val="none"/>
                    </w:rPr>
                    <w:t>管道</w:t>
                  </w:r>
                </w:p>
              </w:tc>
              <w:tc>
                <w:tcPr>
                  <w:tcW w:w="5850" w:type="dxa"/>
                  <w:noWrap w:val="0"/>
                  <w:vAlign w:val="center"/>
                </w:tcPr>
                <w:p w14:paraId="05F8330D">
                  <w:pPr>
                    <w:spacing w:line="240" w:lineRule="auto"/>
                    <w:jc w:val="center"/>
                    <w:rPr>
                      <w:rFonts w:hint="eastAsia"/>
                      <w:sz w:val="21"/>
                      <w:szCs w:val="21"/>
                      <w:highlight w:val="none"/>
                    </w:rPr>
                  </w:pPr>
                  <w:r>
                    <w:rPr>
                      <w:rFonts w:hint="eastAsia"/>
                      <w:sz w:val="21"/>
                      <w:szCs w:val="21"/>
                      <w:highlight w:val="none"/>
                    </w:rPr>
                    <w:t>1根总长度为</w:t>
                  </w:r>
                  <w:r>
                    <w:rPr>
                      <w:rFonts w:hint="eastAsia"/>
                      <w:sz w:val="21"/>
                      <w:szCs w:val="21"/>
                      <w:highlight w:val="none"/>
                      <w:lang w:val="en-US" w:eastAsia="zh-CN"/>
                    </w:rPr>
                    <w:t>907</w:t>
                  </w:r>
                  <w:r>
                    <w:rPr>
                      <w:rFonts w:hint="eastAsia"/>
                      <w:sz w:val="21"/>
                      <w:szCs w:val="21"/>
                      <w:highlight w:val="none"/>
                    </w:rPr>
                    <w:t>m的</w:t>
                  </w:r>
                  <w:r>
                    <w:rPr>
                      <w:rFonts w:hint="eastAsia"/>
                      <w:sz w:val="21"/>
                      <w:szCs w:val="21"/>
                      <w:highlight w:val="none"/>
                      <w:lang w:val="en-US" w:eastAsia="zh-CN"/>
                    </w:rPr>
                    <w:t>酸性气</w:t>
                  </w:r>
                  <w:r>
                    <w:rPr>
                      <w:rFonts w:hint="eastAsia"/>
                      <w:sz w:val="21"/>
                      <w:szCs w:val="21"/>
                      <w:highlight w:val="none"/>
                    </w:rPr>
                    <w:t>管道，</w:t>
                  </w:r>
                  <w:r>
                    <w:rPr>
                      <w:rFonts w:hint="default" w:ascii="Times New Roman" w:hAnsi="Times New Roman" w:eastAsia="宋体" w:cs="Times New Roman"/>
                      <w:bCs/>
                      <w:sz w:val="21"/>
                      <w:szCs w:val="21"/>
                      <w:highlight w:val="none"/>
                      <w:lang w:val="en-US" w:eastAsia="zh-CN"/>
                    </w:rPr>
                    <w:t>已在伊泰化工管廊处抽头，需要在抽头处新增管道至鹏泰生物公司管廊</w:t>
                  </w:r>
                  <w:r>
                    <w:rPr>
                      <w:rFonts w:hint="eastAsia"/>
                      <w:sz w:val="21"/>
                      <w:szCs w:val="21"/>
                      <w:highlight w:val="none"/>
                    </w:rPr>
                    <w:t>并配套流量计。输送的</w:t>
                  </w:r>
                  <w:r>
                    <w:rPr>
                      <w:rFonts w:hint="eastAsia"/>
                      <w:sz w:val="21"/>
                      <w:szCs w:val="21"/>
                      <w:highlight w:val="none"/>
                      <w:lang w:val="en-US" w:eastAsia="zh-CN"/>
                    </w:rPr>
                    <w:t>酸性气的</w:t>
                  </w:r>
                  <w:r>
                    <w:rPr>
                      <w:rFonts w:hint="eastAsia"/>
                      <w:sz w:val="21"/>
                      <w:szCs w:val="21"/>
                      <w:highlight w:val="none"/>
                    </w:rPr>
                    <w:t>流量</w:t>
                  </w:r>
                  <w:r>
                    <w:rPr>
                      <w:rFonts w:hint="eastAsia"/>
                      <w:sz w:val="21"/>
                      <w:szCs w:val="21"/>
                      <w:highlight w:val="none"/>
                      <w:lang w:val="en-US" w:eastAsia="zh-CN"/>
                    </w:rPr>
                    <w:t>为1500Nm</w:t>
                  </w:r>
                  <w:r>
                    <w:rPr>
                      <w:rFonts w:hint="eastAsia"/>
                      <w:sz w:val="21"/>
                      <w:szCs w:val="21"/>
                      <w:highlight w:val="none"/>
                      <w:vertAlign w:val="superscript"/>
                      <w:lang w:val="en-US" w:eastAsia="zh-CN"/>
                    </w:rPr>
                    <w:t>3</w:t>
                  </w:r>
                  <w:r>
                    <w:rPr>
                      <w:rFonts w:hint="eastAsia"/>
                      <w:sz w:val="21"/>
                      <w:szCs w:val="21"/>
                      <w:highlight w:val="none"/>
                      <w:lang w:val="en-US" w:eastAsia="zh-CN"/>
                    </w:rPr>
                    <w:t>/h</w:t>
                  </w:r>
                  <w:r>
                    <w:rPr>
                      <w:rFonts w:hint="eastAsia"/>
                      <w:sz w:val="21"/>
                      <w:szCs w:val="21"/>
                      <w:highlight w:val="none"/>
                    </w:rPr>
                    <w:t>、</w:t>
                  </w:r>
                  <w:r>
                    <w:rPr>
                      <w:rFonts w:hint="eastAsia"/>
                      <w:sz w:val="21"/>
                      <w:szCs w:val="21"/>
                      <w:highlight w:val="none"/>
                      <w:lang w:val="en-US" w:eastAsia="zh-CN"/>
                    </w:rPr>
                    <w:t>压力等级为CL150</w:t>
                  </w:r>
                  <w:r>
                    <w:rPr>
                      <w:rFonts w:hint="eastAsia"/>
                      <w:sz w:val="21"/>
                      <w:szCs w:val="21"/>
                      <w:highlight w:val="none"/>
                    </w:rPr>
                    <w:t>、</w:t>
                  </w:r>
                  <w:r>
                    <w:rPr>
                      <w:rFonts w:hint="eastAsia"/>
                      <w:sz w:val="21"/>
                      <w:szCs w:val="21"/>
                      <w:highlight w:val="none"/>
                      <w:lang w:val="en-US" w:eastAsia="zh-CN"/>
                    </w:rPr>
                    <w:t>内径150mm。</w:t>
                  </w:r>
                </w:p>
              </w:tc>
              <w:tc>
                <w:tcPr>
                  <w:tcW w:w="919" w:type="dxa"/>
                  <w:noWrap w:val="0"/>
                  <w:vAlign w:val="center"/>
                </w:tcPr>
                <w:p w14:paraId="634A99AA">
                  <w:pPr>
                    <w:jc w:val="center"/>
                    <w:rPr>
                      <w:szCs w:val="21"/>
                      <w:highlight w:val="none"/>
                    </w:rPr>
                  </w:pPr>
                  <w:r>
                    <w:rPr>
                      <w:rFonts w:hint="eastAsia"/>
                      <w:szCs w:val="21"/>
                      <w:highlight w:val="none"/>
                      <w:lang w:val="en-US" w:eastAsia="zh-CN"/>
                    </w:rPr>
                    <w:t>新建（联博管廊内）</w:t>
                  </w:r>
                </w:p>
              </w:tc>
            </w:tr>
            <w:tr w14:paraId="2DA66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Merge w:val="continue"/>
                  <w:noWrap w:val="0"/>
                  <w:vAlign w:val="center"/>
                </w:tcPr>
                <w:p w14:paraId="6CEA49AA">
                  <w:pPr>
                    <w:rPr>
                      <w:szCs w:val="21"/>
                      <w:highlight w:val="none"/>
                    </w:rPr>
                  </w:pPr>
                </w:p>
              </w:tc>
              <w:tc>
                <w:tcPr>
                  <w:tcW w:w="1059" w:type="dxa"/>
                  <w:gridSpan w:val="2"/>
                  <w:noWrap w:val="0"/>
                  <w:vAlign w:val="center"/>
                </w:tcPr>
                <w:p w14:paraId="462C29E3">
                  <w:pPr>
                    <w:spacing w:line="240" w:lineRule="auto"/>
                    <w:jc w:val="center"/>
                    <w:rPr>
                      <w:rFonts w:hint="eastAsia"/>
                      <w:sz w:val="21"/>
                      <w:szCs w:val="21"/>
                      <w:highlight w:val="none"/>
                    </w:rPr>
                  </w:pPr>
                  <w:r>
                    <w:rPr>
                      <w:rFonts w:hint="eastAsia"/>
                      <w:sz w:val="21"/>
                      <w:szCs w:val="21"/>
                      <w:highlight w:val="none"/>
                      <w:lang w:val="en-US" w:eastAsia="zh-CN"/>
                    </w:rPr>
                    <w:t>冷冻来水</w:t>
                  </w:r>
                  <w:r>
                    <w:rPr>
                      <w:rFonts w:hint="eastAsia"/>
                      <w:sz w:val="21"/>
                      <w:szCs w:val="21"/>
                      <w:highlight w:val="none"/>
                    </w:rPr>
                    <w:t>管道</w:t>
                  </w:r>
                </w:p>
              </w:tc>
              <w:tc>
                <w:tcPr>
                  <w:tcW w:w="5850" w:type="dxa"/>
                  <w:noWrap w:val="0"/>
                  <w:vAlign w:val="center"/>
                </w:tcPr>
                <w:p w14:paraId="45C42673">
                  <w:pPr>
                    <w:spacing w:line="240" w:lineRule="auto"/>
                    <w:jc w:val="center"/>
                    <w:rPr>
                      <w:rFonts w:hint="eastAsia"/>
                      <w:sz w:val="21"/>
                      <w:szCs w:val="21"/>
                      <w:highlight w:val="none"/>
                    </w:rPr>
                  </w:pPr>
                  <w:r>
                    <w:rPr>
                      <w:rFonts w:hint="eastAsia"/>
                      <w:sz w:val="21"/>
                      <w:szCs w:val="21"/>
                      <w:highlight w:val="none"/>
                    </w:rPr>
                    <w:t>1根总长度为</w:t>
                  </w:r>
                  <w:r>
                    <w:rPr>
                      <w:rFonts w:hint="eastAsia"/>
                      <w:sz w:val="21"/>
                      <w:szCs w:val="21"/>
                      <w:highlight w:val="none"/>
                      <w:lang w:val="en-US" w:eastAsia="zh-CN"/>
                    </w:rPr>
                    <w:t>455</w:t>
                  </w:r>
                  <w:r>
                    <w:rPr>
                      <w:rFonts w:hint="eastAsia"/>
                      <w:sz w:val="21"/>
                      <w:szCs w:val="21"/>
                      <w:highlight w:val="none"/>
                    </w:rPr>
                    <w:t>m的</w:t>
                  </w:r>
                  <w:r>
                    <w:rPr>
                      <w:rFonts w:hint="eastAsia"/>
                      <w:sz w:val="21"/>
                      <w:szCs w:val="21"/>
                      <w:highlight w:val="none"/>
                      <w:lang w:val="en-US" w:eastAsia="zh-CN"/>
                    </w:rPr>
                    <w:t>冷冻来水</w:t>
                  </w:r>
                  <w:r>
                    <w:rPr>
                      <w:rFonts w:hint="eastAsia"/>
                      <w:sz w:val="21"/>
                      <w:szCs w:val="21"/>
                      <w:highlight w:val="none"/>
                    </w:rPr>
                    <w:t>管道，</w:t>
                  </w:r>
                  <w:r>
                    <w:rPr>
                      <w:rFonts w:hint="default" w:ascii="Times New Roman" w:hAnsi="Times New Roman" w:eastAsia="宋体" w:cs="Times New Roman"/>
                      <w:bCs/>
                      <w:sz w:val="21"/>
                      <w:szCs w:val="21"/>
                      <w:highlight w:val="none"/>
                      <w:lang w:val="en-US" w:eastAsia="zh-CN"/>
                    </w:rPr>
                    <w:t>无须抽头，在冷冻机装置附近直接新建管道至鹏泰生物公司即可</w:t>
                  </w:r>
                  <w:r>
                    <w:rPr>
                      <w:rFonts w:hint="eastAsia" w:cs="Times New Roman"/>
                      <w:bCs/>
                      <w:sz w:val="21"/>
                      <w:szCs w:val="21"/>
                      <w:highlight w:val="none"/>
                      <w:lang w:val="en-US" w:eastAsia="zh-CN"/>
                    </w:rPr>
                    <w:t>。</w:t>
                  </w:r>
                  <w:r>
                    <w:rPr>
                      <w:rFonts w:hint="eastAsia"/>
                      <w:sz w:val="21"/>
                      <w:szCs w:val="21"/>
                      <w:highlight w:val="none"/>
                    </w:rPr>
                    <w:t>并配套流量计。输送的</w:t>
                  </w:r>
                  <w:r>
                    <w:rPr>
                      <w:rFonts w:hint="eastAsia"/>
                      <w:sz w:val="21"/>
                      <w:szCs w:val="21"/>
                      <w:highlight w:val="none"/>
                      <w:lang w:val="en-US" w:eastAsia="zh-CN"/>
                    </w:rPr>
                    <w:t>冷冻水</w:t>
                  </w:r>
                  <w:r>
                    <w:rPr>
                      <w:rFonts w:hint="eastAsia"/>
                      <w:sz w:val="21"/>
                      <w:szCs w:val="21"/>
                      <w:highlight w:val="none"/>
                    </w:rPr>
                    <w:t>流量</w:t>
                  </w:r>
                  <w:r>
                    <w:rPr>
                      <w:rFonts w:hint="eastAsia"/>
                      <w:sz w:val="21"/>
                      <w:szCs w:val="21"/>
                      <w:highlight w:val="none"/>
                      <w:lang w:val="en-US" w:eastAsia="zh-CN"/>
                    </w:rPr>
                    <w:t>为1800m</w:t>
                  </w:r>
                  <w:r>
                    <w:rPr>
                      <w:rFonts w:hint="eastAsia"/>
                      <w:sz w:val="21"/>
                      <w:szCs w:val="21"/>
                      <w:highlight w:val="none"/>
                      <w:vertAlign w:val="superscript"/>
                      <w:lang w:val="en-US" w:eastAsia="zh-CN"/>
                    </w:rPr>
                    <w:t>3</w:t>
                  </w:r>
                  <w:r>
                    <w:rPr>
                      <w:rFonts w:hint="eastAsia"/>
                      <w:sz w:val="21"/>
                      <w:szCs w:val="21"/>
                      <w:highlight w:val="none"/>
                      <w:lang w:val="en-US" w:eastAsia="zh-CN"/>
                    </w:rPr>
                    <w:t>/h</w:t>
                  </w:r>
                  <w:r>
                    <w:rPr>
                      <w:rFonts w:hint="eastAsia"/>
                      <w:sz w:val="21"/>
                      <w:szCs w:val="21"/>
                      <w:highlight w:val="none"/>
                    </w:rPr>
                    <w:t>、</w:t>
                  </w:r>
                  <w:r>
                    <w:rPr>
                      <w:rFonts w:hint="eastAsia"/>
                      <w:sz w:val="21"/>
                      <w:szCs w:val="21"/>
                      <w:highlight w:val="none"/>
                      <w:lang w:val="en-US" w:eastAsia="zh-CN"/>
                    </w:rPr>
                    <w:t>压力等级为CL150</w:t>
                  </w:r>
                  <w:r>
                    <w:rPr>
                      <w:rFonts w:hint="eastAsia"/>
                      <w:sz w:val="21"/>
                      <w:szCs w:val="21"/>
                      <w:highlight w:val="none"/>
                    </w:rPr>
                    <w:t>、</w:t>
                  </w:r>
                  <w:r>
                    <w:rPr>
                      <w:rFonts w:hint="eastAsia"/>
                      <w:sz w:val="21"/>
                      <w:szCs w:val="21"/>
                      <w:highlight w:val="none"/>
                      <w:lang w:val="en-US" w:eastAsia="zh-CN"/>
                    </w:rPr>
                    <w:t>内径500mm。</w:t>
                  </w:r>
                </w:p>
              </w:tc>
              <w:tc>
                <w:tcPr>
                  <w:tcW w:w="919" w:type="dxa"/>
                  <w:noWrap w:val="0"/>
                  <w:vAlign w:val="center"/>
                </w:tcPr>
                <w:p w14:paraId="0583364D">
                  <w:pPr>
                    <w:jc w:val="center"/>
                    <w:rPr>
                      <w:szCs w:val="21"/>
                      <w:highlight w:val="none"/>
                    </w:rPr>
                  </w:pPr>
                  <w:r>
                    <w:rPr>
                      <w:rFonts w:hint="eastAsia"/>
                      <w:szCs w:val="21"/>
                      <w:highlight w:val="none"/>
                      <w:lang w:val="en-US" w:eastAsia="zh-CN"/>
                    </w:rPr>
                    <w:t>新建（联博管廊内）</w:t>
                  </w:r>
                </w:p>
              </w:tc>
            </w:tr>
            <w:tr w14:paraId="05328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Merge w:val="continue"/>
                  <w:noWrap w:val="0"/>
                  <w:vAlign w:val="center"/>
                </w:tcPr>
                <w:p w14:paraId="2E30C36D">
                  <w:pPr>
                    <w:rPr>
                      <w:szCs w:val="21"/>
                      <w:highlight w:val="none"/>
                    </w:rPr>
                  </w:pPr>
                </w:p>
              </w:tc>
              <w:tc>
                <w:tcPr>
                  <w:tcW w:w="1059" w:type="dxa"/>
                  <w:gridSpan w:val="2"/>
                  <w:noWrap w:val="0"/>
                  <w:vAlign w:val="center"/>
                </w:tcPr>
                <w:p w14:paraId="5C7400E0">
                  <w:pPr>
                    <w:spacing w:line="240" w:lineRule="auto"/>
                    <w:jc w:val="center"/>
                    <w:rPr>
                      <w:rFonts w:hint="eastAsia"/>
                      <w:sz w:val="21"/>
                      <w:szCs w:val="21"/>
                      <w:highlight w:val="none"/>
                    </w:rPr>
                  </w:pPr>
                  <w:r>
                    <w:rPr>
                      <w:rFonts w:hint="eastAsia"/>
                      <w:sz w:val="21"/>
                      <w:szCs w:val="21"/>
                      <w:highlight w:val="none"/>
                      <w:lang w:val="en-US" w:eastAsia="zh-CN"/>
                    </w:rPr>
                    <w:t>冷冻回水</w:t>
                  </w:r>
                  <w:r>
                    <w:rPr>
                      <w:rFonts w:hint="eastAsia"/>
                      <w:sz w:val="21"/>
                      <w:szCs w:val="21"/>
                      <w:highlight w:val="none"/>
                    </w:rPr>
                    <w:t>管道</w:t>
                  </w:r>
                </w:p>
              </w:tc>
              <w:tc>
                <w:tcPr>
                  <w:tcW w:w="5850" w:type="dxa"/>
                  <w:noWrap w:val="0"/>
                  <w:vAlign w:val="center"/>
                </w:tcPr>
                <w:p w14:paraId="321271A6">
                  <w:pPr>
                    <w:spacing w:line="240" w:lineRule="auto"/>
                    <w:jc w:val="center"/>
                    <w:rPr>
                      <w:rFonts w:hint="eastAsia"/>
                      <w:sz w:val="21"/>
                      <w:szCs w:val="21"/>
                      <w:highlight w:val="none"/>
                    </w:rPr>
                  </w:pPr>
                  <w:r>
                    <w:rPr>
                      <w:rFonts w:hint="eastAsia"/>
                      <w:sz w:val="21"/>
                      <w:szCs w:val="21"/>
                      <w:highlight w:val="none"/>
                    </w:rPr>
                    <w:t>1根总长度为</w:t>
                  </w:r>
                  <w:r>
                    <w:rPr>
                      <w:rFonts w:hint="eastAsia"/>
                      <w:sz w:val="21"/>
                      <w:szCs w:val="21"/>
                      <w:highlight w:val="none"/>
                      <w:lang w:val="en-US" w:eastAsia="zh-CN"/>
                    </w:rPr>
                    <w:t>445</w:t>
                  </w:r>
                  <w:r>
                    <w:rPr>
                      <w:rFonts w:hint="eastAsia"/>
                      <w:sz w:val="21"/>
                      <w:szCs w:val="21"/>
                      <w:highlight w:val="none"/>
                    </w:rPr>
                    <w:t>m的</w:t>
                  </w:r>
                  <w:r>
                    <w:rPr>
                      <w:rFonts w:hint="eastAsia"/>
                      <w:sz w:val="21"/>
                      <w:szCs w:val="21"/>
                      <w:highlight w:val="none"/>
                      <w:lang w:val="en-US" w:eastAsia="zh-CN"/>
                    </w:rPr>
                    <w:t>冷冻回水</w:t>
                  </w:r>
                  <w:r>
                    <w:rPr>
                      <w:rFonts w:hint="eastAsia"/>
                      <w:sz w:val="21"/>
                      <w:szCs w:val="21"/>
                      <w:highlight w:val="none"/>
                    </w:rPr>
                    <w:t>管道，</w:t>
                  </w:r>
                  <w:r>
                    <w:rPr>
                      <w:rFonts w:hint="default" w:ascii="Times New Roman" w:hAnsi="Times New Roman" w:eastAsia="宋体" w:cs="Times New Roman"/>
                      <w:bCs/>
                      <w:sz w:val="21"/>
                      <w:szCs w:val="21"/>
                      <w:highlight w:val="none"/>
                      <w:lang w:val="en-US" w:eastAsia="zh-CN"/>
                    </w:rPr>
                    <w:t>无须抽头，在冷冻机装置附近直接新建管道至鹏泰生物公司即可</w:t>
                  </w:r>
                  <w:r>
                    <w:rPr>
                      <w:rFonts w:hint="eastAsia" w:cs="Times New Roman"/>
                      <w:bCs/>
                      <w:sz w:val="21"/>
                      <w:szCs w:val="21"/>
                      <w:highlight w:val="none"/>
                      <w:lang w:val="en-US" w:eastAsia="zh-CN"/>
                    </w:rPr>
                    <w:t>。</w:t>
                  </w:r>
                  <w:r>
                    <w:rPr>
                      <w:rFonts w:hint="eastAsia"/>
                      <w:sz w:val="21"/>
                      <w:szCs w:val="21"/>
                      <w:highlight w:val="none"/>
                    </w:rPr>
                    <w:t>并配套流量计。输送的</w:t>
                  </w:r>
                  <w:r>
                    <w:rPr>
                      <w:rFonts w:hint="eastAsia"/>
                      <w:sz w:val="21"/>
                      <w:szCs w:val="21"/>
                      <w:highlight w:val="none"/>
                      <w:lang w:val="en-US" w:eastAsia="zh-CN"/>
                    </w:rPr>
                    <w:t>冷冻水</w:t>
                  </w:r>
                  <w:r>
                    <w:rPr>
                      <w:rFonts w:hint="eastAsia"/>
                      <w:sz w:val="21"/>
                      <w:szCs w:val="21"/>
                      <w:highlight w:val="none"/>
                    </w:rPr>
                    <w:t>流量</w:t>
                  </w:r>
                  <w:r>
                    <w:rPr>
                      <w:rFonts w:hint="eastAsia"/>
                      <w:sz w:val="21"/>
                      <w:szCs w:val="21"/>
                      <w:highlight w:val="none"/>
                      <w:lang w:val="en-US" w:eastAsia="zh-CN"/>
                    </w:rPr>
                    <w:t>为1800m</w:t>
                  </w:r>
                  <w:r>
                    <w:rPr>
                      <w:rFonts w:hint="eastAsia"/>
                      <w:sz w:val="21"/>
                      <w:szCs w:val="21"/>
                      <w:highlight w:val="none"/>
                      <w:vertAlign w:val="superscript"/>
                      <w:lang w:val="en-US" w:eastAsia="zh-CN"/>
                    </w:rPr>
                    <w:t>3</w:t>
                  </w:r>
                  <w:r>
                    <w:rPr>
                      <w:rFonts w:hint="eastAsia"/>
                      <w:sz w:val="21"/>
                      <w:szCs w:val="21"/>
                      <w:highlight w:val="none"/>
                      <w:lang w:val="en-US" w:eastAsia="zh-CN"/>
                    </w:rPr>
                    <w:t>/h</w:t>
                  </w:r>
                  <w:r>
                    <w:rPr>
                      <w:rFonts w:hint="eastAsia"/>
                      <w:sz w:val="21"/>
                      <w:szCs w:val="21"/>
                      <w:highlight w:val="none"/>
                    </w:rPr>
                    <w:t>、</w:t>
                  </w:r>
                  <w:r>
                    <w:rPr>
                      <w:rFonts w:hint="eastAsia"/>
                      <w:sz w:val="21"/>
                      <w:szCs w:val="21"/>
                      <w:highlight w:val="none"/>
                      <w:lang w:val="en-US" w:eastAsia="zh-CN"/>
                    </w:rPr>
                    <w:t>压力等级为CL150</w:t>
                  </w:r>
                  <w:r>
                    <w:rPr>
                      <w:rFonts w:hint="eastAsia"/>
                      <w:sz w:val="21"/>
                      <w:szCs w:val="21"/>
                      <w:highlight w:val="none"/>
                    </w:rPr>
                    <w:t>、</w:t>
                  </w:r>
                  <w:r>
                    <w:rPr>
                      <w:rFonts w:hint="eastAsia"/>
                      <w:sz w:val="21"/>
                      <w:szCs w:val="21"/>
                      <w:highlight w:val="none"/>
                      <w:lang w:val="en-US" w:eastAsia="zh-CN"/>
                    </w:rPr>
                    <w:t>内径500mm。</w:t>
                  </w:r>
                </w:p>
              </w:tc>
              <w:tc>
                <w:tcPr>
                  <w:tcW w:w="919" w:type="dxa"/>
                  <w:noWrap w:val="0"/>
                  <w:vAlign w:val="center"/>
                </w:tcPr>
                <w:p w14:paraId="218583EB">
                  <w:pPr>
                    <w:jc w:val="center"/>
                    <w:rPr>
                      <w:szCs w:val="21"/>
                      <w:highlight w:val="none"/>
                    </w:rPr>
                  </w:pPr>
                  <w:r>
                    <w:rPr>
                      <w:rFonts w:hint="eastAsia"/>
                      <w:szCs w:val="21"/>
                      <w:highlight w:val="none"/>
                      <w:lang w:val="en-US" w:eastAsia="zh-CN"/>
                    </w:rPr>
                    <w:t>新建（联博管廊内）</w:t>
                  </w:r>
                </w:p>
              </w:tc>
            </w:tr>
            <w:tr w14:paraId="1AFAF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Merge w:val="continue"/>
                  <w:noWrap w:val="0"/>
                  <w:vAlign w:val="center"/>
                </w:tcPr>
                <w:p w14:paraId="0F9991CB">
                  <w:pPr>
                    <w:rPr>
                      <w:szCs w:val="21"/>
                      <w:highlight w:val="none"/>
                    </w:rPr>
                  </w:pPr>
                </w:p>
              </w:tc>
              <w:tc>
                <w:tcPr>
                  <w:tcW w:w="1059" w:type="dxa"/>
                  <w:gridSpan w:val="2"/>
                  <w:noWrap w:val="0"/>
                  <w:vAlign w:val="center"/>
                </w:tcPr>
                <w:p w14:paraId="5E70889C">
                  <w:pPr>
                    <w:spacing w:line="240" w:lineRule="auto"/>
                    <w:jc w:val="center"/>
                    <w:rPr>
                      <w:rFonts w:hint="eastAsia"/>
                      <w:sz w:val="21"/>
                      <w:szCs w:val="21"/>
                      <w:highlight w:val="none"/>
                    </w:rPr>
                  </w:pPr>
                  <w:r>
                    <w:rPr>
                      <w:rFonts w:hint="eastAsia"/>
                      <w:sz w:val="21"/>
                      <w:szCs w:val="21"/>
                      <w:highlight w:val="none"/>
                      <w:lang w:val="en-US" w:eastAsia="zh-CN"/>
                    </w:rPr>
                    <w:t>富甲烷气</w:t>
                  </w:r>
                  <w:r>
                    <w:rPr>
                      <w:rFonts w:hint="eastAsia"/>
                      <w:sz w:val="21"/>
                      <w:szCs w:val="21"/>
                      <w:highlight w:val="none"/>
                    </w:rPr>
                    <w:t>管道</w:t>
                  </w:r>
                </w:p>
              </w:tc>
              <w:tc>
                <w:tcPr>
                  <w:tcW w:w="5850" w:type="dxa"/>
                  <w:noWrap w:val="0"/>
                  <w:vAlign w:val="center"/>
                </w:tcPr>
                <w:p w14:paraId="496A734B">
                  <w:pPr>
                    <w:adjustRightInd w:val="0"/>
                    <w:snapToGrid w:val="0"/>
                    <w:spacing w:line="240" w:lineRule="auto"/>
                    <w:ind w:firstLine="420" w:firstLineChars="200"/>
                    <w:jc w:val="center"/>
                    <w:rPr>
                      <w:rFonts w:hint="default" w:ascii="Times New Roman" w:hAnsi="Times New Roman" w:eastAsia="宋体" w:cs="Times New Roman"/>
                      <w:bCs/>
                      <w:sz w:val="21"/>
                      <w:szCs w:val="21"/>
                      <w:highlight w:val="none"/>
                      <w:lang w:val="en-US" w:eastAsia="zh-CN"/>
                    </w:rPr>
                  </w:pPr>
                  <w:r>
                    <w:rPr>
                      <w:rFonts w:hint="eastAsia"/>
                      <w:sz w:val="21"/>
                      <w:szCs w:val="21"/>
                      <w:highlight w:val="none"/>
                    </w:rPr>
                    <w:t>1根总长度为</w:t>
                  </w:r>
                  <w:r>
                    <w:rPr>
                      <w:rFonts w:hint="eastAsia"/>
                      <w:sz w:val="21"/>
                      <w:szCs w:val="21"/>
                      <w:highlight w:val="none"/>
                      <w:lang w:val="en-US" w:eastAsia="zh-CN"/>
                    </w:rPr>
                    <w:t>637</w:t>
                  </w:r>
                  <w:r>
                    <w:rPr>
                      <w:rFonts w:hint="eastAsia"/>
                      <w:sz w:val="21"/>
                      <w:szCs w:val="21"/>
                      <w:highlight w:val="none"/>
                    </w:rPr>
                    <w:t>m的</w:t>
                  </w:r>
                  <w:r>
                    <w:rPr>
                      <w:rFonts w:hint="eastAsia"/>
                      <w:sz w:val="21"/>
                      <w:szCs w:val="21"/>
                      <w:highlight w:val="none"/>
                      <w:lang w:val="en-US" w:eastAsia="zh-CN"/>
                    </w:rPr>
                    <w:t>富甲烷尾气</w:t>
                  </w:r>
                  <w:r>
                    <w:rPr>
                      <w:rFonts w:hint="eastAsia"/>
                      <w:sz w:val="21"/>
                      <w:szCs w:val="21"/>
                      <w:highlight w:val="none"/>
                    </w:rPr>
                    <w:t>管道，</w:t>
                  </w:r>
                  <w:r>
                    <w:rPr>
                      <w:rFonts w:hint="default" w:ascii="Times New Roman" w:hAnsi="Times New Roman" w:eastAsia="宋体" w:cs="Times New Roman"/>
                      <w:bCs/>
                      <w:sz w:val="21"/>
                      <w:szCs w:val="21"/>
                      <w:highlight w:val="none"/>
                      <w:lang w:val="en-US" w:eastAsia="zh-CN"/>
                    </w:rPr>
                    <w:t>由鹏泰生物公司管道处，新建管道接至伊泰化工。</w:t>
                  </w:r>
                </w:p>
                <w:p w14:paraId="0E0F8B21">
                  <w:pPr>
                    <w:spacing w:line="240" w:lineRule="auto"/>
                    <w:jc w:val="center"/>
                    <w:rPr>
                      <w:rFonts w:hint="eastAsia"/>
                      <w:sz w:val="21"/>
                      <w:szCs w:val="21"/>
                      <w:highlight w:val="none"/>
                    </w:rPr>
                  </w:pPr>
                  <w:r>
                    <w:rPr>
                      <w:rFonts w:hint="eastAsia"/>
                      <w:sz w:val="21"/>
                      <w:szCs w:val="21"/>
                      <w:highlight w:val="none"/>
                    </w:rPr>
                    <w:t>并配套流量计。输送的</w:t>
                  </w:r>
                  <w:r>
                    <w:rPr>
                      <w:rFonts w:hint="eastAsia"/>
                      <w:sz w:val="21"/>
                      <w:szCs w:val="21"/>
                      <w:highlight w:val="none"/>
                      <w:lang w:val="en-US" w:eastAsia="zh-CN"/>
                    </w:rPr>
                    <w:t>富甲烷气</w:t>
                  </w:r>
                  <w:r>
                    <w:rPr>
                      <w:rFonts w:hint="eastAsia"/>
                      <w:sz w:val="21"/>
                      <w:szCs w:val="21"/>
                      <w:highlight w:val="none"/>
                    </w:rPr>
                    <w:t>流量</w:t>
                  </w:r>
                  <w:r>
                    <w:rPr>
                      <w:rFonts w:hint="eastAsia"/>
                      <w:sz w:val="21"/>
                      <w:szCs w:val="21"/>
                      <w:highlight w:val="none"/>
                      <w:lang w:val="en-US" w:eastAsia="zh-CN"/>
                    </w:rPr>
                    <w:t>为30000Nm</w:t>
                  </w:r>
                  <w:r>
                    <w:rPr>
                      <w:rFonts w:hint="eastAsia"/>
                      <w:sz w:val="21"/>
                      <w:szCs w:val="21"/>
                      <w:highlight w:val="none"/>
                      <w:vertAlign w:val="superscript"/>
                      <w:lang w:val="en-US" w:eastAsia="zh-CN"/>
                    </w:rPr>
                    <w:t>3</w:t>
                  </w:r>
                  <w:r>
                    <w:rPr>
                      <w:rFonts w:hint="eastAsia"/>
                      <w:sz w:val="21"/>
                      <w:szCs w:val="21"/>
                      <w:highlight w:val="none"/>
                      <w:lang w:val="en-US" w:eastAsia="zh-CN"/>
                    </w:rPr>
                    <w:t>/h</w:t>
                  </w:r>
                  <w:r>
                    <w:rPr>
                      <w:rFonts w:hint="eastAsia"/>
                      <w:sz w:val="21"/>
                      <w:szCs w:val="21"/>
                      <w:highlight w:val="none"/>
                    </w:rPr>
                    <w:t>、</w:t>
                  </w:r>
                  <w:r>
                    <w:rPr>
                      <w:rFonts w:hint="eastAsia"/>
                      <w:sz w:val="21"/>
                      <w:szCs w:val="21"/>
                      <w:highlight w:val="none"/>
                      <w:lang w:val="en-US" w:eastAsia="zh-CN"/>
                    </w:rPr>
                    <w:t>压力等级为CL600</w:t>
                  </w:r>
                  <w:r>
                    <w:rPr>
                      <w:rFonts w:hint="eastAsia"/>
                      <w:sz w:val="21"/>
                      <w:szCs w:val="21"/>
                      <w:highlight w:val="none"/>
                    </w:rPr>
                    <w:t>、</w:t>
                  </w:r>
                  <w:r>
                    <w:rPr>
                      <w:rFonts w:hint="eastAsia"/>
                      <w:sz w:val="21"/>
                      <w:szCs w:val="21"/>
                      <w:highlight w:val="none"/>
                      <w:lang w:val="en-US" w:eastAsia="zh-CN"/>
                    </w:rPr>
                    <w:t>内径200mm。</w:t>
                  </w:r>
                </w:p>
              </w:tc>
              <w:tc>
                <w:tcPr>
                  <w:tcW w:w="919" w:type="dxa"/>
                  <w:noWrap w:val="0"/>
                  <w:vAlign w:val="center"/>
                </w:tcPr>
                <w:p w14:paraId="507DF2A9">
                  <w:pPr>
                    <w:jc w:val="center"/>
                    <w:rPr>
                      <w:szCs w:val="21"/>
                      <w:highlight w:val="none"/>
                    </w:rPr>
                  </w:pPr>
                  <w:r>
                    <w:rPr>
                      <w:rFonts w:hint="eastAsia"/>
                      <w:szCs w:val="21"/>
                      <w:highlight w:val="none"/>
                      <w:lang w:val="en-US" w:eastAsia="zh-CN"/>
                    </w:rPr>
                    <w:t>新建（联博管廊内）</w:t>
                  </w:r>
                </w:p>
              </w:tc>
            </w:tr>
            <w:tr w14:paraId="769ED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Merge w:val="continue"/>
                  <w:noWrap w:val="0"/>
                  <w:vAlign w:val="center"/>
                </w:tcPr>
                <w:p w14:paraId="361EC5DF">
                  <w:pPr>
                    <w:rPr>
                      <w:szCs w:val="21"/>
                      <w:highlight w:val="none"/>
                    </w:rPr>
                  </w:pPr>
                </w:p>
              </w:tc>
              <w:tc>
                <w:tcPr>
                  <w:tcW w:w="1059" w:type="dxa"/>
                  <w:gridSpan w:val="2"/>
                  <w:noWrap w:val="0"/>
                  <w:vAlign w:val="center"/>
                </w:tcPr>
                <w:p w14:paraId="16F06970">
                  <w:pPr>
                    <w:spacing w:line="240" w:lineRule="auto"/>
                    <w:jc w:val="center"/>
                    <w:rPr>
                      <w:rFonts w:hint="eastAsia"/>
                      <w:sz w:val="21"/>
                      <w:szCs w:val="21"/>
                      <w:highlight w:val="none"/>
                    </w:rPr>
                  </w:pPr>
                  <w:r>
                    <w:rPr>
                      <w:rFonts w:hint="eastAsia"/>
                      <w:sz w:val="21"/>
                      <w:szCs w:val="21"/>
                      <w:highlight w:val="none"/>
                      <w:lang w:val="en-US" w:eastAsia="zh-CN"/>
                    </w:rPr>
                    <w:t>真空泵尾气</w:t>
                  </w:r>
                  <w:r>
                    <w:rPr>
                      <w:rFonts w:hint="eastAsia"/>
                      <w:sz w:val="21"/>
                      <w:szCs w:val="21"/>
                      <w:highlight w:val="none"/>
                    </w:rPr>
                    <w:t>管道</w:t>
                  </w:r>
                </w:p>
              </w:tc>
              <w:tc>
                <w:tcPr>
                  <w:tcW w:w="5850" w:type="dxa"/>
                  <w:noWrap w:val="0"/>
                  <w:vAlign w:val="center"/>
                </w:tcPr>
                <w:p w14:paraId="47FEECDA">
                  <w:pPr>
                    <w:spacing w:line="240" w:lineRule="auto"/>
                    <w:jc w:val="center"/>
                    <w:rPr>
                      <w:rFonts w:hint="eastAsia"/>
                      <w:sz w:val="21"/>
                      <w:szCs w:val="21"/>
                      <w:highlight w:val="none"/>
                    </w:rPr>
                  </w:pPr>
                  <w:r>
                    <w:rPr>
                      <w:rFonts w:hint="eastAsia"/>
                      <w:sz w:val="21"/>
                      <w:szCs w:val="21"/>
                      <w:highlight w:val="none"/>
                    </w:rPr>
                    <w:t>1根总长度为</w:t>
                  </w:r>
                  <w:r>
                    <w:rPr>
                      <w:rFonts w:hint="eastAsia"/>
                      <w:sz w:val="21"/>
                      <w:szCs w:val="21"/>
                      <w:highlight w:val="none"/>
                      <w:lang w:val="en-US" w:eastAsia="zh-CN"/>
                    </w:rPr>
                    <w:t>930</w:t>
                  </w:r>
                  <w:r>
                    <w:rPr>
                      <w:rFonts w:hint="eastAsia"/>
                      <w:sz w:val="21"/>
                      <w:szCs w:val="21"/>
                      <w:highlight w:val="none"/>
                    </w:rPr>
                    <w:t>m的</w:t>
                  </w:r>
                  <w:r>
                    <w:rPr>
                      <w:rFonts w:hint="eastAsia"/>
                      <w:sz w:val="21"/>
                      <w:szCs w:val="21"/>
                      <w:highlight w:val="none"/>
                      <w:lang w:val="en-US" w:eastAsia="zh-CN"/>
                    </w:rPr>
                    <w:t>合成脱碳尾气</w:t>
                  </w:r>
                  <w:r>
                    <w:rPr>
                      <w:rFonts w:hint="eastAsia"/>
                      <w:sz w:val="21"/>
                      <w:szCs w:val="21"/>
                      <w:highlight w:val="none"/>
                    </w:rPr>
                    <w:t>管道，</w:t>
                  </w:r>
                  <w:r>
                    <w:rPr>
                      <w:rFonts w:hint="eastAsia"/>
                      <w:sz w:val="21"/>
                      <w:szCs w:val="21"/>
                      <w:highlight w:val="none"/>
                      <w:lang w:val="en-US" w:eastAsia="zh-CN"/>
                    </w:rPr>
                    <w:t>来自</w:t>
                  </w:r>
                  <w:r>
                    <w:rPr>
                      <w:rFonts w:hint="default"/>
                      <w:sz w:val="21"/>
                      <w:szCs w:val="21"/>
                      <w:highlight w:val="none"/>
                      <w:lang w:val="en-US" w:eastAsia="zh-CN"/>
                    </w:rPr>
                    <w:t>尾气脱碳单元，该管道现在已经做好抽头，抽头位于尾气脱碳车间，通过该抽头沿着现有管廊新建管道至鹏泰生物公司管廊处</w:t>
                  </w:r>
                  <w:r>
                    <w:rPr>
                      <w:rFonts w:hint="eastAsia"/>
                      <w:sz w:val="21"/>
                      <w:szCs w:val="21"/>
                      <w:highlight w:val="none"/>
                    </w:rPr>
                    <w:t>管道</w:t>
                  </w:r>
                  <w:r>
                    <w:rPr>
                      <w:rFonts w:hint="eastAsia"/>
                      <w:sz w:val="21"/>
                      <w:szCs w:val="21"/>
                      <w:highlight w:val="none"/>
                      <w:lang w:eastAsia="zh-CN"/>
                    </w:rPr>
                    <w:t>。</w:t>
                  </w:r>
                  <w:r>
                    <w:rPr>
                      <w:rFonts w:hint="eastAsia"/>
                      <w:sz w:val="21"/>
                      <w:szCs w:val="21"/>
                      <w:highlight w:val="none"/>
                    </w:rPr>
                    <w:t>并配套流量计。输送的</w:t>
                  </w:r>
                  <w:r>
                    <w:rPr>
                      <w:rFonts w:hint="eastAsia"/>
                      <w:sz w:val="21"/>
                      <w:szCs w:val="21"/>
                      <w:highlight w:val="none"/>
                      <w:lang w:val="en-US" w:eastAsia="zh-CN"/>
                    </w:rPr>
                    <w:t>真空泵尾气</w:t>
                  </w:r>
                  <w:r>
                    <w:rPr>
                      <w:rFonts w:hint="eastAsia"/>
                      <w:sz w:val="21"/>
                      <w:szCs w:val="21"/>
                      <w:highlight w:val="none"/>
                    </w:rPr>
                    <w:t>流量</w:t>
                  </w:r>
                  <w:r>
                    <w:rPr>
                      <w:rFonts w:hint="eastAsia"/>
                      <w:sz w:val="21"/>
                      <w:szCs w:val="21"/>
                      <w:highlight w:val="none"/>
                      <w:lang w:val="en-US" w:eastAsia="zh-CN"/>
                    </w:rPr>
                    <w:t>为660Nm</w:t>
                  </w:r>
                  <w:r>
                    <w:rPr>
                      <w:rFonts w:hint="eastAsia"/>
                      <w:sz w:val="21"/>
                      <w:szCs w:val="21"/>
                      <w:highlight w:val="none"/>
                      <w:vertAlign w:val="superscript"/>
                      <w:lang w:val="en-US" w:eastAsia="zh-CN"/>
                    </w:rPr>
                    <w:t>3</w:t>
                  </w:r>
                  <w:r>
                    <w:rPr>
                      <w:rFonts w:hint="eastAsia"/>
                      <w:sz w:val="21"/>
                      <w:szCs w:val="21"/>
                      <w:highlight w:val="none"/>
                      <w:lang w:val="en-US" w:eastAsia="zh-CN"/>
                    </w:rPr>
                    <w:t>/h</w:t>
                  </w:r>
                  <w:r>
                    <w:rPr>
                      <w:rFonts w:hint="eastAsia"/>
                      <w:sz w:val="21"/>
                      <w:szCs w:val="21"/>
                      <w:highlight w:val="none"/>
                    </w:rPr>
                    <w:t>、</w:t>
                  </w:r>
                  <w:r>
                    <w:rPr>
                      <w:rFonts w:hint="eastAsia"/>
                      <w:sz w:val="21"/>
                      <w:szCs w:val="21"/>
                      <w:highlight w:val="none"/>
                      <w:lang w:val="en-US" w:eastAsia="zh-CN"/>
                    </w:rPr>
                    <w:t>压力等级为CL150</w:t>
                  </w:r>
                  <w:r>
                    <w:rPr>
                      <w:rFonts w:hint="eastAsia"/>
                      <w:sz w:val="21"/>
                      <w:szCs w:val="21"/>
                      <w:highlight w:val="none"/>
                    </w:rPr>
                    <w:t>、</w:t>
                  </w:r>
                  <w:r>
                    <w:rPr>
                      <w:rFonts w:hint="eastAsia"/>
                      <w:sz w:val="21"/>
                      <w:szCs w:val="21"/>
                      <w:highlight w:val="none"/>
                      <w:lang w:val="en-US" w:eastAsia="zh-CN"/>
                    </w:rPr>
                    <w:t>内径200mm。</w:t>
                  </w:r>
                </w:p>
              </w:tc>
              <w:tc>
                <w:tcPr>
                  <w:tcW w:w="919" w:type="dxa"/>
                  <w:noWrap w:val="0"/>
                  <w:vAlign w:val="center"/>
                </w:tcPr>
                <w:p w14:paraId="2DA33781">
                  <w:pPr>
                    <w:jc w:val="center"/>
                    <w:rPr>
                      <w:szCs w:val="21"/>
                      <w:highlight w:val="none"/>
                    </w:rPr>
                  </w:pPr>
                  <w:r>
                    <w:rPr>
                      <w:rFonts w:hint="eastAsia"/>
                      <w:szCs w:val="21"/>
                      <w:highlight w:val="none"/>
                      <w:lang w:val="en-US" w:eastAsia="zh-CN"/>
                    </w:rPr>
                    <w:t>新建（联博管廊内）</w:t>
                  </w:r>
                </w:p>
              </w:tc>
            </w:tr>
            <w:tr w14:paraId="311C0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Merge w:val="continue"/>
                  <w:noWrap w:val="0"/>
                  <w:vAlign w:val="center"/>
                </w:tcPr>
                <w:p w14:paraId="35E3A0DB">
                  <w:pPr>
                    <w:rPr>
                      <w:szCs w:val="21"/>
                      <w:highlight w:val="none"/>
                    </w:rPr>
                  </w:pPr>
                </w:p>
              </w:tc>
              <w:tc>
                <w:tcPr>
                  <w:tcW w:w="1059" w:type="dxa"/>
                  <w:gridSpan w:val="2"/>
                  <w:noWrap w:val="0"/>
                  <w:vAlign w:val="center"/>
                </w:tcPr>
                <w:p w14:paraId="6959FCAD">
                  <w:pPr>
                    <w:spacing w:line="240" w:lineRule="auto"/>
                    <w:jc w:val="center"/>
                    <w:rPr>
                      <w:rFonts w:hint="eastAsia"/>
                      <w:sz w:val="21"/>
                      <w:szCs w:val="21"/>
                      <w:highlight w:val="none"/>
                    </w:rPr>
                  </w:pPr>
                  <w:r>
                    <w:rPr>
                      <w:rFonts w:hint="eastAsia"/>
                      <w:sz w:val="21"/>
                      <w:szCs w:val="21"/>
                      <w:highlight w:val="none"/>
                      <w:lang w:val="en-US" w:eastAsia="zh-CN"/>
                    </w:rPr>
                    <w:t>CO</w:t>
                  </w:r>
                  <w:r>
                    <w:rPr>
                      <w:rFonts w:hint="eastAsia"/>
                      <w:sz w:val="21"/>
                      <w:szCs w:val="21"/>
                      <w:highlight w:val="none"/>
                      <w:vertAlign w:val="subscript"/>
                      <w:lang w:val="en-US" w:eastAsia="zh-CN"/>
                    </w:rPr>
                    <w:t>2</w:t>
                  </w:r>
                  <w:r>
                    <w:rPr>
                      <w:rFonts w:hint="eastAsia"/>
                      <w:sz w:val="21"/>
                      <w:szCs w:val="21"/>
                      <w:highlight w:val="none"/>
                      <w:lang w:val="en-US" w:eastAsia="zh-CN"/>
                    </w:rPr>
                    <w:t>管线</w:t>
                  </w:r>
                </w:p>
              </w:tc>
              <w:tc>
                <w:tcPr>
                  <w:tcW w:w="5850" w:type="dxa"/>
                  <w:noWrap w:val="0"/>
                  <w:vAlign w:val="center"/>
                </w:tcPr>
                <w:p w14:paraId="62BF883E">
                  <w:pPr>
                    <w:spacing w:line="240" w:lineRule="auto"/>
                    <w:ind w:firstLine="420" w:firstLineChars="200"/>
                    <w:jc w:val="center"/>
                    <w:rPr>
                      <w:rFonts w:hint="default" w:ascii="Times New Roman" w:hAnsi="Times New Roman" w:eastAsia="宋体" w:cs="Times New Roman"/>
                      <w:bCs/>
                      <w:sz w:val="21"/>
                      <w:szCs w:val="21"/>
                      <w:highlight w:val="none"/>
                      <w:lang w:val="en-US" w:eastAsia="zh-CN"/>
                    </w:rPr>
                  </w:pPr>
                  <w:r>
                    <w:rPr>
                      <w:rFonts w:hint="eastAsia"/>
                      <w:sz w:val="21"/>
                      <w:szCs w:val="21"/>
                      <w:highlight w:val="none"/>
                    </w:rPr>
                    <w:t>1根总长度为</w:t>
                  </w:r>
                  <w:r>
                    <w:rPr>
                      <w:rFonts w:hint="eastAsia"/>
                      <w:sz w:val="21"/>
                      <w:szCs w:val="21"/>
                      <w:highlight w:val="none"/>
                      <w:lang w:val="en-US" w:eastAsia="zh-CN"/>
                    </w:rPr>
                    <w:t>308</w:t>
                  </w:r>
                  <w:r>
                    <w:rPr>
                      <w:rFonts w:hint="eastAsia"/>
                      <w:sz w:val="21"/>
                      <w:szCs w:val="21"/>
                      <w:highlight w:val="none"/>
                    </w:rPr>
                    <w:t>m的</w:t>
                  </w:r>
                  <w:r>
                    <w:rPr>
                      <w:rFonts w:hint="eastAsia"/>
                      <w:sz w:val="21"/>
                      <w:szCs w:val="21"/>
                      <w:highlight w:val="none"/>
                      <w:lang w:val="en-US" w:eastAsia="zh-CN"/>
                    </w:rPr>
                    <w:t>CO</w:t>
                  </w:r>
                  <w:r>
                    <w:rPr>
                      <w:rFonts w:hint="eastAsia"/>
                      <w:sz w:val="21"/>
                      <w:szCs w:val="21"/>
                      <w:highlight w:val="none"/>
                      <w:vertAlign w:val="subscript"/>
                      <w:lang w:val="en-US" w:eastAsia="zh-CN"/>
                    </w:rPr>
                    <w:t>2</w:t>
                  </w:r>
                  <w:r>
                    <w:rPr>
                      <w:rFonts w:hint="eastAsia"/>
                      <w:sz w:val="21"/>
                      <w:szCs w:val="21"/>
                      <w:highlight w:val="none"/>
                      <w:lang w:val="en-US" w:eastAsia="zh-CN"/>
                    </w:rPr>
                    <w:t>管线</w:t>
                  </w:r>
                  <w:r>
                    <w:rPr>
                      <w:rFonts w:hint="eastAsia"/>
                      <w:sz w:val="21"/>
                      <w:szCs w:val="21"/>
                      <w:highlight w:val="none"/>
                    </w:rPr>
                    <w:t>，</w:t>
                  </w:r>
                  <w:r>
                    <w:rPr>
                      <w:rFonts w:hint="default" w:ascii="Times New Roman" w:hAnsi="Times New Roman" w:eastAsia="宋体" w:cs="Times New Roman"/>
                      <w:bCs/>
                      <w:sz w:val="21"/>
                      <w:szCs w:val="21"/>
                      <w:highlight w:val="none"/>
                      <w:lang w:val="en-US" w:eastAsia="zh-CN"/>
                    </w:rPr>
                    <w:t>需要在就近主管处抽头后经过伊泰化工管廊输送至鹏泰生物公司管廊。</w:t>
                  </w:r>
                </w:p>
                <w:p w14:paraId="40282388">
                  <w:pPr>
                    <w:spacing w:line="240" w:lineRule="auto"/>
                    <w:jc w:val="center"/>
                    <w:rPr>
                      <w:rFonts w:hint="eastAsia"/>
                      <w:sz w:val="21"/>
                      <w:szCs w:val="21"/>
                      <w:highlight w:val="none"/>
                    </w:rPr>
                  </w:pPr>
                  <w:r>
                    <w:rPr>
                      <w:rFonts w:hint="eastAsia"/>
                      <w:sz w:val="21"/>
                      <w:szCs w:val="21"/>
                      <w:highlight w:val="none"/>
                    </w:rPr>
                    <w:t>并配套流量计。输送的</w:t>
                  </w:r>
                  <w:r>
                    <w:rPr>
                      <w:rFonts w:hint="eastAsia"/>
                      <w:sz w:val="21"/>
                      <w:szCs w:val="21"/>
                      <w:highlight w:val="none"/>
                      <w:lang w:val="en-US" w:eastAsia="zh-CN"/>
                    </w:rPr>
                    <w:t>CO</w:t>
                  </w:r>
                  <w:r>
                    <w:rPr>
                      <w:rFonts w:hint="eastAsia"/>
                      <w:sz w:val="21"/>
                      <w:szCs w:val="21"/>
                      <w:highlight w:val="none"/>
                      <w:vertAlign w:val="subscript"/>
                      <w:lang w:val="en-US" w:eastAsia="zh-CN"/>
                    </w:rPr>
                    <w:t>2</w:t>
                  </w:r>
                  <w:r>
                    <w:rPr>
                      <w:rFonts w:hint="eastAsia"/>
                      <w:sz w:val="21"/>
                      <w:szCs w:val="21"/>
                      <w:highlight w:val="none"/>
                    </w:rPr>
                    <w:t>流量</w:t>
                  </w:r>
                  <w:r>
                    <w:rPr>
                      <w:rFonts w:hint="eastAsia"/>
                      <w:sz w:val="21"/>
                      <w:szCs w:val="21"/>
                      <w:highlight w:val="none"/>
                      <w:lang w:val="en-US" w:eastAsia="zh-CN"/>
                    </w:rPr>
                    <w:t>为5000m</w:t>
                  </w:r>
                  <w:r>
                    <w:rPr>
                      <w:rFonts w:hint="eastAsia"/>
                      <w:sz w:val="21"/>
                      <w:szCs w:val="21"/>
                      <w:highlight w:val="none"/>
                      <w:vertAlign w:val="superscript"/>
                      <w:lang w:val="en-US" w:eastAsia="zh-CN"/>
                    </w:rPr>
                    <w:t>3</w:t>
                  </w:r>
                  <w:r>
                    <w:rPr>
                      <w:rFonts w:hint="eastAsia"/>
                      <w:sz w:val="21"/>
                      <w:szCs w:val="21"/>
                      <w:highlight w:val="none"/>
                      <w:lang w:val="en-US" w:eastAsia="zh-CN"/>
                    </w:rPr>
                    <w:t>/h</w:t>
                  </w:r>
                  <w:r>
                    <w:rPr>
                      <w:rFonts w:hint="eastAsia"/>
                      <w:sz w:val="21"/>
                      <w:szCs w:val="21"/>
                      <w:highlight w:val="none"/>
                    </w:rPr>
                    <w:t>、</w:t>
                  </w:r>
                  <w:r>
                    <w:rPr>
                      <w:rFonts w:hint="eastAsia"/>
                      <w:sz w:val="21"/>
                      <w:szCs w:val="21"/>
                      <w:highlight w:val="none"/>
                      <w:lang w:val="en-US" w:eastAsia="zh-CN"/>
                    </w:rPr>
                    <w:t>压力等级为CL150</w:t>
                  </w:r>
                  <w:r>
                    <w:rPr>
                      <w:rFonts w:hint="eastAsia"/>
                      <w:sz w:val="21"/>
                      <w:szCs w:val="21"/>
                      <w:highlight w:val="none"/>
                    </w:rPr>
                    <w:t>、</w:t>
                  </w:r>
                  <w:r>
                    <w:rPr>
                      <w:rFonts w:hint="eastAsia"/>
                      <w:sz w:val="21"/>
                      <w:szCs w:val="21"/>
                      <w:highlight w:val="none"/>
                      <w:lang w:val="en-US" w:eastAsia="zh-CN"/>
                    </w:rPr>
                    <w:t>内径150mm。</w:t>
                  </w:r>
                </w:p>
              </w:tc>
              <w:tc>
                <w:tcPr>
                  <w:tcW w:w="919" w:type="dxa"/>
                  <w:noWrap w:val="0"/>
                  <w:vAlign w:val="center"/>
                </w:tcPr>
                <w:p w14:paraId="68F862D7">
                  <w:pPr>
                    <w:jc w:val="center"/>
                    <w:rPr>
                      <w:szCs w:val="21"/>
                      <w:highlight w:val="none"/>
                    </w:rPr>
                  </w:pPr>
                  <w:r>
                    <w:rPr>
                      <w:rFonts w:hint="eastAsia"/>
                      <w:szCs w:val="21"/>
                      <w:highlight w:val="none"/>
                      <w:lang w:val="en-US" w:eastAsia="zh-CN"/>
                    </w:rPr>
                    <w:t>新建（联博管廊内）</w:t>
                  </w:r>
                </w:p>
              </w:tc>
            </w:tr>
            <w:tr w14:paraId="2083F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Merge w:val="restart"/>
                  <w:noWrap w:val="0"/>
                  <w:vAlign w:val="center"/>
                </w:tcPr>
                <w:p w14:paraId="40B182CA">
                  <w:pPr>
                    <w:rPr>
                      <w:szCs w:val="21"/>
                      <w:highlight w:val="none"/>
                    </w:rPr>
                  </w:pPr>
                  <w:r>
                    <w:rPr>
                      <w:rFonts w:hint="eastAsia"/>
                      <w:szCs w:val="21"/>
                      <w:highlight w:val="none"/>
                    </w:rPr>
                    <w:t>辅助工程</w:t>
                  </w:r>
                </w:p>
              </w:tc>
              <w:tc>
                <w:tcPr>
                  <w:tcW w:w="1059" w:type="dxa"/>
                  <w:gridSpan w:val="2"/>
                  <w:noWrap w:val="0"/>
                  <w:vAlign w:val="center"/>
                </w:tcPr>
                <w:p w14:paraId="2F47A9D3">
                  <w:pPr>
                    <w:jc w:val="center"/>
                    <w:rPr>
                      <w:szCs w:val="21"/>
                      <w:highlight w:val="none"/>
                    </w:rPr>
                  </w:pPr>
                  <w:r>
                    <w:rPr>
                      <w:rFonts w:hint="eastAsia"/>
                      <w:szCs w:val="21"/>
                      <w:highlight w:val="none"/>
                    </w:rPr>
                    <w:t>管道检修系统</w:t>
                  </w:r>
                </w:p>
              </w:tc>
              <w:tc>
                <w:tcPr>
                  <w:tcW w:w="5850" w:type="dxa"/>
                  <w:noWrap w:val="0"/>
                  <w:vAlign w:val="center"/>
                </w:tcPr>
                <w:p w14:paraId="1776D722">
                  <w:pPr>
                    <w:jc w:val="center"/>
                    <w:rPr>
                      <w:szCs w:val="21"/>
                      <w:highlight w:val="none"/>
                    </w:rPr>
                  </w:pPr>
                  <w:r>
                    <w:rPr>
                      <w:rFonts w:hint="eastAsia"/>
                      <w:spacing w:val="9"/>
                      <w:sz w:val="21"/>
                      <w:szCs w:val="21"/>
                      <w:highlight w:val="none"/>
                      <w:lang w:val="en-US" w:eastAsia="zh-CN"/>
                    </w:rPr>
                    <w:t>主要为</w:t>
                  </w:r>
                  <w:r>
                    <w:rPr>
                      <w:spacing w:val="9"/>
                      <w:sz w:val="21"/>
                      <w:szCs w:val="21"/>
                      <w:highlight w:val="none"/>
                    </w:rPr>
                    <w:t>管道阀门、法兰</w:t>
                  </w:r>
                  <w:r>
                    <w:rPr>
                      <w:rFonts w:hint="eastAsia"/>
                      <w:spacing w:val="9"/>
                      <w:sz w:val="21"/>
                      <w:szCs w:val="21"/>
                      <w:highlight w:val="none"/>
                      <w:lang w:eastAsia="zh-CN"/>
                    </w:rPr>
                    <w:t>等</w:t>
                  </w:r>
                  <w:r>
                    <w:rPr>
                      <w:spacing w:val="9"/>
                      <w:sz w:val="21"/>
                      <w:szCs w:val="21"/>
                      <w:highlight w:val="none"/>
                    </w:rPr>
                    <w:t>。</w:t>
                  </w:r>
                  <w:r>
                    <w:rPr>
                      <w:rFonts w:hint="eastAsia"/>
                      <w:spacing w:val="9"/>
                      <w:sz w:val="21"/>
                      <w:szCs w:val="21"/>
                      <w:highlight w:val="none"/>
                    </w:rPr>
                    <w:t>管道两端的阀门由各自厂区进行检修。</w:t>
                  </w:r>
                </w:p>
              </w:tc>
              <w:tc>
                <w:tcPr>
                  <w:tcW w:w="919" w:type="dxa"/>
                  <w:noWrap w:val="0"/>
                  <w:vAlign w:val="center"/>
                </w:tcPr>
                <w:p w14:paraId="53678053">
                  <w:pPr>
                    <w:jc w:val="center"/>
                    <w:rPr>
                      <w:szCs w:val="21"/>
                      <w:highlight w:val="none"/>
                    </w:rPr>
                  </w:pPr>
                  <w:r>
                    <w:rPr>
                      <w:rFonts w:hint="eastAsia"/>
                      <w:szCs w:val="21"/>
                      <w:highlight w:val="none"/>
                      <w:lang w:val="en-US" w:eastAsia="zh-CN"/>
                    </w:rPr>
                    <w:t>新建</w:t>
                  </w:r>
                </w:p>
              </w:tc>
            </w:tr>
            <w:tr w14:paraId="6F394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Merge w:val="continue"/>
                  <w:noWrap w:val="0"/>
                  <w:vAlign w:val="center"/>
                </w:tcPr>
                <w:p w14:paraId="5FB82D80">
                  <w:pPr>
                    <w:rPr>
                      <w:szCs w:val="21"/>
                      <w:highlight w:val="none"/>
                    </w:rPr>
                  </w:pPr>
                </w:p>
              </w:tc>
              <w:tc>
                <w:tcPr>
                  <w:tcW w:w="1059" w:type="dxa"/>
                  <w:gridSpan w:val="2"/>
                  <w:noWrap w:val="0"/>
                  <w:vAlign w:val="center"/>
                </w:tcPr>
                <w:p w14:paraId="1EC4D579">
                  <w:pPr>
                    <w:jc w:val="center"/>
                    <w:rPr>
                      <w:rFonts w:hint="eastAsia"/>
                      <w:szCs w:val="21"/>
                      <w:highlight w:val="none"/>
                    </w:rPr>
                  </w:pPr>
                  <w:r>
                    <w:rPr>
                      <w:rFonts w:hint="eastAsia"/>
                      <w:szCs w:val="21"/>
                      <w:highlight w:val="none"/>
                    </w:rPr>
                    <w:t>控制系统</w:t>
                  </w:r>
                </w:p>
              </w:tc>
              <w:tc>
                <w:tcPr>
                  <w:tcW w:w="5850" w:type="dxa"/>
                  <w:noWrap w:val="0"/>
                  <w:vAlign w:val="center"/>
                </w:tcPr>
                <w:p w14:paraId="28D3D650">
                  <w:pPr>
                    <w:jc w:val="center"/>
                    <w:rPr>
                      <w:rFonts w:hint="eastAsia"/>
                      <w:szCs w:val="21"/>
                      <w:highlight w:val="none"/>
                    </w:rPr>
                  </w:pPr>
                  <w:r>
                    <w:rPr>
                      <w:rFonts w:hint="default"/>
                      <w:szCs w:val="21"/>
                      <w:highlight w:val="none"/>
                      <w:lang w:val="en-US" w:eastAsia="zh-CN"/>
                    </w:rPr>
                    <w:t>所有流量计和调节阀以及切断阀集中布置便于操作和维护，阀门和仪表的控制信号接入</w:t>
                  </w:r>
                  <w:r>
                    <w:rPr>
                      <w:rFonts w:hint="eastAsia"/>
                      <w:szCs w:val="21"/>
                      <w:highlight w:val="none"/>
                      <w:lang w:val="en-US" w:eastAsia="zh-CN"/>
                    </w:rPr>
                    <w:t>伊泰化工公司的</w:t>
                  </w:r>
                  <w:r>
                    <w:rPr>
                      <w:rFonts w:hint="default"/>
                      <w:szCs w:val="21"/>
                      <w:highlight w:val="none"/>
                      <w:lang w:val="en-US" w:eastAsia="zh-CN"/>
                    </w:rPr>
                    <w:t>DCS系统，DCS信号通过光纤接入伊泰化工的中控系统显示</w:t>
                  </w:r>
                  <w:r>
                    <w:rPr>
                      <w:rFonts w:hint="eastAsia"/>
                      <w:szCs w:val="21"/>
                      <w:highlight w:val="none"/>
                    </w:rPr>
                    <w:t>。</w:t>
                  </w:r>
                </w:p>
              </w:tc>
              <w:tc>
                <w:tcPr>
                  <w:tcW w:w="919" w:type="dxa"/>
                  <w:noWrap w:val="0"/>
                  <w:vAlign w:val="center"/>
                </w:tcPr>
                <w:p w14:paraId="7C206D0A">
                  <w:pPr>
                    <w:jc w:val="center"/>
                    <w:rPr>
                      <w:szCs w:val="21"/>
                      <w:highlight w:val="none"/>
                    </w:rPr>
                  </w:pPr>
                  <w:r>
                    <w:rPr>
                      <w:rFonts w:hint="eastAsia"/>
                      <w:szCs w:val="21"/>
                      <w:highlight w:val="none"/>
                      <w:lang w:val="en-US" w:eastAsia="zh-CN"/>
                    </w:rPr>
                    <w:t>新建</w:t>
                  </w:r>
                </w:p>
              </w:tc>
            </w:tr>
            <w:tr w14:paraId="3B2BD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Merge w:val="restart"/>
                  <w:noWrap w:val="0"/>
                  <w:vAlign w:val="center"/>
                </w:tcPr>
                <w:p w14:paraId="36A8D780">
                  <w:pPr>
                    <w:rPr>
                      <w:szCs w:val="21"/>
                      <w:highlight w:val="none"/>
                    </w:rPr>
                  </w:pPr>
                  <w:r>
                    <w:rPr>
                      <w:rFonts w:hint="eastAsia"/>
                      <w:szCs w:val="21"/>
                      <w:highlight w:val="none"/>
                    </w:rPr>
                    <w:t>环保工程</w:t>
                  </w:r>
                </w:p>
              </w:tc>
              <w:tc>
                <w:tcPr>
                  <w:tcW w:w="426" w:type="dxa"/>
                  <w:vMerge w:val="restart"/>
                  <w:noWrap w:val="0"/>
                  <w:vAlign w:val="center"/>
                </w:tcPr>
                <w:p w14:paraId="401F52F6">
                  <w:pPr>
                    <w:rPr>
                      <w:szCs w:val="21"/>
                      <w:highlight w:val="none"/>
                    </w:rPr>
                  </w:pPr>
                  <w:r>
                    <w:rPr>
                      <w:rFonts w:hint="eastAsia"/>
                      <w:szCs w:val="21"/>
                      <w:highlight w:val="none"/>
                    </w:rPr>
                    <w:t>运营期</w:t>
                  </w:r>
                </w:p>
              </w:tc>
              <w:tc>
                <w:tcPr>
                  <w:tcW w:w="633" w:type="dxa"/>
                  <w:noWrap w:val="0"/>
                  <w:vAlign w:val="center"/>
                </w:tcPr>
                <w:p w14:paraId="5BCBFD9C">
                  <w:pPr>
                    <w:jc w:val="center"/>
                    <w:rPr>
                      <w:rFonts w:hint="eastAsia"/>
                      <w:szCs w:val="21"/>
                      <w:highlight w:val="none"/>
                    </w:rPr>
                  </w:pPr>
                  <w:r>
                    <w:rPr>
                      <w:rFonts w:hint="eastAsia"/>
                      <w:szCs w:val="21"/>
                      <w:highlight w:val="none"/>
                    </w:rPr>
                    <w:t>废气</w:t>
                  </w:r>
                </w:p>
              </w:tc>
              <w:tc>
                <w:tcPr>
                  <w:tcW w:w="5850" w:type="dxa"/>
                  <w:noWrap w:val="0"/>
                  <w:vAlign w:val="center"/>
                </w:tcPr>
                <w:p w14:paraId="60AE644F">
                  <w:pPr>
                    <w:jc w:val="center"/>
                    <w:rPr>
                      <w:szCs w:val="21"/>
                      <w:highlight w:val="none"/>
                    </w:rPr>
                  </w:pPr>
                  <w:r>
                    <w:rPr>
                      <w:rFonts w:hint="eastAsia"/>
                      <w:szCs w:val="21"/>
                      <w:highlight w:val="none"/>
                    </w:rPr>
                    <w:t>本项目无废气产生。</w:t>
                  </w:r>
                </w:p>
              </w:tc>
              <w:tc>
                <w:tcPr>
                  <w:tcW w:w="919" w:type="dxa"/>
                  <w:noWrap w:val="0"/>
                  <w:vAlign w:val="center"/>
                </w:tcPr>
                <w:p w14:paraId="328F93A2">
                  <w:pPr>
                    <w:jc w:val="center"/>
                    <w:rPr>
                      <w:rFonts w:hint="eastAsia" w:eastAsia="宋体"/>
                      <w:szCs w:val="21"/>
                      <w:highlight w:val="none"/>
                      <w:lang w:val="en-US" w:eastAsia="zh-CN"/>
                    </w:rPr>
                  </w:pPr>
                  <w:r>
                    <w:rPr>
                      <w:rFonts w:hint="eastAsia"/>
                      <w:szCs w:val="21"/>
                      <w:highlight w:val="none"/>
                      <w:lang w:val="en-US" w:eastAsia="zh-CN"/>
                    </w:rPr>
                    <w:t>/</w:t>
                  </w:r>
                </w:p>
              </w:tc>
            </w:tr>
            <w:tr w14:paraId="07BDD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Merge w:val="continue"/>
                  <w:noWrap w:val="0"/>
                  <w:vAlign w:val="center"/>
                </w:tcPr>
                <w:p w14:paraId="38FD9CBE">
                  <w:pPr>
                    <w:rPr>
                      <w:szCs w:val="21"/>
                      <w:highlight w:val="none"/>
                    </w:rPr>
                  </w:pPr>
                </w:p>
              </w:tc>
              <w:tc>
                <w:tcPr>
                  <w:tcW w:w="426" w:type="dxa"/>
                  <w:vMerge w:val="continue"/>
                  <w:noWrap w:val="0"/>
                  <w:vAlign w:val="center"/>
                </w:tcPr>
                <w:p w14:paraId="79116AE6">
                  <w:pPr>
                    <w:rPr>
                      <w:szCs w:val="21"/>
                      <w:highlight w:val="none"/>
                    </w:rPr>
                  </w:pPr>
                </w:p>
              </w:tc>
              <w:tc>
                <w:tcPr>
                  <w:tcW w:w="633" w:type="dxa"/>
                  <w:noWrap w:val="0"/>
                  <w:vAlign w:val="center"/>
                </w:tcPr>
                <w:p w14:paraId="2DE2B3A7">
                  <w:pPr>
                    <w:jc w:val="center"/>
                    <w:rPr>
                      <w:rFonts w:hint="eastAsia"/>
                      <w:szCs w:val="21"/>
                      <w:highlight w:val="none"/>
                    </w:rPr>
                  </w:pPr>
                  <w:r>
                    <w:rPr>
                      <w:rFonts w:hint="eastAsia"/>
                      <w:szCs w:val="21"/>
                      <w:highlight w:val="none"/>
                    </w:rPr>
                    <w:t>废水</w:t>
                  </w:r>
                </w:p>
              </w:tc>
              <w:tc>
                <w:tcPr>
                  <w:tcW w:w="5850" w:type="dxa"/>
                  <w:noWrap w:val="0"/>
                  <w:vAlign w:val="center"/>
                </w:tcPr>
                <w:p w14:paraId="6C32BBF1">
                  <w:pPr>
                    <w:jc w:val="center"/>
                    <w:rPr>
                      <w:szCs w:val="21"/>
                      <w:highlight w:val="none"/>
                    </w:rPr>
                  </w:pPr>
                  <w:r>
                    <w:rPr>
                      <w:rFonts w:hint="eastAsia"/>
                      <w:szCs w:val="21"/>
                      <w:highlight w:val="none"/>
                    </w:rPr>
                    <w:t>本项目无废水产生。</w:t>
                  </w:r>
                </w:p>
              </w:tc>
              <w:tc>
                <w:tcPr>
                  <w:tcW w:w="919" w:type="dxa"/>
                  <w:noWrap w:val="0"/>
                  <w:vAlign w:val="center"/>
                </w:tcPr>
                <w:p w14:paraId="4AD9AD05">
                  <w:pPr>
                    <w:jc w:val="center"/>
                    <w:rPr>
                      <w:rFonts w:hint="eastAsia" w:eastAsia="宋体"/>
                      <w:szCs w:val="21"/>
                      <w:highlight w:val="none"/>
                      <w:lang w:val="en-US" w:eastAsia="zh-CN"/>
                    </w:rPr>
                  </w:pPr>
                  <w:r>
                    <w:rPr>
                      <w:rFonts w:hint="eastAsia"/>
                      <w:szCs w:val="21"/>
                      <w:highlight w:val="none"/>
                      <w:lang w:val="en-US" w:eastAsia="zh-CN"/>
                    </w:rPr>
                    <w:t>/</w:t>
                  </w:r>
                </w:p>
              </w:tc>
            </w:tr>
            <w:tr w14:paraId="17684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Merge w:val="continue"/>
                  <w:noWrap w:val="0"/>
                  <w:vAlign w:val="center"/>
                </w:tcPr>
                <w:p w14:paraId="166E263A">
                  <w:pPr>
                    <w:rPr>
                      <w:szCs w:val="21"/>
                      <w:highlight w:val="none"/>
                    </w:rPr>
                  </w:pPr>
                </w:p>
              </w:tc>
              <w:tc>
                <w:tcPr>
                  <w:tcW w:w="426" w:type="dxa"/>
                  <w:vMerge w:val="continue"/>
                  <w:noWrap w:val="0"/>
                  <w:vAlign w:val="center"/>
                </w:tcPr>
                <w:p w14:paraId="11F06CE7">
                  <w:pPr>
                    <w:rPr>
                      <w:szCs w:val="21"/>
                      <w:highlight w:val="none"/>
                    </w:rPr>
                  </w:pPr>
                </w:p>
              </w:tc>
              <w:tc>
                <w:tcPr>
                  <w:tcW w:w="633" w:type="dxa"/>
                  <w:noWrap w:val="0"/>
                  <w:vAlign w:val="center"/>
                </w:tcPr>
                <w:p w14:paraId="15712D6E">
                  <w:pPr>
                    <w:jc w:val="center"/>
                    <w:rPr>
                      <w:rFonts w:hint="eastAsia"/>
                      <w:szCs w:val="21"/>
                      <w:highlight w:val="none"/>
                    </w:rPr>
                  </w:pPr>
                  <w:r>
                    <w:rPr>
                      <w:rFonts w:hint="eastAsia"/>
                      <w:szCs w:val="21"/>
                      <w:highlight w:val="none"/>
                    </w:rPr>
                    <w:t>噪声</w:t>
                  </w:r>
                </w:p>
              </w:tc>
              <w:tc>
                <w:tcPr>
                  <w:tcW w:w="5850" w:type="dxa"/>
                  <w:noWrap w:val="0"/>
                  <w:vAlign w:val="center"/>
                </w:tcPr>
                <w:p w14:paraId="436816FE">
                  <w:pPr>
                    <w:jc w:val="center"/>
                    <w:rPr>
                      <w:szCs w:val="21"/>
                      <w:highlight w:val="none"/>
                    </w:rPr>
                  </w:pPr>
                  <w:r>
                    <w:rPr>
                      <w:rFonts w:hint="eastAsia"/>
                      <w:szCs w:val="21"/>
                      <w:highlight w:val="none"/>
                    </w:rPr>
                    <w:t>本项目</w:t>
                  </w:r>
                  <w:r>
                    <w:rPr>
                      <w:rFonts w:hint="eastAsia"/>
                      <w:szCs w:val="21"/>
                      <w:highlight w:val="none"/>
                      <w:lang w:val="en-US" w:eastAsia="zh-CN"/>
                    </w:rPr>
                    <w:t>噪声源主要为甲烷气压缩机，选择低噪声设备</w:t>
                  </w:r>
                  <w:r>
                    <w:rPr>
                      <w:rFonts w:hint="eastAsia"/>
                      <w:szCs w:val="21"/>
                      <w:highlight w:val="none"/>
                    </w:rPr>
                    <w:t>。</w:t>
                  </w:r>
                </w:p>
              </w:tc>
              <w:tc>
                <w:tcPr>
                  <w:tcW w:w="919" w:type="dxa"/>
                  <w:noWrap w:val="0"/>
                  <w:vAlign w:val="center"/>
                </w:tcPr>
                <w:p w14:paraId="2DDFE11E">
                  <w:pPr>
                    <w:jc w:val="center"/>
                    <w:rPr>
                      <w:szCs w:val="21"/>
                      <w:highlight w:val="none"/>
                    </w:rPr>
                  </w:pPr>
                  <w:r>
                    <w:rPr>
                      <w:rFonts w:hint="eastAsia"/>
                      <w:szCs w:val="21"/>
                      <w:highlight w:val="none"/>
                      <w:lang w:val="en-US" w:eastAsia="zh-CN"/>
                    </w:rPr>
                    <w:t>新建</w:t>
                  </w:r>
                </w:p>
              </w:tc>
            </w:tr>
            <w:tr w14:paraId="22389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Merge w:val="continue"/>
                  <w:noWrap w:val="0"/>
                  <w:vAlign w:val="center"/>
                </w:tcPr>
                <w:p w14:paraId="3257A6B7">
                  <w:pPr>
                    <w:rPr>
                      <w:szCs w:val="21"/>
                      <w:highlight w:val="none"/>
                    </w:rPr>
                  </w:pPr>
                </w:p>
              </w:tc>
              <w:tc>
                <w:tcPr>
                  <w:tcW w:w="426" w:type="dxa"/>
                  <w:vMerge w:val="continue"/>
                  <w:noWrap w:val="0"/>
                  <w:vAlign w:val="center"/>
                </w:tcPr>
                <w:p w14:paraId="46C01399">
                  <w:pPr>
                    <w:rPr>
                      <w:szCs w:val="21"/>
                      <w:highlight w:val="none"/>
                    </w:rPr>
                  </w:pPr>
                </w:p>
              </w:tc>
              <w:tc>
                <w:tcPr>
                  <w:tcW w:w="633" w:type="dxa"/>
                  <w:noWrap w:val="0"/>
                  <w:vAlign w:val="center"/>
                </w:tcPr>
                <w:p w14:paraId="4FED19D1">
                  <w:pPr>
                    <w:jc w:val="center"/>
                    <w:rPr>
                      <w:rFonts w:hint="eastAsia"/>
                      <w:szCs w:val="21"/>
                      <w:highlight w:val="none"/>
                    </w:rPr>
                  </w:pPr>
                  <w:r>
                    <w:rPr>
                      <w:rFonts w:hint="eastAsia"/>
                      <w:szCs w:val="21"/>
                      <w:highlight w:val="none"/>
                    </w:rPr>
                    <w:t>固废</w:t>
                  </w:r>
                </w:p>
              </w:tc>
              <w:tc>
                <w:tcPr>
                  <w:tcW w:w="5850" w:type="dxa"/>
                  <w:noWrap w:val="0"/>
                  <w:vAlign w:val="center"/>
                </w:tcPr>
                <w:p w14:paraId="31DD7AF6">
                  <w:pPr>
                    <w:jc w:val="center"/>
                    <w:rPr>
                      <w:szCs w:val="21"/>
                      <w:highlight w:val="none"/>
                    </w:rPr>
                  </w:pPr>
                  <w:r>
                    <w:rPr>
                      <w:rFonts w:hint="eastAsia"/>
                      <w:szCs w:val="21"/>
                      <w:highlight w:val="none"/>
                    </w:rPr>
                    <w:t>本项目</w:t>
                  </w:r>
                  <w:r>
                    <w:rPr>
                      <w:rFonts w:hint="eastAsia"/>
                      <w:szCs w:val="21"/>
                      <w:highlight w:val="none"/>
                      <w:lang w:val="en-US" w:eastAsia="zh-CN"/>
                    </w:rPr>
                    <w:t>运营期间</w:t>
                  </w:r>
                  <w:r>
                    <w:rPr>
                      <w:rFonts w:hint="eastAsia"/>
                      <w:szCs w:val="21"/>
                      <w:highlight w:val="none"/>
                    </w:rPr>
                    <w:t>无固废产生。</w:t>
                  </w:r>
                </w:p>
              </w:tc>
              <w:tc>
                <w:tcPr>
                  <w:tcW w:w="919" w:type="dxa"/>
                  <w:noWrap w:val="0"/>
                  <w:vAlign w:val="center"/>
                </w:tcPr>
                <w:p w14:paraId="26F48DC2">
                  <w:pPr>
                    <w:jc w:val="center"/>
                    <w:rPr>
                      <w:rFonts w:hint="eastAsia" w:eastAsia="宋体"/>
                      <w:szCs w:val="21"/>
                      <w:highlight w:val="none"/>
                      <w:lang w:val="en-US" w:eastAsia="zh-CN"/>
                    </w:rPr>
                  </w:pPr>
                  <w:r>
                    <w:rPr>
                      <w:rFonts w:hint="eastAsia"/>
                      <w:szCs w:val="21"/>
                      <w:highlight w:val="none"/>
                      <w:lang w:val="en-US" w:eastAsia="zh-CN"/>
                    </w:rPr>
                    <w:t>/</w:t>
                  </w:r>
                </w:p>
              </w:tc>
            </w:tr>
            <w:tr w14:paraId="41215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Merge w:val="continue"/>
                  <w:noWrap w:val="0"/>
                  <w:vAlign w:val="center"/>
                </w:tcPr>
                <w:p w14:paraId="2165F485">
                  <w:pPr>
                    <w:rPr>
                      <w:szCs w:val="21"/>
                      <w:highlight w:val="none"/>
                    </w:rPr>
                  </w:pPr>
                </w:p>
              </w:tc>
              <w:tc>
                <w:tcPr>
                  <w:tcW w:w="426" w:type="dxa"/>
                  <w:vMerge w:val="continue"/>
                  <w:noWrap w:val="0"/>
                  <w:vAlign w:val="center"/>
                </w:tcPr>
                <w:p w14:paraId="52479F4E">
                  <w:pPr>
                    <w:rPr>
                      <w:color w:val="0000FF"/>
                      <w:szCs w:val="21"/>
                      <w:highlight w:val="none"/>
                    </w:rPr>
                  </w:pPr>
                </w:p>
              </w:tc>
              <w:tc>
                <w:tcPr>
                  <w:tcW w:w="633" w:type="dxa"/>
                  <w:noWrap w:val="0"/>
                  <w:vAlign w:val="center"/>
                </w:tcPr>
                <w:p w14:paraId="7BF40986">
                  <w:pPr>
                    <w:jc w:val="center"/>
                    <w:rPr>
                      <w:rFonts w:hint="eastAsia"/>
                      <w:szCs w:val="21"/>
                      <w:highlight w:val="none"/>
                    </w:rPr>
                  </w:pPr>
                  <w:r>
                    <w:rPr>
                      <w:rFonts w:hint="eastAsia"/>
                      <w:szCs w:val="21"/>
                      <w:highlight w:val="none"/>
                    </w:rPr>
                    <w:t>环境风险</w:t>
                  </w:r>
                </w:p>
              </w:tc>
              <w:tc>
                <w:tcPr>
                  <w:tcW w:w="5850" w:type="dxa"/>
                  <w:noWrap w:val="0"/>
                  <w:vAlign w:val="center"/>
                </w:tcPr>
                <w:p w14:paraId="7484E045">
                  <w:pPr>
                    <w:jc w:val="center"/>
                    <w:rPr>
                      <w:szCs w:val="21"/>
                      <w:highlight w:val="none"/>
                    </w:rPr>
                  </w:pPr>
                  <w:r>
                    <w:rPr>
                      <w:rFonts w:hint="eastAsia"/>
                      <w:szCs w:val="21"/>
                      <w:highlight w:val="none"/>
                    </w:rPr>
                    <w:t>严格按照相关要求进行设计、施工、管理和维护。管线采用法兰连接和焊接方式，</w:t>
                  </w:r>
                  <w:r>
                    <w:rPr>
                      <w:rFonts w:hint="eastAsia"/>
                      <w:szCs w:val="21"/>
                      <w:highlight w:val="none"/>
                      <w:lang w:val="en-US" w:eastAsia="zh-CN"/>
                    </w:rPr>
                    <w:t>项目管道架空敷设，其中为了便于计量和快速切断，在合成脱碳尾气、未变换净化气、WRT甲烷气、回用水、富甲烷气等管道上设置快速切断阀，WRT甲烷气和污水2管线设置压力调节阀组和流量计，其他工艺和公用工程管道仅设置流量计用于计量结算，管线末端设置手动切断阀组。在物料输出端和接收端设置中控系统和紧急切断阀，阀门和仪表的控制信号接入伊泰化工公司DCS系统</w:t>
                  </w:r>
                  <w:r>
                    <w:rPr>
                      <w:rFonts w:hint="eastAsia"/>
                      <w:szCs w:val="21"/>
                      <w:highlight w:val="none"/>
                    </w:rPr>
                    <w:t>。</w:t>
                  </w:r>
                  <w:r>
                    <w:rPr>
                      <w:rFonts w:hint="eastAsia"/>
                      <w:szCs w:val="21"/>
                      <w:highlight w:val="none"/>
                      <w:lang w:val="en-US" w:eastAsia="zh-CN"/>
                    </w:rPr>
                    <w:t>本项目</w:t>
                  </w:r>
                  <w:r>
                    <w:rPr>
                      <w:rFonts w:hint="eastAsia"/>
                      <w:szCs w:val="21"/>
                      <w:highlight w:val="none"/>
                    </w:rPr>
                    <w:t>依托</w:t>
                  </w:r>
                  <w:r>
                    <w:rPr>
                      <w:rFonts w:hint="eastAsia"/>
                      <w:szCs w:val="21"/>
                      <w:highlight w:val="none"/>
                      <w:lang w:val="en-US" w:eastAsia="zh-CN"/>
                    </w:rPr>
                    <w:t>内蒙古伊泰化工有限责任公司</w:t>
                  </w:r>
                  <w:r>
                    <w:rPr>
                      <w:rFonts w:hint="eastAsia"/>
                      <w:szCs w:val="21"/>
                      <w:highlight w:val="none"/>
                    </w:rPr>
                    <w:t>应急物资，详见环境风险专项评价。</w:t>
                  </w:r>
                </w:p>
              </w:tc>
              <w:tc>
                <w:tcPr>
                  <w:tcW w:w="919" w:type="dxa"/>
                  <w:noWrap w:val="0"/>
                  <w:vAlign w:val="center"/>
                </w:tcPr>
                <w:p w14:paraId="61E90455">
                  <w:pPr>
                    <w:jc w:val="center"/>
                    <w:rPr>
                      <w:szCs w:val="21"/>
                      <w:highlight w:val="none"/>
                    </w:rPr>
                  </w:pPr>
                  <w:r>
                    <w:rPr>
                      <w:rFonts w:hint="eastAsia"/>
                      <w:szCs w:val="21"/>
                      <w:highlight w:val="none"/>
                      <w:lang w:val="en-US" w:eastAsia="zh-CN"/>
                    </w:rPr>
                    <w:t>依托+新建</w:t>
                  </w:r>
                </w:p>
              </w:tc>
            </w:tr>
            <w:tr w14:paraId="47649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Merge w:val="continue"/>
                  <w:noWrap w:val="0"/>
                  <w:vAlign w:val="center"/>
                </w:tcPr>
                <w:p w14:paraId="3DFA967E">
                  <w:pPr>
                    <w:rPr>
                      <w:szCs w:val="21"/>
                      <w:highlight w:val="none"/>
                    </w:rPr>
                  </w:pPr>
                </w:p>
              </w:tc>
              <w:tc>
                <w:tcPr>
                  <w:tcW w:w="426" w:type="dxa"/>
                  <w:vMerge w:val="restart"/>
                  <w:noWrap w:val="0"/>
                  <w:vAlign w:val="center"/>
                </w:tcPr>
                <w:p w14:paraId="037FEB26">
                  <w:pPr>
                    <w:rPr>
                      <w:color w:val="0000FF"/>
                      <w:szCs w:val="21"/>
                      <w:highlight w:val="none"/>
                    </w:rPr>
                  </w:pPr>
                  <w:r>
                    <w:rPr>
                      <w:rFonts w:hint="eastAsia"/>
                      <w:szCs w:val="21"/>
                      <w:highlight w:val="none"/>
                    </w:rPr>
                    <w:t>施工期</w:t>
                  </w:r>
                </w:p>
              </w:tc>
              <w:tc>
                <w:tcPr>
                  <w:tcW w:w="633" w:type="dxa"/>
                  <w:noWrap w:val="0"/>
                  <w:vAlign w:val="center"/>
                </w:tcPr>
                <w:p w14:paraId="1AB0FD63">
                  <w:pPr>
                    <w:jc w:val="center"/>
                    <w:rPr>
                      <w:rFonts w:hint="eastAsia"/>
                      <w:szCs w:val="21"/>
                      <w:highlight w:val="none"/>
                    </w:rPr>
                  </w:pPr>
                  <w:r>
                    <w:rPr>
                      <w:rFonts w:hint="eastAsia"/>
                      <w:szCs w:val="21"/>
                      <w:highlight w:val="none"/>
                    </w:rPr>
                    <w:t>废气</w:t>
                  </w:r>
                </w:p>
              </w:tc>
              <w:tc>
                <w:tcPr>
                  <w:tcW w:w="5850" w:type="dxa"/>
                  <w:noWrap w:val="0"/>
                  <w:vAlign w:val="center"/>
                </w:tcPr>
                <w:p w14:paraId="3102410C">
                  <w:pPr>
                    <w:jc w:val="center"/>
                    <w:rPr>
                      <w:szCs w:val="21"/>
                      <w:highlight w:val="none"/>
                    </w:rPr>
                  </w:pPr>
                  <w:r>
                    <w:rPr>
                      <w:rFonts w:hint="eastAsia"/>
                      <w:szCs w:val="21"/>
                      <w:highlight w:val="none"/>
                    </w:rPr>
                    <w:t>洒水降尘、车辆减速慢行</w:t>
                  </w:r>
                  <w:r>
                    <w:rPr>
                      <w:szCs w:val="21"/>
                      <w:highlight w:val="none"/>
                    </w:rPr>
                    <w:t>。</w:t>
                  </w:r>
                </w:p>
              </w:tc>
              <w:tc>
                <w:tcPr>
                  <w:tcW w:w="919" w:type="dxa"/>
                  <w:noWrap w:val="0"/>
                  <w:vAlign w:val="center"/>
                </w:tcPr>
                <w:p w14:paraId="44AE0032">
                  <w:pPr>
                    <w:jc w:val="center"/>
                    <w:rPr>
                      <w:rFonts w:hint="eastAsia" w:eastAsia="宋体"/>
                      <w:szCs w:val="21"/>
                      <w:highlight w:val="none"/>
                      <w:lang w:val="en-US" w:eastAsia="zh-CN"/>
                    </w:rPr>
                  </w:pPr>
                  <w:r>
                    <w:rPr>
                      <w:rFonts w:hint="eastAsia"/>
                      <w:szCs w:val="21"/>
                      <w:highlight w:val="none"/>
                      <w:lang w:val="en-US" w:eastAsia="zh-CN"/>
                    </w:rPr>
                    <w:t>/</w:t>
                  </w:r>
                </w:p>
              </w:tc>
            </w:tr>
            <w:tr w14:paraId="17152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Merge w:val="continue"/>
                  <w:noWrap w:val="0"/>
                  <w:vAlign w:val="center"/>
                </w:tcPr>
                <w:p w14:paraId="6BDA0AF2">
                  <w:pPr>
                    <w:rPr>
                      <w:szCs w:val="21"/>
                      <w:highlight w:val="none"/>
                    </w:rPr>
                  </w:pPr>
                </w:p>
              </w:tc>
              <w:tc>
                <w:tcPr>
                  <w:tcW w:w="426" w:type="dxa"/>
                  <w:vMerge w:val="continue"/>
                  <w:noWrap w:val="0"/>
                  <w:vAlign w:val="center"/>
                </w:tcPr>
                <w:p w14:paraId="0A37A71D">
                  <w:pPr>
                    <w:rPr>
                      <w:rFonts w:hint="eastAsia"/>
                      <w:color w:val="0000FF"/>
                      <w:szCs w:val="21"/>
                      <w:highlight w:val="none"/>
                    </w:rPr>
                  </w:pPr>
                </w:p>
              </w:tc>
              <w:tc>
                <w:tcPr>
                  <w:tcW w:w="633" w:type="dxa"/>
                  <w:noWrap w:val="0"/>
                  <w:vAlign w:val="center"/>
                </w:tcPr>
                <w:p w14:paraId="3A625654">
                  <w:pPr>
                    <w:jc w:val="center"/>
                    <w:rPr>
                      <w:szCs w:val="21"/>
                      <w:highlight w:val="none"/>
                    </w:rPr>
                  </w:pPr>
                  <w:r>
                    <w:rPr>
                      <w:rFonts w:hint="eastAsia"/>
                      <w:szCs w:val="21"/>
                      <w:highlight w:val="none"/>
                    </w:rPr>
                    <w:t>废水</w:t>
                  </w:r>
                </w:p>
              </w:tc>
              <w:tc>
                <w:tcPr>
                  <w:tcW w:w="5850" w:type="dxa"/>
                  <w:noWrap w:val="0"/>
                  <w:vAlign w:val="center"/>
                </w:tcPr>
                <w:p w14:paraId="135DEF4E">
                  <w:pPr>
                    <w:jc w:val="center"/>
                    <w:rPr>
                      <w:szCs w:val="21"/>
                      <w:highlight w:val="none"/>
                    </w:rPr>
                  </w:pPr>
                  <w:r>
                    <w:rPr>
                      <w:rFonts w:hint="eastAsia"/>
                      <w:color w:val="auto"/>
                      <w:szCs w:val="21"/>
                      <w:highlight w:val="none"/>
                      <w:lang w:val="en-US" w:eastAsia="zh-CN"/>
                    </w:rPr>
                    <w:t>试压</w:t>
                  </w:r>
                  <w:r>
                    <w:rPr>
                      <w:rFonts w:hint="eastAsia"/>
                      <w:color w:val="auto"/>
                      <w:szCs w:val="21"/>
                      <w:highlight w:val="none"/>
                    </w:rPr>
                    <w:t>废水</w:t>
                  </w:r>
                  <w:r>
                    <w:rPr>
                      <w:rFonts w:hint="eastAsia"/>
                      <w:color w:val="auto"/>
                      <w:szCs w:val="21"/>
                      <w:highlight w:val="none"/>
                      <w:lang w:val="en-US" w:eastAsia="zh-CN"/>
                    </w:rPr>
                    <w:t>产生后通过罐车运输至伊泰化工</w:t>
                  </w:r>
                  <w:r>
                    <w:rPr>
                      <w:rFonts w:hint="eastAsia"/>
                      <w:color w:val="auto"/>
                      <w:szCs w:val="21"/>
                      <w:highlight w:val="none"/>
                    </w:rPr>
                    <w:t>厂区内现有污水处理站废水处理及回用清净废水处理单元，处理后回用，不外排。</w:t>
                  </w:r>
                </w:p>
              </w:tc>
              <w:tc>
                <w:tcPr>
                  <w:tcW w:w="919" w:type="dxa"/>
                  <w:noWrap w:val="0"/>
                  <w:vAlign w:val="center"/>
                </w:tcPr>
                <w:p w14:paraId="6FAAE239">
                  <w:pPr>
                    <w:jc w:val="center"/>
                    <w:rPr>
                      <w:szCs w:val="21"/>
                      <w:highlight w:val="none"/>
                    </w:rPr>
                  </w:pPr>
                  <w:r>
                    <w:rPr>
                      <w:rFonts w:hint="eastAsia"/>
                      <w:szCs w:val="21"/>
                      <w:highlight w:val="none"/>
                    </w:rPr>
                    <w:t>依托</w:t>
                  </w:r>
                </w:p>
              </w:tc>
            </w:tr>
            <w:tr w14:paraId="4947A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Merge w:val="continue"/>
                  <w:noWrap w:val="0"/>
                  <w:vAlign w:val="center"/>
                </w:tcPr>
                <w:p w14:paraId="1E38305C">
                  <w:pPr>
                    <w:rPr>
                      <w:szCs w:val="21"/>
                      <w:highlight w:val="none"/>
                    </w:rPr>
                  </w:pPr>
                </w:p>
              </w:tc>
              <w:tc>
                <w:tcPr>
                  <w:tcW w:w="426" w:type="dxa"/>
                  <w:vMerge w:val="continue"/>
                  <w:noWrap w:val="0"/>
                  <w:vAlign w:val="center"/>
                </w:tcPr>
                <w:p w14:paraId="750E13CA">
                  <w:pPr>
                    <w:rPr>
                      <w:rFonts w:hint="eastAsia"/>
                      <w:color w:val="0000FF"/>
                      <w:szCs w:val="21"/>
                      <w:highlight w:val="none"/>
                    </w:rPr>
                  </w:pPr>
                </w:p>
              </w:tc>
              <w:tc>
                <w:tcPr>
                  <w:tcW w:w="633" w:type="dxa"/>
                  <w:noWrap w:val="0"/>
                  <w:vAlign w:val="center"/>
                </w:tcPr>
                <w:p w14:paraId="3DE0BD9B">
                  <w:pPr>
                    <w:jc w:val="center"/>
                    <w:rPr>
                      <w:szCs w:val="21"/>
                      <w:highlight w:val="none"/>
                    </w:rPr>
                  </w:pPr>
                  <w:r>
                    <w:rPr>
                      <w:rFonts w:hint="eastAsia"/>
                      <w:szCs w:val="21"/>
                      <w:highlight w:val="none"/>
                    </w:rPr>
                    <w:t>噪声</w:t>
                  </w:r>
                </w:p>
              </w:tc>
              <w:tc>
                <w:tcPr>
                  <w:tcW w:w="5850" w:type="dxa"/>
                  <w:noWrap w:val="0"/>
                  <w:vAlign w:val="center"/>
                </w:tcPr>
                <w:p w14:paraId="286A3540">
                  <w:pPr>
                    <w:jc w:val="center"/>
                    <w:rPr>
                      <w:szCs w:val="21"/>
                      <w:highlight w:val="none"/>
                    </w:rPr>
                  </w:pPr>
                  <w:r>
                    <w:rPr>
                      <w:rFonts w:hint="eastAsia"/>
                      <w:szCs w:val="21"/>
                      <w:highlight w:val="none"/>
                    </w:rPr>
                    <w:t>施工车辆减速慢行，加强施工设备的维护避免异常噪声排放。</w:t>
                  </w:r>
                </w:p>
              </w:tc>
              <w:tc>
                <w:tcPr>
                  <w:tcW w:w="919" w:type="dxa"/>
                  <w:noWrap w:val="0"/>
                  <w:vAlign w:val="center"/>
                </w:tcPr>
                <w:p w14:paraId="17F7408A">
                  <w:pPr>
                    <w:jc w:val="center"/>
                    <w:rPr>
                      <w:szCs w:val="21"/>
                      <w:highlight w:val="none"/>
                    </w:rPr>
                  </w:pPr>
                  <w:r>
                    <w:rPr>
                      <w:rFonts w:hint="eastAsia"/>
                      <w:szCs w:val="21"/>
                      <w:highlight w:val="none"/>
                      <w:lang w:val="en-US" w:eastAsia="zh-CN"/>
                    </w:rPr>
                    <w:t>新建</w:t>
                  </w:r>
                </w:p>
              </w:tc>
            </w:tr>
            <w:tr w14:paraId="2164A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Merge w:val="continue"/>
                  <w:noWrap w:val="0"/>
                  <w:vAlign w:val="center"/>
                </w:tcPr>
                <w:p w14:paraId="79D7BB19">
                  <w:pPr>
                    <w:rPr>
                      <w:szCs w:val="21"/>
                      <w:highlight w:val="none"/>
                    </w:rPr>
                  </w:pPr>
                </w:p>
              </w:tc>
              <w:tc>
                <w:tcPr>
                  <w:tcW w:w="426" w:type="dxa"/>
                  <w:vMerge w:val="continue"/>
                  <w:noWrap w:val="0"/>
                  <w:vAlign w:val="center"/>
                </w:tcPr>
                <w:p w14:paraId="09B194C7">
                  <w:pPr>
                    <w:rPr>
                      <w:rFonts w:hint="eastAsia"/>
                      <w:color w:val="0000FF"/>
                      <w:szCs w:val="21"/>
                      <w:highlight w:val="none"/>
                    </w:rPr>
                  </w:pPr>
                </w:p>
              </w:tc>
              <w:tc>
                <w:tcPr>
                  <w:tcW w:w="633" w:type="dxa"/>
                  <w:noWrap w:val="0"/>
                  <w:vAlign w:val="center"/>
                </w:tcPr>
                <w:p w14:paraId="212C9D45">
                  <w:pPr>
                    <w:jc w:val="center"/>
                    <w:rPr>
                      <w:szCs w:val="21"/>
                      <w:highlight w:val="none"/>
                    </w:rPr>
                  </w:pPr>
                  <w:r>
                    <w:rPr>
                      <w:rFonts w:hint="eastAsia"/>
                      <w:szCs w:val="21"/>
                      <w:highlight w:val="none"/>
                    </w:rPr>
                    <w:t>固废</w:t>
                  </w:r>
                </w:p>
              </w:tc>
              <w:tc>
                <w:tcPr>
                  <w:tcW w:w="5850" w:type="dxa"/>
                  <w:noWrap w:val="0"/>
                  <w:vAlign w:val="center"/>
                </w:tcPr>
                <w:p w14:paraId="2D568A0B">
                  <w:pPr>
                    <w:jc w:val="center"/>
                    <w:rPr>
                      <w:szCs w:val="21"/>
                      <w:highlight w:val="none"/>
                    </w:rPr>
                  </w:pPr>
                  <w:r>
                    <w:rPr>
                      <w:rFonts w:hint="eastAsia"/>
                      <w:szCs w:val="21"/>
                      <w:highlight w:val="none"/>
                    </w:rPr>
                    <w:t>施工期产生的建筑垃圾运送至就近的建筑垃圾处理厂统一处理，废油漆桶暂存</w:t>
                  </w:r>
                  <w:r>
                    <w:rPr>
                      <w:rFonts w:hint="eastAsia"/>
                      <w:highlight w:val="none"/>
                      <w:lang w:val="en-US" w:eastAsia="zh-CN"/>
                    </w:rPr>
                    <w:t>于伊泰化工</w:t>
                  </w:r>
                  <w:r>
                    <w:rPr>
                      <w:rFonts w:hint="eastAsia"/>
                      <w:szCs w:val="21"/>
                      <w:highlight w:val="none"/>
                    </w:rPr>
                    <w:t>危废间</w:t>
                  </w:r>
                  <w:r>
                    <w:rPr>
                      <w:rFonts w:hint="eastAsia"/>
                      <w:szCs w:val="21"/>
                      <w:highlight w:val="none"/>
                      <w:lang w:eastAsia="zh-CN"/>
                    </w:rPr>
                    <w:t>，</w:t>
                  </w:r>
                  <w:r>
                    <w:rPr>
                      <w:rFonts w:hint="eastAsia"/>
                      <w:szCs w:val="21"/>
                      <w:highlight w:val="none"/>
                      <w:lang w:val="en-US" w:eastAsia="zh-CN"/>
                    </w:rPr>
                    <w:t>后</w:t>
                  </w:r>
                  <w:r>
                    <w:rPr>
                      <w:rFonts w:hint="eastAsia"/>
                      <w:szCs w:val="21"/>
                      <w:highlight w:val="none"/>
                    </w:rPr>
                    <w:t>交由有资质的单位处理，生活垃圾经收集后</w:t>
                  </w:r>
                  <w:r>
                    <w:rPr>
                      <w:rFonts w:hint="eastAsia"/>
                      <w:szCs w:val="21"/>
                      <w:highlight w:val="none"/>
                      <w:lang w:eastAsia="zh-CN"/>
                    </w:rPr>
                    <w:t>由</w:t>
                  </w:r>
                  <w:r>
                    <w:rPr>
                      <w:rFonts w:hint="eastAsia"/>
                      <w:szCs w:val="21"/>
                      <w:highlight w:val="none"/>
                      <w:lang w:val="en-US" w:eastAsia="zh-CN"/>
                    </w:rPr>
                    <w:t>环卫部门</w:t>
                  </w:r>
                  <w:r>
                    <w:rPr>
                      <w:rFonts w:hint="eastAsia"/>
                      <w:szCs w:val="21"/>
                      <w:highlight w:val="none"/>
                    </w:rPr>
                    <w:t>统一处理。</w:t>
                  </w:r>
                </w:p>
              </w:tc>
              <w:tc>
                <w:tcPr>
                  <w:tcW w:w="919" w:type="dxa"/>
                  <w:noWrap w:val="0"/>
                  <w:vAlign w:val="center"/>
                </w:tcPr>
                <w:p w14:paraId="39A5A4B4">
                  <w:pPr>
                    <w:jc w:val="center"/>
                    <w:rPr>
                      <w:szCs w:val="21"/>
                      <w:highlight w:val="none"/>
                    </w:rPr>
                  </w:pPr>
                  <w:r>
                    <w:rPr>
                      <w:rFonts w:hint="eastAsia"/>
                      <w:szCs w:val="21"/>
                      <w:highlight w:val="none"/>
                    </w:rPr>
                    <w:t>依托</w:t>
                  </w:r>
                </w:p>
              </w:tc>
            </w:tr>
            <w:tr w14:paraId="72BB3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Merge w:val="continue"/>
                  <w:noWrap w:val="0"/>
                  <w:vAlign w:val="center"/>
                </w:tcPr>
                <w:p w14:paraId="32FC09FB">
                  <w:pPr>
                    <w:rPr>
                      <w:szCs w:val="21"/>
                      <w:highlight w:val="none"/>
                    </w:rPr>
                  </w:pPr>
                </w:p>
              </w:tc>
              <w:tc>
                <w:tcPr>
                  <w:tcW w:w="426" w:type="dxa"/>
                  <w:vMerge w:val="continue"/>
                  <w:noWrap w:val="0"/>
                  <w:vAlign w:val="center"/>
                </w:tcPr>
                <w:p w14:paraId="6342571D">
                  <w:pPr>
                    <w:rPr>
                      <w:rFonts w:hint="eastAsia"/>
                      <w:color w:val="0000FF"/>
                      <w:szCs w:val="21"/>
                      <w:highlight w:val="none"/>
                    </w:rPr>
                  </w:pPr>
                </w:p>
              </w:tc>
              <w:tc>
                <w:tcPr>
                  <w:tcW w:w="633" w:type="dxa"/>
                  <w:noWrap w:val="0"/>
                  <w:vAlign w:val="center"/>
                </w:tcPr>
                <w:p w14:paraId="290840B2">
                  <w:pPr>
                    <w:jc w:val="center"/>
                    <w:rPr>
                      <w:szCs w:val="21"/>
                      <w:highlight w:val="none"/>
                    </w:rPr>
                  </w:pPr>
                  <w:r>
                    <w:rPr>
                      <w:rFonts w:hint="eastAsia"/>
                      <w:szCs w:val="21"/>
                      <w:highlight w:val="none"/>
                    </w:rPr>
                    <w:t>生态</w:t>
                  </w:r>
                </w:p>
              </w:tc>
              <w:tc>
                <w:tcPr>
                  <w:tcW w:w="5850" w:type="dxa"/>
                  <w:noWrap w:val="0"/>
                  <w:vAlign w:val="center"/>
                </w:tcPr>
                <w:p w14:paraId="6C62FE4F">
                  <w:pPr>
                    <w:jc w:val="center"/>
                    <w:rPr>
                      <w:szCs w:val="21"/>
                      <w:highlight w:val="none"/>
                    </w:rPr>
                  </w:pPr>
                  <w:r>
                    <w:rPr>
                      <w:rFonts w:hint="eastAsia"/>
                      <w:szCs w:val="21"/>
                      <w:highlight w:val="none"/>
                    </w:rPr>
                    <w:t>尽量减少临时工程占地面积</w:t>
                  </w:r>
                </w:p>
              </w:tc>
              <w:tc>
                <w:tcPr>
                  <w:tcW w:w="919" w:type="dxa"/>
                  <w:noWrap w:val="0"/>
                  <w:vAlign w:val="center"/>
                </w:tcPr>
                <w:p w14:paraId="061DCC14">
                  <w:pPr>
                    <w:jc w:val="center"/>
                    <w:rPr>
                      <w:rFonts w:hint="eastAsia" w:eastAsia="宋体"/>
                      <w:szCs w:val="21"/>
                      <w:highlight w:val="none"/>
                      <w:lang w:val="en-US" w:eastAsia="zh-CN"/>
                    </w:rPr>
                  </w:pPr>
                  <w:r>
                    <w:rPr>
                      <w:rFonts w:hint="eastAsia"/>
                      <w:szCs w:val="21"/>
                      <w:highlight w:val="none"/>
                      <w:lang w:val="en-US" w:eastAsia="zh-CN"/>
                    </w:rPr>
                    <w:t>/</w:t>
                  </w:r>
                </w:p>
              </w:tc>
            </w:tr>
            <w:tr w14:paraId="4DE8C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Merge w:val="restart"/>
                  <w:noWrap w:val="0"/>
                  <w:vAlign w:val="center"/>
                </w:tcPr>
                <w:p w14:paraId="4AC93E27">
                  <w:pPr>
                    <w:rPr>
                      <w:szCs w:val="21"/>
                      <w:highlight w:val="none"/>
                    </w:rPr>
                  </w:pPr>
                  <w:r>
                    <w:rPr>
                      <w:rFonts w:hint="eastAsia"/>
                      <w:szCs w:val="21"/>
                      <w:highlight w:val="none"/>
                    </w:rPr>
                    <w:t>依托工程</w:t>
                  </w:r>
                </w:p>
              </w:tc>
              <w:tc>
                <w:tcPr>
                  <w:tcW w:w="1059" w:type="dxa"/>
                  <w:gridSpan w:val="2"/>
                  <w:noWrap w:val="0"/>
                  <w:vAlign w:val="center"/>
                </w:tcPr>
                <w:p w14:paraId="5B1E3F2E">
                  <w:pPr>
                    <w:jc w:val="center"/>
                    <w:rPr>
                      <w:szCs w:val="21"/>
                      <w:highlight w:val="none"/>
                    </w:rPr>
                  </w:pPr>
                  <w:r>
                    <w:rPr>
                      <w:rFonts w:hint="eastAsia"/>
                      <w:szCs w:val="21"/>
                      <w:highlight w:val="none"/>
                    </w:rPr>
                    <w:t>风险防控系统</w:t>
                  </w:r>
                </w:p>
              </w:tc>
              <w:tc>
                <w:tcPr>
                  <w:tcW w:w="5850" w:type="dxa"/>
                  <w:noWrap w:val="0"/>
                  <w:vAlign w:val="center"/>
                </w:tcPr>
                <w:p w14:paraId="7D0E0970">
                  <w:pPr>
                    <w:jc w:val="center"/>
                    <w:rPr>
                      <w:szCs w:val="21"/>
                      <w:highlight w:val="none"/>
                    </w:rPr>
                  </w:pPr>
                  <w:r>
                    <w:rPr>
                      <w:szCs w:val="21"/>
                      <w:highlight w:val="none"/>
                    </w:rPr>
                    <w:t>保证施工质量，避免或减少事故的发生。在管道附近</w:t>
                  </w:r>
                  <w:r>
                    <w:rPr>
                      <w:rFonts w:hint="eastAsia"/>
                      <w:szCs w:val="21"/>
                      <w:highlight w:val="none"/>
                      <w:lang w:val="en-US" w:eastAsia="zh-CN"/>
                    </w:rPr>
                    <w:t>设置</w:t>
                  </w:r>
                  <w:r>
                    <w:rPr>
                      <w:szCs w:val="21"/>
                      <w:highlight w:val="none"/>
                    </w:rPr>
                    <w:t>安全标识，防止人为破坏等。运营期间及时对管道进行</w:t>
                  </w:r>
                  <w:r>
                    <w:rPr>
                      <w:rFonts w:hint="eastAsia"/>
                      <w:szCs w:val="21"/>
                      <w:highlight w:val="none"/>
                      <w:lang w:val="en-US" w:eastAsia="zh-CN"/>
                    </w:rPr>
                    <w:t>泄漏</w:t>
                  </w:r>
                  <w:r>
                    <w:rPr>
                      <w:szCs w:val="21"/>
                      <w:highlight w:val="none"/>
                    </w:rPr>
                    <w:t>性检查，若发现</w:t>
                  </w:r>
                  <w:r>
                    <w:rPr>
                      <w:rFonts w:hint="eastAsia"/>
                      <w:szCs w:val="21"/>
                      <w:highlight w:val="none"/>
                      <w:lang w:val="en-US" w:eastAsia="zh-CN"/>
                    </w:rPr>
                    <w:t>泄漏</w:t>
                  </w:r>
                  <w:r>
                    <w:rPr>
                      <w:szCs w:val="21"/>
                      <w:highlight w:val="none"/>
                    </w:rPr>
                    <w:t>及时修复，建立完善的泄漏检查制度。如突发火灾，应迅速按应急预案紧急处理。制定严格的消防管理制度，在厂区内配备泡沫炮、灭火栓、干粉灭火器</w:t>
                  </w:r>
                  <w:r>
                    <w:rPr>
                      <w:rFonts w:hint="eastAsia"/>
                      <w:szCs w:val="21"/>
                      <w:highlight w:val="none"/>
                      <w:lang w:eastAsia="zh-CN"/>
                    </w:rPr>
                    <w:t>和</w:t>
                  </w:r>
                  <w:r>
                    <w:rPr>
                      <w:szCs w:val="21"/>
                      <w:highlight w:val="none"/>
                    </w:rPr>
                    <w:t>灭火沙箱等消防器材，定期组织消防演练。</w:t>
                  </w:r>
                </w:p>
              </w:tc>
              <w:tc>
                <w:tcPr>
                  <w:tcW w:w="919" w:type="dxa"/>
                  <w:vMerge w:val="restart"/>
                  <w:noWrap w:val="0"/>
                  <w:vAlign w:val="center"/>
                </w:tcPr>
                <w:p w14:paraId="7A9A47DA">
                  <w:pPr>
                    <w:jc w:val="center"/>
                    <w:rPr>
                      <w:rFonts w:hint="eastAsia" w:eastAsia="宋体"/>
                      <w:szCs w:val="21"/>
                      <w:highlight w:val="none"/>
                      <w:lang w:val="en-US" w:eastAsia="zh-CN"/>
                    </w:rPr>
                  </w:pPr>
                  <w:r>
                    <w:rPr>
                      <w:rFonts w:hint="eastAsia"/>
                      <w:szCs w:val="21"/>
                      <w:highlight w:val="none"/>
                      <w:lang w:val="en-US" w:eastAsia="zh-CN"/>
                    </w:rPr>
                    <w:t>依托</w:t>
                  </w:r>
                </w:p>
              </w:tc>
            </w:tr>
            <w:tr w14:paraId="12EF2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Merge w:val="continue"/>
                  <w:noWrap w:val="0"/>
                  <w:vAlign w:val="center"/>
                </w:tcPr>
                <w:p w14:paraId="3E063EF8">
                  <w:pPr>
                    <w:rPr>
                      <w:rFonts w:hint="eastAsia"/>
                      <w:szCs w:val="21"/>
                      <w:highlight w:val="none"/>
                    </w:rPr>
                  </w:pPr>
                </w:p>
              </w:tc>
              <w:tc>
                <w:tcPr>
                  <w:tcW w:w="1059" w:type="dxa"/>
                  <w:gridSpan w:val="2"/>
                  <w:noWrap w:val="0"/>
                  <w:vAlign w:val="center"/>
                </w:tcPr>
                <w:p w14:paraId="4E704BD4">
                  <w:pPr>
                    <w:jc w:val="center"/>
                    <w:rPr>
                      <w:rFonts w:hint="eastAsia"/>
                      <w:szCs w:val="21"/>
                      <w:highlight w:val="none"/>
                    </w:rPr>
                  </w:pPr>
                  <w:r>
                    <w:rPr>
                      <w:rFonts w:hint="eastAsia"/>
                      <w:szCs w:val="21"/>
                      <w:highlight w:val="none"/>
                    </w:rPr>
                    <w:t>消防设施</w:t>
                  </w:r>
                </w:p>
              </w:tc>
              <w:tc>
                <w:tcPr>
                  <w:tcW w:w="5850" w:type="dxa"/>
                  <w:noWrap w:val="0"/>
                  <w:vAlign w:val="center"/>
                </w:tcPr>
                <w:p w14:paraId="1FCA9C6E">
                  <w:pPr>
                    <w:jc w:val="center"/>
                    <w:rPr>
                      <w:rFonts w:hint="eastAsia"/>
                      <w:szCs w:val="21"/>
                      <w:highlight w:val="none"/>
                    </w:rPr>
                  </w:pPr>
                  <w:r>
                    <w:rPr>
                      <w:rFonts w:hint="eastAsia"/>
                      <w:szCs w:val="21"/>
                      <w:highlight w:val="none"/>
                      <w:lang w:val="en-US" w:eastAsia="zh-CN"/>
                    </w:rPr>
                    <w:t>本项目依托伊泰化工现有的消防系统。本项目不单独设消防站，</w:t>
                  </w:r>
                  <w:r>
                    <w:rPr>
                      <w:rFonts w:hint="default"/>
                      <w:szCs w:val="21"/>
                      <w:highlight w:val="none"/>
                      <w:lang w:val="en-US" w:eastAsia="zh-CN"/>
                    </w:rPr>
                    <w:t>消防站依托伊泰化工及工业区消防站。</w:t>
                  </w:r>
                </w:p>
              </w:tc>
              <w:tc>
                <w:tcPr>
                  <w:tcW w:w="919" w:type="dxa"/>
                  <w:vMerge w:val="continue"/>
                  <w:noWrap w:val="0"/>
                  <w:vAlign w:val="center"/>
                </w:tcPr>
                <w:p w14:paraId="7FAE9AEB">
                  <w:pPr>
                    <w:rPr>
                      <w:rFonts w:hint="eastAsia" w:eastAsia="宋体"/>
                      <w:szCs w:val="21"/>
                      <w:highlight w:val="none"/>
                      <w:lang w:val="en-US" w:eastAsia="zh-CN"/>
                    </w:rPr>
                  </w:pPr>
                </w:p>
              </w:tc>
            </w:tr>
          </w:tbl>
          <w:p w14:paraId="634B3E3A">
            <w:pPr>
              <w:rPr>
                <w:highlight w:val="none"/>
              </w:rPr>
            </w:pPr>
          </w:p>
          <w:p w14:paraId="2E904E07">
            <w:pPr>
              <w:spacing w:line="360" w:lineRule="auto"/>
              <w:rPr>
                <w:rFonts w:hint="default" w:eastAsia="宋体"/>
                <w:b/>
                <w:bCs/>
                <w:sz w:val="24"/>
                <w:highlight w:val="none"/>
                <w:lang w:val="en-US" w:eastAsia="zh-CN"/>
              </w:rPr>
            </w:pPr>
            <w:r>
              <w:rPr>
                <w:rFonts w:hint="eastAsia"/>
                <w:b/>
                <w:bCs/>
                <w:sz w:val="24"/>
                <w:highlight w:val="none"/>
                <w:lang w:val="en-US" w:eastAsia="zh-CN"/>
              </w:rPr>
              <w:t>2.1</w:t>
            </w:r>
            <w:r>
              <w:rPr>
                <w:rFonts w:hint="eastAsia"/>
                <w:b/>
                <w:bCs/>
                <w:sz w:val="24"/>
                <w:highlight w:val="none"/>
              </w:rPr>
              <w:t>管线</w:t>
            </w:r>
            <w:r>
              <w:rPr>
                <w:rFonts w:hint="eastAsia"/>
                <w:b/>
                <w:bCs/>
                <w:sz w:val="24"/>
                <w:highlight w:val="none"/>
                <w:lang w:val="en-US" w:eastAsia="zh-CN"/>
              </w:rPr>
              <w:t>建设方案及设备表</w:t>
            </w:r>
          </w:p>
          <w:p w14:paraId="13332C11">
            <w:pPr>
              <w:pStyle w:val="27"/>
              <w:spacing w:line="360" w:lineRule="auto"/>
              <w:ind w:firstLine="476" w:firstLineChars="200"/>
              <w:rPr>
                <w:highlight w:val="none"/>
                <w:lang w:eastAsia="zh-CN"/>
              </w:rPr>
            </w:pPr>
            <w:r>
              <w:rPr>
                <w:rFonts w:hint="eastAsia"/>
                <w:spacing w:val="-1"/>
                <w:highlight w:val="none"/>
                <w:lang w:val="en-US" w:eastAsia="zh-CN"/>
              </w:rPr>
              <w:t>本</w:t>
            </w:r>
            <w:r>
              <w:rPr>
                <w:spacing w:val="-1"/>
                <w:highlight w:val="none"/>
                <w:lang w:eastAsia="zh-CN"/>
              </w:rPr>
              <w:t>项目</w:t>
            </w:r>
            <w:r>
              <w:rPr>
                <w:rFonts w:hint="eastAsia"/>
                <w:spacing w:val="-1"/>
                <w:highlight w:val="none"/>
                <w:lang w:val="en-US" w:eastAsia="zh-CN"/>
              </w:rPr>
              <w:t>所有</w:t>
            </w:r>
            <w:r>
              <w:rPr>
                <w:spacing w:val="-1"/>
                <w:highlight w:val="none"/>
                <w:lang w:eastAsia="zh-CN"/>
              </w:rPr>
              <w:t>管道</w:t>
            </w:r>
            <w:r>
              <w:rPr>
                <w:rFonts w:hint="eastAsia"/>
                <w:spacing w:val="-1"/>
                <w:highlight w:val="none"/>
                <w:lang w:val="en-US" w:eastAsia="zh-CN"/>
              </w:rPr>
              <w:t>总长度</w:t>
            </w:r>
            <w:r>
              <w:rPr>
                <w:rFonts w:hint="eastAsia" w:ascii="Times New Roman" w:hAnsi="Times New Roman" w:cs="Times New Roman"/>
                <w:sz w:val="24"/>
                <w:highlight w:val="none"/>
                <w:lang w:val="en-US" w:eastAsia="zh-CN"/>
              </w:rPr>
              <w:t>16.333km，</w:t>
            </w:r>
            <w:r>
              <w:rPr>
                <w:spacing w:val="-1"/>
                <w:highlight w:val="none"/>
                <w:lang w:eastAsia="zh-CN"/>
              </w:rPr>
              <w:t>输送介质及基本参数如下表所示。</w:t>
            </w:r>
          </w:p>
          <w:p w14:paraId="4A37CEED">
            <w:pPr>
              <w:adjustRightInd w:val="0"/>
              <w:snapToGrid w:val="0"/>
              <w:spacing w:line="360" w:lineRule="auto"/>
              <w:jc w:val="center"/>
              <w:outlineLvl w:val="9"/>
              <w:rPr>
                <w:rFonts w:hint="eastAsia" w:ascii="Times New Roman" w:hAnsi="Times New Roman" w:eastAsia="宋体" w:cs="Times New Roman"/>
                <w:b/>
                <w:bCs/>
                <w:spacing w:val="0"/>
                <w:sz w:val="21"/>
                <w:szCs w:val="21"/>
                <w:highlight w:val="none"/>
              </w:rPr>
            </w:pPr>
            <w:r>
              <w:rPr>
                <w:rFonts w:hint="eastAsia" w:ascii="Times New Roman" w:hAnsi="Times New Roman" w:eastAsia="宋体" w:cs="Times New Roman"/>
                <w:b/>
                <w:bCs/>
                <w:spacing w:val="0"/>
                <w:sz w:val="21"/>
                <w:szCs w:val="21"/>
                <w:highlight w:val="none"/>
              </w:rPr>
              <w:t>表2-</w:t>
            </w:r>
            <w:r>
              <w:rPr>
                <w:rFonts w:hint="eastAsia" w:cs="Times New Roman"/>
                <w:b/>
                <w:bCs/>
                <w:spacing w:val="0"/>
                <w:sz w:val="21"/>
                <w:szCs w:val="21"/>
                <w:highlight w:val="none"/>
                <w:lang w:val="en-US" w:eastAsia="zh-CN"/>
              </w:rPr>
              <w:t xml:space="preserve">3 </w:t>
            </w:r>
            <w:r>
              <w:rPr>
                <w:rFonts w:hint="eastAsia" w:ascii="Times New Roman" w:hAnsi="Times New Roman" w:eastAsia="宋体" w:cs="Times New Roman"/>
                <w:b/>
                <w:bCs/>
                <w:spacing w:val="0"/>
                <w:sz w:val="21"/>
                <w:szCs w:val="21"/>
                <w:highlight w:val="none"/>
              </w:rPr>
              <w:t xml:space="preserve">  管道输送介质及基本参数</w:t>
            </w:r>
          </w:p>
          <w:tbl>
            <w:tblPr>
              <w:tblStyle w:val="19"/>
              <w:tblW w:w="4395" w:type="pct"/>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425"/>
              <w:gridCol w:w="682"/>
              <w:gridCol w:w="541"/>
              <w:gridCol w:w="741"/>
              <w:gridCol w:w="971"/>
              <w:gridCol w:w="1232"/>
              <w:gridCol w:w="1286"/>
              <w:gridCol w:w="798"/>
              <w:gridCol w:w="801"/>
            </w:tblGrid>
            <w:tr w14:paraId="1F5A543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70" w:hRule="atLeast"/>
                <w:jc w:val="center"/>
              </w:trPr>
              <w:tc>
                <w:tcPr>
                  <w:tcW w:w="284" w:type="pct"/>
                  <w:tcBorders>
                    <w:bottom w:val="single" w:color="000000" w:sz="4" w:space="0"/>
                    <w:right w:val="single" w:color="000000" w:sz="4" w:space="0"/>
                  </w:tcBorders>
                  <w:tcMar>
                    <w:left w:w="108" w:type="dxa"/>
                    <w:right w:w="108" w:type="dxa"/>
                  </w:tcMar>
                  <w:vAlign w:val="center"/>
                </w:tcPr>
                <w:p w14:paraId="072405F2">
                  <w:pPr>
                    <w:jc w:val="center"/>
                    <w:rPr>
                      <w:rFonts w:hint="eastAsia"/>
                      <w:sz w:val="21"/>
                      <w:szCs w:val="21"/>
                      <w:highlight w:val="none"/>
                      <w:lang w:val="en-US" w:eastAsia="zh-CN"/>
                    </w:rPr>
                  </w:pPr>
                  <w:r>
                    <w:rPr>
                      <w:rFonts w:hint="eastAsia"/>
                      <w:sz w:val="21"/>
                      <w:szCs w:val="21"/>
                      <w:highlight w:val="none"/>
                      <w:lang w:val="en-US" w:eastAsia="zh-CN"/>
                    </w:rPr>
                    <w:t>序号</w:t>
                  </w:r>
                </w:p>
              </w:tc>
              <w:tc>
                <w:tcPr>
                  <w:tcW w:w="456" w:type="pct"/>
                  <w:tcBorders>
                    <w:left w:val="single" w:color="000000" w:sz="4" w:space="0"/>
                    <w:bottom w:val="single" w:color="000000" w:sz="4" w:space="0"/>
                    <w:right w:val="single" w:color="000000" w:sz="4" w:space="0"/>
                  </w:tcBorders>
                  <w:tcMar>
                    <w:left w:w="108" w:type="dxa"/>
                    <w:right w:w="108" w:type="dxa"/>
                  </w:tcMar>
                  <w:vAlign w:val="center"/>
                </w:tcPr>
                <w:p w14:paraId="672840B5">
                  <w:pPr>
                    <w:jc w:val="center"/>
                    <w:rPr>
                      <w:rFonts w:hint="eastAsia"/>
                      <w:sz w:val="21"/>
                      <w:szCs w:val="21"/>
                      <w:highlight w:val="none"/>
                      <w:lang w:val="en-US" w:eastAsia="zh-CN"/>
                    </w:rPr>
                  </w:pPr>
                  <w:r>
                    <w:rPr>
                      <w:rFonts w:hint="eastAsia"/>
                      <w:sz w:val="21"/>
                      <w:szCs w:val="21"/>
                      <w:highlight w:val="none"/>
                      <w:lang w:val="en-US" w:eastAsia="zh-CN"/>
                    </w:rPr>
                    <w:t>介质名称</w:t>
                  </w:r>
                </w:p>
              </w:tc>
              <w:tc>
                <w:tcPr>
                  <w:tcW w:w="361" w:type="pct"/>
                  <w:tcBorders>
                    <w:left w:val="single" w:color="000000" w:sz="4" w:space="0"/>
                    <w:bottom w:val="single" w:color="000000" w:sz="4" w:space="0"/>
                    <w:right w:val="single" w:color="000000" w:sz="4" w:space="0"/>
                  </w:tcBorders>
                  <w:tcMar>
                    <w:left w:w="108" w:type="dxa"/>
                    <w:right w:w="108" w:type="dxa"/>
                  </w:tcMar>
                  <w:vAlign w:val="center"/>
                </w:tcPr>
                <w:p w14:paraId="4FC823D0">
                  <w:pPr>
                    <w:jc w:val="center"/>
                    <w:rPr>
                      <w:rFonts w:hint="eastAsia"/>
                      <w:sz w:val="21"/>
                      <w:szCs w:val="21"/>
                      <w:highlight w:val="none"/>
                      <w:lang w:val="en-US" w:eastAsia="zh-CN"/>
                    </w:rPr>
                  </w:pPr>
                  <w:r>
                    <w:rPr>
                      <w:rFonts w:hint="eastAsia"/>
                      <w:sz w:val="21"/>
                      <w:szCs w:val="21"/>
                      <w:highlight w:val="none"/>
                      <w:lang w:val="en-US" w:eastAsia="zh-CN"/>
                    </w:rPr>
                    <w:t>管径mm</w:t>
                  </w:r>
                </w:p>
              </w:tc>
              <w:tc>
                <w:tcPr>
                  <w:tcW w:w="495" w:type="pct"/>
                  <w:tcBorders>
                    <w:left w:val="single" w:color="000000" w:sz="4" w:space="0"/>
                    <w:bottom w:val="single" w:color="000000" w:sz="4" w:space="0"/>
                    <w:right w:val="single" w:color="000000" w:sz="4" w:space="0"/>
                  </w:tcBorders>
                  <w:tcMar>
                    <w:left w:w="108" w:type="dxa"/>
                    <w:right w:w="108" w:type="dxa"/>
                  </w:tcMar>
                  <w:vAlign w:val="center"/>
                </w:tcPr>
                <w:p w14:paraId="188DD06B">
                  <w:pPr>
                    <w:jc w:val="center"/>
                    <w:rPr>
                      <w:rFonts w:hint="eastAsia"/>
                      <w:sz w:val="21"/>
                      <w:szCs w:val="21"/>
                      <w:highlight w:val="none"/>
                      <w:lang w:val="en-US" w:eastAsia="zh-CN"/>
                    </w:rPr>
                  </w:pPr>
                  <w:r>
                    <w:rPr>
                      <w:rFonts w:hint="eastAsia"/>
                      <w:sz w:val="21"/>
                      <w:szCs w:val="21"/>
                      <w:highlight w:val="none"/>
                      <w:lang w:val="en-US" w:eastAsia="zh-CN"/>
                    </w:rPr>
                    <w:t>材质</w:t>
                  </w:r>
                </w:p>
              </w:tc>
              <w:tc>
                <w:tcPr>
                  <w:tcW w:w="649" w:type="pct"/>
                  <w:tcBorders>
                    <w:left w:val="single" w:color="000000" w:sz="4" w:space="0"/>
                    <w:bottom w:val="single" w:color="000000" w:sz="4" w:space="0"/>
                    <w:right w:val="single" w:color="000000" w:sz="4" w:space="0"/>
                  </w:tcBorders>
                  <w:tcMar>
                    <w:left w:w="108" w:type="dxa"/>
                    <w:right w:w="108" w:type="dxa"/>
                  </w:tcMar>
                  <w:vAlign w:val="center"/>
                </w:tcPr>
                <w:p w14:paraId="5EB2E133">
                  <w:pPr>
                    <w:jc w:val="center"/>
                    <w:rPr>
                      <w:rFonts w:hint="eastAsia"/>
                      <w:sz w:val="21"/>
                      <w:szCs w:val="21"/>
                      <w:highlight w:val="none"/>
                      <w:lang w:val="en-US" w:eastAsia="zh-CN"/>
                    </w:rPr>
                  </w:pPr>
                  <w:r>
                    <w:rPr>
                      <w:rFonts w:hint="eastAsia"/>
                      <w:sz w:val="21"/>
                      <w:szCs w:val="21"/>
                      <w:highlight w:val="none"/>
                      <w:lang w:val="en-US" w:eastAsia="zh-CN"/>
                    </w:rPr>
                    <w:t>操作参数T（</w:t>
                  </w:r>
                  <w:r>
                    <w:rPr>
                      <w:rFonts w:ascii="微软雅黑" w:hAnsi="微软雅黑" w:eastAsia="微软雅黑" w:cs="微软雅黑"/>
                      <w:i w:val="0"/>
                      <w:iCs w:val="0"/>
                      <w:caps w:val="0"/>
                      <w:color w:val="333333"/>
                      <w:spacing w:val="0"/>
                      <w:sz w:val="21"/>
                      <w:szCs w:val="21"/>
                      <w:highlight w:val="none"/>
                      <w:shd w:val="clear" w:fill="FFFFFF"/>
                    </w:rPr>
                    <w:t>℃</w:t>
                  </w:r>
                  <w:r>
                    <w:rPr>
                      <w:rFonts w:hint="eastAsia"/>
                      <w:sz w:val="21"/>
                      <w:szCs w:val="21"/>
                      <w:highlight w:val="none"/>
                      <w:lang w:val="en-US" w:eastAsia="zh-CN"/>
                    </w:rPr>
                    <w:t>）</w:t>
                  </w:r>
                </w:p>
                <w:p w14:paraId="6F988F12">
                  <w:pPr>
                    <w:jc w:val="center"/>
                    <w:rPr>
                      <w:rFonts w:hint="eastAsia"/>
                      <w:sz w:val="21"/>
                      <w:szCs w:val="21"/>
                      <w:highlight w:val="none"/>
                      <w:lang w:val="en-US" w:eastAsia="zh-CN"/>
                    </w:rPr>
                  </w:pPr>
                  <w:r>
                    <w:rPr>
                      <w:rFonts w:hint="eastAsia"/>
                      <w:sz w:val="21"/>
                      <w:szCs w:val="21"/>
                      <w:highlight w:val="none"/>
                      <w:lang w:val="en-US" w:eastAsia="zh-CN"/>
                    </w:rPr>
                    <w:t>P（MPa）</w:t>
                  </w:r>
                </w:p>
              </w:tc>
              <w:tc>
                <w:tcPr>
                  <w:tcW w:w="823" w:type="pct"/>
                  <w:tcBorders>
                    <w:left w:val="single" w:color="000000" w:sz="4" w:space="0"/>
                    <w:bottom w:val="single" w:color="000000" w:sz="4" w:space="0"/>
                    <w:right w:val="single" w:color="000000" w:sz="4" w:space="0"/>
                  </w:tcBorders>
                  <w:tcMar>
                    <w:left w:w="108" w:type="dxa"/>
                    <w:right w:w="108" w:type="dxa"/>
                  </w:tcMar>
                  <w:vAlign w:val="center"/>
                </w:tcPr>
                <w:p w14:paraId="675810D3">
                  <w:pPr>
                    <w:jc w:val="center"/>
                    <w:rPr>
                      <w:rFonts w:hint="eastAsia"/>
                      <w:sz w:val="21"/>
                      <w:szCs w:val="21"/>
                      <w:highlight w:val="none"/>
                      <w:lang w:val="en-US" w:eastAsia="zh-CN"/>
                    </w:rPr>
                  </w:pPr>
                  <w:r>
                    <w:rPr>
                      <w:rFonts w:hint="eastAsia"/>
                      <w:sz w:val="21"/>
                      <w:szCs w:val="21"/>
                      <w:highlight w:val="none"/>
                      <w:lang w:val="en-US" w:eastAsia="zh-CN"/>
                    </w:rPr>
                    <w:t>去向</w:t>
                  </w:r>
                </w:p>
              </w:tc>
              <w:tc>
                <w:tcPr>
                  <w:tcW w:w="859" w:type="pct"/>
                  <w:tcBorders>
                    <w:left w:val="single" w:color="000000" w:sz="4" w:space="0"/>
                    <w:bottom w:val="single" w:color="000000" w:sz="4" w:space="0"/>
                    <w:right w:val="single" w:color="000000" w:sz="4" w:space="0"/>
                  </w:tcBorders>
                  <w:tcMar>
                    <w:left w:w="108" w:type="dxa"/>
                    <w:right w:w="108" w:type="dxa"/>
                  </w:tcMar>
                  <w:vAlign w:val="center"/>
                </w:tcPr>
                <w:p w14:paraId="342D84A6">
                  <w:pPr>
                    <w:jc w:val="center"/>
                    <w:rPr>
                      <w:rFonts w:hint="eastAsia"/>
                      <w:sz w:val="21"/>
                      <w:szCs w:val="21"/>
                      <w:highlight w:val="none"/>
                      <w:lang w:val="en-US" w:eastAsia="zh-CN"/>
                    </w:rPr>
                  </w:pPr>
                  <w:r>
                    <w:rPr>
                      <w:rFonts w:hint="eastAsia"/>
                      <w:sz w:val="21"/>
                      <w:szCs w:val="21"/>
                      <w:highlight w:val="none"/>
                      <w:lang w:val="en-US" w:eastAsia="zh-CN"/>
                    </w:rPr>
                    <w:t>流量</w:t>
                  </w:r>
                </w:p>
              </w:tc>
              <w:tc>
                <w:tcPr>
                  <w:tcW w:w="533" w:type="pct"/>
                  <w:tcBorders>
                    <w:left w:val="single" w:color="000000" w:sz="4" w:space="0"/>
                    <w:bottom w:val="single" w:color="000000" w:sz="4" w:space="0"/>
                    <w:right w:val="single" w:color="000000" w:sz="4" w:space="0"/>
                  </w:tcBorders>
                  <w:tcMar>
                    <w:left w:w="108" w:type="dxa"/>
                    <w:right w:w="108" w:type="dxa"/>
                  </w:tcMar>
                  <w:vAlign w:val="center"/>
                </w:tcPr>
                <w:p w14:paraId="580FF127">
                  <w:pPr>
                    <w:jc w:val="center"/>
                    <w:rPr>
                      <w:rFonts w:hint="eastAsia"/>
                      <w:sz w:val="21"/>
                      <w:szCs w:val="21"/>
                      <w:highlight w:val="none"/>
                      <w:lang w:val="en-US" w:eastAsia="zh-CN"/>
                    </w:rPr>
                  </w:pPr>
                  <w:r>
                    <w:rPr>
                      <w:rFonts w:hint="eastAsia"/>
                      <w:sz w:val="21"/>
                      <w:szCs w:val="21"/>
                      <w:highlight w:val="none"/>
                      <w:lang w:val="en-US" w:eastAsia="zh-CN"/>
                    </w:rPr>
                    <w:t>压力等级</w:t>
                  </w:r>
                </w:p>
              </w:tc>
              <w:tc>
                <w:tcPr>
                  <w:tcW w:w="535" w:type="pct"/>
                  <w:tcBorders>
                    <w:left w:val="single" w:color="000000" w:sz="4" w:space="0"/>
                    <w:bottom w:val="single" w:color="000000" w:sz="4" w:space="0"/>
                  </w:tcBorders>
                  <w:tcMar>
                    <w:left w:w="108" w:type="dxa"/>
                    <w:right w:w="108" w:type="dxa"/>
                  </w:tcMar>
                  <w:vAlign w:val="center"/>
                </w:tcPr>
                <w:p w14:paraId="146E5C1E">
                  <w:pPr>
                    <w:jc w:val="center"/>
                    <w:rPr>
                      <w:rFonts w:hint="eastAsia"/>
                      <w:sz w:val="21"/>
                      <w:szCs w:val="21"/>
                      <w:highlight w:val="none"/>
                      <w:lang w:val="en-US" w:eastAsia="zh-CN"/>
                    </w:rPr>
                  </w:pPr>
                  <w:r>
                    <w:rPr>
                      <w:rFonts w:hint="eastAsia"/>
                      <w:sz w:val="21"/>
                      <w:szCs w:val="21"/>
                      <w:highlight w:val="none"/>
                      <w:lang w:val="en-US" w:eastAsia="zh-CN"/>
                    </w:rPr>
                    <w:t>长度（m）</w:t>
                  </w:r>
                </w:p>
              </w:tc>
            </w:tr>
            <w:tr w14:paraId="33DC682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50" w:hRule="atLeast"/>
                <w:jc w:val="center"/>
              </w:trPr>
              <w:tc>
                <w:tcPr>
                  <w:tcW w:w="284" w:type="pct"/>
                  <w:tcBorders>
                    <w:top w:val="single" w:color="000000" w:sz="4" w:space="0"/>
                    <w:bottom w:val="single" w:color="000000" w:sz="4" w:space="0"/>
                    <w:right w:val="single" w:color="000000" w:sz="4" w:space="0"/>
                  </w:tcBorders>
                  <w:tcMar>
                    <w:left w:w="108" w:type="dxa"/>
                    <w:right w:w="108" w:type="dxa"/>
                  </w:tcMar>
                  <w:vAlign w:val="center"/>
                </w:tcPr>
                <w:p w14:paraId="382FA095">
                  <w:pPr>
                    <w:jc w:val="center"/>
                    <w:rPr>
                      <w:rFonts w:hint="eastAsia"/>
                      <w:sz w:val="21"/>
                      <w:szCs w:val="21"/>
                      <w:highlight w:val="none"/>
                      <w:lang w:val="en-US" w:eastAsia="zh-CN"/>
                    </w:rPr>
                  </w:pPr>
                  <w:r>
                    <w:rPr>
                      <w:rFonts w:hint="eastAsia"/>
                      <w:sz w:val="21"/>
                      <w:szCs w:val="21"/>
                      <w:highlight w:val="none"/>
                      <w:lang w:val="en-US" w:eastAsia="zh-CN"/>
                    </w:rPr>
                    <w:t>1</w:t>
                  </w:r>
                </w:p>
              </w:tc>
              <w:tc>
                <w:tcPr>
                  <w:tcW w:w="45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CAA5486">
                  <w:pPr>
                    <w:spacing w:line="240" w:lineRule="auto"/>
                    <w:jc w:val="center"/>
                    <w:rPr>
                      <w:rFonts w:hint="eastAsia"/>
                      <w:sz w:val="21"/>
                      <w:szCs w:val="21"/>
                      <w:highlight w:val="none"/>
                      <w:lang w:val="en-US" w:eastAsia="zh-CN"/>
                    </w:rPr>
                  </w:pPr>
                  <w:r>
                    <w:rPr>
                      <w:rFonts w:hint="eastAsia"/>
                      <w:sz w:val="21"/>
                      <w:szCs w:val="21"/>
                      <w:highlight w:val="none"/>
                      <w:lang w:val="en-US" w:eastAsia="zh-CN"/>
                    </w:rPr>
                    <w:t>合成脱碳尾气</w:t>
                  </w:r>
                </w:p>
              </w:tc>
              <w:tc>
                <w:tcPr>
                  <w:tcW w:w="36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B2F10AC">
                  <w:pPr>
                    <w:jc w:val="center"/>
                    <w:rPr>
                      <w:rFonts w:hint="eastAsia"/>
                      <w:sz w:val="21"/>
                      <w:szCs w:val="21"/>
                      <w:highlight w:val="none"/>
                      <w:lang w:val="en-US" w:eastAsia="zh-CN"/>
                    </w:rPr>
                  </w:pPr>
                  <w:r>
                    <w:rPr>
                      <w:rFonts w:hint="eastAsia"/>
                      <w:sz w:val="21"/>
                      <w:szCs w:val="21"/>
                      <w:highlight w:val="none"/>
                      <w:lang w:val="en-US" w:eastAsia="zh-CN"/>
                    </w:rPr>
                    <w:t>200</w:t>
                  </w:r>
                </w:p>
              </w:tc>
              <w:tc>
                <w:tcPr>
                  <w:tcW w:w="49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ECA9860">
                  <w:pPr>
                    <w:jc w:val="center"/>
                    <w:rPr>
                      <w:rFonts w:hint="eastAsia"/>
                      <w:sz w:val="21"/>
                      <w:szCs w:val="21"/>
                      <w:highlight w:val="none"/>
                      <w:lang w:val="en-US" w:eastAsia="zh-CN"/>
                    </w:rPr>
                  </w:pPr>
                  <w:r>
                    <w:rPr>
                      <w:rFonts w:hint="eastAsia"/>
                      <w:sz w:val="21"/>
                      <w:szCs w:val="21"/>
                      <w:highlight w:val="none"/>
                      <w:lang w:val="en-US" w:eastAsia="zh-CN"/>
                    </w:rPr>
                    <w:t>20#</w:t>
                  </w:r>
                </w:p>
              </w:tc>
              <w:tc>
                <w:tcPr>
                  <w:tcW w:w="64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71720E9">
                  <w:pPr>
                    <w:jc w:val="center"/>
                    <w:rPr>
                      <w:rFonts w:hint="eastAsia"/>
                      <w:sz w:val="21"/>
                      <w:szCs w:val="21"/>
                      <w:highlight w:val="none"/>
                      <w:lang w:val="en-US" w:eastAsia="zh-CN"/>
                    </w:rPr>
                  </w:pPr>
                  <w:r>
                    <w:rPr>
                      <w:rFonts w:hint="eastAsia"/>
                      <w:sz w:val="21"/>
                      <w:szCs w:val="21"/>
                      <w:highlight w:val="none"/>
                      <w:lang w:val="en-US" w:eastAsia="zh-CN"/>
                    </w:rPr>
                    <w:t>50/3.2</w:t>
                  </w:r>
                </w:p>
              </w:tc>
              <w:tc>
                <w:tcPr>
                  <w:tcW w:w="82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0A1D225">
                  <w:pPr>
                    <w:jc w:val="center"/>
                    <w:rPr>
                      <w:rFonts w:hint="eastAsia"/>
                      <w:sz w:val="21"/>
                      <w:szCs w:val="21"/>
                      <w:highlight w:val="none"/>
                      <w:lang w:val="en-US" w:eastAsia="zh-CN"/>
                    </w:rPr>
                  </w:pPr>
                  <w:r>
                    <w:rPr>
                      <w:rFonts w:cs="Times New Roman"/>
                      <w:sz w:val="21"/>
                      <w:szCs w:val="21"/>
                      <w:highlight w:val="none"/>
                    </w:rPr>
                    <w:t>精细化学品示范项目化学品合成装置</w:t>
                  </w:r>
                  <w:r>
                    <w:rPr>
                      <w:rFonts w:hint="eastAsia" w:cs="Times New Roman"/>
                      <w:sz w:val="21"/>
                      <w:szCs w:val="21"/>
                      <w:highlight w:val="none"/>
                      <w:lang w:val="en-US" w:eastAsia="zh-CN"/>
                    </w:rPr>
                    <w:t>至</w:t>
                  </w:r>
                  <w:r>
                    <w:rPr>
                      <w:rFonts w:hint="eastAsia"/>
                      <w:color w:val="auto"/>
                      <w:highlight w:val="none"/>
                      <w:lang w:val="en-US" w:eastAsia="zh-CN"/>
                    </w:rPr>
                    <w:t>鹏泰</w:t>
                  </w:r>
                </w:p>
              </w:tc>
              <w:tc>
                <w:tcPr>
                  <w:tcW w:w="85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53A9C99">
                  <w:pPr>
                    <w:jc w:val="center"/>
                    <w:rPr>
                      <w:rFonts w:hint="eastAsia"/>
                      <w:sz w:val="21"/>
                      <w:szCs w:val="21"/>
                      <w:highlight w:val="none"/>
                      <w:lang w:val="en-US" w:eastAsia="zh-CN"/>
                    </w:rPr>
                  </w:pPr>
                  <w:r>
                    <w:rPr>
                      <w:rFonts w:hint="eastAsia"/>
                      <w:sz w:val="21"/>
                      <w:szCs w:val="21"/>
                      <w:highlight w:val="none"/>
                      <w:lang w:val="en-US" w:eastAsia="zh-CN"/>
                    </w:rPr>
                    <w:t>32365Nm</w:t>
                  </w:r>
                  <w:r>
                    <w:rPr>
                      <w:rFonts w:hint="eastAsia"/>
                      <w:sz w:val="21"/>
                      <w:szCs w:val="21"/>
                      <w:highlight w:val="none"/>
                      <w:vertAlign w:val="superscript"/>
                      <w:lang w:val="en-US" w:eastAsia="zh-CN"/>
                    </w:rPr>
                    <w:t>3</w:t>
                  </w:r>
                  <w:r>
                    <w:rPr>
                      <w:rFonts w:hint="eastAsia"/>
                      <w:sz w:val="21"/>
                      <w:szCs w:val="21"/>
                      <w:highlight w:val="none"/>
                      <w:lang w:val="en-US" w:eastAsia="zh-CN"/>
                    </w:rPr>
                    <w:t>/h</w:t>
                  </w:r>
                </w:p>
              </w:tc>
              <w:tc>
                <w:tcPr>
                  <w:tcW w:w="53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BC2583A">
                  <w:pPr>
                    <w:jc w:val="center"/>
                    <w:rPr>
                      <w:rFonts w:hint="eastAsia"/>
                      <w:sz w:val="21"/>
                      <w:szCs w:val="21"/>
                      <w:highlight w:val="none"/>
                      <w:lang w:val="en-US" w:eastAsia="zh-CN"/>
                    </w:rPr>
                  </w:pPr>
                  <w:r>
                    <w:rPr>
                      <w:rFonts w:hint="eastAsia"/>
                      <w:sz w:val="21"/>
                      <w:szCs w:val="21"/>
                      <w:highlight w:val="none"/>
                      <w:lang w:val="en-US" w:eastAsia="zh-CN"/>
                    </w:rPr>
                    <w:t>CL300</w:t>
                  </w:r>
                </w:p>
              </w:tc>
              <w:tc>
                <w:tcPr>
                  <w:tcW w:w="535" w:type="pct"/>
                  <w:tcBorders>
                    <w:top w:val="single" w:color="000000" w:sz="4" w:space="0"/>
                    <w:left w:val="single" w:color="000000" w:sz="4" w:space="0"/>
                    <w:bottom w:val="single" w:color="000000" w:sz="4" w:space="0"/>
                  </w:tcBorders>
                  <w:tcMar>
                    <w:left w:w="108" w:type="dxa"/>
                    <w:right w:w="108" w:type="dxa"/>
                  </w:tcMar>
                  <w:vAlign w:val="center"/>
                </w:tcPr>
                <w:p w14:paraId="7FDFB971">
                  <w:pPr>
                    <w:snapToGrid w:val="0"/>
                    <w:jc w:val="center"/>
                    <w:rPr>
                      <w:rFonts w:hint="eastAsia"/>
                      <w:sz w:val="21"/>
                      <w:szCs w:val="21"/>
                      <w:highlight w:val="none"/>
                      <w:lang w:val="en-US" w:eastAsia="zh-CN"/>
                    </w:rPr>
                  </w:pPr>
                  <w:r>
                    <w:rPr>
                      <w:rFonts w:hint="eastAsia"/>
                      <w:sz w:val="21"/>
                      <w:szCs w:val="21"/>
                      <w:highlight w:val="none"/>
                    </w:rPr>
                    <w:t>288</w:t>
                  </w:r>
                </w:p>
              </w:tc>
            </w:tr>
            <w:tr w14:paraId="1614D7B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50" w:hRule="atLeast"/>
                <w:jc w:val="center"/>
              </w:trPr>
              <w:tc>
                <w:tcPr>
                  <w:tcW w:w="284" w:type="pct"/>
                  <w:tcBorders>
                    <w:top w:val="single" w:color="000000" w:sz="4" w:space="0"/>
                    <w:bottom w:val="single" w:color="000000" w:sz="4" w:space="0"/>
                    <w:right w:val="single" w:color="000000" w:sz="4" w:space="0"/>
                  </w:tcBorders>
                  <w:tcMar>
                    <w:left w:w="108" w:type="dxa"/>
                    <w:right w:w="108" w:type="dxa"/>
                  </w:tcMar>
                  <w:vAlign w:val="center"/>
                </w:tcPr>
                <w:p w14:paraId="48EE9EE7">
                  <w:pPr>
                    <w:jc w:val="center"/>
                    <w:rPr>
                      <w:rFonts w:hint="eastAsia"/>
                      <w:sz w:val="21"/>
                      <w:szCs w:val="21"/>
                      <w:highlight w:val="none"/>
                      <w:lang w:val="en-US" w:eastAsia="zh-CN"/>
                    </w:rPr>
                  </w:pPr>
                  <w:r>
                    <w:rPr>
                      <w:rFonts w:hint="eastAsia"/>
                      <w:sz w:val="21"/>
                      <w:szCs w:val="21"/>
                      <w:highlight w:val="none"/>
                      <w:lang w:val="en-US" w:eastAsia="zh-CN"/>
                    </w:rPr>
                    <w:t>2</w:t>
                  </w:r>
                </w:p>
              </w:tc>
              <w:tc>
                <w:tcPr>
                  <w:tcW w:w="45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7AA983C">
                  <w:pPr>
                    <w:spacing w:line="240" w:lineRule="auto"/>
                    <w:jc w:val="center"/>
                    <w:rPr>
                      <w:rFonts w:hint="eastAsia"/>
                      <w:sz w:val="21"/>
                      <w:szCs w:val="21"/>
                      <w:highlight w:val="none"/>
                      <w:lang w:val="en-US" w:eastAsia="zh-CN"/>
                    </w:rPr>
                  </w:pPr>
                  <w:r>
                    <w:rPr>
                      <w:rFonts w:hint="eastAsia"/>
                      <w:sz w:val="21"/>
                      <w:szCs w:val="21"/>
                      <w:highlight w:val="none"/>
                      <w:lang w:val="en-US" w:eastAsia="zh-CN"/>
                    </w:rPr>
                    <w:t>未变换净化气</w:t>
                  </w:r>
                </w:p>
              </w:tc>
              <w:tc>
                <w:tcPr>
                  <w:tcW w:w="36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00E82ED">
                  <w:pPr>
                    <w:jc w:val="center"/>
                    <w:rPr>
                      <w:rFonts w:hint="eastAsia"/>
                      <w:sz w:val="21"/>
                      <w:szCs w:val="21"/>
                      <w:highlight w:val="none"/>
                      <w:lang w:val="en-US" w:eastAsia="zh-CN"/>
                    </w:rPr>
                  </w:pPr>
                  <w:r>
                    <w:rPr>
                      <w:rFonts w:hint="eastAsia"/>
                      <w:sz w:val="21"/>
                      <w:szCs w:val="21"/>
                      <w:highlight w:val="none"/>
                      <w:lang w:val="en-US" w:eastAsia="zh-CN"/>
                    </w:rPr>
                    <w:t>200</w:t>
                  </w:r>
                </w:p>
              </w:tc>
              <w:tc>
                <w:tcPr>
                  <w:tcW w:w="49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0047297">
                  <w:pPr>
                    <w:jc w:val="center"/>
                    <w:rPr>
                      <w:rFonts w:hint="eastAsia"/>
                      <w:sz w:val="21"/>
                      <w:szCs w:val="21"/>
                      <w:highlight w:val="none"/>
                      <w:lang w:val="en-US" w:eastAsia="zh-CN"/>
                    </w:rPr>
                  </w:pPr>
                  <w:r>
                    <w:rPr>
                      <w:rFonts w:hint="eastAsia"/>
                      <w:sz w:val="21"/>
                      <w:szCs w:val="21"/>
                      <w:highlight w:val="none"/>
                      <w:lang w:val="en-US" w:eastAsia="zh-CN"/>
                    </w:rPr>
                    <w:t>A333-6</w:t>
                  </w:r>
                </w:p>
              </w:tc>
              <w:tc>
                <w:tcPr>
                  <w:tcW w:w="64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56BC149">
                  <w:pPr>
                    <w:jc w:val="center"/>
                    <w:rPr>
                      <w:rFonts w:hint="eastAsia"/>
                      <w:sz w:val="21"/>
                      <w:szCs w:val="21"/>
                      <w:highlight w:val="none"/>
                      <w:lang w:val="en-US" w:eastAsia="zh-CN"/>
                    </w:rPr>
                  </w:pPr>
                  <w:r>
                    <w:rPr>
                      <w:rFonts w:hint="eastAsia"/>
                      <w:sz w:val="21"/>
                      <w:szCs w:val="21"/>
                      <w:highlight w:val="none"/>
                      <w:lang w:val="en-US" w:eastAsia="zh-CN"/>
                    </w:rPr>
                    <w:t>40/3.3</w:t>
                  </w:r>
                </w:p>
              </w:tc>
              <w:tc>
                <w:tcPr>
                  <w:tcW w:w="82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17739BD">
                  <w:pPr>
                    <w:jc w:val="center"/>
                    <w:rPr>
                      <w:rFonts w:hint="eastAsia"/>
                      <w:sz w:val="21"/>
                      <w:szCs w:val="21"/>
                      <w:highlight w:val="none"/>
                      <w:lang w:val="en-US" w:eastAsia="zh-CN"/>
                    </w:rPr>
                  </w:pPr>
                  <w:r>
                    <w:rPr>
                      <w:rFonts w:cs="Times New Roman"/>
                      <w:sz w:val="21"/>
                      <w:szCs w:val="21"/>
                      <w:highlight w:val="none"/>
                    </w:rPr>
                    <w:t>精细化学品示范项目净化装置</w:t>
                  </w:r>
                  <w:r>
                    <w:rPr>
                      <w:rFonts w:hint="eastAsia" w:cs="Times New Roman"/>
                      <w:sz w:val="21"/>
                      <w:szCs w:val="21"/>
                      <w:highlight w:val="none"/>
                      <w:lang w:val="en-US" w:eastAsia="zh-CN"/>
                    </w:rPr>
                    <w:t>送至鹏泰</w:t>
                  </w:r>
                </w:p>
              </w:tc>
              <w:tc>
                <w:tcPr>
                  <w:tcW w:w="85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6A210BD">
                  <w:pPr>
                    <w:jc w:val="center"/>
                    <w:rPr>
                      <w:rFonts w:hint="eastAsia"/>
                      <w:sz w:val="21"/>
                      <w:szCs w:val="21"/>
                      <w:highlight w:val="none"/>
                      <w:lang w:val="en-US" w:eastAsia="zh-CN"/>
                    </w:rPr>
                  </w:pPr>
                  <w:r>
                    <w:rPr>
                      <w:rFonts w:hint="eastAsia"/>
                      <w:sz w:val="21"/>
                      <w:szCs w:val="21"/>
                      <w:highlight w:val="none"/>
                      <w:lang w:val="en-US" w:eastAsia="zh-CN"/>
                    </w:rPr>
                    <w:t>59897Nm</w:t>
                  </w:r>
                  <w:r>
                    <w:rPr>
                      <w:rFonts w:hint="eastAsia"/>
                      <w:sz w:val="21"/>
                      <w:szCs w:val="21"/>
                      <w:highlight w:val="none"/>
                      <w:vertAlign w:val="superscript"/>
                      <w:lang w:val="en-US" w:eastAsia="zh-CN"/>
                    </w:rPr>
                    <w:t>3</w:t>
                  </w:r>
                  <w:r>
                    <w:rPr>
                      <w:rFonts w:hint="eastAsia"/>
                      <w:sz w:val="21"/>
                      <w:szCs w:val="21"/>
                      <w:highlight w:val="none"/>
                      <w:lang w:val="en-US" w:eastAsia="zh-CN"/>
                    </w:rPr>
                    <w:t>/h</w:t>
                  </w:r>
                </w:p>
              </w:tc>
              <w:tc>
                <w:tcPr>
                  <w:tcW w:w="53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36DB056">
                  <w:pPr>
                    <w:jc w:val="center"/>
                    <w:rPr>
                      <w:rFonts w:hint="eastAsia"/>
                      <w:sz w:val="21"/>
                      <w:szCs w:val="21"/>
                      <w:highlight w:val="none"/>
                      <w:lang w:val="en-US" w:eastAsia="zh-CN"/>
                    </w:rPr>
                  </w:pPr>
                  <w:r>
                    <w:rPr>
                      <w:rFonts w:hint="eastAsia"/>
                      <w:sz w:val="21"/>
                      <w:szCs w:val="21"/>
                      <w:highlight w:val="none"/>
                      <w:lang w:val="en-US" w:eastAsia="zh-CN"/>
                    </w:rPr>
                    <w:t>CL300</w:t>
                  </w:r>
                </w:p>
              </w:tc>
              <w:tc>
                <w:tcPr>
                  <w:tcW w:w="535" w:type="pct"/>
                  <w:tcBorders>
                    <w:top w:val="single" w:color="000000" w:sz="4" w:space="0"/>
                    <w:left w:val="single" w:color="000000" w:sz="4" w:space="0"/>
                    <w:bottom w:val="single" w:color="000000" w:sz="4" w:space="0"/>
                  </w:tcBorders>
                  <w:tcMar>
                    <w:left w:w="108" w:type="dxa"/>
                    <w:right w:w="108" w:type="dxa"/>
                  </w:tcMar>
                  <w:vAlign w:val="center"/>
                </w:tcPr>
                <w:p w14:paraId="55B484E5">
                  <w:pPr>
                    <w:snapToGrid w:val="0"/>
                    <w:jc w:val="center"/>
                    <w:rPr>
                      <w:rFonts w:hint="eastAsia"/>
                      <w:sz w:val="21"/>
                      <w:szCs w:val="21"/>
                      <w:highlight w:val="none"/>
                      <w:lang w:val="en-US" w:eastAsia="zh-CN"/>
                    </w:rPr>
                  </w:pPr>
                  <w:r>
                    <w:rPr>
                      <w:rFonts w:hint="eastAsia"/>
                      <w:sz w:val="21"/>
                      <w:szCs w:val="21"/>
                      <w:highlight w:val="none"/>
                    </w:rPr>
                    <w:t>597</w:t>
                  </w:r>
                </w:p>
              </w:tc>
            </w:tr>
            <w:tr w14:paraId="5D79D94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50" w:hRule="atLeast"/>
                <w:jc w:val="center"/>
              </w:trPr>
              <w:tc>
                <w:tcPr>
                  <w:tcW w:w="284" w:type="pct"/>
                  <w:tcBorders>
                    <w:top w:val="single" w:color="000000" w:sz="4" w:space="0"/>
                    <w:bottom w:val="single" w:color="000000" w:sz="4" w:space="0"/>
                    <w:right w:val="single" w:color="000000" w:sz="4" w:space="0"/>
                  </w:tcBorders>
                  <w:tcMar>
                    <w:left w:w="108" w:type="dxa"/>
                    <w:right w:w="108" w:type="dxa"/>
                  </w:tcMar>
                  <w:vAlign w:val="center"/>
                </w:tcPr>
                <w:p w14:paraId="1A98217F">
                  <w:pPr>
                    <w:jc w:val="center"/>
                    <w:rPr>
                      <w:rFonts w:hint="eastAsia"/>
                      <w:sz w:val="21"/>
                      <w:szCs w:val="21"/>
                      <w:highlight w:val="none"/>
                      <w:lang w:val="en-US" w:eastAsia="zh-CN"/>
                    </w:rPr>
                  </w:pPr>
                  <w:r>
                    <w:rPr>
                      <w:rFonts w:hint="eastAsia"/>
                      <w:sz w:val="21"/>
                      <w:szCs w:val="21"/>
                      <w:highlight w:val="none"/>
                      <w:lang w:val="en-US" w:eastAsia="zh-CN"/>
                    </w:rPr>
                    <w:t>3</w:t>
                  </w:r>
                </w:p>
              </w:tc>
              <w:tc>
                <w:tcPr>
                  <w:tcW w:w="45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CED9944">
                  <w:pPr>
                    <w:spacing w:line="240" w:lineRule="auto"/>
                    <w:jc w:val="center"/>
                    <w:rPr>
                      <w:rFonts w:hint="eastAsia"/>
                      <w:sz w:val="21"/>
                      <w:szCs w:val="21"/>
                      <w:highlight w:val="none"/>
                      <w:lang w:val="en-US" w:eastAsia="zh-CN"/>
                    </w:rPr>
                  </w:pPr>
                  <w:r>
                    <w:rPr>
                      <w:rFonts w:hint="eastAsia"/>
                      <w:sz w:val="21"/>
                      <w:szCs w:val="21"/>
                      <w:highlight w:val="none"/>
                      <w:lang w:val="en-US" w:eastAsia="zh-CN"/>
                    </w:rPr>
                    <w:t>尾气</w:t>
                  </w:r>
                </w:p>
              </w:tc>
              <w:tc>
                <w:tcPr>
                  <w:tcW w:w="36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2D72938">
                  <w:pPr>
                    <w:jc w:val="center"/>
                    <w:rPr>
                      <w:rFonts w:hint="eastAsia"/>
                      <w:sz w:val="21"/>
                      <w:szCs w:val="21"/>
                      <w:highlight w:val="none"/>
                      <w:lang w:val="en-US" w:eastAsia="zh-CN"/>
                    </w:rPr>
                  </w:pPr>
                  <w:r>
                    <w:rPr>
                      <w:rFonts w:hint="eastAsia"/>
                      <w:sz w:val="21"/>
                      <w:szCs w:val="21"/>
                      <w:highlight w:val="none"/>
                      <w:lang w:val="en-US" w:eastAsia="zh-CN"/>
                    </w:rPr>
                    <w:t>250</w:t>
                  </w:r>
                </w:p>
              </w:tc>
              <w:tc>
                <w:tcPr>
                  <w:tcW w:w="49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04A6216">
                  <w:pPr>
                    <w:jc w:val="center"/>
                    <w:rPr>
                      <w:rFonts w:hint="eastAsia"/>
                      <w:sz w:val="21"/>
                      <w:szCs w:val="21"/>
                      <w:highlight w:val="none"/>
                      <w:lang w:val="en-US" w:eastAsia="zh-CN"/>
                    </w:rPr>
                  </w:pPr>
                  <w:r>
                    <w:rPr>
                      <w:rFonts w:hint="eastAsia"/>
                      <w:sz w:val="21"/>
                      <w:szCs w:val="21"/>
                      <w:highlight w:val="none"/>
                      <w:lang w:val="en-US" w:eastAsia="zh-CN"/>
                    </w:rPr>
                    <w:t>304L</w:t>
                  </w:r>
                </w:p>
              </w:tc>
              <w:tc>
                <w:tcPr>
                  <w:tcW w:w="64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EC3257B">
                  <w:pPr>
                    <w:jc w:val="center"/>
                    <w:rPr>
                      <w:rFonts w:hint="default"/>
                      <w:sz w:val="21"/>
                      <w:szCs w:val="21"/>
                      <w:highlight w:val="none"/>
                      <w:lang w:val="en-US" w:eastAsia="zh-CN"/>
                    </w:rPr>
                  </w:pPr>
                  <w:r>
                    <w:rPr>
                      <w:rFonts w:hint="eastAsia"/>
                      <w:sz w:val="21"/>
                      <w:szCs w:val="21"/>
                      <w:highlight w:val="none"/>
                      <w:lang w:val="en-US" w:eastAsia="zh-CN"/>
                    </w:rPr>
                    <w:t>33/0.5</w:t>
                  </w:r>
                </w:p>
              </w:tc>
              <w:tc>
                <w:tcPr>
                  <w:tcW w:w="82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CCBF32E">
                  <w:pPr>
                    <w:pStyle w:val="38"/>
                    <w:ind w:firstLine="0" w:firstLineChars="0"/>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鹏泰至伊泰低温甲醇洗单元</w:t>
                  </w:r>
                </w:p>
              </w:tc>
              <w:tc>
                <w:tcPr>
                  <w:tcW w:w="85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4C5BA45">
                  <w:pPr>
                    <w:jc w:val="center"/>
                    <w:rPr>
                      <w:rFonts w:hint="eastAsia"/>
                      <w:sz w:val="21"/>
                      <w:szCs w:val="21"/>
                      <w:highlight w:val="none"/>
                      <w:lang w:val="en-US" w:eastAsia="zh-CN"/>
                    </w:rPr>
                  </w:pPr>
                  <w:r>
                    <w:rPr>
                      <w:rFonts w:hint="eastAsia"/>
                      <w:sz w:val="21"/>
                      <w:szCs w:val="21"/>
                      <w:highlight w:val="none"/>
                      <w:lang w:val="en-US" w:eastAsia="zh-CN"/>
                    </w:rPr>
                    <w:t>14324Nm</w:t>
                  </w:r>
                  <w:r>
                    <w:rPr>
                      <w:rFonts w:hint="eastAsia"/>
                      <w:sz w:val="21"/>
                      <w:szCs w:val="21"/>
                      <w:highlight w:val="none"/>
                      <w:vertAlign w:val="superscript"/>
                      <w:lang w:val="en-US" w:eastAsia="zh-CN"/>
                    </w:rPr>
                    <w:t>3</w:t>
                  </w:r>
                  <w:r>
                    <w:rPr>
                      <w:rFonts w:hint="eastAsia"/>
                      <w:sz w:val="21"/>
                      <w:szCs w:val="21"/>
                      <w:highlight w:val="none"/>
                      <w:lang w:val="en-US" w:eastAsia="zh-CN"/>
                    </w:rPr>
                    <w:t>/h</w:t>
                  </w:r>
                </w:p>
              </w:tc>
              <w:tc>
                <w:tcPr>
                  <w:tcW w:w="53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E8C0910">
                  <w:pPr>
                    <w:jc w:val="center"/>
                    <w:rPr>
                      <w:rFonts w:hint="eastAsia"/>
                      <w:sz w:val="21"/>
                      <w:szCs w:val="21"/>
                      <w:highlight w:val="none"/>
                      <w:lang w:val="en-US" w:eastAsia="zh-CN"/>
                    </w:rPr>
                  </w:pPr>
                  <w:r>
                    <w:rPr>
                      <w:rFonts w:hint="eastAsia"/>
                      <w:sz w:val="21"/>
                      <w:szCs w:val="21"/>
                      <w:highlight w:val="none"/>
                      <w:lang w:val="en-US" w:eastAsia="zh-CN"/>
                    </w:rPr>
                    <w:t>CL150</w:t>
                  </w:r>
                </w:p>
              </w:tc>
              <w:tc>
                <w:tcPr>
                  <w:tcW w:w="535" w:type="pct"/>
                  <w:tcBorders>
                    <w:top w:val="single" w:color="000000" w:sz="4" w:space="0"/>
                    <w:left w:val="single" w:color="000000" w:sz="4" w:space="0"/>
                    <w:bottom w:val="single" w:color="000000" w:sz="4" w:space="0"/>
                  </w:tcBorders>
                  <w:tcMar>
                    <w:left w:w="108" w:type="dxa"/>
                    <w:right w:w="108" w:type="dxa"/>
                  </w:tcMar>
                  <w:vAlign w:val="center"/>
                </w:tcPr>
                <w:p w14:paraId="66916E2B">
                  <w:pPr>
                    <w:snapToGrid w:val="0"/>
                    <w:jc w:val="center"/>
                    <w:rPr>
                      <w:rFonts w:hint="eastAsia"/>
                      <w:sz w:val="21"/>
                      <w:szCs w:val="21"/>
                      <w:highlight w:val="none"/>
                      <w:lang w:val="en-US" w:eastAsia="zh-CN"/>
                    </w:rPr>
                  </w:pPr>
                  <w:r>
                    <w:rPr>
                      <w:rFonts w:hint="eastAsia"/>
                      <w:sz w:val="21"/>
                      <w:szCs w:val="21"/>
                      <w:highlight w:val="none"/>
                    </w:rPr>
                    <w:t>417</w:t>
                  </w:r>
                </w:p>
              </w:tc>
            </w:tr>
            <w:tr w14:paraId="1C5F022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821" w:hRule="atLeast"/>
                <w:jc w:val="center"/>
              </w:trPr>
              <w:tc>
                <w:tcPr>
                  <w:tcW w:w="284" w:type="pct"/>
                  <w:tcBorders>
                    <w:top w:val="single" w:color="000000" w:sz="4" w:space="0"/>
                    <w:bottom w:val="single" w:color="000000" w:sz="4" w:space="0"/>
                    <w:right w:val="single" w:color="000000" w:sz="4" w:space="0"/>
                  </w:tcBorders>
                  <w:tcMar>
                    <w:left w:w="108" w:type="dxa"/>
                    <w:right w:w="108" w:type="dxa"/>
                  </w:tcMar>
                  <w:vAlign w:val="center"/>
                </w:tcPr>
                <w:p w14:paraId="5DEA0782">
                  <w:pPr>
                    <w:jc w:val="center"/>
                    <w:rPr>
                      <w:rFonts w:hint="eastAsia"/>
                      <w:sz w:val="21"/>
                      <w:szCs w:val="21"/>
                      <w:highlight w:val="none"/>
                      <w:lang w:val="en-US" w:eastAsia="zh-CN"/>
                    </w:rPr>
                  </w:pPr>
                  <w:r>
                    <w:rPr>
                      <w:rFonts w:hint="eastAsia"/>
                      <w:sz w:val="21"/>
                      <w:szCs w:val="21"/>
                      <w:highlight w:val="none"/>
                      <w:lang w:val="en-US" w:eastAsia="zh-CN"/>
                    </w:rPr>
                    <w:t>4</w:t>
                  </w:r>
                </w:p>
              </w:tc>
              <w:tc>
                <w:tcPr>
                  <w:tcW w:w="45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BBE8195">
                  <w:pPr>
                    <w:spacing w:line="240" w:lineRule="auto"/>
                    <w:jc w:val="center"/>
                    <w:rPr>
                      <w:rFonts w:hint="eastAsia"/>
                      <w:sz w:val="21"/>
                      <w:szCs w:val="21"/>
                      <w:highlight w:val="none"/>
                      <w:lang w:val="en-US" w:eastAsia="zh-CN"/>
                    </w:rPr>
                  </w:pPr>
                  <w:r>
                    <w:rPr>
                      <w:rFonts w:hint="eastAsia"/>
                      <w:sz w:val="21"/>
                      <w:szCs w:val="21"/>
                      <w:highlight w:val="none"/>
                      <w:lang w:val="en-US" w:eastAsia="zh-CN"/>
                    </w:rPr>
                    <w:t>WTR甲烷气</w:t>
                  </w:r>
                </w:p>
              </w:tc>
              <w:tc>
                <w:tcPr>
                  <w:tcW w:w="36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0E0639B">
                  <w:pPr>
                    <w:jc w:val="center"/>
                    <w:rPr>
                      <w:rFonts w:hint="eastAsia"/>
                      <w:sz w:val="21"/>
                      <w:szCs w:val="21"/>
                      <w:highlight w:val="none"/>
                      <w:lang w:val="en-US" w:eastAsia="zh-CN"/>
                    </w:rPr>
                  </w:pPr>
                  <w:r>
                    <w:rPr>
                      <w:rFonts w:hint="eastAsia"/>
                      <w:sz w:val="21"/>
                      <w:szCs w:val="21"/>
                      <w:highlight w:val="none"/>
                      <w:lang w:val="en-US" w:eastAsia="zh-CN"/>
                    </w:rPr>
                    <w:t>150</w:t>
                  </w:r>
                </w:p>
              </w:tc>
              <w:tc>
                <w:tcPr>
                  <w:tcW w:w="49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1DEDE0E">
                  <w:pPr>
                    <w:jc w:val="center"/>
                    <w:rPr>
                      <w:rFonts w:hint="eastAsia"/>
                      <w:sz w:val="21"/>
                      <w:szCs w:val="21"/>
                      <w:highlight w:val="none"/>
                      <w:lang w:val="en-US" w:eastAsia="zh-CN"/>
                    </w:rPr>
                  </w:pPr>
                  <w:r>
                    <w:rPr>
                      <w:rFonts w:hint="eastAsia"/>
                      <w:sz w:val="21"/>
                      <w:szCs w:val="21"/>
                      <w:highlight w:val="none"/>
                      <w:lang w:val="en-US" w:eastAsia="zh-CN"/>
                    </w:rPr>
                    <w:t>20#</w:t>
                  </w:r>
                </w:p>
              </w:tc>
              <w:tc>
                <w:tcPr>
                  <w:tcW w:w="64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CBC7F87">
                  <w:pPr>
                    <w:jc w:val="center"/>
                    <w:rPr>
                      <w:rFonts w:hint="eastAsia"/>
                      <w:sz w:val="21"/>
                      <w:szCs w:val="21"/>
                      <w:highlight w:val="none"/>
                      <w:lang w:val="en-US" w:eastAsia="zh-CN"/>
                    </w:rPr>
                  </w:pPr>
                  <w:r>
                    <w:rPr>
                      <w:rFonts w:hint="eastAsia"/>
                      <w:sz w:val="21"/>
                      <w:szCs w:val="21"/>
                      <w:highlight w:val="none"/>
                      <w:lang w:val="en-US" w:eastAsia="zh-CN"/>
                    </w:rPr>
                    <w:t>AMB/0.4</w:t>
                  </w:r>
                </w:p>
              </w:tc>
              <w:tc>
                <w:tcPr>
                  <w:tcW w:w="82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A1F93CD">
                  <w:pPr>
                    <w:pStyle w:val="38"/>
                    <w:ind w:firstLine="0" w:firstLineChars="0"/>
                    <w:rPr>
                      <w:rFonts w:hint="eastAsia"/>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鹏泰至烷烃分离车间</w:t>
                  </w:r>
                </w:p>
              </w:tc>
              <w:tc>
                <w:tcPr>
                  <w:tcW w:w="85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4D2BEC9">
                  <w:pPr>
                    <w:jc w:val="center"/>
                    <w:rPr>
                      <w:rFonts w:hint="eastAsia"/>
                      <w:sz w:val="21"/>
                      <w:szCs w:val="21"/>
                      <w:highlight w:val="none"/>
                      <w:lang w:val="en-US" w:eastAsia="zh-CN"/>
                    </w:rPr>
                  </w:pPr>
                  <w:r>
                    <w:rPr>
                      <w:rFonts w:hint="eastAsia"/>
                      <w:sz w:val="21"/>
                      <w:szCs w:val="21"/>
                      <w:highlight w:val="none"/>
                      <w:lang w:val="en-US" w:eastAsia="zh-CN"/>
                    </w:rPr>
                    <w:t>1650Nm</w:t>
                  </w:r>
                  <w:r>
                    <w:rPr>
                      <w:rFonts w:hint="eastAsia"/>
                      <w:sz w:val="21"/>
                      <w:szCs w:val="21"/>
                      <w:highlight w:val="none"/>
                      <w:vertAlign w:val="superscript"/>
                      <w:lang w:val="en-US" w:eastAsia="zh-CN"/>
                    </w:rPr>
                    <w:t>3</w:t>
                  </w:r>
                  <w:r>
                    <w:rPr>
                      <w:rFonts w:hint="eastAsia"/>
                      <w:sz w:val="21"/>
                      <w:szCs w:val="21"/>
                      <w:highlight w:val="none"/>
                      <w:lang w:val="en-US" w:eastAsia="zh-CN"/>
                    </w:rPr>
                    <w:t>/h</w:t>
                  </w:r>
                </w:p>
              </w:tc>
              <w:tc>
                <w:tcPr>
                  <w:tcW w:w="53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A49F787">
                  <w:pPr>
                    <w:jc w:val="center"/>
                    <w:rPr>
                      <w:rFonts w:hint="eastAsia"/>
                      <w:sz w:val="21"/>
                      <w:szCs w:val="21"/>
                      <w:highlight w:val="none"/>
                      <w:lang w:val="en-US" w:eastAsia="zh-CN"/>
                    </w:rPr>
                  </w:pPr>
                  <w:r>
                    <w:rPr>
                      <w:rFonts w:hint="eastAsia"/>
                      <w:sz w:val="21"/>
                      <w:szCs w:val="21"/>
                      <w:highlight w:val="none"/>
                      <w:lang w:val="en-US" w:eastAsia="zh-CN"/>
                    </w:rPr>
                    <w:t>CL150</w:t>
                  </w:r>
                </w:p>
              </w:tc>
              <w:tc>
                <w:tcPr>
                  <w:tcW w:w="535" w:type="pct"/>
                  <w:tcBorders>
                    <w:top w:val="single" w:color="000000" w:sz="4" w:space="0"/>
                    <w:left w:val="single" w:color="000000" w:sz="4" w:space="0"/>
                    <w:bottom w:val="single" w:color="000000" w:sz="4" w:space="0"/>
                  </w:tcBorders>
                  <w:tcMar>
                    <w:left w:w="108" w:type="dxa"/>
                    <w:right w:w="108" w:type="dxa"/>
                  </w:tcMar>
                  <w:vAlign w:val="center"/>
                </w:tcPr>
                <w:p w14:paraId="4D7E0F8B">
                  <w:pPr>
                    <w:snapToGrid w:val="0"/>
                    <w:jc w:val="center"/>
                    <w:rPr>
                      <w:rFonts w:hint="eastAsia"/>
                      <w:sz w:val="21"/>
                      <w:szCs w:val="21"/>
                      <w:highlight w:val="none"/>
                      <w:lang w:val="en-US" w:eastAsia="zh-CN"/>
                    </w:rPr>
                  </w:pPr>
                  <w:r>
                    <w:rPr>
                      <w:rFonts w:hint="eastAsia"/>
                      <w:sz w:val="21"/>
                      <w:szCs w:val="21"/>
                      <w:highlight w:val="none"/>
                    </w:rPr>
                    <w:t>961</w:t>
                  </w:r>
                </w:p>
              </w:tc>
            </w:tr>
            <w:tr w14:paraId="512E291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50" w:hRule="atLeast"/>
                <w:jc w:val="center"/>
              </w:trPr>
              <w:tc>
                <w:tcPr>
                  <w:tcW w:w="284" w:type="pct"/>
                  <w:tcBorders>
                    <w:top w:val="single" w:color="000000" w:sz="4" w:space="0"/>
                    <w:bottom w:val="single" w:color="000000" w:sz="4" w:space="0"/>
                    <w:right w:val="single" w:color="000000" w:sz="4" w:space="0"/>
                  </w:tcBorders>
                  <w:tcMar>
                    <w:left w:w="108" w:type="dxa"/>
                    <w:right w:w="108" w:type="dxa"/>
                  </w:tcMar>
                  <w:vAlign w:val="center"/>
                </w:tcPr>
                <w:p w14:paraId="574259BE">
                  <w:pPr>
                    <w:jc w:val="center"/>
                    <w:rPr>
                      <w:rFonts w:hint="eastAsia"/>
                      <w:sz w:val="21"/>
                      <w:szCs w:val="21"/>
                      <w:highlight w:val="none"/>
                      <w:lang w:val="en-US" w:eastAsia="zh-CN"/>
                    </w:rPr>
                  </w:pPr>
                  <w:r>
                    <w:rPr>
                      <w:rFonts w:hint="eastAsia"/>
                      <w:sz w:val="21"/>
                      <w:szCs w:val="21"/>
                      <w:highlight w:val="none"/>
                      <w:lang w:val="en-US" w:eastAsia="zh-CN"/>
                    </w:rPr>
                    <w:t>5</w:t>
                  </w:r>
                </w:p>
              </w:tc>
              <w:tc>
                <w:tcPr>
                  <w:tcW w:w="45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1AB6DBA">
                  <w:pPr>
                    <w:spacing w:line="240" w:lineRule="auto"/>
                    <w:jc w:val="center"/>
                    <w:rPr>
                      <w:rFonts w:hint="eastAsia"/>
                      <w:sz w:val="21"/>
                      <w:szCs w:val="21"/>
                      <w:highlight w:val="none"/>
                      <w:lang w:val="en-US" w:eastAsia="zh-CN"/>
                    </w:rPr>
                  </w:pPr>
                  <w:r>
                    <w:rPr>
                      <w:rFonts w:hint="eastAsia"/>
                      <w:sz w:val="21"/>
                      <w:szCs w:val="21"/>
                      <w:highlight w:val="none"/>
                      <w:lang w:val="en-US" w:eastAsia="zh-CN"/>
                    </w:rPr>
                    <w:t>甲烷</w:t>
                  </w:r>
                </w:p>
              </w:tc>
              <w:tc>
                <w:tcPr>
                  <w:tcW w:w="36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BE8F02C">
                  <w:pPr>
                    <w:jc w:val="center"/>
                    <w:rPr>
                      <w:rFonts w:hint="eastAsia"/>
                      <w:sz w:val="21"/>
                      <w:szCs w:val="21"/>
                      <w:highlight w:val="none"/>
                      <w:lang w:val="en-US" w:eastAsia="zh-CN"/>
                    </w:rPr>
                  </w:pPr>
                  <w:r>
                    <w:rPr>
                      <w:rFonts w:hint="eastAsia"/>
                      <w:sz w:val="21"/>
                      <w:szCs w:val="21"/>
                      <w:highlight w:val="none"/>
                      <w:lang w:val="en-US" w:eastAsia="zh-CN"/>
                    </w:rPr>
                    <w:t>150</w:t>
                  </w:r>
                </w:p>
              </w:tc>
              <w:tc>
                <w:tcPr>
                  <w:tcW w:w="49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A1A5F34">
                  <w:pPr>
                    <w:jc w:val="center"/>
                    <w:rPr>
                      <w:rFonts w:hint="eastAsia"/>
                      <w:sz w:val="21"/>
                      <w:szCs w:val="21"/>
                      <w:highlight w:val="none"/>
                      <w:lang w:val="en-US" w:eastAsia="zh-CN"/>
                    </w:rPr>
                  </w:pPr>
                  <w:r>
                    <w:rPr>
                      <w:rFonts w:hint="eastAsia"/>
                      <w:sz w:val="21"/>
                      <w:szCs w:val="21"/>
                      <w:highlight w:val="none"/>
                      <w:lang w:val="en-US" w:eastAsia="zh-CN"/>
                    </w:rPr>
                    <w:t>304</w:t>
                  </w:r>
                </w:p>
              </w:tc>
              <w:tc>
                <w:tcPr>
                  <w:tcW w:w="64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037F6FF">
                  <w:pPr>
                    <w:jc w:val="center"/>
                    <w:rPr>
                      <w:rFonts w:hint="eastAsia"/>
                      <w:sz w:val="21"/>
                      <w:szCs w:val="21"/>
                      <w:highlight w:val="none"/>
                      <w:lang w:val="en-US" w:eastAsia="zh-CN"/>
                    </w:rPr>
                  </w:pPr>
                  <w:r>
                    <w:rPr>
                      <w:rFonts w:hint="eastAsia"/>
                      <w:sz w:val="21"/>
                      <w:szCs w:val="21"/>
                      <w:highlight w:val="none"/>
                      <w:lang w:val="en-US" w:eastAsia="zh-CN"/>
                    </w:rPr>
                    <w:t>AMB/0.8</w:t>
                  </w:r>
                </w:p>
              </w:tc>
              <w:tc>
                <w:tcPr>
                  <w:tcW w:w="82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ED9B097">
                  <w:pPr>
                    <w:pStyle w:val="38"/>
                    <w:ind w:firstLine="0" w:firstLineChars="0"/>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伊泰至鹏泰甲烷气管网系统</w:t>
                  </w:r>
                </w:p>
              </w:tc>
              <w:tc>
                <w:tcPr>
                  <w:tcW w:w="85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AB4B9DD">
                  <w:pPr>
                    <w:jc w:val="center"/>
                    <w:rPr>
                      <w:rFonts w:hint="eastAsia"/>
                      <w:sz w:val="21"/>
                      <w:szCs w:val="21"/>
                      <w:highlight w:val="none"/>
                      <w:lang w:val="en-US" w:eastAsia="zh-CN"/>
                    </w:rPr>
                  </w:pPr>
                  <w:r>
                    <w:rPr>
                      <w:rFonts w:hint="eastAsia"/>
                      <w:sz w:val="21"/>
                      <w:szCs w:val="21"/>
                      <w:highlight w:val="none"/>
                      <w:lang w:val="en-US" w:eastAsia="zh-CN"/>
                    </w:rPr>
                    <w:t>1000Nm</w:t>
                  </w:r>
                  <w:r>
                    <w:rPr>
                      <w:rFonts w:hint="eastAsia"/>
                      <w:sz w:val="21"/>
                      <w:szCs w:val="21"/>
                      <w:highlight w:val="none"/>
                      <w:vertAlign w:val="superscript"/>
                      <w:lang w:val="en-US" w:eastAsia="zh-CN"/>
                    </w:rPr>
                    <w:t>3</w:t>
                  </w:r>
                  <w:r>
                    <w:rPr>
                      <w:rFonts w:hint="eastAsia"/>
                      <w:sz w:val="21"/>
                      <w:szCs w:val="21"/>
                      <w:highlight w:val="none"/>
                      <w:lang w:val="en-US" w:eastAsia="zh-CN"/>
                    </w:rPr>
                    <w:t>/h</w:t>
                  </w:r>
                </w:p>
              </w:tc>
              <w:tc>
                <w:tcPr>
                  <w:tcW w:w="53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46C7D05">
                  <w:pPr>
                    <w:jc w:val="center"/>
                    <w:rPr>
                      <w:rFonts w:hint="eastAsia"/>
                      <w:sz w:val="21"/>
                      <w:szCs w:val="21"/>
                      <w:highlight w:val="none"/>
                      <w:lang w:val="en-US" w:eastAsia="zh-CN"/>
                    </w:rPr>
                  </w:pPr>
                  <w:r>
                    <w:rPr>
                      <w:rFonts w:hint="eastAsia"/>
                      <w:sz w:val="21"/>
                      <w:szCs w:val="21"/>
                      <w:highlight w:val="none"/>
                      <w:lang w:val="en-US" w:eastAsia="zh-CN"/>
                    </w:rPr>
                    <w:t>CL150</w:t>
                  </w:r>
                </w:p>
              </w:tc>
              <w:tc>
                <w:tcPr>
                  <w:tcW w:w="535" w:type="pct"/>
                  <w:tcBorders>
                    <w:top w:val="single" w:color="000000" w:sz="4" w:space="0"/>
                    <w:left w:val="single" w:color="000000" w:sz="4" w:space="0"/>
                    <w:bottom w:val="single" w:color="000000" w:sz="4" w:space="0"/>
                  </w:tcBorders>
                  <w:tcMar>
                    <w:left w:w="108" w:type="dxa"/>
                    <w:right w:w="108" w:type="dxa"/>
                  </w:tcMar>
                  <w:vAlign w:val="center"/>
                </w:tcPr>
                <w:p w14:paraId="2C9F7615">
                  <w:pPr>
                    <w:snapToGrid w:val="0"/>
                    <w:jc w:val="center"/>
                    <w:rPr>
                      <w:rFonts w:hint="eastAsia"/>
                      <w:sz w:val="21"/>
                      <w:szCs w:val="21"/>
                      <w:highlight w:val="none"/>
                      <w:lang w:val="en-US" w:eastAsia="zh-CN"/>
                    </w:rPr>
                  </w:pPr>
                  <w:r>
                    <w:rPr>
                      <w:rFonts w:hint="eastAsia"/>
                      <w:sz w:val="21"/>
                      <w:szCs w:val="21"/>
                      <w:highlight w:val="none"/>
                    </w:rPr>
                    <w:t>904</w:t>
                  </w:r>
                </w:p>
              </w:tc>
            </w:tr>
            <w:tr w14:paraId="6E14D77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50" w:hRule="atLeast"/>
                <w:jc w:val="center"/>
              </w:trPr>
              <w:tc>
                <w:tcPr>
                  <w:tcW w:w="284" w:type="pct"/>
                  <w:tcBorders>
                    <w:top w:val="single" w:color="000000" w:sz="4" w:space="0"/>
                    <w:bottom w:val="single" w:color="000000" w:sz="4" w:space="0"/>
                    <w:right w:val="single" w:color="000000" w:sz="4" w:space="0"/>
                  </w:tcBorders>
                  <w:tcMar>
                    <w:left w:w="108" w:type="dxa"/>
                    <w:right w:w="108" w:type="dxa"/>
                  </w:tcMar>
                  <w:vAlign w:val="center"/>
                </w:tcPr>
                <w:p w14:paraId="352231E7">
                  <w:pPr>
                    <w:jc w:val="center"/>
                    <w:rPr>
                      <w:rFonts w:hint="eastAsia"/>
                      <w:sz w:val="21"/>
                      <w:szCs w:val="21"/>
                      <w:highlight w:val="none"/>
                      <w:lang w:val="en-US" w:eastAsia="zh-CN"/>
                    </w:rPr>
                  </w:pPr>
                  <w:r>
                    <w:rPr>
                      <w:rFonts w:hint="eastAsia"/>
                      <w:sz w:val="21"/>
                      <w:szCs w:val="21"/>
                      <w:highlight w:val="none"/>
                      <w:lang w:val="en-US" w:eastAsia="zh-CN"/>
                    </w:rPr>
                    <w:t>6</w:t>
                  </w:r>
                </w:p>
              </w:tc>
              <w:tc>
                <w:tcPr>
                  <w:tcW w:w="45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17447A6">
                  <w:pPr>
                    <w:spacing w:line="240" w:lineRule="auto"/>
                    <w:jc w:val="center"/>
                    <w:rPr>
                      <w:rFonts w:hint="eastAsia"/>
                      <w:sz w:val="21"/>
                      <w:szCs w:val="21"/>
                      <w:highlight w:val="none"/>
                      <w:lang w:val="en-US" w:eastAsia="zh-CN"/>
                    </w:rPr>
                  </w:pPr>
                  <w:r>
                    <w:rPr>
                      <w:rFonts w:hint="eastAsia"/>
                      <w:sz w:val="21"/>
                      <w:szCs w:val="21"/>
                      <w:highlight w:val="none"/>
                      <w:lang w:val="en-US" w:eastAsia="zh-CN"/>
                    </w:rPr>
                    <w:t>低压含烃火炬气</w:t>
                  </w:r>
                </w:p>
              </w:tc>
              <w:tc>
                <w:tcPr>
                  <w:tcW w:w="36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CDD3CAA">
                  <w:pPr>
                    <w:jc w:val="center"/>
                    <w:rPr>
                      <w:rFonts w:hint="eastAsia"/>
                      <w:sz w:val="21"/>
                      <w:szCs w:val="21"/>
                      <w:highlight w:val="none"/>
                      <w:lang w:val="en-US" w:eastAsia="zh-CN"/>
                    </w:rPr>
                  </w:pPr>
                  <w:r>
                    <w:rPr>
                      <w:rFonts w:hint="eastAsia"/>
                      <w:sz w:val="21"/>
                      <w:szCs w:val="21"/>
                      <w:highlight w:val="none"/>
                      <w:lang w:val="en-US" w:eastAsia="zh-CN"/>
                    </w:rPr>
                    <w:t>450</w:t>
                  </w:r>
                </w:p>
              </w:tc>
              <w:tc>
                <w:tcPr>
                  <w:tcW w:w="49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295F12A">
                  <w:pPr>
                    <w:jc w:val="center"/>
                    <w:rPr>
                      <w:rFonts w:hint="eastAsia"/>
                      <w:sz w:val="21"/>
                      <w:szCs w:val="21"/>
                      <w:highlight w:val="none"/>
                      <w:lang w:val="en-US" w:eastAsia="zh-CN"/>
                    </w:rPr>
                  </w:pPr>
                  <w:r>
                    <w:rPr>
                      <w:rFonts w:hint="eastAsia"/>
                      <w:sz w:val="21"/>
                      <w:szCs w:val="21"/>
                      <w:highlight w:val="none"/>
                      <w:lang w:val="en-US" w:eastAsia="zh-CN"/>
                    </w:rPr>
                    <w:t>L245</w:t>
                  </w:r>
                </w:p>
              </w:tc>
              <w:tc>
                <w:tcPr>
                  <w:tcW w:w="64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FBAB146">
                  <w:pPr>
                    <w:jc w:val="center"/>
                    <w:rPr>
                      <w:rFonts w:hint="eastAsia"/>
                      <w:sz w:val="21"/>
                      <w:szCs w:val="21"/>
                      <w:highlight w:val="none"/>
                      <w:lang w:val="en-US" w:eastAsia="zh-CN"/>
                    </w:rPr>
                  </w:pPr>
                  <w:r>
                    <w:rPr>
                      <w:rFonts w:hint="eastAsia"/>
                      <w:sz w:val="21"/>
                      <w:szCs w:val="21"/>
                      <w:highlight w:val="none"/>
                      <w:lang w:val="en-US" w:eastAsia="zh-CN"/>
                    </w:rPr>
                    <w:t>40/0.15</w:t>
                  </w:r>
                </w:p>
              </w:tc>
              <w:tc>
                <w:tcPr>
                  <w:tcW w:w="82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A395CDB">
                  <w:pPr>
                    <w:pStyle w:val="38"/>
                    <w:ind w:firstLine="0" w:firstLineChars="0"/>
                    <w:rPr>
                      <w:rFonts w:hint="eastAsia"/>
                      <w:color w:val="000000" w:themeColor="text1"/>
                      <w:sz w:val="21"/>
                      <w:szCs w:val="21"/>
                      <w:highlight w:val="none"/>
                      <w:lang w:val="en-US" w:eastAsia="zh-CN"/>
                      <w14:textFill>
                        <w14:solidFill>
                          <w14:schemeClr w14:val="tx1"/>
                        </w14:solidFill>
                      </w14:textFill>
                    </w:rPr>
                  </w:pPr>
                  <w:r>
                    <w:rPr>
                      <w:rFonts w:cs="Times New Roman"/>
                      <w:color w:val="000000" w:themeColor="text1"/>
                      <w:sz w:val="21"/>
                      <w:szCs w:val="21"/>
                      <w:highlight w:val="none"/>
                      <w14:textFill>
                        <w14:solidFill>
                          <w14:schemeClr w14:val="tx1"/>
                        </w14:solidFill>
                      </w14:textFill>
                    </w:rPr>
                    <w:t>事故时精馏单元排放气</w:t>
                  </w:r>
                  <w:r>
                    <w:rPr>
                      <w:rFonts w:hint="eastAsia" w:cs="Times New Roman"/>
                      <w:color w:val="000000" w:themeColor="text1"/>
                      <w:sz w:val="21"/>
                      <w:szCs w:val="21"/>
                      <w:highlight w:val="none"/>
                      <w:lang w:val="en-US" w:eastAsia="zh-CN"/>
                      <w14:textFill>
                        <w14:solidFill>
                          <w14:schemeClr w14:val="tx1"/>
                        </w14:solidFill>
                      </w14:textFill>
                    </w:rPr>
                    <w:t>至</w:t>
                  </w:r>
                  <w:r>
                    <w:rPr>
                      <w:rFonts w:hint="eastAsia" w:cs="Times New Roman"/>
                      <w:color w:val="000000" w:themeColor="text1"/>
                      <w:highlight w:val="none"/>
                      <w:lang w:val="en-US" w:eastAsia="zh-CN"/>
                      <w14:textFill>
                        <w14:solidFill>
                          <w14:schemeClr w14:val="tx1"/>
                        </w14:solidFill>
                      </w14:textFill>
                    </w:rPr>
                    <w:t>伊泰</w:t>
                  </w:r>
                  <w:r>
                    <w:rPr>
                      <w:rFonts w:cs="Times New Roman"/>
                      <w:color w:val="000000" w:themeColor="text1"/>
                      <w:highlight w:val="none"/>
                      <w14:textFill>
                        <w14:solidFill>
                          <w14:schemeClr w14:val="tx1"/>
                        </w14:solidFill>
                      </w14:textFill>
                    </w:rPr>
                    <w:t>火炬系统</w:t>
                  </w:r>
                </w:p>
              </w:tc>
              <w:tc>
                <w:tcPr>
                  <w:tcW w:w="85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AE1D562">
                  <w:pPr>
                    <w:jc w:val="center"/>
                    <w:rPr>
                      <w:rFonts w:hint="eastAsia"/>
                      <w:sz w:val="21"/>
                      <w:szCs w:val="21"/>
                      <w:highlight w:val="none"/>
                      <w:lang w:val="en-US" w:eastAsia="zh-CN"/>
                    </w:rPr>
                  </w:pPr>
                  <w:r>
                    <w:rPr>
                      <w:rFonts w:hint="eastAsia"/>
                      <w:sz w:val="21"/>
                      <w:szCs w:val="21"/>
                      <w:highlight w:val="none"/>
                      <w:lang w:val="en-US" w:eastAsia="zh-CN"/>
                    </w:rPr>
                    <w:t>36237Nm</w:t>
                  </w:r>
                  <w:r>
                    <w:rPr>
                      <w:rFonts w:hint="eastAsia"/>
                      <w:sz w:val="21"/>
                      <w:szCs w:val="21"/>
                      <w:highlight w:val="none"/>
                      <w:vertAlign w:val="superscript"/>
                      <w:lang w:val="en-US" w:eastAsia="zh-CN"/>
                    </w:rPr>
                    <w:t>3</w:t>
                  </w:r>
                  <w:r>
                    <w:rPr>
                      <w:rFonts w:hint="eastAsia"/>
                      <w:sz w:val="21"/>
                      <w:szCs w:val="21"/>
                      <w:highlight w:val="none"/>
                      <w:lang w:val="en-US" w:eastAsia="zh-CN"/>
                    </w:rPr>
                    <w:t>/h</w:t>
                  </w:r>
                </w:p>
              </w:tc>
              <w:tc>
                <w:tcPr>
                  <w:tcW w:w="53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A8BC695">
                  <w:pPr>
                    <w:jc w:val="center"/>
                    <w:rPr>
                      <w:rFonts w:hint="eastAsia"/>
                      <w:sz w:val="21"/>
                      <w:szCs w:val="21"/>
                      <w:highlight w:val="none"/>
                      <w:lang w:val="en-US" w:eastAsia="zh-CN"/>
                    </w:rPr>
                  </w:pPr>
                  <w:r>
                    <w:rPr>
                      <w:rFonts w:hint="eastAsia"/>
                      <w:sz w:val="21"/>
                      <w:szCs w:val="21"/>
                      <w:highlight w:val="none"/>
                      <w:lang w:val="en-US" w:eastAsia="zh-CN"/>
                    </w:rPr>
                    <w:t>CL150</w:t>
                  </w:r>
                </w:p>
              </w:tc>
              <w:tc>
                <w:tcPr>
                  <w:tcW w:w="535" w:type="pct"/>
                  <w:tcBorders>
                    <w:top w:val="single" w:color="000000" w:sz="4" w:space="0"/>
                    <w:left w:val="single" w:color="000000" w:sz="4" w:space="0"/>
                    <w:bottom w:val="single" w:color="000000" w:sz="4" w:space="0"/>
                  </w:tcBorders>
                  <w:tcMar>
                    <w:left w:w="108" w:type="dxa"/>
                    <w:right w:w="108" w:type="dxa"/>
                  </w:tcMar>
                  <w:vAlign w:val="center"/>
                </w:tcPr>
                <w:p w14:paraId="5381B2C3">
                  <w:pPr>
                    <w:snapToGrid w:val="0"/>
                    <w:jc w:val="center"/>
                    <w:rPr>
                      <w:rFonts w:hint="eastAsia"/>
                      <w:sz w:val="21"/>
                      <w:szCs w:val="21"/>
                      <w:highlight w:val="none"/>
                      <w:lang w:val="en-US" w:eastAsia="zh-CN"/>
                    </w:rPr>
                  </w:pPr>
                  <w:r>
                    <w:rPr>
                      <w:rFonts w:hint="eastAsia"/>
                      <w:sz w:val="21"/>
                      <w:szCs w:val="21"/>
                      <w:highlight w:val="none"/>
                    </w:rPr>
                    <w:t>1229</w:t>
                  </w:r>
                </w:p>
              </w:tc>
            </w:tr>
            <w:tr w14:paraId="5FFF31B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50" w:hRule="atLeast"/>
                <w:jc w:val="center"/>
              </w:trPr>
              <w:tc>
                <w:tcPr>
                  <w:tcW w:w="284" w:type="pct"/>
                  <w:tcBorders>
                    <w:top w:val="single" w:color="000000" w:sz="4" w:space="0"/>
                    <w:bottom w:val="single" w:color="000000" w:sz="4" w:space="0"/>
                    <w:right w:val="single" w:color="000000" w:sz="4" w:space="0"/>
                  </w:tcBorders>
                  <w:tcMar>
                    <w:left w:w="108" w:type="dxa"/>
                    <w:right w:w="108" w:type="dxa"/>
                  </w:tcMar>
                  <w:vAlign w:val="center"/>
                </w:tcPr>
                <w:p w14:paraId="0199EDA8">
                  <w:pPr>
                    <w:jc w:val="center"/>
                    <w:rPr>
                      <w:rFonts w:hint="eastAsia"/>
                      <w:sz w:val="21"/>
                      <w:szCs w:val="21"/>
                      <w:highlight w:val="none"/>
                      <w:lang w:val="en-US" w:eastAsia="zh-CN"/>
                    </w:rPr>
                  </w:pPr>
                  <w:r>
                    <w:rPr>
                      <w:rFonts w:hint="eastAsia"/>
                      <w:sz w:val="21"/>
                      <w:szCs w:val="21"/>
                      <w:highlight w:val="none"/>
                      <w:lang w:val="en-US" w:eastAsia="zh-CN"/>
                    </w:rPr>
                    <w:t>7</w:t>
                  </w:r>
                </w:p>
              </w:tc>
              <w:tc>
                <w:tcPr>
                  <w:tcW w:w="45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0BD7128">
                  <w:pPr>
                    <w:spacing w:line="240" w:lineRule="auto"/>
                    <w:jc w:val="center"/>
                    <w:rPr>
                      <w:rFonts w:hint="eastAsia"/>
                      <w:sz w:val="21"/>
                      <w:szCs w:val="21"/>
                      <w:highlight w:val="none"/>
                      <w:lang w:val="en-US" w:eastAsia="zh-CN"/>
                    </w:rPr>
                  </w:pPr>
                  <w:r>
                    <w:rPr>
                      <w:rFonts w:hint="eastAsia"/>
                      <w:sz w:val="21"/>
                      <w:szCs w:val="21"/>
                      <w:highlight w:val="none"/>
                      <w:lang w:val="en-US" w:eastAsia="zh-CN"/>
                    </w:rPr>
                    <w:t>湿酸火炬气</w:t>
                  </w:r>
                </w:p>
              </w:tc>
              <w:tc>
                <w:tcPr>
                  <w:tcW w:w="36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27CE234">
                  <w:pPr>
                    <w:jc w:val="center"/>
                    <w:rPr>
                      <w:rFonts w:hint="eastAsia"/>
                      <w:sz w:val="21"/>
                      <w:szCs w:val="21"/>
                      <w:highlight w:val="none"/>
                      <w:lang w:val="en-US" w:eastAsia="zh-CN"/>
                    </w:rPr>
                  </w:pPr>
                  <w:r>
                    <w:rPr>
                      <w:rFonts w:hint="eastAsia"/>
                      <w:sz w:val="21"/>
                      <w:szCs w:val="21"/>
                      <w:highlight w:val="none"/>
                      <w:lang w:val="en-US" w:eastAsia="zh-CN"/>
                    </w:rPr>
                    <w:t>400</w:t>
                  </w:r>
                </w:p>
              </w:tc>
              <w:tc>
                <w:tcPr>
                  <w:tcW w:w="49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B2FE8BF">
                  <w:pPr>
                    <w:jc w:val="center"/>
                    <w:rPr>
                      <w:rFonts w:hint="eastAsia"/>
                      <w:sz w:val="21"/>
                      <w:szCs w:val="21"/>
                      <w:highlight w:val="none"/>
                      <w:lang w:val="en-US" w:eastAsia="zh-CN"/>
                    </w:rPr>
                  </w:pPr>
                  <w:r>
                    <w:rPr>
                      <w:rFonts w:hint="eastAsia"/>
                      <w:sz w:val="21"/>
                      <w:szCs w:val="21"/>
                      <w:highlight w:val="none"/>
                      <w:lang w:val="en-US" w:eastAsia="zh-CN"/>
                    </w:rPr>
                    <w:t>L245</w:t>
                  </w:r>
                </w:p>
              </w:tc>
              <w:tc>
                <w:tcPr>
                  <w:tcW w:w="64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E0A471D">
                  <w:pPr>
                    <w:jc w:val="center"/>
                    <w:rPr>
                      <w:rFonts w:hint="eastAsia"/>
                      <w:sz w:val="21"/>
                      <w:szCs w:val="21"/>
                      <w:highlight w:val="none"/>
                      <w:lang w:val="en-US" w:eastAsia="zh-CN"/>
                    </w:rPr>
                  </w:pPr>
                  <w:r>
                    <w:rPr>
                      <w:rFonts w:hint="eastAsia"/>
                      <w:sz w:val="21"/>
                      <w:szCs w:val="21"/>
                      <w:highlight w:val="none"/>
                      <w:lang w:val="en-US" w:eastAsia="zh-CN"/>
                    </w:rPr>
                    <w:t>40/0.4</w:t>
                  </w:r>
                </w:p>
              </w:tc>
              <w:tc>
                <w:tcPr>
                  <w:tcW w:w="82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65C2E08">
                  <w:pPr>
                    <w:pStyle w:val="38"/>
                    <w:ind w:firstLine="0" w:firstLineChars="0"/>
                    <w:rPr>
                      <w:rFonts w:hint="eastAsia"/>
                      <w:color w:val="000000" w:themeColor="text1"/>
                      <w:sz w:val="21"/>
                      <w:szCs w:val="21"/>
                      <w:highlight w:val="none"/>
                      <w:lang w:val="en-US" w:eastAsia="zh-CN"/>
                      <w14:textFill>
                        <w14:solidFill>
                          <w14:schemeClr w14:val="tx1"/>
                        </w14:solidFill>
                      </w14:textFill>
                    </w:rPr>
                  </w:pPr>
                  <w:r>
                    <w:rPr>
                      <w:rFonts w:cs="Times New Roman"/>
                      <w:color w:val="000000" w:themeColor="text1"/>
                      <w:sz w:val="21"/>
                      <w:szCs w:val="21"/>
                      <w:highlight w:val="none"/>
                      <w14:textFill>
                        <w14:solidFill>
                          <w14:schemeClr w14:val="tx1"/>
                        </w14:solidFill>
                      </w14:textFill>
                    </w:rPr>
                    <w:t>事故时发酵单元排放气；工艺气排放单元脱硫系统故障排放气</w:t>
                  </w:r>
                  <w:r>
                    <w:rPr>
                      <w:rFonts w:hint="eastAsia" w:cs="Times New Roman"/>
                      <w:color w:val="000000" w:themeColor="text1"/>
                      <w:sz w:val="21"/>
                      <w:szCs w:val="21"/>
                      <w:highlight w:val="none"/>
                      <w:lang w:val="en-US" w:eastAsia="zh-CN"/>
                      <w14:textFill>
                        <w14:solidFill>
                          <w14:schemeClr w14:val="tx1"/>
                        </w14:solidFill>
                      </w14:textFill>
                    </w:rPr>
                    <w:t>至</w:t>
                  </w:r>
                  <w:r>
                    <w:rPr>
                      <w:rFonts w:hint="eastAsia" w:cs="Times New Roman"/>
                      <w:color w:val="000000" w:themeColor="text1"/>
                      <w:highlight w:val="none"/>
                      <w:lang w:val="en-US" w:eastAsia="zh-CN"/>
                      <w14:textFill>
                        <w14:solidFill>
                          <w14:schemeClr w14:val="tx1"/>
                        </w14:solidFill>
                      </w14:textFill>
                    </w:rPr>
                    <w:t>伊泰</w:t>
                  </w:r>
                  <w:r>
                    <w:rPr>
                      <w:rFonts w:cs="Times New Roman"/>
                      <w:color w:val="000000" w:themeColor="text1"/>
                      <w:highlight w:val="none"/>
                      <w14:textFill>
                        <w14:solidFill>
                          <w14:schemeClr w14:val="tx1"/>
                        </w14:solidFill>
                      </w14:textFill>
                    </w:rPr>
                    <w:t>火炬系统</w:t>
                  </w:r>
                </w:p>
              </w:tc>
              <w:tc>
                <w:tcPr>
                  <w:tcW w:w="85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4ACD8A6">
                  <w:pPr>
                    <w:jc w:val="center"/>
                    <w:rPr>
                      <w:rFonts w:hint="eastAsia"/>
                      <w:sz w:val="21"/>
                      <w:szCs w:val="21"/>
                      <w:highlight w:val="none"/>
                      <w:lang w:val="en-US" w:eastAsia="zh-CN"/>
                    </w:rPr>
                  </w:pPr>
                  <w:r>
                    <w:rPr>
                      <w:rFonts w:hint="eastAsia"/>
                      <w:sz w:val="21"/>
                      <w:szCs w:val="21"/>
                      <w:highlight w:val="none"/>
                      <w:lang w:val="en-US" w:eastAsia="zh-CN"/>
                    </w:rPr>
                    <w:t>25000Nm</w:t>
                  </w:r>
                  <w:r>
                    <w:rPr>
                      <w:rFonts w:hint="eastAsia"/>
                      <w:sz w:val="21"/>
                      <w:szCs w:val="21"/>
                      <w:highlight w:val="none"/>
                      <w:vertAlign w:val="superscript"/>
                      <w:lang w:val="en-US" w:eastAsia="zh-CN"/>
                    </w:rPr>
                    <w:t>3</w:t>
                  </w:r>
                  <w:r>
                    <w:rPr>
                      <w:rFonts w:hint="eastAsia"/>
                      <w:sz w:val="21"/>
                      <w:szCs w:val="21"/>
                      <w:highlight w:val="none"/>
                      <w:lang w:val="en-US" w:eastAsia="zh-CN"/>
                    </w:rPr>
                    <w:t>/h</w:t>
                  </w:r>
                </w:p>
              </w:tc>
              <w:tc>
                <w:tcPr>
                  <w:tcW w:w="53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F49FD33">
                  <w:pPr>
                    <w:jc w:val="center"/>
                    <w:rPr>
                      <w:rFonts w:hint="eastAsia"/>
                      <w:sz w:val="21"/>
                      <w:szCs w:val="21"/>
                      <w:highlight w:val="none"/>
                      <w:lang w:val="en-US" w:eastAsia="zh-CN"/>
                    </w:rPr>
                  </w:pPr>
                  <w:r>
                    <w:rPr>
                      <w:rFonts w:hint="eastAsia"/>
                      <w:sz w:val="21"/>
                      <w:szCs w:val="21"/>
                      <w:highlight w:val="none"/>
                      <w:lang w:val="en-US" w:eastAsia="zh-CN"/>
                    </w:rPr>
                    <w:t>CL150</w:t>
                  </w:r>
                </w:p>
              </w:tc>
              <w:tc>
                <w:tcPr>
                  <w:tcW w:w="535" w:type="pct"/>
                  <w:tcBorders>
                    <w:top w:val="single" w:color="000000" w:sz="4" w:space="0"/>
                    <w:left w:val="single" w:color="000000" w:sz="4" w:space="0"/>
                    <w:bottom w:val="single" w:color="000000" w:sz="4" w:space="0"/>
                  </w:tcBorders>
                  <w:tcMar>
                    <w:left w:w="108" w:type="dxa"/>
                    <w:right w:w="108" w:type="dxa"/>
                  </w:tcMar>
                  <w:vAlign w:val="center"/>
                </w:tcPr>
                <w:p w14:paraId="32B0E662">
                  <w:pPr>
                    <w:snapToGrid w:val="0"/>
                    <w:jc w:val="center"/>
                    <w:rPr>
                      <w:rFonts w:hint="eastAsia"/>
                      <w:sz w:val="21"/>
                      <w:szCs w:val="21"/>
                      <w:highlight w:val="none"/>
                      <w:lang w:val="en-US" w:eastAsia="zh-CN"/>
                    </w:rPr>
                  </w:pPr>
                  <w:r>
                    <w:rPr>
                      <w:rFonts w:hint="eastAsia"/>
                      <w:sz w:val="21"/>
                      <w:szCs w:val="21"/>
                      <w:highlight w:val="none"/>
                    </w:rPr>
                    <w:t>707</w:t>
                  </w:r>
                </w:p>
              </w:tc>
            </w:tr>
            <w:tr w14:paraId="067369E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50" w:hRule="atLeast"/>
                <w:jc w:val="center"/>
              </w:trPr>
              <w:tc>
                <w:tcPr>
                  <w:tcW w:w="284" w:type="pct"/>
                  <w:tcBorders>
                    <w:top w:val="single" w:color="000000" w:sz="4" w:space="0"/>
                    <w:bottom w:val="single" w:color="000000" w:sz="4" w:space="0"/>
                    <w:right w:val="single" w:color="000000" w:sz="4" w:space="0"/>
                  </w:tcBorders>
                  <w:tcMar>
                    <w:left w:w="108" w:type="dxa"/>
                    <w:right w:w="108" w:type="dxa"/>
                  </w:tcMar>
                  <w:vAlign w:val="center"/>
                </w:tcPr>
                <w:p w14:paraId="336AC05E">
                  <w:pPr>
                    <w:jc w:val="center"/>
                    <w:rPr>
                      <w:rFonts w:hint="eastAsia"/>
                      <w:sz w:val="21"/>
                      <w:szCs w:val="21"/>
                      <w:highlight w:val="none"/>
                      <w:lang w:val="en-US" w:eastAsia="zh-CN"/>
                    </w:rPr>
                  </w:pPr>
                  <w:r>
                    <w:rPr>
                      <w:rFonts w:hint="eastAsia"/>
                      <w:sz w:val="21"/>
                      <w:szCs w:val="21"/>
                      <w:highlight w:val="none"/>
                      <w:lang w:val="en-US" w:eastAsia="zh-CN"/>
                    </w:rPr>
                    <w:t>8</w:t>
                  </w:r>
                </w:p>
              </w:tc>
              <w:tc>
                <w:tcPr>
                  <w:tcW w:w="45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18E7E5F">
                  <w:pPr>
                    <w:spacing w:line="240" w:lineRule="auto"/>
                    <w:jc w:val="center"/>
                    <w:rPr>
                      <w:rFonts w:hint="eastAsia"/>
                      <w:sz w:val="21"/>
                      <w:szCs w:val="21"/>
                      <w:highlight w:val="none"/>
                      <w:lang w:val="en-US" w:eastAsia="zh-CN"/>
                    </w:rPr>
                  </w:pPr>
                  <w:r>
                    <w:rPr>
                      <w:rFonts w:hint="eastAsia"/>
                      <w:sz w:val="21"/>
                      <w:szCs w:val="21"/>
                      <w:highlight w:val="none"/>
                      <w:lang w:val="en-US" w:eastAsia="zh-CN"/>
                    </w:rPr>
                    <w:t>中压蒸汽</w:t>
                  </w:r>
                </w:p>
              </w:tc>
              <w:tc>
                <w:tcPr>
                  <w:tcW w:w="36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4F7BACA">
                  <w:pPr>
                    <w:jc w:val="center"/>
                    <w:rPr>
                      <w:rFonts w:hint="eastAsia"/>
                      <w:sz w:val="21"/>
                      <w:szCs w:val="21"/>
                      <w:highlight w:val="none"/>
                      <w:lang w:val="en-US" w:eastAsia="zh-CN"/>
                    </w:rPr>
                  </w:pPr>
                  <w:r>
                    <w:rPr>
                      <w:rFonts w:hint="eastAsia"/>
                      <w:sz w:val="21"/>
                      <w:szCs w:val="21"/>
                      <w:highlight w:val="none"/>
                      <w:lang w:val="en-US" w:eastAsia="zh-CN"/>
                    </w:rPr>
                    <w:t>350</w:t>
                  </w:r>
                </w:p>
              </w:tc>
              <w:tc>
                <w:tcPr>
                  <w:tcW w:w="49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0F8B495">
                  <w:pPr>
                    <w:jc w:val="center"/>
                    <w:rPr>
                      <w:rFonts w:hint="eastAsia"/>
                      <w:sz w:val="21"/>
                      <w:szCs w:val="21"/>
                      <w:highlight w:val="none"/>
                      <w:lang w:val="en-US" w:eastAsia="zh-CN"/>
                    </w:rPr>
                  </w:pPr>
                  <w:r>
                    <w:rPr>
                      <w:rFonts w:hint="eastAsia"/>
                      <w:sz w:val="21"/>
                      <w:szCs w:val="21"/>
                      <w:highlight w:val="none"/>
                      <w:lang w:val="en-US" w:eastAsia="zh-CN"/>
                    </w:rPr>
                    <w:t>L245</w:t>
                  </w:r>
                </w:p>
              </w:tc>
              <w:tc>
                <w:tcPr>
                  <w:tcW w:w="64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F167E44">
                  <w:pPr>
                    <w:jc w:val="center"/>
                    <w:rPr>
                      <w:rFonts w:hint="default"/>
                      <w:sz w:val="21"/>
                      <w:szCs w:val="21"/>
                      <w:highlight w:val="none"/>
                      <w:lang w:val="en-US" w:eastAsia="zh-CN"/>
                    </w:rPr>
                  </w:pPr>
                  <w:r>
                    <w:rPr>
                      <w:rFonts w:hint="eastAsia"/>
                      <w:sz w:val="21"/>
                      <w:szCs w:val="21"/>
                      <w:highlight w:val="none"/>
                      <w:lang w:val="en-US" w:eastAsia="zh-CN"/>
                    </w:rPr>
                    <w:t>232/2.8</w:t>
                  </w:r>
                </w:p>
              </w:tc>
              <w:tc>
                <w:tcPr>
                  <w:tcW w:w="82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E1C278C">
                  <w:pPr>
                    <w:pStyle w:val="38"/>
                    <w:ind w:firstLine="0" w:firstLineChars="0"/>
                    <w:rPr>
                      <w:rFonts w:hint="eastAsia"/>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伊泰</w:t>
                  </w:r>
                  <w:r>
                    <w:rPr>
                      <w:rFonts w:cs="Times New Roman"/>
                      <w:color w:val="000000" w:themeColor="text1"/>
                      <w:sz w:val="21"/>
                      <w:szCs w:val="21"/>
                      <w:highlight w:val="none"/>
                      <w14:textFill>
                        <w14:solidFill>
                          <w14:schemeClr w14:val="tx1"/>
                        </w14:solidFill>
                      </w14:textFill>
                    </w:rPr>
                    <w:t>合成装置副产蒸汽</w:t>
                  </w:r>
                  <w:r>
                    <w:rPr>
                      <w:rFonts w:hint="eastAsia" w:cs="Times New Roman"/>
                      <w:color w:val="000000" w:themeColor="text1"/>
                      <w:sz w:val="21"/>
                      <w:szCs w:val="21"/>
                      <w:highlight w:val="none"/>
                      <w:lang w:val="en-US" w:eastAsia="zh-CN"/>
                      <w14:textFill>
                        <w14:solidFill>
                          <w14:schemeClr w14:val="tx1"/>
                        </w14:solidFill>
                      </w14:textFill>
                    </w:rPr>
                    <w:t>至鹏泰蒸汽管网</w:t>
                  </w:r>
                </w:p>
              </w:tc>
              <w:tc>
                <w:tcPr>
                  <w:tcW w:w="85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4FA5770">
                  <w:pPr>
                    <w:jc w:val="center"/>
                    <w:rPr>
                      <w:rFonts w:hint="eastAsia"/>
                      <w:sz w:val="21"/>
                      <w:szCs w:val="21"/>
                      <w:highlight w:val="none"/>
                      <w:lang w:val="en-US" w:eastAsia="zh-CN"/>
                    </w:rPr>
                  </w:pPr>
                  <w:r>
                    <w:rPr>
                      <w:rFonts w:hint="eastAsia"/>
                      <w:sz w:val="21"/>
                      <w:szCs w:val="21"/>
                      <w:highlight w:val="none"/>
                      <w:lang w:val="en-US" w:eastAsia="zh-CN"/>
                    </w:rPr>
                    <w:t>150t/h</w:t>
                  </w:r>
                </w:p>
              </w:tc>
              <w:tc>
                <w:tcPr>
                  <w:tcW w:w="53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843B8AA">
                  <w:pPr>
                    <w:jc w:val="center"/>
                    <w:rPr>
                      <w:rFonts w:hint="eastAsia"/>
                      <w:sz w:val="21"/>
                      <w:szCs w:val="21"/>
                      <w:highlight w:val="none"/>
                      <w:lang w:val="en-US" w:eastAsia="zh-CN"/>
                    </w:rPr>
                  </w:pPr>
                  <w:r>
                    <w:rPr>
                      <w:rFonts w:hint="eastAsia"/>
                      <w:sz w:val="21"/>
                      <w:szCs w:val="21"/>
                      <w:highlight w:val="none"/>
                      <w:lang w:val="en-US" w:eastAsia="zh-CN"/>
                    </w:rPr>
                    <w:t>CL300</w:t>
                  </w:r>
                </w:p>
              </w:tc>
              <w:tc>
                <w:tcPr>
                  <w:tcW w:w="535" w:type="pct"/>
                  <w:tcBorders>
                    <w:top w:val="single" w:color="000000" w:sz="4" w:space="0"/>
                    <w:left w:val="single" w:color="000000" w:sz="4" w:space="0"/>
                    <w:bottom w:val="single" w:color="000000" w:sz="4" w:space="0"/>
                  </w:tcBorders>
                  <w:tcMar>
                    <w:left w:w="108" w:type="dxa"/>
                    <w:right w:w="108" w:type="dxa"/>
                  </w:tcMar>
                  <w:vAlign w:val="center"/>
                </w:tcPr>
                <w:p w14:paraId="230AE32E">
                  <w:pPr>
                    <w:snapToGrid w:val="0"/>
                    <w:jc w:val="center"/>
                    <w:rPr>
                      <w:rFonts w:hint="eastAsia"/>
                      <w:sz w:val="21"/>
                      <w:szCs w:val="21"/>
                      <w:highlight w:val="none"/>
                      <w:lang w:val="en-US" w:eastAsia="zh-CN"/>
                    </w:rPr>
                  </w:pPr>
                  <w:r>
                    <w:rPr>
                      <w:rFonts w:hint="eastAsia"/>
                      <w:sz w:val="21"/>
                      <w:szCs w:val="21"/>
                      <w:highlight w:val="none"/>
                    </w:rPr>
                    <w:t>521</w:t>
                  </w:r>
                </w:p>
              </w:tc>
            </w:tr>
            <w:tr w14:paraId="4BC9DEA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50" w:hRule="atLeast"/>
                <w:jc w:val="center"/>
              </w:trPr>
              <w:tc>
                <w:tcPr>
                  <w:tcW w:w="284" w:type="pct"/>
                  <w:tcBorders>
                    <w:top w:val="single" w:color="000000" w:sz="4" w:space="0"/>
                    <w:bottom w:val="single" w:color="000000" w:sz="4" w:space="0"/>
                    <w:right w:val="single" w:color="000000" w:sz="4" w:space="0"/>
                  </w:tcBorders>
                  <w:tcMar>
                    <w:left w:w="108" w:type="dxa"/>
                    <w:right w:w="108" w:type="dxa"/>
                  </w:tcMar>
                  <w:vAlign w:val="center"/>
                </w:tcPr>
                <w:p w14:paraId="3D9AFCAB">
                  <w:pPr>
                    <w:jc w:val="center"/>
                    <w:rPr>
                      <w:rFonts w:hint="eastAsia"/>
                      <w:sz w:val="21"/>
                      <w:szCs w:val="21"/>
                      <w:highlight w:val="none"/>
                      <w:lang w:val="en-US" w:eastAsia="zh-CN"/>
                    </w:rPr>
                  </w:pPr>
                  <w:r>
                    <w:rPr>
                      <w:rFonts w:hint="eastAsia"/>
                      <w:sz w:val="21"/>
                      <w:szCs w:val="21"/>
                      <w:highlight w:val="none"/>
                      <w:lang w:val="en-US" w:eastAsia="zh-CN"/>
                    </w:rPr>
                    <w:t>9</w:t>
                  </w:r>
                </w:p>
              </w:tc>
              <w:tc>
                <w:tcPr>
                  <w:tcW w:w="45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D847047">
                  <w:pPr>
                    <w:spacing w:line="240" w:lineRule="auto"/>
                    <w:jc w:val="center"/>
                    <w:rPr>
                      <w:rFonts w:hint="eastAsia"/>
                      <w:sz w:val="21"/>
                      <w:szCs w:val="21"/>
                      <w:highlight w:val="none"/>
                      <w:lang w:val="en-US" w:eastAsia="zh-CN"/>
                    </w:rPr>
                  </w:pPr>
                  <w:r>
                    <w:rPr>
                      <w:rFonts w:hint="eastAsia"/>
                      <w:sz w:val="21"/>
                      <w:szCs w:val="21"/>
                      <w:highlight w:val="none"/>
                      <w:lang w:val="en-US" w:eastAsia="zh-CN"/>
                    </w:rPr>
                    <w:t>凝结水</w:t>
                  </w:r>
                </w:p>
              </w:tc>
              <w:tc>
                <w:tcPr>
                  <w:tcW w:w="36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B599E4D">
                  <w:pPr>
                    <w:jc w:val="center"/>
                    <w:rPr>
                      <w:rFonts w:hint="eastAsia"/>
                      <w:sz w:val="21"/>
                      <w:szCs w:val="21"/>
                      <w:highlight w:val="none"/>
                      <w:lang w:val="en-US" w:eastAsia="zh-CN"/>
                    </w:rPr>
                  </w:pPr>
                  <w:r>
                    <w:rPr>
                      <w:rFonts w:hint="eastAsia"/>
                      <w:sz w:val="21"/>
                      <w:szCs w:val="21"/>
                      <w:highlight w:val="none"/>
                      <w:lang w:val="en-US" w:eastAsia="zh-CN"/>
                    </w:rPr>
                    <w:t>200</w:t>
                  </w:r>
                </w:p>
              </w:tc>
              <w:tc>
                <w:tcPr>
                  <w:tcW w:w="49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10819AD">
                  <w:pPr>
                    <w:jc w:val="center"/>
                    <w:rPr>
                      <w:rFonts w:hint="eastAsia"/>
                      <w:sz w:val="21"/>
                      <w:szCs w:val="21"/>
                      <w:highlight w:val="none"/>
                      <w:lang w:val="en-US" w:eastAsia="zh-CN"/>
                    </w:rPr>
                  </w:pPr>
                  <w:r>
                    <w:rPr>
                      <w:rFonts w:hint="eastAsia"/>
                      <w:sz w:val="21"/>
                      <w:szCs w:val="21"/>
                      <w:highlight w:val="none"/>
                      <w:lang w:val="en-US" w:eastAsia="zh-CN"/>
                    </w:rPr>
                    <w:t>Q235B</w:t>
                  </w:r>
                </w:p>
              </w:tc>
              <w:tc>
                <w:tcPr>
                  <w:tcW w:w="64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F368C05">
                  <w:pPr>
                    <w:jc w:val="center"/>
                    <w:rPr>
                      <w:rFonts w:hint="eastAsia"/>
                      <w:sz w:val="21"/>
                      <w:szCs w:val="21"/>
                      <w:highlight w:val="none"/>
                      <w:lang w:val="en-US" w:eastAsia="zh-CN"/>
                    </w:rPr>
                  </w:pPr>
                  <w:r>
                    <w:rPr>
                      <w:rFonts w:hint="eastAsia"/>
                      <w:sz w:val="21"/>
                      <w:szCs w:val="21"/>
                      <w:highlight w:val="none"/>
                      <w:lang w:val="en-US" w:eastAsia="zh-CN"/>
                    </w:rPr>
                    <w:t>95/0.5</w:t>
                  </w:r>
                </w:p>
              </w:tc>
              <w:tc>
                <w:tcPr>
                  <w:tcW w:w="82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AE467B7">
                  <w:pPr>
                    <w:pStyle w:val="38"/>
                    <w:ind w:firstLine="0" w:firstLineChars="0"/>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鹏泰至伊泰冷凝水管网</w:t>
                  </w:r>
                </w:p>
              </w:tc>
              <w:tc>
                <w:tcPr>
                  <w:tcW w:w="85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0B7213B">
                  <w:pPr>
                    <w:jc w:val="center"/>
                    <w:rPr>
                      <w:rFonts w:hint="eastAsia"/>
                      <w:sz w:val="21"/>
                      <w:szCs w:val="21"/>
                      <w:highlight w:val="none"/>
                      <w:lang w:val="en-US" w:eastAsia="zh-CN"/>
                    </w:rPr>
                  </w:pPr>
                  <w:r>
                    <w:rPr>
                      <w:rFonts w:hint="eastAsia"/>
                      <w:sz w:val="21"/>
                      <w:szCs w:val="21"/>
                      <w:highlight w:val="none"/>
                      <w:lang w:val="en-US" w:eastAsia="zh-CN"/>
                    </w:rPr>
                    <w:t>150t/h</w:t>
                  </w:r>
                </w:p>
              </w:tc>
              <w:tc>
                <w:tcPr>
                  <w:tcW w:w="53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6E01FF7">
                  <w:pPr>
                    <w:jc w:val="center"/>
                    <w:rPr>
                      <w:rFonts w:hint="eastAsia"/>
                      <w:sz w:val="21"/>
                      <w:szCs w:val="21"/>
                      <w:highlight w:val="none"/>
                      <w:lang w:val="en-US" w:eastAsia="zh-CN"/>
                    </w:rPr>
                  </w:pPr>
                  <w:r>
                    <w:rPr>
                      <w:rFonts w:hint="eastAsia"/>
                      <w:sz w:val="21"/>
                      <w:szCs w:val="21"/>
                      <w:highlight w:val="none"/>
                      <w:lang w:val="en-US" w:eastAsia="zh-CN"/>
                    </w:rPr>
                    <w:t>CL150</w:t>
                  </w:r>
                </w:p>
              </w:tc>
              <w:tc>
                <w:tcPr>
                  <w:tcW w:w="535" w:type="pct"/>
                  <w:tcBorders>
                    <w:top w:val="single" w:color="000000" w:sz="4" w:space="0"/>
                    <w:left w:val="single" w:color="000000" w:sz="4" w:space="0"/>
                    <w:bottom w:val="single" w:color="000000" w:sz="4" w:space="0"/>
                  </w:tcBorders>
                  <w:tcMar>
                    <w:left w:w="108" w:type="dxa"/>
                    <w:right w:w="108" w:type="dxa"/>
                  </w:tcMar>
                  <w:vAlign w:val="center"/>
                </w:tcPr>
                <w:p w14:paraId="0F3106D3">
                  <w:pPr>
                    <w:snapToGrid w:val="0"/>
                    <w:jc w:val="center"/>
                    <w:rPr>
                      <w:rFonts w:hint="eastAsia"/>
                      <w:sz w:val="21"/>
                      <w:szCs w:val="21"/>
                      <w:highlight w:val="none"/>
                      <w:lang w:val="en-US" w:eastAsia="zh-CN"/>
                    </w:rPr>
                  </w:pPr>
                  <w:r>
                    <w:rPr>
                      <w:rFonts w:hint="eastAsia"/>
                      <w:sz w:val="21"/>
                      <w:szCs w:val="21"/>
                      <w:highlight w:val="none"/>
                    </w:rPr>
                    <w:t>467</w:t>
                  </w:r>
                </w:p>
              </w:tc>
            </w:tr>
            <w:tr w14:paraId="39A52E3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50" w:hRule="atLeast"/>
                <w:jc w:val="center"/>
              </w:trPr>
              <w:tc>
                <w:tcPr>
                  <w:tcW w:w="284" w:type="pct"/>
                  <w:tcBorders>
                    <w:top w:val="single" w:color="000000" w:sz="4" w:space="0"/>
                    <w:bottom w:val="single" w:color="000000" w:sz="4" w:space="0"/>
                    <w:right w:val="single" w:color="000000" w:sz="4" w:space="0"/>
                  </w:tcBorders>
                  <w:tcMar>
                    <w:left w:w="108" w:type="dxa"/>
                    <w:right w:w="108" w:type="dxa"/>
                  </w:tcMar>
                  <w:vAlign w:val="center"/>
                </w:tcPr>
                <w:p w14:paraId="1D7342B4">
                  <w:pPr>
                    <w:jc w:val="center"/>
                    <w:rPr>
                      <w:rFonts w:hint="eastAsia"/>
                      <w:sz w:val="21"/>
                      <w:szCs w:val="21"/>
                      <w:highlight w:val="none"/>
                      <w:lang w:val="en-US" w:eastAsia="zh-CN"/>
                    </w:rPr>
                  </w:pPr>
                  <w:r>
                    <w:rPr>
                      <w:rFonts w:hint="eastAsia"/>
                      <w:sz w:val="21"/>
                      <w:szCs w:val="21"/>
                      <w:highlight w:val="none"/>
                      <w:lang w:val="en-US" w:eastAsia="zh-CN"/>
                    </w:rPr>
                    <w:t>10</w:t>
                  </w:r>
                </w:p>
              </w:tc>
              <w:tc>
                <w:tcPr>
                  <w:tcW w:w="45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7D5B099">
                  <w:pPr>
                    <w:spacing w:line="240" w:lineRule="auto"/>
                    <w:jc w:val="center"/>
                    <w:rPr>
                      <w:rFonts w:hint="eastAsia"/>
                      <w:sz w:val="21"/>
                      <w:szCs w:val="21"/>
                      <w:highlight w:val="none"/>
                      <w:lang w:val="en-US" w:eastAsia="zh-CN"/>
                    </w:rPr>
                  </w:pPr>
                  <w:r>
                    <w:rPr>
                      <w:rFonts w:hint="eastAsia"/>
                      <w:sz w:val="21"/>
                      <w:szCs w:val="21"/>
                      <w:highlight w:val="none"/>
                      <w:lang w:val="en-US" w:eastAsia="zh-CN"/>
                    </w:rPr>
                    <w:t>仪表风</w:t>
                  </w:r>
                </w:p>
              </w:tc>
              <w:tc>
                <w:tcPr>
                  <w:tcW w:w="36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24A588C">
                  <w:pPr>
                    <w:jc w:val="center"/>
                    <w:rPr>
                      <w:rFonts w:hint="eastAsia"/>
                      <w:sz w:val="21"/>
                      <w:szCs w:val="21"/>
                      <w:highlight w:val="none"/>
                      <w:lang w:val="en-US" w:eastAsia="zh-CN"/>
                    </w:rPr>
                  </w:pPr>
                  <w:r>
                    <w:rPr>
                      <w:rFonts w:hint="eastAsia"/>
                      <w:sz w:val="21"/>
                      <w:szCs w:val="21"/>
                      <w:highlight w:val="none"/>
                      <w:lang w:val="en-US" w:eastAsia="zh-CN"/>
                    </w:rPr>
                    <w:t>100</w:t>
                  </w:r>
                </w:p>
              </w:tc>
              <w:tc>
                <w:tcPr>
                  <w:tcW w:w="49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6BED183">
                  <w:pPr>
                    <w:jc w:val="center"/>
                    <w:rPr>
                      <w:rFonts w:hint="eastAsia"/>
                      <w:sz w:val="21"/>
                      <w:szCs w:val="21"/>
                      <w:highlight w:val="none"/>
                      <w:lang w:val="en-US" w:eastAsia="zh-CN"/>
                    </w:rPr>
                  </w:pPr>
                  <w:r>
                    <w:rPr>
                      <w:rFonts w:hint="eastAsia"/>
                      <w:sz w:val="21"/>
                      <w:szCs w:val="21"/>
                      <w:highlight w:val="none"/>
                      <w:lang w:val="en-US" w:eastAsia="zh-CN"/>
                    </w:rPr>
                    <w:t>06Cr19Ni10</w:t>
                  </w:r>
                </w:p>
              </w:tc>
              <w:tc>
                <w:tcPr>
                  <w:tcW w:w="64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1677F3E">
                  <w:pPr>
                    <w:jc w:val="center"/>
                    <w:rPr>
                      <w:rFonts w:hint="eastAsia"/>
                      <w:sz w:val="21"/>
                      <w:szCs w:val="21"/>
                      <w:highlight w:val="none"/>
                      <w:lang w:val="en-US" w:eastAsia="zh-CN"/>
                    </w:rPr>
                  </w:pPr>
                  <w:r>
                    <w:rPr>
                      <w:rFonts w:hint="eastAsia"/>
                      <w:sz w:val="21"/>
                      <w:szCs w:val="21"/>
                      <w:highlight w:val="none"/>
                      <w:lang w:val="en-US" w:eastAsia="zh-CN"/>
                    </w:rPr>
                    <w:t>AMB/0.74</w:t>
                  </w:r>
                </w:p>
              </w:tc>
              <w:tc>
                <w:tcPr>
                  <w:tcW w:w="82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B42A3E8">
                  <w:pPr>
                    <w:pStyle w:val="38"/>
                    <w:ind w:firstLine="0" w:firstLineChars="0"/>
                    <w:rPr>
                      <w:rFonts w:hint="eastAsia"/>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伊泰</w:t>
                  </w:r>
                  <w:r>
                    <w:rPr>
                      <w:rFonts w:cs="Times New Roman"/>
                      <w:color w:val="000000" w:themeColor="text1"/>
                      <w:sz w:val="21"/>
                      <w:szCs w:val="21"/>
                      <w:highlight w:val="none"/>
                      <w14:textFill>
                        <w14:solidFill>
                          <w14:schemeClr w14:val="tx1"/>
                        </w14:solidFill>
                      </w14:textFill>
                    </w:rPr>
                    <w:t>空分装置</w:t>
                  </w:r>
                  <w:r>
                    <w:rPr>
                      <w:rFonts w:hint="eastAsia" w:cs="Times New Roman"/>
                      <w:color w:val="000000" w:themeColor="text1"/>
                      <w:sz w:val="21"/>
                      <w:szCs w:val="21"/>
                      <w:highlight w:val="none"/>
                      <w:lang w:eastAsia="zh-CN"/>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鹏泰管网</w:t>
                  </w:r>
                </w:p>
              </w:tc>
              <w:tc>
                <w:tcPr>
                  <w:tcW w:w="85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B07AEE7">
                  <w:pPr>
                    <w:jc w:val="center"/>
                    <w:rPr>
                      <w:rFonts w:hint="eastAsia"/>
                      <w:sz w:val="21"/>
                      <w:szCs w:val="21"/>
                      <w:highlight w:val="none"/>
                      <w:lang w:val="en-US" w:eastAsia="zh-CN"/>
                    </w:rPr>
                  </w:pPr>
                  <w:r>
                    <w:rPr>
                      <w:rFonts w:hint="eastAsia"/>
                      <w:sz w:val="21"/>
                      <w:szCs w:val="21"/>
                      <w:highlight w:val="none"/>
                      <w:lang w:val="en-US" w:eastAsia="zh-CN"/>
                    </w:rPr>
                    <w:t>1600Nm</w:t>
                  </w:r>
                  <w:r>
                    <w:rPr>
                      <w:rFonts w:hint="eastAsia"/>
                      <w:sz w:val="21"/>
                      <w:szCs w:val="21"/>
                      <w:highlight w:val="none"/>
                      <w:vertAlign w:val="superscript"/>
                      <w:lang w:val="en-US" w:eastAsia="zh-CN"/>
                    </w:rPr>
                    <w:t>3</w:t>
                  </w:r>
                  <w:r>
                    <w:rPr>
                      <w:rFonts w:hint="eastAsia"/>
                      <w:sz w:val="21"/>
                      <w:szCs w:val="21"/>
                      <w:highlight w:val="none"/>
                      <w:lang w:val="en-US" w:eastAsia="zh-CN"/>
                    </w:rPr>
                    <w:t>/h</w:t>
                  </w:r>
                </w:p>
              </w:tc>
              <w:tc>
                <w:tcPr>
                  <w:tcW w:w="53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8BE7460">
                  <w:pPr>
                    <w:jc w:val="center"/>
                    <w:rPr>
                      <w:rFonts w:hint="eastAsia"/>
                      <w:sz w:val="21"/>
                      <w:szCs w:val="21"/>
                      <w:highlight w:val="none"/>
                      <w:lang w:val="en-US" w:eastAsia="zh-CN"/>
                    </w:rPr>
                  </w:pPr>
                  <w:r>
                    <w:rPr>
                      <w:rFonts w:hint="eastAsia"/>
                      <w:sz w:val="21"/>
                      <w:szCs w:val="21"/>
                      <w:highlight w:val="none"/>
                      <w:lang w:val="en-US" w:eastAsia="zh-CN"/>
                    </w:rPr>
                    <w:t>CL150</w:t>
                  </w:r>
                </w:p>
              </w:tc>
              <w:tc>
                <w:tcPr>
                  <w:tcW w:w="535" w:type="pct"/>
                  <w:tcBorders>
                    <w:top w:val="single" w:color="000000" w:sz="4" w:space="0"/>
                    <w:left w:val="single" w:color="000000" w:sz="4" w:space="0"/>
                    <w:bottom w:val="single" w:color="000000" w:sz="4" w:space="0"/>
                  </w:tcBorders>
                  <w:tcMar>
                    <w:left w:w="108" w:type="dxa"/>
                    <w:right w:w="108" w:type="dxa"/>
                  </w:tcMar>
                  <w:vAlign w:val="center"/>
                </w:tcPr>
                <w:p w14:paraId="09E9D58F">
                  <w:pPr>
                    <w:snapToGrid w:val="0"/>
                    <w:jc w:val="center"/>
                    <w:rPr>
                      <w:rFonts w:hint="eastAsia"/>
                      <w:sz w:val="21"/>
                      <w:szCs w:val="21"/>
                      <w:highlight w:val="none"/>
                      <w:lang w:val="en-US" w:eastAsia="zh-CN"/>
                    </w:rPr>
                  </w:pPr>
                  <w:r>
                    <w:rPr>
                      <w:rFonts w:hint="eastAsia"/>
                      <w:sz w:val="21"/>
                      <w:szCs w:val="21"/>
                      <w:highlight w:val="none"/>
                    </w:rPr>
                    <w:t>422</w:t>
                  </w:r>
                </w:p>
              </w:tc>
            </w:tr>
            <w:tr w14:paraId="1E2C941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50" w:hRule="atLeast"/>
                <w:jc w:val="center"/>
              </w:trPr>
              <w:tc>
                <w:tcPr>
                  <w:tcW w:w="284" w:type="pct"/>
                  <w:tcBorders>
                    <w:top w:val="single" w:color="000000" w:sz="4" w:space="0"/>
                    <w:bottom w:val="single" w:color="000000" w:sz="4" w:space="0"/>
                    <w:right w:val="single" w:color="000000" w:sz="4" w:space="0"/>
                  </w:tcBorders>
                  <w:tcMar>
                    <w:left w:w="108" w:type="dxa"/>
                    <w:right w:w="108" w:type="dxa"/>
                  </w:tcMar>
                  <w:vAlign w:val="center"/>
                </w:tcPr>
                <w:p w14:paraId="2CEE0505">
                  <w:pPr>
                    <w:jc w:val="center"/>
                    <w:rPr>
                      <w:rFonts w:hint="eastAsia"/>
                      <w:sz w:val="21"/>
                      <w:szCs w:val="21"/>
                      <w:highlight w:val="none"/>
                      <w:lang w:val="en-US" w:eastAsia="zh-CN"/>
                    </w:rPr>
                  </w:pPr>
                  <w:r>
                    <w:rPr>
                      <w:rFonts w:hint="eastAsia"/>
                      <w:sz w:val="21"/>
                      <w:szCs w:val="21"/>
                      <w:highlight w:val="none"/>
                      <w:lang w:val="en-US" w:eastAsia="zh-CN"/>
                    </w:rPr>
                    <w:t>11</w:t>
                  </w:r>
                </w:p>
              </w:tc>
              <w:tc>
                <w:tcPr>
                  <w:tcW w:w="45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3609451">
                  <w:pPr>
                    <w:spacing w:line="240" w:lineRule="auto"/>
                    <w:jc w:val="center"/>
                    <w:rPr>
                      <w:rFonts w:hint="eastAsia"/>
                      <w:sz w:val="21"/>
                      <w:szCs w:val="21"/>
                      <w:highlight w:val="none"/>
                      <w:lang w:val="en-US" w:eastAsia="zh-CN"/>
                    </w:rPr>
                  </w:pPr>
                  <w:r>
                    <w:rPr>
                      <w:rFonts w:hint="eastAsia"/>
                      <w:sz w:val="21"/>
                      <w:szCs w:val="21"/>
                      <w:highlight w:val="none"/>
                      <w:lang w:val="en-US" w:eastAsia="zh-CN"/>
                    </w:rPr>
                    <w:t>工厂风</w:t>
                  </w:r>
                </w:p>
              </w:tc>
              <w:tc>
                <w:tcPr>
                  <w:tcW w:w="36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ADA9A30">
                  <w:pPr>
                    <w:jc w:val="center"/>
                    <w:rPr>
                      <w:rFonts w:hint="eastAsia"/>
                      <w:sz w:val="21"/>
                      <w:szCs w:val="21"/>
                      <w:highlight w:val="none"/>
                      <w:lang w:val="en-US" w:eastAsia="zh-CN"/>
                    </w:rPr>
                  </w:pPr>
                  <w:r>
                    <w:rPr>
                      <w:rFonts w:hint="eastAsia"/>
                      <w:sz w:val="21"/>
                      <w:szCs w:val="21"/>
                      <w:highlight w:val="none"/>
                      <w:lang w:val="en-US" w:eastAsia="zh-CN"/>
                    </w:rPr>
                    <w:t>100</w:t>
                  </w:r>
                </w:p>
              </w:tc>
              <w:tc>
                <w:tcPr>
                  <w:tcW w:w="49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0CB1F86">
                  <w:pPr>
                    <w:jc w:val="center"/>
                    <w:rPr>
                      <w:rFonts w:hint="eastAsia"/>
                      <w:sz w:val="21"/>
                      <w:szCs w:val="21"/>
                      <w:highlight w:val="none"/>
                      <w:lang w:val="en-US" w:eastAsia="zh-CN"/>
                    </w:rPr>
                  </w:pPr>
                  <w:r>
                    <w:rPr>
                      <w:rFonts w:hint="eastAsia"/>
                      <w:sz w:val="21"/>
                      <w:szCs w:val="21"/>
                      <w:highlight w:val="none"/>
                      <w:lang w:val="en-US" w:eastAsia="zh-CN"/>
                    </w:rPr>
                    <w:t>20#</w:t>
                  </w:r>
                </w:p>
              </w:tc>
              <w:tc>
                <w:tcPr>
                  <w:tcW w:w="64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7FFCD3F">
                  <w:pPr>
                    <w:jc w:val="center"/>
                    <w:rPr>
                      <w:rFonts w:hint="default"/>
                      <w:sz w:val="21"/>
                      <w:szCs w:val="21"/>
                      <w:highlight w:val="none"/>
                      <w:lang w:val="en-US" w:eastAsia="zh-CN"/>
                    </w:rPr>
                  </w:pPr>
                  <w:r>
                    <w:rPr>
                      <w:rFonts w:hint="eastAsia"/>
                      <w:sz w:val="21"/>
                      <w:szCs w:val="21"/>
                      <w:highlight w:val="none"/>
                      <w:lang w:val="en-US" w:eastAsia="zh-CN"/>
                    </w:rPr>
                    <w:t>AMB/0.74</w:t>
                  </w:r>
                </w:p>
              </w:tc>
              <w:tc>
                <w:tcPr>
                  <w:tcW w:w="82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CEBAB72">
                  <w:pPr>
                    <w:pStyle w:val="38"/>
                    <w:ind w:firstLine="0" w:firstLineChars="0"/>
                    <w:rPr>
                      <w:rFonts w:hint="eastAsia"/>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伊泰</w:t>
                  </w:r>
                  <w:r>
                    <w:rPr>
                      <w:rFonts w:cs="Times New Roman"/>
                      <w:color w:val="000000" w:themeColor="text1"/>
                      <w:sz w:val="21"/>
                      <w:szCs w:val="21"/>
                      <w:highlight w:val="none"/>
                      <w14:textFill>
                        <w14:solidFill>
                          <w14:schemeClr w14:val="tx1"/>
                        </w14:solidFill>
                      </w14:textFill>
                    </w:rPr>
                    <w:t>空分装置</w:t>
                  </w:r>
                  <w:r>
                    <w:rPr>
                      <w:rFonts w:hint="eastAsia" w:cs="Times New Roman"/>
                      <w:color w:val="000000" w:themeColor="text1"/>
                      <w:sz w:val="21"/>
                      <w:szCs w:val="21"/>
                      <w:highlight w:val="none"/>
                      <w:lang w:eastAsia="zh-CN"/>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鹏泰管网</w:t>
                  </w:r>
                </w:p>
              </w:tc>
              <w:tc>
                <w:tcPr>
                  <w:tcW w:w="85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135A970">
                  <w:pPr>
                    <w:jc w:val="center"/>
                    <w:rPr>
                      <w:rFonts w:hint="eastAsia"/>
                      <w:sz w:val="21"/>
                      <w:szCs w:val="21"/>
                      <w:highlight w:val="none"/>
                      <w:lang w:val="en-US" w:eastAsia="zh-CN"/>
                    </w:rPr>
                  </w:pPr>
                  <w:r>
                    <w:rPr>
                      <w:rFonts w:hint="eastAsia"/>
                      <w:sz w:val="21"/>
                      <w:szCs w:val="21"/>
                      <w:highlight w:val="none"/>
                      <w:lang w:val="en-US" w:eastAsia="zh-CN"/>
                    </w:rPr>
                    <w:t>1000Nm</w:t>
                  </w:r>
                  <w:r>
                    <w:rPr>
                      <w:rFonts w:hint="eastAsia"/>
                      <w:sz w:val="21"/>
                      <w:szCs w:val="21"/>
                      <w:highlight w:val="none"/>
                      <w:vertAlign w:val="superscript"/>
                      <w:lang w:val="en-US" w:eastAsia="zh-CN"/>
                    </w:rPr>
                    <w:t>3</w:t>
                  </w:r>
                  <w:r>
                    <w:rPr>
                      <w:rFonts w:hint="eastAsia"/>
                      <w:sz w:val="21"/>
                      <w:szCs w:val="21"/>
                      <w:highlight w:val="none"/>
                      <w:lang w:val="en-US" w:eastAsia="zh-CN"/>
                    </w:rPr>
                    <w:t>/h</w:t>
                  </w:r>
                </w:p>
              </w:tc>
              <w:tc>
                <w:tcPr>
                  <w:tcW w:w="53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C9247EF">
                  <w:pPr>
                    <w:jc w:val="center"/>
                    <w:rPr>
                      <w:rFonts w:hint="eastAsia"/>
                      <w:sz w:val="21"/>
                      <w:szCs w:val="21"/>
                      <w:highlight w:val="none"/>
                      <w:lang w:val="en-US" w:eastAsia="zh-CN"/>
                    </w:rPr>
                  </w:pPr>
                  <w:r>
                    <w:rPr>
                      <w:rFonts w:hint="eastAsia"/>
                      <w:sz w:val="21"/>
                      <w:szCs w:val="21"/>
                      <w:highlight w:val="none"/>
                      <w:lang w:val="en-US" w:eastAsia="zh-CN"/>
                    </w:rPr>
                    <w:t>CL150</w:t>
                  </w:r>
                </w:p>
              </w:tc>
              <w:tc>
                <w:tcPr>
                  <w:tcW w:w="535" w:type="pct"/>
                  <w:tcBorders>
                    <w:top w:val="single" w:color="000000" w:sz="4" w:space="0"/>
                    <w:left w:val="single" w:color="000000" w:sz="4" w:space="0"/>
                    <w:bottom w:val="single" w:color="000000" w:sz="4" w:space="0"/>
                  </w:tcBorders>
                  <w:tcMar>
                    <w:left w:w="108" w:type="dxa"/>
                    <w:right w:w="108" w:type="dxa"/>
                  </w:tcMar>
                  <w:vAlign w:val="center"/>
                </w:tcPr>
                <w:p w14:paraId="50F7649A">
                  <w:pPr>
                    <w:snapToGrid w:val="0"/>
                    <w:jc w:val="center"/>
                    <w:rPr>
                      <w:rFonts w:hint="eastAsia"/>
                      <w:sz w:val="21"/>
                      <w:szCs w:val="21"/>
                      <w:highlight w:val="none"/>
                      <w:lang w:val="en-US" w:eastAsia="zh-CN"/>
                    </w:rPr>
                  </w:pPr>
                  <w:r>
                    <w:rPr>
                      <w:rFonts w:hint="eastAsia"/>
                      <w:sz w:val="21"/>
                      <w:szCs w:val="21"/>
                      <w:highlight w:val="none"/>
                    </w:rPr>
                    <w:t>422</w:t>
                  </w:r>
                </w:p>
              </w:tc>
            </w:tr>
            <w:tr w14:paraId="23C0614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50" w:hRule="atLeast"/>
                <w:jc w:val="center"/>
              </w:trPr>
              <w:tc>
                <w:tcPr>
                  <w:tcW w:w="284" w:type="pct"/>
                  <w:tcBorders>
                    <w:top w:val="single" w:color="000000" w:sz="4" w:space="0"/>
                    <w:bottom w:val="single" w:color="000000" w:sz="4" w:space="0"/>
                    <w:right w:val="single" w:color="000000" w:sz="4" w:space="0"/>
                  </w:tcBorders>
                  <w:tcMar>
                    <w:left w:w="108" w:type="dxa"/>
                    <w:right w:w="108" w:type="dxa"/>
                  </w:tcMar>
                  <w:vAlign w:val="center"/>
                </w:tcPr>
                <w:p w14:paraId="4B14825B">
                  <w:pPr>
                    <w:jc w:val="center"/>
                    <w:rPr>
                      <w:rFonts w:hint="eastAsia"/>
                      <w:sz w:val="21"/>
                      <w:szCs w:val="21"/>
                      <w:highlight w:val="none"/>
                      <w:lang w:val="en-US" w:eastAsia="zh-CN"/>
                    </w:rPr>
                  </w:pPr>
                  <w:r>
                    <w:rPr>
                      <w:rFonts w:hint="eastAsia"/>
                      <w:sz w:val="21"/>
                      <w:szCs w:val="21"/>
                      <w:highlight w:val="none"/>
                      <w:lang w:val="en-US" w:eastAsia="zh-CN"/>
                    </w:rPr>
                    <w:t>12</w:t>
                  </w:r>
                </w:p>
              </w:tc>
              <w:tc>
                <w:tcPr>
                  <w:tcW w:w="45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4C053BE">
                  <w:pPr>
                    <w:spacing w:line="240" w:lineRule="auto"/>
                    <w:jc w:val="center"/>
                    <w:rPr>
                      <w:rFonts w:hint="eastAsia"/>
                      <w:sz w:val="21"/>
                      <w:szCs w:val="21"/>
                      <w:highlight w:val="none"/>
                      <w:lang w:val="en-US" w:eastAsia="zh-CN"/>
                    </w:rPr>
                  </w:pPr>
                  <w:r>
                    <w:rPr>
                      <w:rFonts w:hint="eastAsia"/>
                      <w:sz w:val="21"/>
                      <w:szCs w:val="21"/>
                      <w:highlight w:val="none"/>
                      <w:lang w:val="en-US" w:eastAsia="zh-CN"/>
                    </w:rPr>
                    <w:t>氮气</w:t>
                  </w:r>
                </w:p>
              </w:tc>
              <w:tc>
                <w:tcPr>
                  <w:tcW w:w="36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65A179F">
                  <w:pPr>
                    <w:jc w:val="center"/>
                    <w:rPr>
                      <w:rFonts w:hint="eastAsia"/>
                      <w:sz w:val="21"/>
                      <w:szCs w:val="21"/>
                      <w:highlight w:val="none"/>
                      <w:lang w:val="en-US" w:eastAsia="zh-CN"/>
                    </w:rPr>
                  </w:pPr>
                  <w:r>
                    <w:rPr>
                      <w:rFonts w:hint="eastAsia"/>
                      <w:sz w:val="21"/>
                      <w:szCs w:val="21"/>
                      <w:highlight w:val="none"/>
                      <w:lang w:val="en-US" w:eastAsia="zh-CN"/>
                    </w:rPr>
                    <w:t>100</w:t>
                  </w:r>
                </w:p>
              </w:tc>
              <w:tc>
                <w:tcPr>
                  <w:tcW w:w="49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569F526">
                  <w:pPr>
                    <w:jc w:val="center"/>
                    <w:rPr>
                      <w:rFonts w:hint="eastAsia"/>
                      <w:sz w:val="21"/>
                      <w:szCs w:val="21"/>
                      <w:highlight w:val="none"/>
                      <w:lang w:val="en-US" w:eastAsia="zh-CN"/>
                    </w:rPr>
                  </w:pPr>
                  <w:r>
                    <w:rPr>
                      <w:rFonts w:hint="eastAsia"/>
                      <w:sz w:val="21"/>
                      <w:szCs w:val="21"/>
                      <w:highlight w:val="none"/>
                      <w:lang w:val="en-US" w:eastAsia="zh-CN"/>
                    </w:rPr>
                    <w:t>20#</w:t>
                  </w:r>
                </w:p>
              </w:tc>
              <w:tc>
                <w:tcPr>
                  <w:tcW w:w="64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D9391AF">
                  <w:pPr>
                    <w:jc w:val="center"/>
                    <w:rPr>
                      <w:rFonts w:hint="eastAsia"/>
                      <w:sz w:val="21"/>
                      <w:szCs w:val="21"/>
                      <w:highlight w:val="none"/>
                      <w:lang w:val="en-US" w:eastAsia="zh-CN"/>
                    </w:rPr>
                  </w:pPr>
                  <w:r>
                    <w:rPr>
                      <w:rFonts w:hint="eastAsia"/>
                      <w:sz w:val="21"/>
                      <w:szCs w:val="21"/>
                      <w:highlight w:val="none"/>
                      <w:lang w:val="en-US" w:eastAsia="zh-CN"/>
                    </w:rPr>
                    <w:t>AMB/1.2</w:t>
                  </w:r>
                </w:p>
              </w:tc>
              <w:tc>
                <w:tcPr>
                  <w:tcW w:w="82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1BCAFE6">
                  <w:pPr>
                    <w:pStyle w:val="38"/>
                    <w:ind w:firstLine="0" w:firstLineChars="0"/>
                    <w:rPr>
                      <w:rFonts w:hint="eastAsia"/>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伊泰</w:t>
                  </w:r>
                  <w:r>
                    <w:rPr>
                      <w:rFonts w:cs="Times New Roman"/>
                      <w:color w:val="000000" w:themeColor="text1"/>
                      <w:sz w:val="21"/>
                      <w:szCs w:val="21"/>
                      <w:highlight w:val="none"/>
                      <w14:textFill>
                        <w14:solidFill>
                          <w14:schemeClr w14:val="tx1"/>
                        </w14:solidFill>
                      </w14:textFill>
                    </w:rPr>
                    <w:t>空分装置</w:t>
                  </w:r>
                  <w:r>
                    <w:rPr>
                      <w:rFonts w:hint="eastAsia" w:cs="Times New Roman"/>
                      <w:color w:val="000000" w:themeColor="text1"/>
                      <w:sz w:val="21"/>
                      <w:szCs w:val="21"/>
                      <w:highlight w:val="none"/>
                      <w:lang w:eastAsia="zh-CN"/>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鹏泰管网</w:t>
                  </w:r>
                </w:p>
              </w:tc>
              <w:tc>
                <w:tcPr>
                  <w:tcW w:w="85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E7803A7">
                  <w:pPr>
                    <w:jc w:val="center"/>
                    <w:rPr>
                      <w:rFonts w:hint="eastAsia"/>
                      <w:sz w:val="21"/>
                      <w:szCs w:val="21"/>
                      <w:highlight w:val="none"/>
                      <w:lang w:val="en-US" w:eastAsia="zh-CN"/>
                    </w:rPr>
                  </w:pPr>
                  <w:r>
                    <w:rPr>
                      <w:rFonts w:hint="eastAsia"/>
                      <w:sz w:val="21"/>
                      <w:szCs w:val="21"/>
                      <w:highlight w:val="none"/>
                      <w:lang w:val="en-US" w:eastAsia="zh-CN"/>
                    </w:rPr>
                    <w:t>1000Nm</w:t>
                  </w:r>
                  <w:r>
                    <w:rPr>
                      <w:rFonts w:hint="eastAsia"/>
                      <w:sz w:val="21"/>
                      <w:szCs w:val="21"/>
                      <w:highlight w:val="none"/>
                      <w:vertAlign w:val="superscript"/>
                      <w:lang w:val="en-US" w:eastAsia="zh-CN"/>
                    </w:rPr>
                    <w:t>3</w:t>
                  </w:r>
                  <w:r>
                    <w:rPr>
                      <w:rFonts w:hint="eastAsia"/>
                      <w:sz w:val="21"/>
                      <w:szCs w:val="21"/>
                      <w:highlight w:val="none"/>
                      <w:lang w:val="en-US" w:eastAsia="zh-CN"/>
                    </w:rPr>
                    <w:t>/h</w:t>
                  </w:r>
                </w:p>
              </w:tc>
              <w:tc>
                <w:tcPr>
                  <w:tcW w:w="53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5216F74">
                  <w:pPr>
                    <w:jc w:val="center"/>
                    <w:rPr>
                      <w:rFonts w:hint="eastAsia"/>
                      <w:sz w:val="21"/>
                      <w:szCs w:val="21"/>
                      <w:highlight w:val="none"/>
                      <w:lang w:val="en-US" w:eastAsia="zh-CN"/>
                    </w:rPr>
                  </w:pPr>
                  <w:r>
                    <w:rPr>
                      <w:rFonts w:hint="eastAsia"/>
                      <w:sz w:val="21"/>
                      <w:szCs w:val="21"/>
                      <w:highlight w:val="none"/>
                      <w:lang w:val="en-US" w:eastAsia="zh-CN"/>
                    </w:rPr>
                    <w:t>CL150</w:t>
                  </w:r>
                </w:p>
              </w:tc>
              <w:tc>
                <w:tcPr>
                  <w:tcW w:w="535" w:type="pct"/>
                  <w:tcBorders>
                    <w:top w:val="single" w:color="000000" w:sz="4" w:space="0"/>
                    <w:left w:val="single" w:color="000000" w:sz="4" w:space="0"/>
                    <w:bottom w:val="single" w:color="000000" w:sz="4" w:space="0"/>
                  </w:tcBorders>
                  <w:tcMar>
                    <w:left w:w="108" w:type="dxa"/>
                    <w:right w:w="108" w:type="dxa"/>
                  </w:tcMar>
                  <w:vAlign w:val="center"/>
                </w:tcPr>
                <w:p w14:paraId="2E98C0BF">
                  <w:pPr>
                    <w:snapToGrid w:val="0"/>
                    <w:jc w:val="center"/>
                    <w:rPr>
                      <w:rFonts w:hint="eastAsia"/>
                      <w:sz w:val="21"/>
                      <w:szCs w:val="21"/>
                      <w:highlight w:val="none"/>
                      <w:lang w:val="en-US" w:eastAsia="zh-CN"/>
                    </w:rPr>
                  </w:pPr>
                  <w:r>
                    <w:rPr>
                      <w:rFonts w:hint="eastAsia"/>
                      <w:sz w:val="21"/>
                      <w:szCs w:val="21"/>
                      <w:highlight w:val="none"/>
                    </w:rPr>
                    <w:t>422</w:t>
                  </w:r>
                </w:p>
              </w:tc>
            </w:tr>
            <w:tr w14:paraId="1EB1133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50" w:hRule="atLeast"/>
                <w:jc w:val="center"/>
              </w:trPr>
              <w:tc>
                <w:tcPr>
                  <w:tcW w:w="284" w:type="pct"/>
                  <w:tcBorders>
                    <w:top w:val="single" w:color="000000" w:sz="4" w:space="0"/>
                    <w:bottom w:val="single" w:color="000000" w:sz="4" w:space="0"/>
                    <w:right w:val="single" w:color="000000" w:sz="4" w:space="0"/>
                  </w:tcBorders>
                  <w:tcMar>
                    <w:left w:w="108" w:type="dxa"/>
                    <w:right w:w="108" w:type="dxa"/>
                  </w:tcMar>
                  <w:vAlign w:val="center"/>
                </w:tcPr>
                <w:p w14:paraId="239C30AB">
                  <w:pPr>
                    <w:jc w:val="center"/>
                    <w:rPr>
                      <w:rFonts w:hint="eastAsia"/>
                      <w:sz w:val="21"/>
                      <w:szCs w:val="21"/>
                      <w:highlight w:val="none"/>
                      <w:lang w:val="en-US" w:eastAsia="zh-CN"/>
                    </w:rPr>
                  </w:pPr>
                  <w:r>
                    <w:rPr>
                      <w:rFonts w:hint="eastAsia"/>
                      <w:sz w:val="21"/>
                      <w:szCs w:val="21"/>
                      <w:highlight w:val="none"/>
                      <w:lang w:val="en-US" w:eastAsia="zh-CN"/>
                    </w:rPr>
                    <w:t>13</w:t>
                  </w:r>
                </w:p>
              </w:tc>
              <w:tc>
                <w:tcPr>
                  <w:tcW w:w="45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3AA888D">
                  <w:pPr>
                    <w:spacing w:line="240" w:lineRule="auto"/>
                    <w:jc w:val="center"/>
                    <w:rPr>
                      <w:rFonts w:hint="eastAsia"/>
                      <w:sz w:val="21"/>
                      <w:szCs w:val="21"/>
                      <w:highlight w:val="none"/>
                      <w:lang w:val="en-US" w:eastAsia="zh-CN"/>
                    </w:rPr>
                  </w:pPr>
                  <w:r>
                    <w:rPr>
                      <w:rFonts w:hint="eastAsia"/>
                      <w:sz w:val="21"/>
                      <w:szCs w:val="21"/>
                      <w:highlight w:val="none"/>
                      <w:lang w:val="en-US" w:eastAsia="zh-CN"/>
                    </w:rPr>
                    <w:t>黄河水</w:t>
                  </w:r>
                </w:p>
              </w:tc>
              <w:tc>
                <w:tcPr>
                  <w:tcW w:w="36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827D842">
                  <w:pPr>
                    <w:jc w:val="center"/>
                    <w:rPr>
                      <w:rFonts w:hint="eastAsia"/>
                      <w:sz w:val="21"/>
                      <w:szCs w:val="21"/>
                      <w:highlight w:val="none"/>
                      <w:lang w:val="en-US" w:eastAsia="zh-CN"/>
                    </w:rPr>
                  </w:pPr>
                  <w:r>
                    <w:rPr>
                      <w:rFonts w:hint="eastAsia"/>
                      <w:sz w:val="21"/>
                      <w:szCs w:val="21"/>
                      <w:highlight w:val="none"/>
                      <w:lang w:val="en-US" w:eastAsia="zh-CN"/>
                    </w:rPr>
                    <w:t>200</w:t>
                  </w:r>
                </w:p>
              </w:tc>
              <w:tc>
                <w:tcPr>
                  <w:tcW w:w="49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8471792">
                  <w:pPr>
                    <w:jc w:val="center"/>
                    <w:rPr>
                      <w:rFonts w:hint="eastAsia"/>
                      <w:sz w:val="21"/>
                      <w:szCs w:val="21"/>
                      <w:highlight w:val="none"/>
                      <w:lang w:val="en-US" w:eastAsia="zh-CN"/>
                    </w:rPr>
                  </w:pPr>
                  <w:r>
                    <w:rPr>
                      <w:rFonts w:hint="eastAsia"/>
                      <w:sz w:val="21"/>
                      <w:szCs w:val="21"/>
                      <w:highlight w:val="none"/>
                      <w:lang w:val="en-US" w:eastAsia="zh-CN"/>
                    </w:rPr>
                    <w:t>球墨铸铁</w:t>
                  </w:r>
                </w:p>
              </w:tc>
              <w:tc>
                <w:tcPr>
                  <w:tcW w:w="64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53C2575">
                  <w:pPr>
                    <w:jc w:val="center"/>
                    <w:rPr>
                      <w:rFonts w:hint="eastAsia"/>
                      <w:sz w:val="21"/>
                      <w:szCs w:val="21"/>
                      <w:highlight w:val="none"/>
                      <w:lang w:val="en-US" w:eastAsia="zh-CN"/>
                    </w:rPr>
                  </w:pPr>
                  <w:r>
                    <w:rPr>
                      <w:rFonts w:hint="eastAsia"/>
                      <w:sz w:val="21"/>
                      <w:szCs w:val="21"/>
                      <w:highlight w:val="none"/>
                      <w:lang w:val="en-US" w:eastAsia="zh-CN"/>
                    </w:rPr>
                    <w:t>AMB/0.4</w:t>
                  </w:r>
                </w:p>
              </w:tc>
              <w:tc>
                <w:tcPr>
                  <w:tcW w:w="82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03BF781">
                  <w:pPr>
                    <w:pStyle w:val="38"/>
                    <w:ind w:firstLine="0" w:firstLineChars="0"/>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伊泰至鹏泰</w:t>
                  </w:r>
                </w:p>
              </w:tc>
              <w:tc>
                <w:tcPr>
                  <w:tcW w:w="85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AEFBF50">
                  <w:pPr>
                    <w:jc w:val="center"/>
                    <w:rPr>
                      <w:rFonts w:hint="eastAsia"/>
                      <w:sz w:val="21"/>
                      <w:szCs w:val="21"/>
                      <w:highlight w:val="none"/>
                      <w:lang w:val="en-US" w:eastAsia="zh-CN"/>
                    </w:rPr>
                  </w:pPr>
                  <w:r>
                    <w:rPr>
                      <w:rFonts w:hint="eastAsia"/>
                      <w:sz w:val="21"/>
                      <w:szCs w:val="21"/>
                      <w:highlight w:val="none"/>
                      <w:lang w:val="en-US" w:eastAsia="zh-CN"/>
                    </w:rPr>
                    <w:t>165t/h</w:t>
                  </w:r>
                </w:p>
              </w:tc>
              <w:tc>
                <w:tcPr>
                  <w:tcW w:w="53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D8D43D1">
                  <w:pPr>
                    <w:jc w:val="center"/>
                    <w:rPr>
                      <w:rFonts w:hint="eastAsia"/>
                      <w:sz w:val="21"/>
                      <w:szCs w:val="21"/>
                      <w:highlight w:val="none"/>
                      <w:lang w:val="en-US" w:eastAsia="zh-CN"/>
                    </w:rPr>
                  </w:pPr>
                  <w:r>
                    <w:rPr>
                      <w:rFonts w:hint="eastAsia"/>
                      <w:sz w:val="21"/>
                      <w:szCs w:val="21"/>
                      <w:highlight w:val="none"/>
                      <w:lang w:val="en-US" w:eastAsia="zh-CN"/>
                    </w:rPr>
                    <w:t>CL150</w:t>
                  </w:r>
                </w:p>
              </w:tc>
              <w:tc>
                <w:tcPr>
                  <w:tcW w:w="535" w:type="pct"/>
                  <w:tcBorders>
                    <w:top w:val="single" w:color="000000" w:sz="4" w:space="0"/>
                    <w:left w:val="single" w:color="000000" w:sz="4" w:space="0"/>
                    <w:bottom w:val="single" w:color="000000" w:sz="4" w:space="0"/>
                  </w:tcBorders>
                  <w:tcMar>
                    <w:left w:w="108" w:type="dxa"/>
                    <w:right w:w="108" w:type="dxa"/>
                  </w:tcMar>
                  <w:vAlign w:val="center"/>
                </w:tcPr>
                <w:p w14:paraId="799603FD">
                  <w:pPr>
                    <w:snapToGrid w:val="0"/>
                    <w:jc w:val="center"/>
                    <w:rPr>
                      <w:rFonts w:hint="eastAsia"/>
                      <w:sz w:val="21"/>
                      <w:szCs w:val="21"/>
                      <w:highlight w:val="none"/>
                      <w:lang w:val="en-US" w:eastAsia="zh-CN"/>
                    </w:rPr>
                  </w:pPr>
                  <w:r>
                    <w:rPr>
                      <w:rFonts w:hint="eastAsia"/>
                      <w:sz w:val="21"/>
                      <w:szCs w:val="21"/>
                      <w:highlight w:val="none"/>
                    </w:rPr>
                    <w:t>1775</w:t>
                  </w:r>
                </w:p>
              </w:tc>
            </w:tr>
            <w:tr w14:paraId="55B6887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50" w:hRule="atLeast"/>
                <w:jc w:val="center"/>
              </w:trPr>
              <w:tc>
                <w:tcPr>
                  <w:tcW w:w="284" w:type="pct"/>
                  <w:tcBorders>
                    <w:top w:val="single" w:color="000000" w:sz="4" w:space="0"/>
                    <w:bottom w:val="single" w:color="000000" w:sz="4" w:space="0"/>
                    <w:right w:val="single" w:color="000000" w:sz="4" w:space="0"/>
                  </w:tcBorders>
                  <w:tcMar>
                    <w:left w:w="108" w:type="dxa"/>
                    <w:right w:w="108" w:type="dxa"/>
                  </w:tcMar>
                  <w:vAlign w:val="center"/>
                </w:tcPr>
                <w:p w14:paraId="14622F7A">
                  <w:pPr>
                    <w:jc w:val="center"/>
                    <w:rPr>
                      <w:rFonts w:hint="eastAsia"/>
                      <w:sz w:val="21"/>
                      <w:szCs w:val="21"/>
                      <w:highlight w:val="none"/>
                      <w:lang w:val="en-US" w:eastAsia="zh-CN"/>
                    </w:rPr>
                  </w:pPr>
                  <w:r>
                    <w:rPr>
                      <w:rFonts w:hint="eastAsia"/>
                      <w:sz w:val="21"/>
                      <w:szCs w:val="21"/>
                      <w:highlight w:val="none"/>
                      <w:lang w:val="en-US" w:eastAsia="zh-CN"/>
                    </w:rPr>
                    <w:t>14</w:t>
                  </w:r>
                </w:p>
              </w:tc>
              <w:tc>
                <w:tcPr>
                  <w:tcW w:w="45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6E5FF83">
                  <w:pPr>
                    <w:spacing w:line="240" w:lineRule="auto"/>
                    <w:jc w:val="center"/>
                    <w:rPr>
                      <w:rFonts w:hint="eastAsia"/>
                      <w:sz w:val="21"/>
                      <w:szCs w:val="21"/>
                      <w:highlight w:val="none"/>
                      <w:lang w:val="en-US" w:eastAsia="zh-CN"/>
                    </w:rPr>
                  </w:pPr>
                  <w:r>
                    <w:rPr>
                      <w:rFonts w:hint="eastAsia"/>
                      <w:sz w:val="21"/>
                      <w:szCs w:val="21"/>
                      <w:highlight w:val="none"/>
                      <w:lang w:val="en-US" w:eastAsia="zh-CN"/>
                    </w:rPr>
                    <w:t>回用水</w:t>
                  </w:r>
                </w:p>
              </w:tc>
              <w:tc>
                <w:tcPr>
                  <w:tcW w:w="36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B4574E9">
                  <w:pPr>
                    <w:jc w:val="center"/>
                    <w:rPr>
                      <w:rFonts w:hint="eastAsia"/>
                      <w:sz w:val="21"/>
                      <w:szCs w:val="21"/>
                      <w:highlight w:val="none"/>
                      <w:lang w:val="en-US" w:eastAsia="zh-CN"/>
                    </w:rPr>
                  </w:pPr>
                  <w:r>
                    <w:rPr>
                      <w:rFonts w:hint="eastAsia"/>
                      <w:sz w:val="21"/>
                      <w:szCs w:val="21"/>
                      <w:highlight w:val="none"/>
                      <w:lang w:val="en-US" w:eastAsia="zh-CN"/>
                    </w:rPr>
                    <w:t>250</w:t>
                  </w:r>
                </w:p>
              </w:tc>
              <w:tc>
                <w:tcPr>
                  <w:tcW w:w="49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6B4A355">
                  <w:pPr>
                    <w:jc w:val="center"/>
                    <w:rPr>
                      <w:rFonts w:hint="eastAsia"/>
                      <w:sz w:val="21"/>
                      <w:szCs w:val="21"/>
                      <w:highlight w:val="none"/>
                      <w:lang w:val="en-US" w:eastAsia="zh-CN"/>
                    </w:rPr>
                  </w:pPr>
                  <w:r>
                    <w:rPr>
                      <w:rFonts w:hint="eastAsia"/>
                      <w:sz w:val="21"/>
                      <w:szCs w:val="21"/>
                      <w:highlight w:val="none"/>
                      <w:lang w:val="en-US" w:eastAsia="zh-CN"/>
                    </w:rPr>
                    <w:t>20#</w:t>
                  </w:r>
                </w:p>
              </w:tc>
              <w:tc>
                <w:tcPr>
                  <w:tcW w:w="64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801E460">
                  <w:pPr>
                    <w:jc w:val="center"/>
                    <w:rPr>
                      <w:rFonts w:hint="eastAsia"/>
                      <w:sz w:val="21"/>
                      <w:szCs w:val="21"/>
                      <w:highlight w:val="none"/>
                      <w:lang w:val="en-US" w:eastAsia="zh-CN"/>
                    </w:rPr>
                  </w:pPr>
                  <w:r>
                    <w:rPr>
                      <w:rFonts w:hint="eastAsia"/>
                      <w:sz w:val="21"/>
                      <w:szCs w:val="21"/>
                      <w:highlight w:val="none"/>
                      <w:lang w:val="en-US" w:eastAsia="zh-CN"/>
                    </w:rPr>
                    <w:t>AMB/0.4</w:t>
                  </w:r>
                </w:p>
              </w:tc>
              <w:tc>
                <w:tcPr>
                  <w:tcW w:w="82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F65C386">
                  <w:pPr>
                    <w:pStyle w:val="38"/>
                    <w:ind w:firstLine="0" w:firstLineChars="0"/>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Cs w:val="24"/>
                      <w:highlight w:val="none"/>
                      <w:lang w:val="en-US" w:eastAsia="zh-CN"/>
                      <w14:textFill>
                        <w14:solidFill>
                          <w14:schemeClr w14:val="tx1"/>
                        </w14:solidFill>
                      </w14:textFill>
                    </w:rPr>
                    <w:t>鹏泰回用水送至伊泰污水调节池</w:t>
                  </w:r>
                </w:p>
              </w:tc>
              <w:tc>
                <w:tcPr>
                  <w:tcW w:w="85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1DB535C">
                  <w:pPr>
                    <w:jc w:val="center"/>
                    <w:rPr>
                      <w:rFonts w:hint="eastAsia"/>
                      <w:sz w:val="21"/>
                      <w:szCs w:val="21"/>
                      <w:highlight w:val="none"/>
                      <w:lang w:val="en-US" w:eastAsia="zh-CN"/>
                    </w:rPr>
                  </w:pPr>
                  <w:r>
                    <w:rPr>
                      <w:rFonts w:hint="eastAsia"/>
                      <w:sz w:val="21"/>
                      <w:szCs w:val="21"/>
                      <w:highlight w:val="none"/>
                      <w:lang w:val="en-US" w:eastAsia="zh-CN"/>
                    </w:rPr>
                    <w:t>270t/h</w:t>
                  </w:r>
                </w:p>
              </w:tc>
              <w:tc>
                <w:tcPr>
                  <w:tcW w:w="53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587B703">
                  <w:pPr>
                    <w:jc w:val="center"/>
                    <w:rPr>
                      <w:rFonts w:hint="eastAsia"/>
                      <w:sz w:val="21"/>
                      <w:szCs w:val="21"/>
                      <w:highlight w:val="none"/>
                      <w:lang w:val="en-US" w:eastAsia="zh-CN"/>
                    </w:rPr>
                  </w:pPr>
                  <w:r>
                    <w:rPr>
                      <w:rFonts w:hint="eastAsia"/>
                      <w:sz w:val="21"/>
                      <w:szCs w:val="21"/>
                      <w:highlight w:val="none"/>
                      <w:lang w:val="en-US" w:eastAsia="zh-CN"/>
                    </w:rPr>
                    <w:t>CL150</w:t>
                  </w:r>
                </w:p>
              </w:tc>
              <w:tc>
                <w:tcPr>
                  <w:tcW w:w="535" w:type="pct"/>
                  <w:tcBorders>
                    <w:top w:val="single" w:color="000000" w:sz="4" w:space="0"/>
                    <w:left w:val="single" w:color="000000" w:sz="4" w:space="0"/>
                    <w:bottom w:val="single" w:color="000000" w:sz="4" w:space="0"/>
                  </w:tcBorders>
                  <w:tcMar>
                    <w:left w:w="108" w:type="dxa"/>
                    <w:right w:w="108" w:type="dxa"/>
                  </w:tcMar>
                  <w:vAlign w:val="center"/>
                </w:tcPr>
                <w:p w14:paraId="13141603">
                  <w:pPr>
                    <w:snapToGrid w:val="0"/>
                    <w:jc w:val="center"/>
                    <w:rPr>
                      <w:rFonts w:hint="eastAsia"/>
                      <w:sz w:val="21"/>
                      <w:szCs w:val="21"/>
                      <w:highlight w:val="none"/>
                      <w:lang w:val="en-US" w:eastAsia="zh-CN"/>
                    </w:rPr>
                  </w:pPr>
                  <w:r>
                    <w:rPr>
                      <w:rFonts w:hint="eastAsia"/>
                      <w:sz w:val="21"/>
                      <w:szCs w:val="21"/>
                      <w:highlight w:val="none"/>
                    </w:rPr>
                    <w:t>479</w:t>
                  </w:r>
                </w:p>
              </w:tc>
            </w:tr>
            <w:tr w14:paraId="1749B31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50" w:hRule="atLeast"/>
                <w:jc w:val="center"/>
              </w:trPr>
              <w:tc>
                <w:tcPr>
                  <w:tcW w:w="284" w:type="pct"/>
                  <w:tcBorders>
                    <w:top w:val="single" w:color="000000" w:sz="4" w:space="0"/>
                    <w:bottom w:val="single" w:color="000000" w:sz="4" w:space="0"/>
                    <w:right w:val="single" w:color="000000" w:sz="4" w:space="0"/>
                  </w:tcBorders>
                  <w:tcMar>
                    <w:left w:w="108" w:type="dxa"/>
                    <w:right w:w="108" w:type="dxa"/>
                  </w:tcMar>
                  <w:vAlign w:val="center"/>
                </w:tcPr>
                <w:p w14:paraId="261851C7">
                  <w:pPr>
                    <w:jc w:val="center"/>
                    <w:rPr>
                      <w:rFonts w:hint="eastAsia"/>
                      <w:sz w:val="21"/>
                      <w:szCs w:val="21"/>
                      <w:highlight w:val="none"/>
                      <w:lang w:val="en-US" w:eastAsia="zh-CN"/>
                    </w:rPr>
                  </w:pPr>
                  <w:r>
                    <w:rPr>
                      <w:rFonts w:hint="eastAsia"/>
                      <w:sz w:val="21"/>
                      <w:szCs w:val="21"/>
                      <w:highlight w:val="none"/>
                      <w:lang w:val="en-US" w:eastAsia="zh-CN"/>
                    </w:rPr>
                    <w:t>15</w:t>
                  </w:r>
                </w:p>
              </w:tc>
              <w:tc>
                <w:tcPr>
                  <w:tcW w:w="45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3D5E30A">
                  <w:pPr>
                    <w:spacing w:line="240" w:lineRule="auto"/>
                    <w:jc w:val="center"/>
                    <w:rPr>
                      <w:rFonts w:hint="eastAsia"/>
                      <w:sz w:val="21"/>
                      <w:szCs w:val="21"/>
                      <w:highlight w:val="none"/>
                      <w:lang w:val="en-US" w:eastAsia="zh-CN"/>
                    </w:rPr>
                  </w:pPr>
                  <w:r>
                    <w:rPr>
                      <w:rFonts w:hint="eastAsia"/>
                      <w:sz w:val="21"/>
                      <w:szCs w:val="21"/>
                      <w:highlight w:val="none"/>
                      <w:lang w:val="en-US" w:eastAsia="zh-CN"/>
                    </w:rPr>
                    <w:t>污水1</w:t>
                  </w:r>
                </w:p>
              </w:tc>
              <w:tc>
                <w:tcPr>
                  <w:tcW w:w="36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0E3A301">
                  <w:pPr>
                    <w:jc w:val="center"/>
                    <w:rPr>
                      <w:rFonts w:hint="eastAsia"/>
                      <w:sz w:val="21"/>
                      <w:szCs w:val="21"/>
                      <w:highlight w:val="none"/>
                      <w:lang w:val="en-US" w:eastAsia="zh-CN"/>
                    </w:rPr>
                  </w:pPr>
                  <w:r>
                    <w:rPr>
                      <w:rFonts w:hint="eastAsia"/>
                      <w:sz w:val="21"/>
                      <w:szCs w:val="21"/>
                      <w:highlight w:val="none"/>
                      <w:lang w:val="en-US" w:eastAsia="zh-CN"/>
                    </w:rPr>
                    <w:t>200</w:t>
                  </w:r>
                </w:p>
              </w:tc>
              <w:tc>
                <w:tcPr>
                  <w:tcW w:w="49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A3C5766">
                  <w:pPr>
                    <w:jc w:val="center"/>
                    <w:rPr>
                      <w:rFonts w:hint="eastAsia"/>
                      <w:sz w:val="21"/>
                      <w:szCs w:val="21"/>
                      <w:highlight w:val="none"/>
                      <w:lang w:val="en-US" w:eastAsia="zh-CN"/>
                    </w:rPr>
                  </w:pPr>
                  <w:r>
                    <w:rPr>
                      <w:rFonts w:hint="eastAsia"/>
                      <w:sz w:val="21"/>
                      <w:szCs w:val="21"/>
                      <w:highlight w:val="none"/>
                      <w:lang w:val="en-US" w:eastAsia="zh-CN"/>
                    </w:rPr>
                    <w:t>20#</w:t>
                  </w:r>
                </w:p>
              </w:tc>
              <w:tc>
                <w:tcPr>
                  <w:tcW w:w="64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53A4B94">
                  <w:pPr>
                    <w:jc w:val="center"/>
                    <w:rPr>
                      <w:rFonts w:hint="eastAsia"/>
                      <w:sz w:val="21"/>
                      <w:szCs w:val="21"/>
                      <w:highlight w:val="none"/>
                      <w:lang w:val="en-US" w:eastAsia="zh-CN"/>
                    </w:rPr>
                  </w:pPr>
                  <w:r>
                    <w:rPr>
                      <w:rFonts w:hint="eastAsia"/>
                      <w:sz w:val="21"/>
                      <w:szCs w:val="21"/>
                      <w:highlight w:val="none"/>
                      <w:lang w:val="en-US" w:eastAsia="zh-CN"/>
                    </w:rPr>
                    <w:t>30/0.4</w:t>
                  </w:r>
                </w:p>
              </w:tc>
              <w:tc>
                <w:tcPr>
                  <w:tcW w:w="82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225613E">
                  <w:pPr>
                    <w:pStyle w:val="38"/>
                    <w:ind w:firstLine="0" w:firstLineChars="0"/>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Cs w:val="24"/>
                      <w:highlight w:val="none"/>
                      <w:lang w:val="en-US" w:eastAsia="zh-CN"/>
                      <w14:textFill>
                        <w14:solidFill>
                          <w14:schemeClr w14:val="tx1"/>
                        </w14:solidFill>
                      </w14:textFill>
                    </w:rPr>
                    <w:t>鹏泰污水1送至伊泰污水调节池</w:t>
                  </w:r>
                </w:p>
              </w:tc>
              <w:tc>
                <w:tcPr>
                  <w:tcW w:w="85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8C45140">
                  <w:pPr>
                    <w:jc w:val="center"/>
                    <w:rPr>
                      <w:rFonts w:hint="eastAsia"/>
                      <w:sz w:val="21"/>
                      <w:szCs w:val="21"/>
                      <w:highlight w:val="none"/>
                      <w:lang w:val="en-US" w:eastAsia="zh-CN"/>
                    </w:rPr>
                  </w:pPr>
                  <w:r>
                    <w:rPr>
                      <w:rFonts w:hint="eastAsia"/>
                      <w:sz w:val="21"/>
                      <w:szCs w:val="21"/>
                      <w:highlight w:val="none"/>
                      <w:lang w:val="en-US" w:eastAsia="zh-CN"/>
                    </w:rPr>
                    <w:t>150t/h</w:t>
                  </w:r>
                </w:p>
              </w:tc>
              <w:tc>
                <w:tcPr>
                  <w:tcW w:w="53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EA858C6">
                  <w:pPr>
                    <w:jc w:val="center"/>
                    <w:rPr>
                      <w:rFonts w:hint="eastAsia"/>
                      <w:sz w:val="21"/>
                      <w:szCs w:val="21"/>
                      <w:highlight w:val="none"/>
                      <w:lang w:val="en-US" w:eastAsia="zh-CN"/>
                    </w:rPr>
                  </w:pPr>
                  <w:r>
                    <w:rPr>
                      <w:rFonts w:hint="eastAsia"/>
                      <w:sz w:val="21"/>
                      <w:szCs w:val="21"/>
                      <w:highlight w:val="none"/>
                      <w:lang w:val="en-US" w:eastAsia="zh-CN"/>
                    </w:rPr>
                    <w:t>CL150</w:t>
                  </w:r>
                </w:p>
              </w:tc>
              <w:tc>
                <w:tcPr>
                  <w:tcW w:w="535" w:type="pct"/>
                  <w:tcBorders>
                    <w:top w:val="single" w:color="000000" w:sz="4" w:space="0"/>
                    <w:left w:val="single" w:color="000000" w:sz="4" w:space="0"/>
                    <w:bottom w:val="single" w:color="000000" w:sz="4" w:space="0"/>
                  </w:tcBorders>
                  <w:tcMar>
                    <w:left w:w="108" w:type="dxa"/>
                    <w:right w:w="108" w:type="dxa"/>
                  </w:tcMar>
                  <w:vAlign w:val="center"/>
                </w:tcPr>
                <w:p w14:paraId="0CEA549F">
                  <w:pPr>
                    <w:snapToGrid w:val="0"/>
                    <w:jc w:val="center"/>
                    <w:rPr>
                      <w:rFonts w:hint="eastAsia"/>
                      <w:sz w:val="21"/>
                      <w:szCs w:val="21"/>
                      <w:highlight w:val="none"/>
                      <w:lang w:val="en-US" w:eastAsia="zh-CN"/>
                    </w:rPr>
                  </w:pPr>
                  <w:r>
                    <w:rPr>
                      <w:rFonts w:hint="eastAsia"/>
                      <w:sz w:val="21"/>
                      <w:szCs w:val="21"/>
                      <w:highlight w:val="none"/>
                    </w:rPr>
                    <w:t>1051</w:t>
                  </w:r>
                </w:p>
              </w:tc>
            </w:tr>
            <w:tr w14:paraId="750E33E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50" w:hRule="atLeast"/>
                <w:jc w:val="center"/>
              </w:trPr>
              <w:tc>
                <w:tcPr>
                  <w:tcW w:w="284" w:type="pct"/>
                  <w:tcBorders>
                    <w:top w:val="single" w:color="000000" w:sz="4" w:space="0"/>
                    <w:bottom w:val="single" w:color="000000" w:sz="4" w:space="0"/>
                    <w:right w:val="single" w:color="000000" w:sz="4" w:space="0"/>
                  </w:tcBorders>
                  <w:tcMar>
                    <w:left w:w="108" w:type="dxa"/>
                    <w:right w:w="108" w:type="dxa"/>
                  </w:tcMar>
                  <w:vAlign w:val="center"/>
                </w:tcPr>
                <w:p w14:paraId="2EB070C1">
                  <w:pPr>
                    <w:jc w:val="center"/>
                    <w:rPr>
                      <w:rFonts w:hint="eastAsia"/>
                      <w:sz w:val="21"/>
                      <w:szCs w:val="21"/>
                      <w:highlight w:val="none"/>
                      <w:lang w:val="en-US" w:eastAsia="zh-CN"/>
                    </w:rPr>
                  </w:pPr>
                  <w:r>
                    <w:rPr>
                      <w:rFonts w:hint="eastAsia"/>
                      <w:sz w:val="21"/>
                      <w:szCs w:val="21"/>
                      <w:highlight w:val="none"/>
                      <w:lang w:val="en-US" w:eastAsia="zh-CN"/>
                    </w:rPr>
                    <w:t>16</w:t>
                  </w:r>
                </w:p>
              </w:tc>
              <w:tc>
                <w:tcPr>
                  <w:tcW w:w="45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B36F5D6">
                  <w:pPr>
                    <w:spacing w:line="240" w:lineRule="auto"/>
                    <w:jc w:val="center"/>
                    <w:rPr>
                      <w:rFonts w:hint="eastAsia"/>
                      <w:sz w:val="21"/>
                      <w:szCs w:val="21"/>
                      <w:highlight w:val="none"/>
                      <w:lang w:val="en-US" w:eastAsia="zh-CN"/>
                    </w:rPr>
                  </w:pPr>
                  <w:r>
                    <w:rPr>
                      <w:rFonts w:hint="eastAsia"/>
                      <w:sz w:val="21"/>
                      <w:szCs w:val="21"/>
                      <w:highlight w:val="none"/>
                      <w:lang w:val="en-US" w:eastAsia="zh-CN"/>
                    </w:rPr>
                    <w:t>污水2</w:t>
                  </w:r>
                </w:p>
              </w:tc>
              <w:tc>
                <w:tcPr>
                  <w:tcW w:w="36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72CA9CF">
                  <w:pPr>
                    <w:jc w:val="center"/>
                    <w:rPr>
                      <w:rFonts w:hint="default"/>
                      <w:sz w:val="21"/>
                      <w:szCs w:val="21"/>
                      <w:highlight w:val="none"/>
                      <w:lang w:val="en-US" w:eastAsia="zh-CN"/>
                    </w:rPr>
                  </w:pPr>
                  <w:r>
                    <w:rPr>
                      <w:rFonts w:hint="eastAsia"/>
                      <w:sz w:val="21"/>
                      <w:szCs w:val="21"/>
                      <w:highlight w:val="none"/>
                      <w:lang w:val="en-US" w:eastAsia="zh-CN"/>
                    </w:rPr>
                    <w:t>125</w:t>
                  </w:r>
                </w:p>
              </w:tc>
              <w:tc>
                <w:tcPr>
                  <w:tcW w:w="49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56203DF">
                  <w:pPr>
                    <w:jc w:val="center"/>
                    <w:rPr>
                      <w:rFonts w:hint="eastAsia"/>
                      <w:sz w:val="21"/>
                      <w:szCs w:val="21"/>
                      <w:highlight w:val="none"/>
                      <w:lang w:val="en-US" w:eastAsia="zh-CN"/>
                    </w:rPr>
                  </w:pPr>
                  <w:r>
                    <w:rPr>
                      <w:rFonts w:hint="eastAsia"/>
                      <w:sz w:val="21"/>
                      <w:szCs w:val="21"/>
                      <w:highlight w:val="none"/>
                      <w:lang w:val="en-US" w:eastAsia="zh-CN"/>
                    </w:rPr>
                    <w:t>20#</w:t>
                  </w:r>
                </w:p>
              </w:tc>
              <w:tc>
                <w:tcPr>
                  <w:tcW w:w="64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2A6B9BE">
                  <w:pPr>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30/0.4</w:t>
                  </w:r>
                </w:p>
              </w:tc>
              <w:tc>
                <w:tcPr>
                  <w:tcW w:w="82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697E234">
                  <w:pPr>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鹏泰污水2送至伊泰煤浆提浓装置</w:t>
                  </w:r>
                  <w:r>
                    <w:rPr>
                      <w:rFonts w:hint="default" w:ascii="Times New Roman" w:hAnsi="Times New Roman" w:eastAsia="宋体" w:cs="Times New Roman"/>
                      <w:sz w:val="21"/>
                      <w:szCs w:val="21"/>
                      <w:highlight w:val="none"/>
                      <w:lang w:val="en-US" w:eastAsia="zh-CN"/>
                    </w:rPr>
                    <w:t>粗浆槽搅拌器</w:t>
                  </w:r>
                </w:p>
              </w:tc>
              <w:tc>
                <w:tcPr>
                  <w:tcW w:w="85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1165479">
                  <w:pPr>
                    <w:jc w:val="center"/>
                    <w:rPr>
                      <w:rFonts w:hint="eastAsia"/>
                      <w:sz w:val="21"/>
                      <w:szCs w:val="21"/>
                      <w:highlight w:val="none"/>
                      <w:lang w:val="en-US" w:eastAsia="zh-CN"/>
                    </w:rPr>
                  </w:pPr>
                  <w:r>
                    <w:rPr>
                      <w:rFonts w:hint="eastAsia"/>
                      <w:sz w:val="21"/>
                      <w:szCs w:val="21"/>
                      <w:highlight w:val="none"/>
                      <w:lang w:val="en-US" w:eastAsia="zh-CN"/>
                    </w:rPr>
                    <w:t>40t/h</w:t>
                  </w:r>
                </w:p>
              </w:tc>
              <w:tc>
                <w:tcPr>
                  <w:tcW w:w="53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EA90A31">
                  <w:pPr>
                    <w:jc w:val="center"/>
                    <w:rPr>
                      <w:rFonts w:hint="eastAsia"/>
                      <w:sz w:val="21"/>
                      <w:szCs w:val="21"/>
                      <w:highlight w:val="none"/>
                      <w:lang w:val="en-US" w:eastAsia="zh-CN"/>
                    </w:rPr>
                  </w:pPr>
                  <w:r>
                    <w:rPr>
                      <w:rFonts w:hint="eastAsia"/>
                      <w:sz w:val="21"/>
                      <w:szCs w:val="21"/>
                      <w:highlight w:val="none"/>
                      <w:lang w:val="en-US" w:eastAsia="zh-CN"/>
                    </w:rPr>
                    <w:t>CL150</w:t>
                  </w:r>
                </w:p>
              </w:tc>
              <w:tc>
                <w:tcPr>
                  <w:tcW w:w="535" w:type="pct"/>
                  <w:tcBorders>
                    <w:top w:val="single" w:color="000000" w:sz="4" w:space="0"/>
                    <w:left w:val="single" w:color="000000" w:sz="4" w:space="0"/>
                    <w:bottom w:val="single" w:color="000000" w:sz="4" w:space="0"/>
                  </w:tcBorders>
                  <w:tcMar>
                    <w:left w:w="108" w:type="dxa"/>
                    <w:right w:w="108" w:type="dxa"/>
                  </w:tcMar>
                  <w:vAlign w:val="center"/>
                </w:tcPr>
                <w:p w14:paraId="0B792AAF">
                  <w:pPr>
                    <w:snapToGrid w:val="0"/>
                    <w:jc w:val="center"/>
                    <w:rPr>
                      <w:rFonts w:hint="eastAsia"/>
                      <w:sz w:val="21"/>
                      <w:szCs w:val="21"/>
                      <w:highlight w:val="none"/>
                      <w:lang w:val="en-US" w:eastAsia="zh-CN"/>
                    </w:rPr>
                  </w:pPr>
                  <w:r>
                    <w:rPr>
                      <w:rFonts w:hint="eastAsia"/>
                      <w:sz w:val="21"/>
                      <w:szCs w:val="21"/>
                      <w:highlight w:val="none"/>
                    </w:rPr>
                    <w:t>1082</w:t>
                  </w:r>
                </w:p>
              </w:tc>
            </w:tr>
            <w:tr w14:paraId="2C14A2B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50" w:hRule="atLeast"/>
                <w:jc w:val="center"/>
              </w:trPr>
              <w:tc>
                <w:tcPr>
                  <w:tcW w:w="284" w:type="pct"/>
                  <w:tcBorders>
                    <w:top w:val="single" w:color="000000" w:sz="4" w:space="0"/>
                    <w:bottom w:val="single" w:color="000000" w:sz="4" w:space="0"/>
                    <w:right w:val="single" w:color="000000" w:sz="4" w:space="0"/>
                  </w:tcBorders>
                  <w:tcMar>
                    <w:left w:w="108" w:type="dxa"/>
                    <w:right w:w="108" w:type="dxa"/>
                  </w:tcMar>
                  <w:vAlign w:val="center"/>
                </w:tcPr>
                <w:p w14:paraId="008AF075">
                  <w:pPr>
                    <w:jc w:val="center"/>
                    <w:rPr>
                      <w:rFonts w:hint="eastAsia"/>
                      <w:sz w:val="21"/>
                      <w:szCs w:val="21"/>
                      <w:highlight w:val="none"/>
                      <w:lang w:val="en-US" w:eastAsia="zh-CN"/>
                    </w:rPr>
                  </w:pPr>
                  <w:r>
                    <w:rPr>
                      <w:rFonts w:hint="eastAsia"/>
                      <w:sz w:val="21"/>
                      <w:szCs w:val="21"/>
                      <w:highlight w:val="none"/>
                      <w:lang w:val="en-US" w:eastAsia="zh-CN"/>
                    </w:rPr>
                    <w:t>17</w:t>
                  </w:r>
                </w:p>
              </w:tc>
              <w:tc>
                <w:tcPr>
                  <w:tcW w:w="45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FBBAB06">
                  <w:pPr>
                    <w:spacing w:line="240" w:lineRule="auto"/>
                    <w:jc w:val="center"/>
                    <w:rPr>
                      <w:rFonts w:hint="eastAsia"/>
                      <w:sz w:val="21"/>
                      <w:szCs w:val="21"/>
                      <w:highlight w:val="none"/>
                      <w:lang w:val="en-US" w:eastAsia="zh-CN"/>
                    </w:rPr>
                  </w:pPr>
                  <w:r>
                    <w:rPr>
                      <w:rFonts w:hint="eastAsia"/>
                      <w:sz w:val="21"/>
                      <w:szCs w:val="21"/>
                      <w:highlight w:val="none"/>
                      <w:lang w:val="en-US" w:eastAsia="zh-CN"/>
                    </w:rPr>
                    <w:t>清净废水</w:t>
                  </w:r>
                </w:p>
              </w:tc>
              <w:tc>
                <w:tcPr>
                  <w:tcW w:w="36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1E2BE34">
                  <w:pPr>
                    <w:jc w:val="center"/>
                    <w:rPr>
                      <w:rFonts w:hint="eastAsia"/>
                      <w:sz w:val="21"/>
                      <w:szCs w:val="21"/>
                      <w:highlight w:val="none"/>
                      <w:lang w:val="en-US" w:eastAsia="zh-CN"/>
                    </w:rPr>
                  </w:pPr>
                  <w:r>
                    <w:rPr>
                      <w:rFonts w:hint="eastAsia"/>
                      <w:sz w:val="21"/>
                      <w:szCs w:val="21"/>
                      <w:highlight w:val="none"/>
                      <w:lang w:val="en-US" w:eastAsia="zh-CN"/>
                    </w:rPr>
                    <w:t>200</w:t>
                  </w:r>
                </w:p>
              </w:tc>
              <w:tc>
                <w:tcPr>
                  <w:tcW w:w="49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3515C21">
                  <w:pPr>
                    <w:jc w:val="center"/>
                    <w:rPr>
                      <w:rFonts w:hint="eastAsia"/>
                      <w:sz w:val="21"/>
                      <w:szCs w:val="21"/>
                      <w:highlight w:val="none"/>
                      <w:lang w:val="en-US" w:eastAsia="zh-CN"/>
                    </w:rPr>
                  </w:pPr>
                  <w:r>
                    <w:rPr>
                      <w:rFonts w:hint="eastAsia"/>
                      <w:sz w:val="21"/>
                      <w:szCs w:val="21"/>
                      <w:highlight w:val="none"/>
                      <w:lang w:val="en-US" w:eastAsia="zh-CN"/>
                    </w:rPr>
                    <w:t>20#</w:t>
                  </w:r>
                </w:p>
              </w:tc>
              <w:tc>
                <w:tcPr>
                  <w:tcW w:w="64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C0072AA">
                  <w:pPr>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AMB/0.15</w:t>
                  </w:r>
                </w:p>
              </w:tc>
              <w:tc>
                <w:tcPr>
                  <w:tcW w:w="82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88B3348">
                  <w:pPr>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鹏泰循环冷却水站</w:t>
                  </w:r>
                  <w:r>
                    <w:rPr>
                      <w:rFonts w:hint="eastAsia" w:cs="Times New Roman"/>
                      <w:sz w:val="21"/>
                      <w:szCs w:val="21"/>
                      <w:highlight w:val="none"/>
                      <w:lang w:val="en-US" w:eastAsia="zh-CN"/>
                    </w:rPr>
                    <w:t>～</w:t>
                  </w:r>
                  <w:r>
                    <w:rPr>
                      <w:rFonts w:hint="eastAsia" w:ascii="Times New Roman" w:hAnsi="Times New Roman" w:eastAsia="宋体" w:cs="Times New Roman"/>
                      <w:sz w:val="21"/>
                      <w:szCs w:val="21"/>
                      <w:highlight w:val="none"/>
                      <w:lang w:val="en-US" w:eastAsia="zh-CN"/>
                    </w:rPr>
                    <w:t>伊泰清净废水处理单元</w:t>
                  </w:r>
                </w:p>
              </w:tc>
              <w:tc>
                <w:tcPr>
                  <w:tcW w:w="85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9CD6712">
                  <w:pPr>
                    <w:jc w:val="center"/>
                    <w:rPr>
                      <w:rFonts w:hint="eastAsia"/>
                      <w:sz w:val="21"/>
                      <w:szCs w:val="21"/>
                      <w:highlight w:val="none"/>
                      <w:lang w:val="en-US" w:eastAsia="zh-CN"/>
                    </w:rPr>
                  </w:pPr>
                  <w:r>
                    <w:rPr>
                      <w:rFonts w:hint="eastAsia"/>
                      <w:sz w:val="21"/>
                      <w:szCs w:val="21"/>
                      <w:highlight w:val="none"/>
                      <w:lang w:val="en-US" w:eastAsia="zh-CN"/>
                    </w:rPr>
                    <w:t>120t/h</w:t>
                  </w:r>
                </w:p>
              </w:tc>
              <w:tc>
                <w:tcPr>
                  <w:tcW w:w="53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FA97DBA">
                  <w:pPr>
                    <w:jc w:val="center"/>
                    <w:rPr>
                      <w:rFonts w:hint="eastAsia"/>
                      <w:sz w:val="21"/>
                      <w:szCs w:val="21"/>
                      <w:highlight w:val="none"/>
                      <w:lang w:val="en-US" w:eastAsia="zh-CN"/>
                    </w:rPr>
                  </w:pPr>
                  <w:r>
                    <w:rPr>
                      <w:rFonts w:hint="eastAsia"/>
                      <w:sz w:val="21"/>
                      <w:szCs w:val="21"/>
                      <w:highlight w:val="none"/>
                      <w:lang w:val="en-US" w:eastAsia="zh-CN"/>
                    </w:rPr>
                    <w:t>CL150</w:t>
                  </w:r>
                </w:p>
              </w:tc>
              <w:tc>
                <w:tcPr>
                  <w:tcW w:w="535" w:type="pct"/>
                  <w:tcBorders>
                    <w:top w:val="single" w:color="000000" w:sz="4" w:space="0"/>
                    <w:left w:val="single" w:color="000000" w:sz="4" w:space="0"/>
                    <w:bottom w:val="single" w:color="000000" w:sz="4" w:space="0"/>
                  </w:tcBorders>
                  <w:tcMar>
                    <w:left w:w="108" w:type="dxa"/>
                    <w:right w:w="108" w:type="dxa"/>
                  </w:tcMar>
                  <w:vAlign w:val="center"/>
                </w:tcPr>
                <w:p w14:paraId="69D1658C">
                  <w:pPr>
                    <w:snapToGrid w:val="0"/>
                    <w:jc w:val="center"/>
                    <w:rPr>
                      <w:rFonts w:hint="eastAsia"/>
                      <w:sz w:val="21"/>
                      <w:szCs w:val="21"/>
                      <w:highlight w:val="none"/>
                      <w:lang w:val="en-US" w:eastAsia="zh-CN"/>
                    </w:rPr>
                  </w:pPr>
                  <w:r>
                    <w:rPr>
                      <w:rFonts w:hint="eastAsia"/>
                      <w:sz w:val="21"/>
                      <w:szCs w:val="21"/>
                      <w:highlight w:val="none"/>
                    </w:rPr>
                    <w:t>907</w:t>
                  </w:r>
                </w:p>
              </w:tc>
            </w:tr>
            <w:tr w14:paraId="2AD0D11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50" w:hRule="atLeast"/>
                <w:jc w:val="center"/>
              </w:trPr>
              <w:tc>
                <w:tcPr>
                  <w:tcW w:w="284" w:type="pct"/>
                  <w:tcBorders>
                    <w:top w:val="single" w:color="000000" w:sz="4" w:space="0"/>
                    <w:bottom w:val="single" w:color="000000" w:sz="4" w:space="0"/>
                    <w:right w:val="single" w:color="000000" w:sz="4" w:space="0"/>
                  </w:tcBorders>
                  <w:tcMar>
                    <w:left w:w="108" w:type="dxa"/>
                    <w:right w:w="108" w:type="dxa"/>
                  </w:tcMar>
                  <w:vAlign w:val="center"/>
                </w:tcPr>
                <w:p w14:paraId="090652AA">
                  <w:pPr>
                    <w:jc w:val="center"/>
                    <w:rPr>
                      <w:rFonts w:hint="eastAsia"/>
                      <w:sz w:val="21"/>
                      <w:szCs w:val="21"/>
                      <w:highlight w:val="none"/>
                      <w:lang w:val="en-US" w:eastAsia="zh-CN"/>
                    </w:rPr>
                  </w:pPr>
                  <w:r>
                    <w:rPr>
                      <w:rFonts w:hint="eastAsia"/>
                      <w:sz w:val="21"/>
                      <w:szCs w:val="21"/>
                      <w:highlight w:val="none"/>
                      <w:lang w:val="en-US" w:eastAsia="zh-CN"/>
                    </w:rPr>
                    <w:t>18</w:t>
                  </w:r>
                </w:p>
              </w:tc>
              <w:tc>
                <w:tcPr>
                  <w:tcW w:w="45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466DC9D">
                  <w:pPr>
                    <w:spacing w:line="240" w:lineRule="auto"/>
                    <w:jc w:val="center"/>
                    <w:rPr>
                      <w:rFonts w:hint="eastAsia"/>
                      <w:sz w:val="21"/>
                      <w:szCs w:val="21"/>
                      <w:highlight w:val="none"/>
                      <w:lang w:val="en-US" w:eastAsia="zh-CN"/>
                    </w:rPr>
                  </w:pPr>
                  <w:r>
                    <w:rPr>
                      <w:rFonts w:hint="eastAsia"/>
                      <w:sz w:val="21"/>
                      <w:szCs w:val="21"/>
                      <w:highlight w:val="none"/>
                      <w:lang w:val="en-US" w:eastAsia="zh-CN"/>
                    </w:rPr>
                    <w:t>酸性气</w:t>
                  </w:r>
                </w:p>
              </w:tc>
              <w:tc>
                <w:tcPr>
                  <w:tcW w:w="36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D75EC35">
                  <w:pPr>
                    <w:jc w:val="center"/>
                    <w:rPr>
                      <w:rFonts w:hint="eastAsia"/>
                      <w:sz w:val="21"/>
                      <w:szCs w:val="21"/>
                      <w:highlight w:val="none"/>
                      <w:lang w:val="en-US" w:eastAsia="zh-CN"/>
                    </w:rPr>
                  </w:pPr>
                  <w:r>
                    <w:rPr>
                      <w:rFonts w:hint="eastAsia"/>
                      <w:sz w:val="21"/>
                      <w:szCs w:val="21"/>
                      <w:highlight w:val="none"/>
                      <w:lang w:val="en-US" w:eastAsia="zh-CN"/>
                    </w:rPr>
                    <w:t>150</w:t>
                  </w:r>
                </w:p>
              </w:tc>
              <w:tc>
                <w:tcPr>
                  <w:tcW w:w="49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C40BAFE">
                  <w:pPr>
                    <w:jc w:val="center"/>
                    <w:rPr>
                      <w:rFonts w:hint="eastAsia"/>
                      <w:sz w:val="21"/>
                      <w:szCs w:val="21"/>
                      <w:highlight w:val="none"/>
                      <w:lang w:val="en-US" w:eastAsia="zh-CN"/>
                    </w:rPr>
                  </w:pPr>
                  <w:r>
                    <w:rPr>
                      <w:rFonts w:hint="eastAsia"/>
                      <w:sz w:val="21"/>
                      <w:szCs w:val="21"/>
                      <w:highlight w:val="none"/>
                      <w:lang w:val="en-US" w:eastAsia="zh-CN"/>
                    </w:rPr>
                    <w:t>304</w:t>
                  </w:r>
                </w:p>
              </w:tc>
              <w:tc>
                <w:tcPr>
                  <w:tcW w:w="64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82B273D">
                  <w:pPr>
                    <w:jc w:val="center"/>
                    <w:rPr>
                      <w:rFonts w:hint="eastAsia"/>
                      <w:sz w:val="21"/>
                      <w:szCs w:val="21"/>
                      <w:highlight w:val="none"/>
                      <w:lang w:val="en-US" w:eastAsia="zh-CN"/>
                    </w:rPr>
                  </w:pPr>
                  <w:r>
                    <w:rPr>
                      <w:rFonts w:hint="eastAsia"/>
                      <w:sz w:val="21"/>
                      <w:szCs w:val="21"/>
                      <w:highlight w:val="none"/>
                      <w:lang w:val="en-US" w:eastAsia="zh-CN"/>
                    </w:rPr>
                    <w:t>AMB/0.15</w:t>
                  </w:r>
                </w:p>
              </w:tc>
              <w:tc>
                <w:tcPr>
                  <w:tcW w:w="82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FEB5411">
                  <w:pPr>
                    <w:pStyle w:val="38"/>
                    <w:ind w:firstLine="0" w:firstLineChars="0"/>
                    <w:rPr>
                      <w:rFonts w:hint="eastAsia"/>
                      <w:color w:val="000000" w:themeColor="text1"/>
                      <w:sz w:val="21"/>
                      <w:szCs w:val="21"/>
                      <w:highlight w:val="none"/>
                      <w:lang w:val="en-US" w:eastAsia="zh-CN"/>
                      <w14:textFill>
                        <w14:solidFill>
                          <w14:schemeClr w14:val="tx1"/>
                        </w14:solidFill>
                      </w14:textFill>
                    </w:rPr>
                  </w:pPr>
                  <w:r>
                    <w:rPr>
                      <w:rFonts w:cs="Times New Roman"/>
                      <w:color w:val="000000" w:themeColor="text1"/>
                      <w:highlight w:val="none"/>
                      <w14:textFill>
                        <w14:solidFill>
                          <w14:schemeClr w14:val="tx1"/>
                        </w14:solidFill>
                      </w14:textFill>
                    </w:rPr>
                    <w:t>尾气脱硫再生塔</w:t>
                  </w:r>
                  <w:r>
                    <w:rPr>
                      <w:rFonts w:hint="eastAsia" w:cs="Times New Roman"/>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去伊泰硫回收装置</w:t>
                  </w:r>
                </w:p>
              </w:tc>
              <w:tc>
                <w:tcPr>
                  <w:tcW w:w="85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4B3E0C2">
                  <w:pPr>
                    <w:jc w:val="center"/>
                    <w:rPr>
                      <w:rFonts w:hint="eastAsia"/>
                      <w:sz w:val="21"/>
                      <w:szCs w:val="21"/>
                      <w:highlight w:val="none"/>
                      <w:lang w:val="en-US" w:eastAsia="zh-CN"/>
                    </w:rPr>
                  </w:pPr>
                  <w:r>
                    <w:rPr>
                      <w:rFonts w:hint="eastAsia"/>
                      <w:sz w:val="21"/>
                      <w:szCs w:val="21"/>
                      <w:highlight w:val="none"/>
                      <w:lang w:val="en-US" w:eastAsia="zh-CN"/>
                    </w:rPr>
                    <w:t>1500Nm</w:t>
                  </w:r>
                  <w:r>
                    <w:rPr>
                      <w:rFonts w:hint="eastAsia"/>
                      <w:sz w:val="21"/>
                      <w:szCs w:val="21"/>
                      <w:highlight w:val="none"/>
                      <w:vertAlign w:val="superscript"/>
                      <w:lang w:val="en-US" w:eastAsia="zh-CN"/>
                    </w:rPr>
                    <w:t>3</w:t>
                  </w:r>
                  <w:r>
                    <w:rPr>
                      <w:rFonts w:hint="eastAsia"/>
                      <w:sz w:val="21"/>
                      <w:szCs w:val="21"/>
                      <w:highlight w:val="none"/>
                      <w:lang w:val="en-US" w:eastAsia="zh-CN"/>
                    </w:rPr>
                    <w:t>/h</w:t>
                  </w:r>
                </w:p>
              </w:tc>
              <w:tc>
                <w:tcPr>
                  <w:tcW w:w="53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0F3F5FE">
                  <w:pPr>
                    <w:jc w:val="center"/>
                    <w:rPr>
                      <w:rFonts w:hint="eastAsia"/>
                      <w:sz w:val="21"/>
                      <w:szCs w:val="21"/>
                      <w:highlight w:val="none"/>
                      <w:lang w:val="en-US" w:eastAsia="zh-CN"/>
                    </w:rPr>
                  </w:pPr>
                  <w:r>
                    <w:rPr>
                      <w:rFonts w:hint="eastAsia"/>
                      <w:sz w:val="21"/>
                      <w:szCs w:val="21"/>
                      <w:highlight w:val="none"/>
                      <w:lang w:val="en-US" w:eastAsia="zh-CN"/>
                    </w:rPr>
                    <w:t>CL150</w:t>
                  </w:r>
                </w:p>
              </w:tc>
              <w:tc>
                <w:tcPr>
                  <w:tcW w:w="535" w:type="pct"/>
                  <w:tcBorders>
                    <w:top w:val="single" w:color="000000" w:sz="4" w:space="0"/>
                    <w:left w:val="single" w:color="000000" w:sz="4" w:space="0"/>
                    <w:bottom w:val="single" w:color="000000" w:sz="4" w:space="0"/>
                  </w:tcBorders>
                  <w:tcMar>
                    <w:left w:w="108" w:type="dxa"/>
                    <w:right w:w="108" w:type="dxa"/>
                  </w:tcMar>
                  <w:vAlign w:val="center"/>
                </w:tcPr>
                <w:p w14:paraId="677E73C5">
                  <w:pPr>
                    <w:snapToGrid w:val="0"/>
                    <w:jc w:val="center"/>
                    <w:rPr>
                      <w:rFonts w:hint="eastAsia"/>
                      <w:sz w:val="21"/>
                      <w:szCs w:val="21"/>
                      <w:highlight w:val="none"/>
                      <w:lang w:val="en-US" w:eastAsia="zh-CN"/>
                    </w:rPr>
                  </w:pPr>
                  <w:r>
                    <w:rPr>
                      <w:rFonts w:hint="eastAsia"/>
                      <w:sz w:val="21"/>
                      <w:szCs w:val="21"/>
                      <w:highlight w:val="none"/>
                    </w:rPr>
                    <w:t>907</w:t>
                  </w:r>
                </w:p>
              </w:tc>
            </w:tr>
            <w:tr w14:paraId="700BCEB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50" w:hRule="atLeast"/>
                <w:jc w:val="center"/>
              </w:trPr>
              <w:tc>
                <w:tcPr>
                  <w:tcW w:w="284" w:type="pct"/>
                  <w:tcBorders>
                    <w:top w:val="single" w:color="000000" w:sz="4" w:space="0"/>
                    <w:bottom w:val="single" w:color="000000" w:sz="4" w:space="0"/>
                    <w:right w:val="single" w:color="000000" w:sz="4" w:space="0"/>
                  </w:tcBorders>
                  <w:tcMar>
                    <w:left w:w="108" w:type="dxa"/>
                    <w:right w:w="108" w:type="dxa"/>
                  </w:tcMar>
                  <w:vAlign w:val="center"/>
                </w:tcPr>
                <w:p w14:paraId="4AC27243">
                  <w:pPr>
                    <w:jc w:val="center"/>
                    <w:rPr>
                      <w:rFonts w:hint="eastAsia"/>
                      <w:sz w:val="21"/>
                      <w:szCs w:val="21"/>
                      <w:highlight w:val="none"/>
                      <w:lang w:val="en-US" w:eastAsia="zh-CN"/>
                    </w:rPr>
                  </w:pPr>
                  <w:r>
                    <w:rPr>
                      <w:rFonts w:hint="eastAsia"/>
                      <w:sz w:val="21"/>
                      <w:szCs w:val="21"/>
                      <w:highlight w:val="none"/>
                      <w:lang w:val="en-US" w:eastAsia="zh-CN"/>
                    </w:rPr>
                    <w:t>19</w:t>
                  </w:r>
                </w:p>
              </w:tc>
              <w:tc>
                <w:tcPr>
                  <w:tcW w:w="45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1C46C6F">
                  <w:pPr>
                    <w:spacing w:line="240" w:lineRule="auto"/>
                    <w:jc w:val="center"/>
                    <w:rPr>
                      <w:rFonts w:hint="eastAsia"/>
                      <w:sz w:val="21"/>
                      <w:szCs w:val="21"/>
                      <w:highlight w:val="none"/>
                      <w:lang w:val="en-US" w:eastAsia="zh-CN"/>
                    </w:rPr>
                  </w:pPr>
                  <w:r>
                    <w:rPr>
                      <w:rFonts w:hint="eastAsia"/>
                      <w:sz w:val="21"/>
                      <w:szCs w:val="21"/>
                      <w:highlight w:val="none"/>
                      <w:lang w:val="en-US" w:eastAsia="zh-CN"/>
                    </w:rPr>
                    <w:t>冷冻水来</w:t>
                  </w:r>
                </w:p>
              </w:tc>
              <w:tc>
                <w:tcPr>
                  <w:tcW w:w="36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9C55D29">
                  <w:pPr>
                    <w:jc w:val="center"/>
                    <w:rPr>
                      <w:rFonts w:hint="eastAsia"/>
                      <w:sz w:val="21"/>
                      <w:szCs w:val="21"/>
                      <w:highlight w:val="none"/>
                      <w:lang w:val="en-US" w:eastAsia="zh-CN"/>
                    </w:rPr>
                  </w:pPr>
                  <w:r>
                    <w:rPr>
                      <w:rFonts w:hint="eastAsia"/>
                      <w:sz w:val="21"/>
                      <w:szCs w:val="21"/>
                      <w:highlight w:val="none"/>
                      <w:lang w:val="en-US" w:eastAsia="zh-CN"/>
                    </w:rPr>
                    <w:t>500</w:t>
                  </w:r>
                </w:p>
              </w:tc>
              <w:tc>
                <w:tcPr>
                  <w:tcW w:w="49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673E41D">
                  <w:pPr>
                    <w:jc w:val="center"/>
                    <w:rPr>
                      <w:rFonts w:hint="eastAsia"/>
                      <w:sz w:val="21"/>
                      <w:szCs w:val="21"/>
                      <w:highlight w:val="none"/>
                      <w:lang w:val="en-US" w:eastAsia="zh-CN"/>
                    </w:rPr>
                  </w:pPr>
                  <w:r>
                    <w:rPr>
                      <w:rFonts w:hint="eastAsia"/>
                      <w:sz w:val="21"/>
                      <w:szCs w:val="21"/>
                      <w:highlight w:val="none"/>
                      <w:lang w:val="en-US" w:eastAsia="zh-CN"/>
                    </w:rPr>
                    <w:t>20#</w:t>
                  </w:r>
                </w:p>
              </w:tc>
              <w:tc>
                <w:tcPr>
                  <w:tcW w:w="64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E03226F">
                  <w:pPr>
                    <w:jc w:val="center"/>
                    <w:rPr>
                      <w:rFonts w:hint="eastAsia"/>
                      <w:sz w:val="21"/>
                      <w:szCs w:val="21"/>
                      <w:highlight w:val="none"/>
                      <w:lang w:val="en-US" w:eastAsia="zh-CN"/>
                    </w:rPr>
                  </w:pPr>
                  <w:r>
                    <w:rPr>
                      <w:rFonts w:hint="eastAsia"/>
                      <w:sz w:val="21"/>
                      <w:szCs w:val="21"/>
                      <w:highlight w:val="none"/>
                      <w:lang w:val="en-US" w:eastAsia="zh-CN"/>
                    </w:rPr>
                    <w:t>10/0.4</w:t>
                  </w:r>
                </w:p>
              </w:tc>
              <w:tc>
                <w:tcPr>
                  <w:tcW w:w="82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2CD41AA">
                  <w:pPr>
                    <w:pStyle w:val="38"/>
                    <w:ind w:firstLine="0" w:firstLineChars="0"/>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伊泰冷冻机组至鹏泰冷冻水主管</w:t>
                  </w:r>
                </w:p>
              </w:tc>
              <w:tc>
                <w:tcPr>
                  <w:tcW w:w="85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E9064F2">
                  <w:pPr>
                    <w:jc w:val="center"/>
                    <w:rPr>
                      <w:rFonts w:hint="eastAsia"/>
                      <w:sz w:val="21"/>
                      <w:szCs w:val="21"/>
                      <w:highlight w:val="none"/>
                      <w:lang w:val="en-US" w:eastAsia="zh-CN"/>
                    </w:rPr>
                  </w:pPr>
                  <w:r>
                    <w:rPr>
                      <w:rFonts w:hint="eastAsia"/>
                      <w:sz w:val="21"/>
                      <w:szCs w:val="21"/>
                      <w:highlight w:val="none"/>
                      <w:lang w:val="en-US" w:eastAsia="zh-CN"/>
                    </w:rPr>
                    <w:t>1800m</w:t>
                  </w:r>
                  <w:r>
                    <w:rPr>
                      <w:rFonts w:hint="eastAsia"/>
                      <w:sz w:val="21"/>
                      <w:szCs w:val="21"/>
                      <w:highlight w:val="none"/>
                      <w:vertAlign w:val="superscript"/>
                      <w:lang w:val="en-US" w:eastAsia="zh-CN"/>
                    </w:rPr>
                    <w:t>3</w:t>
                  </w:r>
                  <w:r>
                    <w:rPr>
                      <w:rFonts w:hint="eastAsia"/>
                      <w:sz w:val="21"/>
                      <w:szCs w:val="21"/>
                      <w:highlight w:val="none"/>
                      <w:lang w:val="en-US" w:eastAsia="zh-CN"/>
                    </w:rPr>
                    <w:t>/h</w:t>
                  </w:r>
                </w:p>
              </w:tc>
              <w:tc>
                <w:tcPr>
                  <w:tcW w:w="53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19DA051">
                  <w:pPr>
                    <w:jc w:val="center"/>
                    <w:rPr>
                      <w:rFonts w:hint="eastAsia"/>
                      <w:sz w:val="21"/>
                      <w:szCs w:val="21"/>
                      <w:highlight w:val="none"/>
                      <w:lang w:val="en-US" w:eastAsia="zh-CN"/>
                    </w:rPr>
                  </w:pPr>
                  <w:r>
                    <w:rPr>
                      <w:rFonts w:hint="eastAsia"/>
                      <w:sz w:val="21"/>
                      <w:szCs w:val="21"/>
                      <w:highlight w:val="none"/>
                      <w:lang w:val="en-US" w:eastAsia="zh-CN"/>
                    </w:rPr>
                    <w:t>CL150</w:t>
                  </w:r>
                </w:p>
              </w:tc>
              <w:tc>
                <w:tcPr>
                  <w:tcW w:w="535" w:type="pct"/>
                  <w:tcBorders>
                    <w:top w:val="single" w:color="000000" w:sz="4" w:space="0"/>
                    <w:left w:val="single" w:color="000000" w:sz="4" w:space="0"/>
                    <w:bottom w:val="single" w:color="000000" w:sz="4" w:space="0"/>
                  </w:tcBorders>
                  <w:tcMar>
                    <w:left w:w="108" w:type="dxa"/>
                    <w:right w:w="108" w:type="dxa"/>
                  </w:tcMar>
                  <w:vAlign w:val="center"/>
                </w:tcPr>
                <w:p w14:paraId="3E6A713C">
                  <w:pPr>
                    <w:snapToGrid w:val="0"/>
                    <w:jc w:val="center"/>
                    <w:rPr>
                      <w:rFonts w:hint="eastAsia"/>
                      <w:sz w:val="21"/>
                      <w:szCs w:val="21"/>
                      <w:highlight w:val="none"/>
                      <w:lang w:val="en-US" w:eastAsia="zh-CN"/>
                    </w:rPr>
                  </w:pPr>
                  <w:r>
                    <w:rPr>
                      <w:rFonts w:hint="eastAsia"/>
                      <w:sz w:val="21"/>
                      <w:szCs w:val="21"/>
                      <w:highlight w:val="none"/>
                    </w:rPr>
                    <w:t>455</w:t>
                  </w:r>
                </w:p>
              </w:tc>
            </w:tr>
            <w:tr w14:paraId="1A98851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50" w:hRule="atLeast"/>
                <w:jc w:val="center"/>
              </w:trPr>
              <w:tc>
                <w:tcPr>
                  <w:tcW w:w="284" w:type="pct"/>
                  <w:tcBorders>
                    <w:top w:val="single" w:color="000000" w:sz="4" w:space="0"/>
                    <w:bottom w:val="single" w:color="000000" w:sz="4" w:space="0"/>
                    <w:right w:val="single" w:color="000000" w:sz="4" w:space="0"/>
                  </w:tcBorders>
                  <w:tcMar>
                    <w:left w:w="108" w:type="dxa"/>
                    <w:right w:w="108" w:type="dxa"/>
                  </w:tcMar>
                  <w:vAlign w:val="center"/>
                </w:tcPr>
                <w:p w14:paraId="1D7B89EE">
                  <w:pPr>
                    <w:jc w:val="center"/>
                    <w:rPr>
                      <w:rFonts w:hint="eastAsia"/>
                      <w:sz w:val="21"/>
                      <w:szCs w:val="21"/>
                      <w:highlight w:val="none"/>
                      <w:lang w:val="en-US" w:eastAsia="zh-CN"/>
                    </w:rPr>
                  </w:pPr>
                  <w:r>
                    <w:rPr>
                      <w:rFonts w:hint="eastAsia"/>
                      <w:sz w:val="21"/>
                      <w:szCs w:val="21"/>
                      <w:highlight w:val="none"/>
                      <w:lang w:val="en-US" w:eastAsia="zh-CN"/>
                    </w:rPr>
                    <w:t>20</w:t>
                  </w:r>
                </w:p>
              </w:tc>
              <w:tc>
                <w:tcPr>
                  <w:tcW w:w="45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961BB23">
                  <w:pPr>
                    <w:spacing w:line="240" w:lineRule="auto"/>
                    <w:jc w:val="center"/>
                    <w:rPr>
                      <w:rFonts w:hint="eastAsia"/>
                      <w:sz w:val="21"/>
                      <w:szCs w:val="21"/>
                      <w:highlight w:val="none"/>
                      <w:lang w:val="en-US" w:eastAsia="zh-CN"/>
                    </w:rPr>
                  </w:pPr>
                  <w:r>
                    <w:rPr>
                      <w:rFonts w:hint="eastAsia"/>
                      <w:sz w:val="21"/>
                      <w:szCs w:val="21"/>
                      <w:highlight w:val="none"/>
                      <w:lang w:val="en-US" w:eastAsia="zh-CN"/>
                    </w:rPr>
                    <w:t>冷冻水回</w:t>
                  </w:r>
                </w:p>
              </w:tc>
              <w:tc>
                <w:tcPr>
                  <w:tcW w:w="36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21F41DA">
                  <w:pPr>
                    <w:jc w:val="center"/>
                    <w:rPr>
                      <w:rFonts w:hint="eastAsia"/>
                      <w:sz w:val="21"/>
                      <w:szCs w:val="21"/>
                      <w:highlight w:val="none"/>
                      <w:lang w:val="en-US" w:eastAsia="zh-CN"/>
                    </w:rPr>
                  </w:pPr>
                  <w:r>
                    <w:rPr>
                      <w:rFonts w:hint="eastAsia"/>
                      <w:sz w:val="21"/>
                      <w:szCs w:val="21"/>
                      <w:highlight w:val="none"/>
                      <w:lang w:val="en-US" w:eastAsia="zh-CN"/>
                    </w:rPr>
                    <w:t>500</w:t>
                  </w:r>
                </w:p>
              </w:tc>
              <w:tc>
                <w:tcPr>
                  <w:tcW w:w="49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2DE56DC">
                  <w:pPr>
                    <w:jc w:val="center"/>
                    <w:rPr>
                      <w:rFonts w:hint="eastAsia"/>
                      <w:sz w:val="21"/>
                      <w:szCs w:val="21"/>
                      <w:highlight w:val="none"/>
                      <w:lang w:val="en-US" w:eastAsia="zh-CN"/>
                    </w:rPr>
                  </w:pPr>
                  <w:r>
                    <w:rPr>
                      <w:rFonts w:hint="eastAsia"/>
                      <w:sz w:val="21"/>
                      <w:szCs w:val="21"/>
                      <w:highlight w:val="none"/>
                      <w:lang w:val="en-US" w:eastAsia="zh-CN"/>
                    </w:rPr>
                    <w:t>20#</w:t>
                  </w:r>
                </w:p>
              </w:tc>
              <w:tc>
                <w:tcPr>
                  <w:tcW w:w="64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FA7F551">
                  <w:pPr>
                    <w:jc w:val="center"/>
                    <w:rPr>
                      <w:rFonts w:hint="eastAsia"/>
                      <w:sz w:val="21"/>
                      <w:szCs w:val="21"/>
                      <w:highlight w:val="none"/>
                      <w:lang w:val="en-US" w:eastAsia="zh-CN"/>
                    </w:rPr>
                  </w:pPr>
                  <w:r>
                    <w:rPr>
                      <w:rFonts w:hint="eastAsia"/>
                      <w:sz w:val="21"/>
                      <w:szCs w:val="21"/>
                      <w:highlight w:val="none"/>
                      <w:lang w:val="en-US" w:eastAsia="zh-CN"/>
                    </w:rPr>
                    <w:t>10/0.4</w:t>
                  </w:r>
                </w:p>
              </w:tc>
              <w:tc>
                <w:tcPr>
                  <w:tcW w:w="82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DFE8AAA">
                  <w:pPr>
                    <w:pStyle w:val="38"/>
                    <w:ind w:firstLine="0" w:firstLineChars="0"/>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鹏泰冷冻水主管至伊泰冷冻机组</w:t>
                  </w:r>
                </w:p>
              </w:tc>
              <w:tc>
                <w:tcPr>
                  <w:tcW w:w="85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5356207">
                  <w:pPr>
                    <w:jc w:val="center"/>
                    <w:rPr>
                      <w:rFonts w:hint="eastAsia"/>
                      <w:sz w:val="21"/>
                      <w:szCs w:val="21"/>
                      <w:highlight w:val="none"/>
                      <w:lang w:val="en-US" w:eastAsia="zh-CN"/>
                    </w:rPr>
                  </w:pPr>
                  <w:r>
                    <w:rPr>
                      <w:rFonts w:hint="eastAsia"/>
                      <w:sz w:val="21"/>
                      <w:szCs w:val="21"/>
                      <w:highlight w:val="none"/>
                      <w:lang w:val="en-US" w:eastAsia="zh-CN"/>
                    </w:rPr>
                    <w:t>1800m</w:t>
                  </w:r>
                  <w:r>
                    <w:rPr>
                      <w:rFonts w:hint="eastAsia"/>
                      <w:sz w:val="21"/>
                      <w:szCs w:val="21"/>
                      <w:highlight w:val="none"/>
                      <w:vertAlign w:val="superscript"/>
                      <w:lang w:val="en-US" w:eastAsia="zh-CN"/>
                    </w:rPr>
                    <w:t>3</w:t>
                  </w:r>
                  <w:r>
                    <w:rPr>
                      <w:rFonts w:hint="eastAsia"/>
                      <w:sz w:val="21"/>
                      <w:szCs w:val="21"/>
                      <w:highlight w:val="none"/>
                      <w:lang w:val="en-US" w:eastAsia="zh-CN"/>
                    </w:rPr>
                    <w:t>/h</w:t>
                  </w:r>
                </w:p>
              </w:tc>
              <w:tc>
                <w:tcPr>
                  <w:tcW w:w="53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06572B2">
                  <w:pPr>
                    <w:jc w:val="center"/>
                    <w:rPr>
                      <w:rFonts w:hint="eastAsia"/>
                      <w:sz w:val="21"/>
                      <w:szCs w:val="21"/>
                      <w:highlight w:val="none"/>
                      <w:lang w:val="en-US" w:eastAsia="zh-CN"/>
                    </w:rPr>
                  </w:pPr>
                  <w:r>
                    <w:rPr>
                      <w:rFonts w:hint="eastAsia"/>
                      <w:sz w:val="21"/>
                      <w:szCs w:val="21"/>
                      <w:highlight w:val="none"/>
                      <w:lang w:val="en-US" w:eastAsia="zh-CN"/>
                    </w:rPr>
                    <w:t>CL150</w:t>
                  </w:r>
                </w:p>
              </w:tc>
              <w:tc>
                <w:tcPr>
                  <w:tcW w:w="535" w:type="pct"/>
                  <w:tcBorders>
                    <w:top w:val="single" w:color="000000" w:sz="4" w:space="0"/>
                    <w:left w:val="single" w:color="000000" w:sz="4" w:space="0"/>
                    <w:bottom w:val="single" w:color="000000" w:sz="4" w:space="0"/>
                  </w:tcBorders>
                  <w:tcMar>
                    <w:left w:w="108" w:type="dxa"/>
                    <w:right w:w="108" w:type="dxa"/>
                  </w:tcMar>
                  <w:vAlign w:val="center"/>
                </w:tcPr>
                <w:p w14:paraId="7EF3D57F">
                  <w:pPr>
                    <w:snapToGrid w:val="0"/>
                    <w:jc w:val="center"/>
                    <w:rPr>
                      <w:rFonts w:hint="eastAsia"/>
                      <w:sz w:val="21"/>
                      <w:szCs w:val="21"/>
                      <w:highlight w:val="none"/>
                      <w:lang w:val="en-US" w:eastAsia="zh-CN"/>
                    </w:rPr>
                  </w:pPr>
                  <w:r>
                    <w:rPr>
                      <w:rFonts w:hint="eastAsia"/>
                      <w:sz w:val="21"/>
                      <w:szCs w:val="21"/>
                      <w:highlight w:val="none"/>
                    </w:rPr>
                    <w:t>445</w:t>
                  </w:r>
                </w:p>
              </w:tc>
            </w:tr>
            <w:tr w14:paraId="7F1695F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50" w:hRule="atLeast"/>
                <w:jc w:val="center"/>
              </w:trPr>
              <w:tc>
                <w:tcPr>
                  <w:tcW w:w="284" w:type="pct"/>
                  <w:tcBorders>
                    <w:top w:val="single" w:color="000000" w:sz="4" w:space="0"/>
                    <w:bottom w:val="single" w:color="000000" w:sz="4" w:space="0"/>
                    <w:right w:val="single" w:color="000000" w:sz="4" w:space="0"/>
                  </w:tcBorders>
                  <w:tcMar>
                    <w:left w:w="108" w:type="dxa"/>
                    <w:right w:w="108" w:type="dxa"/>
                  </w:tcMar>
                  <w:vAlign w:val="center"/>
                </w:tcPr>
                <w:p w14:paraId="4DCEE130">
                  <w:pPr>
                    <w:jc w:val="center"/>
                    <w:rPr>
                      <w:rFonts w:hint="eastAsia"/>
                      <w:sz w:val="21"/>
                      <w:szCs w:val="21"/>
                      <w:highlight w:val="none"/>
                      <w:lang w:val="en-US" w:eastAsia="zh-CN"/>
                    </w:rPr>
                  </w:pPr>
                  <w:r>
                    <w:rPr>
                      <w:rFonts w:hint="eastAsia"/>
                      <w:sz w:val="21"/>
                      <w:szCs w:val="21"/>
                      <w:highlight w:val="none"/>
                      <w:lang w:val="en-US" w:eastAsia="zh-CN"/>
                    </w:rPr>
                    <w:t>21</w:t>
                  </w:r>
                </w:p>
              </w:tc>
              <w:tc>
                <w:tcPr>
                  <w:tcW w:w="45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13FEF2D">
                  <w:pPr>
                    <w:spacing w:line="240" w:lineRule="auto"/>
                    <w:jc w:val="center"/>
                    <w:rPr>
                      <w:rFonts w:hint="eastAsia"/>
                      <w:sz w:val="21"/>
                      <w:szCs w:val="21"/>
                      <w:highlight w:val="none"/>
                      <w:lang w:val="en-US" w:eastAsia="zh-CN"/>
                    </w:rPr>
                  </w:pPr>
                  <w:r>
                    <w:rPr>
                      <w:rFonts w:hint="eastAsia"/>
                      <w:sz w:val="21"/>
                      <w:szCs w:val="21"/>
                      <w:highlight w:val="none"/>
                      <w:lang w:val="en-US" w:eastAsia="zh-CN"/>
                    </w:rPr>
                    <w:t>富甲烷气</w:t>
                  </w:r>
                </w:p>
              </w:tc>
              <w:tc>
                <w:tcPr>
                  <w:tcW w:w="36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3EFCD35">
                  <w:pPr>
                    <w:jc w:val="center"/>
                    <w:rPr>
                      <w:rFonts w:hint="eastAsia"/>
                      <w:sz w:val="21"/>
                      <w:szCs w:val="21"/>
                      <w:highlight w:val="none"/>
                      <w:lang w:val="en-US" w:eastAsia="zh-CN"/>
                    </w:rPr>
                  </w:pPr>
                  <w:r>
                    <w:rPr>
                      <w:rFonts w:hint="eastAsia"/>
                      <w:sz w:val="21"/>
                      <w:szCs w:val="21"/>
                      <w:highlight w:val="none"/>
                      <w:lang w:val="en-US" w:eastAsia="zh-CN"/>
                    </w:rPr>
                    <w:t>200</w:t>
                  </w:r>
                </w:p>
              </w:tc>
              <w:tc>
                <w:tcPr>
                  <w:tcW w:w="49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DD5EEF0">
                  <w:pPr>
                    <w:jc w:val="center"/>
                    <w:rPr>
                      <w:rFonts w:hint="eastAsia"/>
                      <w:sz w:val="21"/>
                      <w:szCs w:val="21"/>
                      <w:highlight w:val="none"/>
                      <w:lang w:val="en-US" w:eastAsia="zh-CN"/>
                    </w:rPr>
                  </w:pPr>
                  <w:r>
                    <w:rPr>
                      <w:rFonts w:hint="eastAsia"/>
                      <w:sz w:val="21"/>
                      <w:szCs w:val="21"/>
                      <w:highlight w:val="none"/>
                      <w:lang w:val="en-US" w:eastAsia="zh-CN"/>
                    </w:rPr>
                    <w:t>304L</w:t>
                  </w:r>
                </w:p>
              </w:tc>
              <w:tc>
                <w:tcPr>
                  <w:tcW w:w="64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234FBEE">
                  <w:pPr>
                    <w:jc w:val="center"/>
                    <w:rPr>
                      <w:rFonts w:hint="eastAsia"/>
                      <w:sz w:val="21"/>
                      <w:szCs w:val="21"/>
                      <w:highlight w:val="none"/>
                      <w:lang w:val="en-US" w:eastAsia="zh-CN"/>
                    </w:rPr>
                  </w:pPr>
                  <w:r>
                    <w:rPr>
                      <w:rFonts w:hint="eastAsia"/>
                      <w:sz w:val="21"/>
                      <w:szCs w:val="21"/>
                      <w:highlight w:val="none"/>
                      <w:lang w:val="en-US" w:eastAsia="zh-CN"/>
                    </w:rPr>
                    <w:t>40/4.5</w:t>
                  </w:r>
                </w:p>
              </w:tc>
              <w:tc>
                <w:tcPr>
                  <w:tcW w:w="82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05777B6">
                  <w:pPr>
                    <w:pStyle w:val="38"/>
                    <w:ind w:firstLine="0" w:firstLineChars="0"/>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鹏泰至伊泰低温甲醇洗装置</w:t>
                  </w:r>
                </w:p>
              </w:tc>
              <w:tc>
                <w:tcPr>
                  <w:tcW w:w="85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42AE22F">
                  <w:pPr>
                    <w:jc w:val="center"/>
                    <w:rPr>
                      <w:rFonts w:hint="eastAsia"/>
                      <w:sz w:val="21"/>
                      <w:szCs w:val="21"/>
                      <w:highlight w:val="none"/>
                      <w:lang w:val="en-US" w:eastAsia="zh-CN"/>
                    </w:rPr>
                  </w:pPr>
                  <w:r>
                    <w:rPr>
                      <w:rFonts w:hint="eastAsia"/>
                      <w:sz w:val="21"/>
                      <w:szCs w:val="21"/>
                      <w:highlight w:val="none"/>
                      <w:lang w:val="en-US" w:eastAsia="zh-CN"/>
                    </w:rPr>
                    <w:t>30000Nm</w:t>
                  </w:r>
                  <w:r>
                    <w:rPr>
                      <w:rFonts w:hint="eastAsia"/>
                      <w:sz w:val="21"/>
                      <w:szCs w:val="21"/>
                      <w:highlight w:val="none"/>
                      <w:vertAlign w:val="superscript"/>
                      <w:lang w:val="en-US" w:eastAsia="zh-CN"/>
                    </w:rPr>
                    <w:t>3</w:t>
                  </w:r>
                  <w:r>
                    <w:rPr>
                      <w:rFonts w:hint="eastAsia"/>
                      <w:sz w:val="21"/>
                      <w:szCs w:val="21"/>
                      <w:highlight w:val="none"/>
                      <w:lang w:val="en-US" w:eastAsia="zh-CN"/>
                    </w:rPr>
                    <w:t>/h</w:t>
                  </w:r>
                </w:p>
              </w:tc>
              <w:tc>
                <w:tcPr>
                  <w:tcW w:w="53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5327FFA">
                  <w:pPr>
                    <w:jc w:val="center"/>
                    <w:rPr>
                      <w:rFonts w:hint="default"/>
                      <w:sz w:val="21"/>
                      <w:szCs w:val="21"/>
                      <w:highlight w:val="none"/>
                      <w:lang w:val="en-US" w:eastAsia="zh-CN"/>
                    </w:rPr>
                  </w:pPr>
                  <w:r>
                    <w:rPr>
                      <w:rFonts w:hint="eastAsia"/>
                      <w:sz w:val="21"/>
                      <w:szCs w:val="21"/>
                      <w:highlight w:val="none"/>
                      <w:lang w:val="en-US" w:eastAsia="zh-CN"/>
                    </w:rPr>
                    <w:t>CL600</w:t>
                  </w:r>
                </w:p>
              </w:tc>
              <w:tc>
                <w:tcPr>
                  <w:tcW w:w="535" w:type="pct"/>
                  <w:tcBorders>
                    <w:top w:val="single" w:color="000000" w:sz="4" w:space="0"/>
                    <w:left w:val="single" w:color="000000" w:sz="4" w:space="0"/>
                    <w:bottom w:val="single" w:color="000000" w:sz="4" w:space="0"/>
                  </w:tcBorders>
                  <w:tcMar>
                    <w:left w:w="108" w:type="dxa"/>
                    <w:right w:w="108" w:type="dxa"/>
                  </w:tcMar>
                  <w:vAlign w:val="center"/>
                </w:tcPr>
                <w:p w14:paraId="2B979581">
                  <w:pPr>
                    <w:snapToGrid w:val="0"/>
                    <w:jc w:val="center"/>
                    <w:rPr>
                      <w:rFonts w:hint="eastAsia"/>
                      <w:sz w:val="21"/>
                      <w:szCs w:val="21"/>
                      <w:highlight w:val="none"/>
                      <w:lang w:val="en-US" w:eastAsia="zh-CN"/>
                    </w:rPr>
                  </w:pPr>
                  <w:r>
                    <w:rPr>
                      <w:rFonts w:hint="eastAsia"/>
                      <w:sz w:val="21"/>
                      <w:szCs w:val="21"/>
                      <w:highlight w:val="none"/>
                    </w:rPr>
                    <w:t>637</w:t>
                  </w:r>
                </w:p>
              </w:tc>
            </w:tr>
            <w:tr w14:paraId="3EDDB48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50" w:hRule="atLeast"/>
                <w:jc w:val="center"/>
              </w:trPr>
              <w:tc>
                <w:tcPr>
                  <w:tcW w:w="284" w:type="pct"/>
                  <w:tcBorders>
                    <w:top w:val="single" w:color="000000" w:sz="4" w:space="0"/>
                    <w:bottom w:val="single" w:color="000000" w:sz="4" w:space="0"/>
                    <w:right w:val="single" w:color="000000" w:sz="4" w:space="0"/>
                  </w:tcBorders>
                  <w:tcMar>
                    <w:left w:w="108" w:type="dxa"/>
                    <w:right w:w="108" w:type="dxa"/>
                  </w:tcMar>
                  <w:vAlign w:val="center"/>
                </w:tcPr>
                <w:p w14:paraId="6CEE87A5">
                  <w:pPr>
                    <w:jc w:val="center"/>
                    <w:rPr>
                      <w:rFonts w:hint="eastAsia"/>
                      <w:sz w:val="21"/>
                      <w:szCs w:val="21"/>
                      <w:highlight w:val="none"/>
                      <w:lang w:val="en-US" w:eastAsia="zh-CN"/>
                    </w:rPr>
                  </w:pPr>
                  <w:r>
                    <w:rPr>
                      <w:rFonts w:hint="eastAsia"/>
                      <w:sz w:val="21"/>
                      <w:szCs w:val="21"/>
                      <w:highlight w:val="none"/>
                      <w:lang w:val="en-US" w:eastAsia="zh-CN"/>
                    </w:rPr>
                    <w:t>22</w:t>
                  </w:r>
                </w:p>
              </w:tc>
              <w:tc>
                <w:tcPr>
                  <w:tcW w:w="45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03C4415">
                  <w:pPr>
                    <w:spacing w:line="240" w:lineRule="auto"/>
                    <w:jc w:val="center"/>
                    <w:rPr>
                      <w:rFonts w:hint="eastAsia"/>
                      <w:sz w:val="21"/>
                      <w:szCs w:val="21"/>
                      <w:highlight w:val="none"/>
                      <w:lang w:val="en-US" w:eastAsia="zh-CN"/>
                    </w:rPr>
                  </w:pPr>
                  <w:r>
                    <w:rPr>
                      <w:rFonts w:hint="eastAsia"/>
                      <w:sz w:val="21"/>
                      <w:szCs w:val="21"/>
                      <w:highlight w:val="none"/>
                      <w:lang w:val="en-US" w:eastAsia="zh-CN"/>
                    </w:rPr>
                    <w:t>真空泵尾气</w:t>
                  </w:r>
                </w:p>
              </w:tc>
              <w:tc>
                <w:tcPr>
                  <w:tcW w:w="36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AF570AF">
                  <w:pPr>
                    <w:jc w:val="center"/>
                    <w:rPr>
                      <w:rFonts w:hint="eastAsia"/>
                      <w:sz w:val="21"/>
                      <w:szCs w:val="21"/>
                      <w:highlight w:val="none"/>
                      <w:lang w:val="en-US" w:eastAsia="zh-CN"/>
                    </w:rPr>
                  </w:pPr>
                  <w:r>
                    <w:rPr>
                      <w:rFonts w:hint="eastAsia"/>
                      <w:sz w:val="21"/>
                      <w:szCs w:val="21"/>
                      <w:highlight w:val="none"/>
                      <w:lang w:val="en-US" w:eastAsia="zh-CN"/>
                    </w:rPr>
                    <w:t>200</w:t>
                  </w:r>
                </w:p>
              </w:tc>
              <w:tc>
                <w:tcPr>
                  <w:tcW w:w="49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EDC5AA0">
                  <w:pPr>
                    <w:jc w:val="center"/>
                    <w:rPr>
                      <w:rFonts w:hint="eastAsia"/>
                      <w:sz w:val="21"/>
                      <w:szCs w:val="21"/>
                      <w:highlight w:val="none"/>
                      <w:lang w:val="en-US" w:eastAsia="zh-CN"/>
                    </w:rPr>
                  </w:pPr>
                  <w:r>
                    <w:rPr>
                      <w:rFonts w:hint="eastAsia"/>
                      <w:sz w:val="21"/>
                      <w:szCs w:val="21"/>
                      <w:highlight w:val="none"/>
                      <w:lang w:val="en-US" w:eastAsia="zh-CN"/>
                    </w:rPr>
                    <w:t>20#</w:t>
                  </w:r>
                </w:p>
              </w:tc>
              <w:tc>
                <w:tcPr>
                  <w:tcW w:w="64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8610A39">
                  <w:pPr>
                    <w:jc w:val="center"/>
                    <w:rPr>
                      <w:rFonts w:hint="default"/>
                      <w:sz w:val="21"/>
                      <w:szCs w:val="21"/>
                      <w:highlight w:val="none"/>
                      <w:lang w:val="en-US" w:eastAsia="zh-CN"/>
                    </w:rPr>
                  </w:pPr>
                  <w:r>
                    <w:rPr>
                      <w:rFonts w:hint="eastAsia"/>
                      <w:sz w:val="21"/>
                      <w:szCs w:val="21"/>
                      <w:highlight w:val="none"/>
                      <w:lang w:val="en-US" w:eastAsia="zh-CN"/>
                    </w:rPr>
                    <w:t>40/-0.01</w:t>
                  </w:r>
                </w:p>
              </w:tc>
              <w:tc>
                <w:tcPr>
                  <w:tcW w:w="82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6BBD85C">
                  <w:pPr>
                    <w:pStyle w:val="38"/>
                    <w:ind w:firstLine="0" w:firstLineChars="0"/>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鹏泰真空尾气至伊泰焚烧炉装置</w:t>
                  </w:r>
                </w:p>
              </w:tc>
              <w:tc>
                <w:tcPr>
                  <w:tcW w:w="85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927218A">
                  <w:pPr>
                    <w:jc w:val="center"/>
                    <w:rPr>
                      <w:rFonts w:hint="eastAsia"/>
                      <w:sz w:val="21"/>
                      <w:szCs w:val="21"/>
                      <w:highlight w:val="none"/>
                      <w:lang w:val="en-US" w:eastAsia="zh-CN"/>
                    </w:rPr>
                  </w:pPr>
                  <w:r>
                    <w:rPr>
                      <w:rFonts w:hint="eastAsia"/>
                      <w:sz w:val="21"/>
                      <w:szCs w:val="21"/>
                      <w:highlight w:val="none"/>
                      <w:lang w:val="en-US" w:eastAsia="zh-CN"/>
                    </w:rPr>
                    <w:t>660Nm</w:t>
                  </w:r>
                  <w:r>
                    <w:rPr>
                      <w:rFonts w:hint="eastAsia"/>
                      <w:sz w:val="21"/>
                      <w:szCs w:val="21"/>
                      <w:highlight w:val="none"/>
                      <w:vertAlign w:val="superscript"/>
                      <w:lang w:val="en-US" w:eastAsia="zh-CN"/>
                    </w:rPr>
                    <w:t>3</w:t>
                  </w:r>
                  <w:r>
                    <w:rPr>
                      <w:rFonts w:hint="eastAsia"/>
                      <w:sz w:val="21"/>
                      <w:szCs w:val="21"/>
                      <w:highlight w:val="none"/>
                      <w:lang w:val="en-US" w:eastAsia="zh-CN"/>
                    </w:rPr>
                    <w:t>/h</w:t>
                  </w:r>
                </w:p>
              </w:tc>
              <w:tc>
                <w:tcPr>
                  <w:tcW w:w="53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05DF8E7">
                  <w:pPr>
                    <w:jc w:val="center"/>
                    <w:rPr>
                      <w:rFonts w:hint="eastAsia"/>
                      <w:sz w:val="21"/>
                      <w:szCs w:val="21"/>
                      <w:highlight w:val="none"/>
                      <w:lang w:val="en-US" w:eastAsia="zh-CN"/>
                    </w:rPr>
                  </w:pPr>
                  <w:r>
                    <w:rPr>
                      <w:rFonts w:hint="eastAsia"/>
                      <w:sz w:val="21"/>
                      <w:szCs w:val="21"/>
                      <w:highlight w:val="none"/>
                      <w:lang w:val="en-US" w:eastAsia="zh-CN"/>
                    </w:rPr>
                    <w:t>CL150</w:t>
                  </w:r>
                </w:p>
              </w:tc>
              <w:tc>
                <w:tcPr>
                  <w:tcW w:w="535" w:type="pct"/>
                  <w:tcBorders>
                    <w:top w:val="single" w:color="000000" w:sz="4" w:space="0"/>
                    <w:left w:val="single" w:color="000000" w:sz="4" w:space="0"/>
                    <w:bottom w:val="single" w:color="000000" w:sz="4" w:space="0"/>
                  </w:tcBorders>
                  <w:tcMar>
                    <w:left w:w="108" w:type="dxa"/>
                    <w:right w:w="108" w:type="dxa"/>
                  </w:tcMar>
                  <w:vAlign w:val="center"/>
                </w:tcPr>
                <w:p w14:paraId="2B0837FD">
                  <w:pPr>
                    <w:snapToGrid w:val="0"/>
                    <w:jc w:val="center"/>
                    <w:rPr>
                      <w:rFonts w:hint="eastAsia"/>
                      <w:sz w:val="21"/>
                      <w:szCs w:val="21"/>
                      <w:highlight w:val="none"/>
                      <w:lang w:val="en-US" w:eastAsia="zh-CN"/>
                    </w:rPr>
                  </w:pPr>
                  <w:r>
                    <w:rPr>
                      <w:rFonts w:hint="eastAsia"/>
                      <w:sz w:val="21"/>
                      <w:szCs w:val="21"/>
                      <w:highlight w:val="none"/>
                    </w:rPr>
                    <w:t>930</w:t>
                  </w:r>
                </w:p>
              </w:tc>
            </w:tr>
            <w:tr w14:paraId="0598EFE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0" w:hRule="atLeast"/>
                <w:jc w:val="center"/>
              </w:trPr>
              <w:tc>
                <w:tcPr>
                  <w:tcW w:w="284" w:type="pct"/>
                  <w:tcBorders>
                    <w:top w:val="single" w:color="000000" w:sz="4" w:space="0"/>
                    <w:right w:val="single" w:color="000000" w:sz="4" w:space="0"/>
                  </w:tcBorders>
                  <w:tcMar>
                    <w:left w:w="108" w:type="dxa"/>
                    <w:right w:w="108" w:type="dxa"/>
                  </w:tcMar>
                  <w:vAlign w:val="center"/>
                </w:tcPr>
                <w:p w14:paraId="1DDCBF8B">
                  <w:pPr>
                    <w:jc w:val="center"/>
                    <w:rPr>
                      <w:rFonts w:hint="eastAsia"/>
                      <w:sz w:val="21"/>
                      <w:szCs w:val="21"/>
                      <w:highlight w:val="none"/>
                      <w:lang w:val="en-US" w:eastAsia="zh-CN"/>
                    </w:rPr>
                  </w:pPr>
                  <w:r>
                    <w:rPr>
                      <w:rFonts w:hint="eastAsia"/>
                      <w:sz w:val="21"/>
                      <w:szCs w:val="21"/>
                      <w:highlight w:val="none"/>
                      <w:lang w:val="en-US" w:eastAsia="zh-CN"/>
                    </w:rPr>
                    <w:t>23</w:t>
                  </w:r>
                </w:p>
              </w:tc>
              <w:tc>
                <w:tcPr>
                  <w:tcW w:w="456" w:type="pct"/>
                  <w:tcBorders>
                    <w:top w:val="single" w:color="000000" w:sz="4" w:space="0"/>
                    <w:left w:val="single" w:color="000000" w:sz="4" w:space="0"/>
                    <w:right w:val="single" w:color="000000" w:sz="4" w:space="0"/>
                  </w:tcBorders>
                  <w:tcMar>
                    <w:left w:w="108" w:type="dxa"/>
                    <w:right w:w="108" w:type="dxa"/>
                  </w:tcMar>
                  <w:vAlign w:val="center"/>
                </w:tcPr>
                <w:p w14:paraId="5AA3FA86">
                  <w:pPr>
                    <w:spacing w:line="240" w:lineRule="auto"/>
                    <w:jc w:val="center"/>
                    <w:rPr>
                      <w:rFonts w:hint="eastAsia"/>
                      <w:sz w:val="21"/>
                      <w:szCs w:val="21"/>
                      <w:highlight w:val="none"/>
                      <w:lang w:val="en-US" w:eastAsia="zh-CN"/>
                    </w:rPr>
                  </w:pPr>
                  <w:r>
                    <w:rPr>
                      <w:rFonts w:hint="eastAsia"/>
                      <w:sz w:val="21"/>
                      <w:szCs w:val="21"/>
                      <w:highlight w:val="none"/>
                      <w:lang w:val="en-US" w:eastAsia="zh-CN"/>
                    </w:rPr>
                    <w:t>CO</w:t>
                  </w:r>
                  <w:r>
                    <w:rPr>
                      <w:rFonts w:hint="eastAsia"/>
                      <w:sz w:val="21"/>
                      <w:szCs w:val="21"/>
                      <w:highlight w:val="none"/>
                      <w:vertAlign w:val="subscript"/>
                      <w:lang w:val="en-US" w:eastAsia="zh-CN"/>
                    </w:rPr>
                    <w:t>2</w:t>
                  </w:r>
                  <w:r>
                    <w:rPr>
                      <w:rFonts w:hint="eastAsia"/>
                      <w:sz w:val="21"/>
                      <w:szCs w:val="21"/>
                      <w:highlight w:val="none"/>
                      <w:lang w:val="en-US" w:eastAsia="zh-CN"/>
                    </w:rPr>
                    <w:t>气</w:t>
                  </w:r>
                </w:p>
              </w:tc>
              <w:tc>
                <w:tcPr>
                  <w:tcW w:w="361" w:type="pct"/>
                  <w:tcBorders>
                    <w:top w:val="single" w:color="000000" w:sz="4" w:space="0"/>
                    <w:left w:val="single" w:color="000000" w:sz="4" w:space="0"/>
                    <w:right w:val="single" w:color="000000" w:sz="4" w:space="0"/>
                  </w:tcBorders>
                  <w:tcMar>
                    <w:left w:w="108" w:type="dxa"/>
                    <w:right w:w="108" w:type="dxa"/>
                  </w:tcMar>
                  <w:vAlign w:val="center"/>
                </w:tcPr>
                <w:p w14:paraId="22E43768">
                  <w:pPr>
                    <w:jc w:val="center"/>
                    <w:rPr>
                      <w:rFonts w:hint="eastAsia"/>
                      <w:sz w:val="21"/>
                      <w:szCs w:val="21"/>
                      <w:highlight w:val="none"/>
                      <w:lang w:val="en-US" w:eastAsia="zh-CN"/>
                    </w:rPr>
                  </w:pPr>
                  <w:r>
                    <w:rPr>
                      <w:rFonts w:hint="eastAsia"/>
                      <w:sz w:val="21"/>
                      <w:szCs w:val="21"/>
                      <w:highlight w:val="none"/>
                      <w:lang w:val="en-US" w:eastAsia="zh-CN"/>
                    </w:rPr>
                    <w:t>150</w:t>
                  </w:r>
                </w:p>
              </w:tc>
              <w:tc>
                <w:tcPr>
                  <w:tcW w:w="495" w:type="pct"/>
                  <w:tcBorders>
                    <w:top w:val="single" w:color="000000" w:sz="4" w:space="0"/>
                    <w:left w:val="single" w:color="000000" w:sz="4" w:space="0"/>
                    <w:right w:val="single" w:color="000000" w:sz="4" w:space="0"/>
                  </w:tcBorders>
                  <w:tcMar>
                    <w:left w:w="108" w:type="dxa"/>
                    <w:right w:w="108" w:type="dxa"/>
                  </w:tcMar>
                  <w:vAlign w:val="center"/>
                </w:tcPr>
                <w:p w14:paraId="0F9EE39E">
                  <w:pPr>
                    <w:jc w:val="center"/>
                    <w:rPr>
                      <w:rFonts w:hint="eastAsia"/>
                      <w:sz w:val="21"/>
                      <w:szCs w:val="21"/>
                      <w:highlight w:val="none"/>
                      <w:lang w:val="en-US" w:eastAsia="zh-CN"/>
                    </w:rPr>
                  </w:pPr>
                  <w:r>
                    <w:rPr>
                      <w:rFonts w:hint="eastAsia"/>
                      <w:sz w:val="21"/>
                      <w:szCs w:val="21"/>
                      <w:highlight w:val="none"/>
                      <w:lang w:val="en-US" w:eastAsia="zh-CN"/>
                    </w:rPr>
                    <w:t>304L</w:t>
                  </w:r>
                </w:p>
              </w:tc>
              <w:tc>
                <w:tcPr>
                  <w:tcW w:w="649" w:type="pct"/>
                  <w:tcBorders>
                    <w:top w:val="single" w:color="000000" w:sz="4" w:space="0"/>
                    <w:left w:val="single" w:color="000000" w:sz="4" w:space="0"/>
                    <w:right w:val="single" w:color="000000" w:sz="4" w:space="0"/>
                  </w:tcBorders>
                  <w:tcMar>
                    <w:left w:w="108" w:type="dxa"/>
                    <w:right w:w="108" w:type="dxa"/>
                  </w:tcMar>
                  <w:vAlign w:val="center"/>
                </w:tcPr>
                <w:p w14:paraId="4457A5F6">
                  <w:pPr>
                    <w:jc w:val="center"/>
                    <w:rPr>
                      <w:rFonts w:hint="eastAsia"/>
                      <w:sz w:val="21"/>
                      <w:szCs w:val="21"/>
                      <w:highlight w:val="none"/>
                      <w:lang w:val="en-US" w:eastAsia="zh-CN"/>
                    </w:rPr>
                  </w:pPr>
                  <w:r>
                    <w:rPr>
                      <w:rFonts w:hint="eastAsia"/>
                      <w:sz w:val="21"/>
                      <w:szCs w:val="21"/>
                      <w:highlight w:val="none"/>
                      <w:lang w:val="en-US" w:eastAsia="zh-CN"/>
                    </w:rPr>
                    <w:t>40/1</w:t>
                  </w:r>
                </w:p>
              </w:tc>
              <w:tc>
                <w:tcPr>
                  <w:tcW w:w="823" w:type="pct"/>
                  <w:tcBorders>
                    <w:top w:val="single" w:color="000000" w:sz="4" w:space="0"/>
                    <w:left w:val="single" w:color="000000" w:sz="4" w:space="0"/>
                    <w:right w:val="single" w:color="000000" w:sz="4" w:space="0"/>
                  </w:tcBorders>
                  <w:tcMar>
                    <w:left w:w="108" w:type="dxa"/>
                    <w:right w:w="108" w:type="dxa"/>
                  </w:tcMar>
                  <w:vAlign w:val="center"/>
                </w:tcPr>
                <w:p w14:paraId="6176A042">
                  <w:pPr>
                    <w:pStyle w:val="38"/>
                    <w:ind w:firstLine="0" w:firstLineChars="0"/>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伊泰CO</w:t>
                  </w:r>
                  <w:r>
                    <w:rPr>
                      <w:rFonts w:hint="eastAsia"/>
                      <w:color w:val="000000" w:themeColor="text1"/>
                      <w:highlight w:val="none"/>
                      <w:vertAlign w:val="subscript"/>
                      <w:lang w:val="en-US" w:eastAsia="zh-CN"/>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管线至鹏泰CO</w:t>
                  </w:r>
                  <w:r>
                    <w:rPr>
                      <w:rFonts w:hint="eastAsia"/>
                      <w:color w:val="000000" w:themeColor="text1"/>
                      <w:highlight w:val="none"/>
                      <w:vertAlign w:val="subscript"/>
                      <w:lang w:val="en-US" w:eastAsia="zh-CN"/>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管网</w:t>
                  </w:r>
                </w:p>
              </w:tc>
              <w:tc>
                <w:tcPr>
                  <w:tcW w:w="859" w:type="pct"/>
                  <w:tcBorders>
                    <w:top w:val="single" w:color="000000" w:sz="4" w:space="0"/>
                    <w:left w:val="single" w:color="000000" w:sz="4" w:space="0"/>
                    <w:right w:val="single" w:color="000000" w:sz="4" w:space="0"/>
                  </w:tcBorders>
                  <w:tcMar>
                    <w:left w:w="108" w:type="dxa"/>
                    <w:right w:w="108" w:type="dxa"/>
                  </w:tcMar>
                  <w:vAlign w:val="center"/>
                </w:tcPr>
                <w:p w14:paraId="059D7712">
                  <w:pPr>
                    <w:jc w:val="center"/>
                    <w:rPr>
                      <w:rFonts w:hint="eastAsia"/>
                      <w:sz w:val="21"/>
                      <w:szCs w:val="21"/>
                      <w:highlight w:val="none"/>
                      <w:lang w:val="en-US" w:eastAsia="zh-CN"/>
                    </w:rPr>
                  </w:pPr>
                  <w:r>
                    <w:rPr>
                      <w:rFonts w:hint="eastAsia"/>
                      <w:sz w:val="21"/>
                      <w:szCs w:val="21"/>
                      <w:highlight w:val="none"/>
                      <w:lang w:val="en-US" w:eastAsia="zh-CN"/>
                    </w:rPr>
                    <w:t>5000m</w:t>
                  </w:r>
                  <w:r>
                    <w:rPr>
                      <w:rFonts w:hint="eastAsia"/>
                      <w:sz w:val="21"/>
                      <w:szCs w:val="21"/>
                      <w:highlight w:val="none"/>
                      <w:vertAlign w:val="superscript"/>
                      <w:lang w:val="en-US" w:eastAsia="zh-CN"/>
                    </w:rPr>
                    <w:t>3</w:t>
                  </w:r>
                  <w:r>
                    <w:rPr>
                      <w:rFonts w:hint="eastAsia"/>
                      <w:sz w:val="21"/>
                      <w:szCs w:val="21"/>
                      <w:highlight w:val="none"/>
                      <w:lang w:val="en-US" w:eastAsia="zh-CN"/>
                    </w:rPr>
                    <w:t>/h</w:t>
                  </w:r>
                </w:p>
              </w:tc>
              <w:tc>
                <w:tcPr>
                  <w:tcW w:w="533" w:type="pct"/>
                  <w:tcBorders>
                    <w:top w:val="single" w:color="000000" w:sz="4" w:space="0"/>
                    <w:left w:val="single" w:color="000000" w:sz="4" w:space="0"/>
                    <w:right w:val="single" w:color="000000" w:sz="4" w:space="0"/>
                  </w:tcBorders>
                  <w:tcMar>
                    <w:left w:w="108" w:type="dxa"/>
                    <w:right w:w="108" w:type="dxa"/>
                  </w:tcMar>
                  <w:vAlign w:val="center"/>
                </w:tcPr>
                <w:p w14:paraId="6A47758C">
                  <w:pPr>
                    <w:jc w:val="center"/>
                    <w:rPr>
                      <w:rFonts w:hint="eastAsia"/>
                      <w:sz w:val="21"/>
                      <w:szCs w:val="21"/>
                      <w:highlight w:val="none"/>
                      <w:lang w:val="en-US" w:eastAsia="zh-CN"/>
                    </w:rPr>
                  </w:pPr>
                  <w:r>
                    <w:rPr>
                      <w:rFonts w:hint="eastAsia"/>
                      <w:sz w:val="21"/>
                      <w:szCs w:val="21"/>
                      <w:highlight w:val="none"/>
                      <w:lang w:val="en-US" w:eastAsia="zh-CN"/>
                    </w:rPr>
                    <w:t>CL150</w:t>
                  </w:r>
                </w:p>
              </w:tc>
              <w:tc>
                <w:tcPr>
                  <w:tcW w:w="535" w:type="pct"/>
                  <w:tcBorders>
                    <w:top w:val="single" w:color="000000" w:sz="4" w:space="0"/>
                    <w:left w:val="single" w:color="000000" w:sz="4" w:space="0"/>
                  </w:tcBorders>
                  <w:tcMar>
                    <w:left w:w="108" w:type="dxa"/>
                    <w:right w:w="108" w:type="dxa"/>
                  </w:tcMar>
                  <w:vAlign w:val="center"/>
                </w:tcPr>
                <w:p w14:paraId="67B442C1">
                  <w:pPr>
                    <w:snapToGrid w:val="0"/>
                    <w:jc w:val="center"/>
                    <w:rPr>
                      <w:rFonts w:hint="eastAsia"/>
                      <w:sz w:val="21"/>
                      <w:szCs w:val="21"/>
                      <w:highlight w:val="none"/>
                      <w:lang w:val="en-US" w:eastAsia="zh-CN"/>
                    </w:rPr>
                  </w:pPr>
                  <w:r>
                    <w:rPr>
                      <w:rFonts w:hint="eastAsia"/>
                      <w:sz w:val="21"/>
                      <w:szCs w:val="21"/>
                      <w:highlight w:val="none"/>
                    </w:rPr>
                    <w:t>308</w:t>
                  </w:r>
                </w:p>
              </w:tc>
            </w:tr>
          </w:tbl>
          <w:p w14:paraId="5C49E56C">
            <w:pPr>
              <w:adjustRightInd w:val="0"/>
              <w:snapToGrid w:val="0"/>
              <w:spacing w:line="360" w:lineRule="auto"/>
              <w:jc w:val="center"/>
              <w:outlineLvl w:val="9"/>
              <w:rPr>
                <w:rFonts w:hint="eastAsia" w:ascii="Times New Roman" w:hAnsi="Times New Roman" w:eastAsia="宋体" w:cs="Times New Roman"/>
                <w:b/>
                <w:bCs/>
                <w:spacing w:val="0"/>
                <w:sz w:val="21"/>
                <w:szCs w:val="21"/>
                <w:highlight w:val="none"/>
                <w:lang w:val="en-US" w:eastAsia="zh-CN"/>
              </w:rPr>
            </w:pPr>
            <w:r>
              <w:rPr>
                <w:rFonts w:hint="eastAsia" w:cs="Times New Roman"/>
                <w:b/>
                <w:bCs/>
                <w:spacing w:val="0"/>
                <w:sz w:val="21"/>
                <w:szCs w:val="21"/>
                <w:highlight w:val="none"/>
                <w:lang w:val="en-US" w:eastAsia="zh-CN"/>
              </w:rPr>
              <w:t xml:space="preserve">表2.4   </w:t>
            </w:r>
            <w:r>
              <w:rPr>
                <w:rFonts w:hint="eastAsia" w:ascii="Times New Roman" w:hAnsi="Times New Roman" w:eastAsia="宋体" w:cs="Times New Roman"/>
                <w:b/>
                <w:bCs/>
                <w:spacing w:val="0"/>
                <w:sz w:val="21"/>
                <w:szCs w:val="21"/>
                <w:highlight w:val="none"/>
                <w:lang w:val="en-US" w:eastAsia="zh-CN"/>
              </w:rPr>
              <w:t>本项目新增设备</w:t>
            </w:r>
          </w:p>
          <w:tbl>
            <w:tblPr>
              <w:tblStyle w:val="20"/>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5"/>
              <w:gridCol w:w="1215"/>
              <w:gridCol w:w="1215"/>
              <w:gridCol w:w="1215"/>
              <w:gridCol w:w="1215"/>
              <w:gridCol w:w="1216"/>
              <w:gridCol w:w="1216"/>
            </w:tblGrid>
            <w:tr w14:paraId="0A2FA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14" w:type="pct"/>
                  <w:vAlign w:val="center"/>
                </w:tcPr>
                <w:p w14:paraId="29129F23">
                  <w:pPr>
                    <w:jc w:val="center"/>
                    <w:rPr>
                      <w:rFonts w:hint="default"/>
                      <w:highlight w:val="none"/>
                      <w:lang w:val="en-US" w:eastAsia="zh-CN"/>
                    </w:rPr>
                  </w:pPr>
                  <w:r>
                    <w:rPr>
                      <w:rFonts w:hint="eastAsia"/>
                      <w:highlight w:val="none"/>
                      <w:lang w:val="en-US" w:eastAsia="zh-CN"/>
                    </w:rPr>
                    <w:t>名称</w:t>
                  </w:r>
                </w:p>
              </w:tc>
              <w:tc>
                <w:tcPr>
                  <w:tcW w:w="714" w:type="pct"/>
                  <w:vAlign w:val="center"/>
                </w:tcPr>
                <w:p w14:paraId="28A83AEB">
                  <w:pPr>
                    <w:jc w:val="center"/>
                    <w:rPr>
                      <w:rFonts w:hint="default"/>
                      <w:highlight w:val="none"/>
                      <w:lang w:val="en-US" w:eastAsia="zh-CN"/>
                    </w:rPr>
                  </w:pPr>
                  <w:r>
                    <w:rPr>
                      <w:rFonts w:hint="eastAsia"/>
                      <w:highlight w:val="none"/>
                      <w:lang w:val="en-US" w:eastAsia="zh-CN"/>
                    </w:rPr>
                    <w:t>数量</w:t>
                  </w:r>
                </w:p>
              </w:tc>
              <w:tc>
                <w:tcPr>
                  <w:tcW w:w="714" w:type="pct"/>
                  <w:vAlign w:val="center"/>
                </w:tcPr>
                <w:p w14:paraId="32C75F00">
                  <w:pPr>
                    <w:jc w:val="center"/>
                    <w:rPr>
                      <w:rFonts w:hint="default"/>
                      <w:highlight w:val="none"/>
                      <w:lang w:val="en-US" w:eastAsia="zh-CN"/>
                    </w:rPr>
                  </w:pPr>
                  <w:r>
                    <w:rPr>
                      <w:rFonts w:hint="eastAsia"/>
                      <w:highlight w:val="none"/>
                      <w:lang w:val="en-US" w:eastAsia="zh-CN"/>
                    </w:rPr>
                    <w:t>处理能力</w:t>
                  </w:r>
                </w:p>
              </w:tc>
              <w:tc>
                <w:tcPr>
                  <w:tcW w:w="714" w:type="pct"/>
                  <w:vAlign w:val="center"/>
                </w:tcPr>
                <w:p w14:paraId="1395E2D6">
                  <w:pPr>
                    <w:jc w:val="center"/>
                    <w:rPr>
                      <w:rFonts w:hint="default"/>
                      <w:highlight w:val="none"/>
                      <w:lang w:val="en-US" w:eastAsia="zh-CN"/>
                    </w:rPr>
                  </w:pPr>
                  <w:r>
                    <w:rPr>
                      <w:rFonts w:hint="eastAsia"/>
                      <w:highlight w:val="none"/>
                      <w:lang w:val="en-US" w:eastAsia="zh-CN"/>
                    </w:rPr>
                    <w:t>出口压力</w:t>
                  </w:r>
                </w:p>
              </w:tc>
              <w:tc>
                <w:tcPr>
                  <w:tcW w:w="714" w:type="pct"/>
                  <w:vAlign w:val="center"/>
                </w:tcPr>
                <w:p w14:paraId="2A926E7B">
                  <w:pPr>
                    <w:jc w:val="center"/>
                    <w:rPr>
                      <w:rFonts w:hint="default"/>
                      <w:highlight w:val="none"/>
                      <w:lang w:val="en-US" w:eastAsia="zh-CN"/>
                    </w:rPr>
                  </w:pPr>
                  <w:r>
                    <w:rPr>
                      <w:rFonts w:hint="eastAsia"/>
                      <w:highlight w:val="none"/>
                      <w:lang w:val="en-US" w:eastAsia="zh-CN"/>
                    </w:rPr>
                    <w:t>操作温度</w:t>
                  </w:r>
                </w:p>
              </w:tc>
              <w:tc>
                <w:tcPr>
                  <w:tcW w:w="714" w:type="pct"/>
                  <w:vAlign w:val="center"/>
                </w:tcPr>
                <w:p w14:paraId="2D386390">
                  <w:pPr>
                    <w:jc w:val="center"/>
                    <w:rPr>
                      <w:rFonts w:hint="default"/>
                      <w:highlight w:val="none"/>
                      <w:lang w:val="en-US" w:eastAsia="zh-CN"/>
                    </w:rPr>
                  </w:pPr>
                  <w:r>
                    <w:rPr>
                      <w:rFonts w:hint="eastAsia"/>
                      <w:highlight w:val="none"/>
                      <w:lang w:val="en-US" w:eastAsia="zh-CN"/>
                    </w:rPr>
                    <w:t>功率</w:t>
                  </w:r>
                </w:p>
              </w:tc>
              <w:tc>
                <w:tcPr>
                  <w:tcW w:w="714" w:type="pct"/>
                  <w:vAlign w:val="center"/>
                </w:tcPr>
                <w:p w14:paraId="343A7F61">
                  <w:pPr>
                    <w:jc w:val="center"/>
                    <w:rPr>
                      <w:rFonts w:hint="default"/>
                      <w:highlight w:val="none"/>
                      <w:lang w:val="en-US" w:eastAsia="zh-CN"/>
                    </w:rPr>
                  </w:pPr>
                  <w:r>
                    <w:rPr>
                      <w:rFonts w:hint="eastAsia"/>
                      <w:highlight w:val="none"/>
                      <w:lang w:val="en-US" w:eastAsia="zh-CN"/>
                    </w:rPr>
                    <w:t>防爆等级</w:t>
                  </w:r>
                </w:p>
              </w:tc>
            </w:tr>
            <w:tr w14:paraId="7858A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714" w:type="pct"/>
                  <w:vAlign w:val="center"/>
                </w:tcPr>
                <w:p w14:paraId="3DBED61A">
                  <w:pPr>
                    <w:jc w:val="center"/>
                    <w:rPr>
                      <w:rFonts w:hint="default"/>
                      <w:highlight w:val="none"/>
                      <w:lang w:val="en-US" w:eastAsia="zh-CN"/>
                    </w:rPr>
                  </w:pPr>
                  <w:r>
                    <w:rPr>
                      <w:rFonts w:hint="eastAsia"/>
                      <w:highlight w:val="none"/>
                      <w:lang w:val="en-US" w:eastAsia="zh-CN"/>
                    </w:rPr>
                    <w:t>甲烷气压缩机</w:t>
                  </w:r>
                </w:p>
              </w:tc>
              <w:tc>
                <w:tcPr>
                  <w:tcW w:w="714" w:type="pct"/>
                  <w:vAlign w:val="center"/>
                </w:tcPr>
                <w:p w14:paraId="17D57403">
                  <w:pPr>
                    <w:jc w:val="center"/>
                    <w:rPr>
                      <w:rFonts w:hint="default"/>
                      <w:highlight w:val="none"/>
                      <w:lang w:val="en-US" w:eastAsia="zh-CN"/>
                    </w:rPr>
                  </w:pPr>
                  <w:r>
                    <w:rPr>
                      <w:rFonts w:hint="eastAsia"/>
                      <w:highlight w:val="none"/>
                      <w:lang w:val="en-US" w:eastAsia="zh-CN"/>
                    </w:rPr>
                    <w:t>1</w:t>
                  </w:r>
                </w:p>
              </w:tc>
              <w:tc>
                <w:tcPr>
                  <w:tcW w:w="714" w:type="pct"/>
                  <w:vAlign w:val="center"/>
                </w:tcPr>
                <w:p w14:paraId="588EB853">
                  <w:pPr>
                    <w:jc w:val="center"/>
                    <w:rPr>
                      <w:rFonts w:hint="default"/>
                      <w:highlight w:val="none"/>
                      <w:lang w:val="en-US" w:eastAsia="zh-CN"/>
                    </w:rPr>
                  </w:pPr>
                  <w:r>
                    <w:rPr>
                      <w:rFonts w:hint="eastAsia"/>
                      <w:highlight w:val="none"/>
                      <w:lang w:val="en-US" w:eastAsia="zh-CN"/>
                    </w:rPr>
                    <w:t>1000Nm</w:t>
                  </w:r>
                  <w:r>
                    <w:rPr>
                      <w:rFonts w:hint="eastAsia"/>
                      <w:highlight w:val="none"/>
                      <w:vertAlign w:val="superscript"/>
                      <w:lang w:val="en-US" w:eastAsia="zh-CN"/>
                    </w:rPr>
                    <w:t>3</w:t>
                  </w:r>
                  <w:r>
                    <w:rPr>
                      <w:rFonts w:hint="eastAsia"/>
                      <w:highlight w:val="none"/>
                      <w:lang w:val="en-US" w:eastAsia="zh-CN"/>
                    </w:rPr>
                    <w:t>/h</w:t>
                  </w:r>
                </w:p>
              </w:tc>
              <w:tc>
                <w:tcPr>
                  <w:tcW w:w="714" w:type="pct"/>
                  <w:vAlign w:val="center"/>
                </w:tcPr>
                <w:p w14:paraId="3BF0325B">
                  <w:pPr>
                    <w:jc w:val="center"/>
                    <w:rPr>
                      <w:rFonts w:hint="default"/>
                      <w:highlight w:val="none"/>
                      <w:lang w:val="en-US" w:eastAsia="zh-CN"/>
                    </w:rPr>
                  </w:pPr>
                  <w:r>
                    <w:rPr>
                      <w:rFonts w:hint="eastAsia"/>
                      <w:highlight w:val="none"/>
                      <w:lang w:val="en-US" w:eastAsia="zh-CN"/>
                    </w:rPr>
                    <w:t>0.8MPaG</w:t>
                  </w:r>
                </w:p>
              </w:tc>
              <w:tc>
                <w:tcPr>
                  <w:tcW w:w="714" w:type="pct"/>
                  <w:vAlign w:val="center"/>
                </w:tcPr>
                <w:p w14:paraId="3CA1F0B9">
                  <w:pPr>
                    <w:jc w:val="center"/>
                    <w:rPr>
                      <w:rFonts w:hint="default"/>
                      <w:highlight w:val="none"/>
                      <w:lang w:val="en-US" w:eastAsia="zh-CN"/>
                    </w:rPr>
                  </w:pPr>
                  <w:r>
                    <w:rPr>
                      <w:rFonts w:hint="eastAsia"/>
                      <w:highlight w:val="none"/>
                      <w:lang w:val="en-US" w:eastAsia="zh-CN"/>
                    </w:rPr>
                    <w:t>常温</w:t>
                  </w:r>
                </w:p>
              </w:tc>
              <w:tc>
                <w:tcPr>
                  <w:tcW w:w="714" w:type="pct"/>
                  <w:vAlign w:val="center"/>
                </w:tcPr>
                <w:p w14:paraId="0B530CC2">
                  <w:pPr>
                    <w:jc w:val="center"/>
                    <w:rPr>
                      <w:rFonts w:hint="default"/>
                      <w:highlight w:val="none"/>
                      <w:lang w:val="en-US" w:eastAsia="zh-CN"/>
                    </w:rPr>
                  </w:pPr>
                  <w:r>
                    <w:rPr>
                      <w:rFonts w:hint="eastAsia"/>
                      <w:highlight w:val="none"/>
                      <w:lang w:val="en-US" w:eastAsia="zh-CN"/>
                    </w:rPr>
                    <w:t>55kW</w:t>
                  </w:r>
                </w:p>
              </w:tc>
              <w:tc>
                <w:tcPr>
                  <w:tcW w:w="714" w:type="pct"/>
                  <w:vAlign w:val="center"/>
                </w:tcPr>
                <w:p w14:paraId="4CF1CC99">
                  <w:pPr>
                    <w:jc w:val="center"/>
                    <w:rPr>
                      <w:rFonts w:hint="default"/>
                      <w:highlight w:val="none"/>
                      <w:lang w:val="en-US" w:eastAsia="zh-CN"/>
                    </w:rPr>
                  </w:pPr>
                  <w:r>
                    <w:rPr>
                      <w:rFonts w:hint="eastAsia"/>
                      <w:highlight w:val="none"/>
                      <w:lang w:val="en-US" w:eastAsia="zh-CN"/>
                    </w:rPr>
                    <w:t>IIA1</w:t>
                  </w:r>
                </w:p>
              </w:tc>
            </w:tr>
          </w:tbl>
          <w:p w14:paraId="49BCA373">
            <w:pPr>
              <w:spacing w:line="360" w:lineRule="auto"/>
              <w:rPr>
                <w:rFonts w:hint="eastAsia" w:cs="宋体"/>
                <w:b/>
                <w:bCs/>
                <w:sz w:val="24"/>
                <w:highlight w:val="none"/>
              </w:rPr>
            </w:pPr>
            <w:r>
              <w:rPr>
                <w:rFonts w:hint="eastAsia" w:cs="宋体"/>
                <w:b/>
                <w:bCs/>
                <w:sz w:val="24"/>
                <w:highlight w:val="none"/>
              </w:rPr>
              <w:t>3</w:t>
            </w:r>
            <w:r>
              <w:rPr>
                <w:rFonts w:hint="eastAsia" w:cs="宋体"/>
                <w:b/>
                <w:bCs/>
                <w:sz w:val="24"/>
                <w:highlight w:val="none"/>
                <w:lang w:val="en-US" w:eastAsia="zh-CN"/>
              </w:rPr>
              <w:t>.</w:t>
            </w:r>
            <w:r>
              <w:rPr>
                <w:rFonts w:hint="eastAsia" w:cs="宋体"/>
                <w:b/>
                <w:bCs/>
                <w:sz w:val="24"/>
                <w:highlight w:val="none"/>
              </w:rPr>
              <w:t>劳动定员及工作制度</w:t>
            </w:r>
          </w:p>
          <w:p w14:paraId="54F3BA48">
            <w:pPr>
              <w:spacing w:line="360" w:lineRule="auto"/>
              <w:ind w:firstLine="480" w:firstLineChars="200"/>
              <w:rPr>
                <w:rFonts w:hint="eastAsia" w:cs="宋体"/>
                <w:sz w:val="24"/>
                <w:highlight w:val="none"/>
              </w:rPr>
            </w:pPr>
            <w:r>
              <w:rPr>
                <w:rFonts w:hint="eastAsia" w:cs="宋体"/>
                <w:sz w:val="24"/>
                <w:highlight w:val="none"/>
              </w:rPr>
              <w:t>本项目无新增职工，依托现有职工兼任。</w:t>
            </w:r>
          </w:p>
          <w:p w14:paraId="5DFEC165">
            <w:pPr>
              <w:spacing w:line="360" w:lineRule="auto"/>
              <w:rPr>
                <w:rFonts w:hint="default" w:eastAsia="宋体" w:cs="宋体"/>
                <w:b/>
                <w:bCs/>
                <w:sz w:val="24"/>
                <w:highlight w:val="none"/>
                <w:lang w:val="en-US" w:eastAsia="zh-CN"/>
              </w:rPr>
            </w:pPr>
            <w:r>
              <w:rPr>
                <w:rFonts w:hint="eastAsia" w:cs="宋体"/>
                <w:b/>
                <w:bCs/>
                <w:sz w:val="24"/>
                <w:highlight w:val="none"/>
              </w:rPr>
              <w:t>4</w:t>
            </w:r>
            <w:r>
              <w:rPr>
                <w:rFonts w:hint="eastAsia" w:cs="宋体"/>
                <w:b/>
                <w:bCs/>
                <w:sz w:val="24"/>
                <w:highlight w:val="none"/>
                <w:lang w:val="en-US" w:eastAsia="zh-CN"/>
              </w:rPr>
              <w:t>.输送物质</w:t>
            </w:r>
          </w:p>
          <w:p w14:paraId="567B46DB">
            <w:pPr>
              <w:spacing w:line="360" w:lineRule="auto"/>
              <w:ind w:firstLine="480" w:firstLineChars="200"/>
              <w:rPr>
                <w:rFonts w:hint="default" w:eastAsia="宋体" w:cs="宋体"/>
                <w:sz w:val="24"/>
                <w:highlight w:val="none"/>
                <w:lang w:val="en-US" w:eastAsia="zh-CN"/>
              </w:rPr>
            </w:pPr>
            <w:r>
              <w:rPr>
                <w:rFonts w:hint="eastAsia" w:cs="宋体"/>
                <w:sz w:val="24"/>
                <w:highlight w:val="none"/>
                <w:lang w:val="en-US" w:eastAsia="zh-CN"/>
              </w:rPr>
              <w:t>本项目输送的物质包括伊泰至鹏泰的合成脱碳尾气、未变换净化气、甲烷气、中压蒸汽、仪表风、工厂风、氮气、黄河水、回用水、冷冻水来、CO</w:t>
            </w:r>
            <w:r>
              <w:rPr>
                <w:rFonts w:hint="eastAsia" w:cs="宋体"/>
                <w:sz w:val="24"/>
                <w:highlight w:val="none"/>
                <w:vertAlign w:val="subscript"/>
                <w:lang w:val="en-US" w:eastAsia="zh-CN"/>
              </w:rPr>
              <w:t>2</w:t>
            </w:r>
            <w:r>
              <w:rPr>
                <w:rFonts w:hint="eastAsia" w:cs="宋体"/>
                <w:sz w:val="24"/>
                <w:highlight w:val="none"/>
                <w:lang w:val="en-US" w:eastAsia="zh-CN"/>
              </w:rPr>
              <w:t>气和鹏泰至伊泰的尾气、WTR甲烷气、低压含烃火炬气、湿酸火炬气、凝结水、污水1、污水2、清净废水、酸性气、冷冻水回、富甲烷气、真空泵尾气。</w:t>
            </w:r>
          </w:p>
          <w:p w14:paraId="663DED80">
            <w:pPr>
              <w:spacing w:line="360" w:lineRule="auto"/>
              <w:ind w:firstLine="422" w:firstLineChars="200"/>
              <w:jc w:val="center"/>
              <w:rPr>
                <w:rFonts w:hint="eastAsia" w:cs="Times New Roman"/>
                <w:b/>
                <w:bCs/>
                <w:spacing w:val="0"/>
                <w:sz w:val="21"/>
                <w:szCs w:val="21"/>
                <w:highlight w:val="none"/>
                <w:lang w:val="en-US" w:eastAsia="zh-CN"/>
              </w:rPr>
            </w:pPr>
            <w:r>
              <w:rPr>
                <w:rFonts w:hint="eastAsia" w:cs="Times New Roman"/>
                <w:b/>
                <w:bCs/>
                <w:spacing w:val="0"/>
                <w:sz w:val="21"/>
                <w:szCs w:val="21"/>
                <w:highlight w:val="none"/>
                <w:lang w:val="en-US" w:eastAsia="zh-CN"/>
              </w:rPr>
              <w:t>表2.5   各组气体主要成分表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9"/>
              <w:gridCol w:w="2100"/>
              <w:gridCol w:w="2099"/>
              <w:gridCol w:w="2100"/>
            </w:tblGrid>
            <w:tr w14:paraId="13360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099" w:type="dxa"/>
                  <w:vAlign w:val="center"/>
                </w:tcPr>
                <w:p w14:paraId="2FB3FF8E">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r>
                    <w:rPr>
                      <w:rFonts w:hint="default" w:ascii="Times New Roman" w:hAnsi="Times New Roman" w:cs="Times New Roman"/>
                      <w:b w:val="0"/>
                      <w:bCs w:val="0"/>
                      <w:spacing w:val="0"/>
                      <w:sz w:val="21"/>
                      <w:szCs w:val="21"/>
                      <w:highlight w:val="none"/>
                      <w:vertAlign w:val="baseline"/>
                      <w:lang w:val="en-US" w:eastAsia="zh-CN"/>
                    </w:rPr>
                    <w:t>名称</w:t>
                  </w:r>
                </w:p>
              </w:tc>
              <w:tc>
                <w:tcPr>
                  <w:tcW w:w="2100" w:type="dxa"/>
                  <w:vAlign w:val="center"/>
                </w:tcPr>
                <w:p w14:paraId="13333510">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r>
                    <w:rPr>
                      <w:rFonts w:hint="default" w:ascii="Times New Roman" w:hAnsi="Times New Roman" w:cs="Times New Roman"/>
                      <w:b w:val="0"/>
                      <w:bCs w:val="0"/>
                      <w:spacing w:val="0"/>
                      <w:sz w:val="21"/>
                      <w:szCs w:val="21"/>
                      <w:highlight w:val="none"/>
                      <w:vertAlign w:val="baseline"/>
                      <w:lang w:val="en-US" w:eastAsia="zh-CN"/>
                    </w:rPr>
                    <w:t>气量Nm³/h</w:t>
                  </w:r>
                </w:p>
              </w:tc>
              <w:tc>
                <w:tcPr>
                  <w:tcW w:w="2099" w:type="dxa"/>
                  <w:vAlign w:val="center"/>
                </w:tcPr>
                <w:p w14:paraId="6297E964">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r>
                    <w:rPr>
                      <w:rFonts w:hint="default" w:ascii="Times New Roman" w:hAnsi="Times New Roman" w:cs="Times New Roman"/>
                      <w:b w:val="0"/>
                      <w:bCs w:val="0"/>
                      <w:spacing w:val="0"/>
                      <w:sz w:val="21"/>
                      <w:szCs w:val="21"/>
                      <w:highlight w:val="none"/>
                      <w:vertAlign w:val="baseline"/>
                      <w:lang w:val="en-US" w:eastAsia="zh-CN"/>
                    </w:rPr>
                    <w:t>组分</w:t>
                  </w:r>
                </w:p>
              </w:tc>
              <w:tc>
                <w:tcPr>
                  <w:tcW w:w="2100" w:type="dxa"/>
                  <w:vAlign w:val="center"/>
                </w:tcPr>
                <w:p w14:paraId="6782C480">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r>
                    <w:rPr>
                      <w:rFonts w:hint="default" w:ascii="Times New Roman" w:hAnsi="Times New Roman" w:cs="Times New Roman"/>
                      <w:b w:val="0"/>
                      <w:bCs w:val="0"/>
                      <w:spacing w:val="0"/>
                      <w:sz w:val="21"/>
                      <w:szCs w:val="21"/>
                      <w:highlight w:val="none"/>
                      <w:vertAlign w:val="baseline"/>
                      <w:lang w:val="en-US" w:eastAsia="zh-CN"/>
                    </w:rPr>
                    <w:t>占比（mol%）</w:t>
                  </w:r>
                </w:p>
              </w:tc>
            </w:tr>
            <w:tr w14:paraId="3688E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2099" w:type="dxa"/>
                  <w:vMerge w:val="restart"/>
                  <w:vAlign w:val="center"/>
                </w:tcPr>
                <w:p w14:paraId="00CD3872">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b w:val="0"/>
                      <w:bCs w:val="0"/>
                      <w:i w:val="0"/>
                      <w:iCs w:val="0"/>
                      <w:color w:val="000000"/>
                      <w:kern w:val="0"/>
                      <w:sz w:val="21"/>
                      <w:szCs w:val="21"/>
                      <w:highlight w:val="none"/>
                      <w:u w:val="none"/>
                      <w:lang w:val="en-US" w:eastAsia="zh-CN" w:bidi="ar"/>
                    </w:rPr>
                    <w:t>合成脱碳尾气</w:t>
                  </w:r>
                </w:p>
              </w:tc>
              <w:tc>
                <w:tcPr>
                  <w:tcW w:w="2100" w:type="dxa"/>
                  <w:vMerge w:val="restart"/>
                  <w:vAlign w:val="center"/>
                </w:tcPr>
                <w:p w14:paraId="33E74A43">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b w:val="0"/>
                      <w:bCs w:val="0"/>
                      <w:i w:val="0"/>
                      <w:iCs w:val="0"/>
                      <w:color w:val="000000"/>
                      <w:kern w:val="0"/>
                      <w:sz w:val="21"/>
                      <w:szCs w:val="21"/>
                      <w:highlight w:val="none"/>
                      <w:u w:val="none"/>
                      <w:lang w:val="en-US" w:eastAsia="zh-CN" w:bidi="ar"/>
                    </w:rPr>
                    <w:t>32365</w:t>
                  </w:r>
                </w:p>
              </w:tc>
              <w:tc>
                <w:tcPr>
                  <w:tcW w:w="2099" w:type="dxa"/>
                  <w:vAlign w:val="center"/>
                </w:tcPr>
                <w:p w14:paraId="622A6EBE">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b w:val="0"/>
                      <w:bCs w:val="0"/>
                      <w:i w:val="0"/>
                      <w:iCs w:val="0"/>
                      <w:color w:val="000000"/>
                      <w:kern w:val="0"/>
                      <w:sz w:val="21"/>
                      <w:szCs w:val="21"/>
                      <w:highlight w:val="none"/>
                      <w:u w:val="none"/>
                      <w:lang w:val="en-US" w:eastAsia="zh-CN" w:bidi="ar"/>
                    </w:rPr>
                    <w:t>CO</w:t>
                  </w:r>
                </w:p>
              </w:tc>
              <w:tc>
                <w:tcPr>
                  <w:tcW w:w="2100" w:type="dxa"/>
                  <w:vAlign w:val="center"/>
                </w:tcPr>
                <w:p w14:paraId="1E2FBCB1">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b w:val="0"/>
                      <w:bCs w:val="0"/>
                      <w:i w:val="0"/>
                      <w:iCs w:val="0"/>
                      <w:color w:val="000000"/>
                      <w:kern w:val="0"/>
                      <w:sz w:val="21"/>
                      <w:szCs w:val="21"/>
                      <w:highlight w:val="none"/>
                      <w:u w:val="none"/>
                      <w:lang w:val="en-US" w:eastAsia="zh-CN" w:bidi="ar"/>
                    </w:rPr>
                    <w:t>9±2</w:t>
                  </w:r>
                </w:p>
              </w:tc>
            </w:tr>
            <w:tr w14:paraId="6DD2B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2099" w:type="dxa"/>
                  <w:vMerge w:val="continue"/>
                  <w:vAlign w:val="center"/>
                </w:tcPr>
                <w:p w14:paraId="2DA2C787">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2C7807CE">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6E1EA7B2">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b w:val="0"/>
                      <w:bCs w:val="0"/>
                      <w:i w:val="0"/>
                      <w:iCs w:val="0"/>
                      <w:color w:val="000000"/>
                      <w:kern w:val="0"/>
                      <w:sz w:val="21"/>
                      <w:szCs w:val="21"/>
                      <w:highlight w:val="none"/>
                      <w:u w:val="none"/>
                      <w:lang w:val="en-US" w:eastAsia="zh-CN" w:bidi="ar"/>
                    </w:rPr>
                    <w:t>H</w:t>
                  </w:r>
                  <w:r>
                    <w:rPr>
                      <w:rFonts w:hint="default" w:ascii="Times New Roman" w:hAnsi="Times New Roman" w:eastAsia="宋体" w:cs="Times New Roman"/>
                      <w:b w:val="0"/>
                      <w:bCs w:val="0"/>
                      <w:i w:val="0"/>
                      <w:iCs w:val="0"/>
                      <w:color w:val="000000"/>
                      <w:kern w:val="0"/>
                      <w:sz w:val="21"/>
                      <w:szCs w:val="21"/>
                      <w:highlight w:val="none"/>
                      <w:u w:val="none"/>
                      <w:vertAlign w:val="subscript"/>
                      <w:lang w:val="en-US" w:eastAsia="zh-CN" w:bidi="ar"/>
                    </w:rPr>
                    <w:t>2</w:t>
                  </w:r>
                </w:p>
              </w:tc>
              <w:tc>
                <w:tcPr>
                  <w:tcW w:w="2100" w:type="dxa"/>
                  <w:vAlign w:val="center"/>
                </w:tcPr>
                <w:p w14:paraId="0D73F83C">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b w:val="0"/>
                      <w:bCs w:val="0"/>
                      <w:i w:val="0"/>
                      <w:iCs w:val="0"/>
                      <w:color w:val="000000"/>
                      <w:kern w:val="0"/>
                      <w:sz w:val="21"/>
                      <w:szCs w:val="21"/>
                      <w:highlight w:val="none"/>
                      <w:u w:val="none"/>
                      <w:lang w:val="en-US" w:eastAsia="zh-CN" w:bidi="ar"/>
                    </w:rPr>
                    <w:t>65±5</w:t>
                  </w:r>
                </w:p>
              </w:tc>
            </w:tr>
            <w:tr w14:paraId="1AF76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2099" w:type="dxa"/>
                  <w:vMerge w:val="continue"/>
                  <w:vAlign w:val="center"/>
                </w:tcPr>
                <w:p w14:paraId="11C5ED4A">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2416491B">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1A83839F">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b w:val="0"/>
                      <w:bCs w:val="0"/>
                      <w:i w:val="0"/>
                      <w:iCs w:val="0"/>
                      <w:color w:val="000000"/>
                      <w:kern w:val="0"/>
                      <w:sz w:val="21"/>
                      <w:szCs w:val="21"/>
                      <w:highlight w:val="none"/>
                      <w:u w:val="none"/>
                      <w:lang w:val="en-US" w:eastAsia="zh-CN" w:bidi="ar"/>
                    </w:rPr>
                    <w:t>CO</w:t>
                  </w:r>
                  <w:r>
                    <w:rPr>
                      <w:rFonts w:hint="default" w:ascii="Times New Roman" w:hAnsi="Times New Roman" w:eastAsia="宋体" w:cs="Times New Roman"/>
                      <w:b w:val="0"/>
                      <w:bCs w:val="0"/>
                      <w:i w:val="0"/>
                      <w:iCs w:val="0"/>
                      <w:color w:val="000000"/>
                      <w:kern w:val="0"/>
                      <w:sz w:val="21"/>
                      <w:szCs w:val="21"/>
                      <w:highlight w:val="none"/>
                      <w:u w:val="none"/>
                      <w:vertAlign w:val="subscript"/>
                      <w:lang w:val="en-US" w:eastAsia="zh-CN" w:bidi="ar"/>
                    </w:rPr>
                    <w:t>2</w:t>
                  </w:r>
                </w:p>
              </w:tc>
              <w:tc>
                <w:tcPr>
                  <w:tcW w:w="2100" w:type="dxa"/>
                  <w:vAlign w:val="center"/>
                </w:tcPr>
                <w:p w14:paraId="0245E313">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b w:val="0"/>
                      <w:bCs w:val="0"/>
                      <w:i w:val="0"/>
                      <w:iCs w:val="0"/>
                      <w:color w:val="000000"/>
                      <w:kern w:val="0"/>
                      <w:sz w:val="21"/>
                      <w:szCs w:val="21"/>
                      <w:highlight w:val="none"/>
                      <w:u w:val="none"/>
                      <w:lang w:val="en-US" w:eastAsia="zh-CN" w:bidi="ar"/>
                    </w:rPr>
                    <w:t>&lt;2%</w:t>
                  </w:r>
                </w:p>
              </w:tc>
            </w:tr>
            <w:tr w14:paraId="6D181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2099" w:type="dxa"/>
                  <w:vMerge w:val="continue"/>
                  <w:vAlign w:val="center"/>
                </w:tcPr>
                <w:p w14:paraId="79E282C4">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004E5C0C">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640F7A5A">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b w:val="0"/>
                      <w:bCs w:val="0"/>
                      <w:i w:val="0"/>
                      <w:iCs w:val="0"/>
                      <w:color w:val="000000"/>
                      <w:kern w:val="0"/>
                      <w:sz w:val="21"/>
                      <w:szCs w:val="21"/>
                      <w:highlight w:val="none"/>
                      <w:u w:val="none"/>
                      <w:lang w:val="en-US" w:eastAsia="zh-CN" w:bidi="ar"/>
                    </w:rPr>
                    <w:t>CH</w:t>
                  </w:r>
                  <w:r>
                    <w:rPr>
                      <w:rFonts w:hint="default" w:ascii="Times New Roman" w:hAnsi="Times New Roman" w:eastAsia="宋体" w:cs="Times New Roman"/>
                      <w:b w:val="0"/>
                      <w:bCs w:val="0"/>
                      <w:i w:val="0"/>
                      <w:iCs w:val="0"/>
                      <w:color w:val="000000"/>
                      <w:kern w:val="0"/>
                      <w:sz w:val="21"/>
                      <w:szCs w:val="21"/>
                      <w:highlight w:val="none"/>
                      <w:u w:val="none"/>
                      <w:vertAlign w:val="subscript"/>
                      <w:lang w:val="en-US" w:eastAsia="zh-CN" w:bidi="ar"/>
                    </w:rPr>
                    <w:t>4</w:t>
                  </w:r>
                </w:p>
              </w:tc>
              <w:tc>
                <w:tcPr>
                  <w:tcW w:w="2100" w:type="dxa"/>
                  <w:vAlign w:val="center"/>
                </w:tcPr>
                <w:p w14:paraId="4E8BCA40">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b w:val="0"/>
                      <w:bCs w:val="0"/>
                      <w:i w:val="0"/>
                      <w:iCs w:val="0"/>
                      <w:color w:val="000000"/>
                      <w:kern w:val="0"/>
                      <w:sz w:val="21"/>
                      <w:szCs w:val="21"/>
                      <w:highlight w:val="none"/>
                      <w:u w:val="none"/>
                      <w:lang w:val="en-US" w:eastAsia="zh-CN" w:bidi="ar"/>
                    </w:rPr>
                    <w:t>10±2</w:t>
                  </w:r>
                </w:p>
              </w:tc>
            </w:tr>
            <w:tr w14:paraId="36DD7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2099" w:type="dxa"/>
                  <w:vMerge w:val="continue"/>
                  <w:vAlign w:val="center"/>
                </w:tcPr>
                <w:p w14:paraId="6654BD40">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0C00BEF0">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1462C8D6">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b w:val="0"/>
                      <w:bCs w:val="0"/>
                      <w:i w:val="0"/>
                      <w:iCs w:val="0"/>
                      <w:color w:val="000000"/>
                      <w:kern w:val="0"/>
                      <w:sz w:val="21"/>
                      <w:szCs w:val="21"/>
                      <w:highlight w:val="none"/>
                      <w:u w:val="none"/>
                      <w:lang w:val="en-US" w:eastAsia="zh-CN" w:bidi="ar"/>
                    </w:rPr>
                    <w:t>N</w:t>
                  </w:r>
                  <w:r>
                    <w:rPr>
                      <w:rFonts w:hint="default" w:ascii="Times New Roman" w:hAnsi="Times New Roman" w:eastAsia="宋体" w:cs="Times New Roman"/>
                      <w:b w:val="0"/>
                      <w:bCs w:val="0"/>
                      <w:i w:val="0"/>
                      <w:iCs w:val="0"/>
                      <w:color w:val="000000"/>
                      <w:kern w:val="0"/>
                      <w:sz w:val="21"/>
                      <w:szCs w:val="21"/>
                      <w:highlight w:val="none"/>
                      <w:u w:val="none"/>
                      <w:vertAlign w:val="subscript"/>
                      <w:lang w:val="en-US" w:eastAsia="zh-CN" w:bidi="ar"/>
                    </w:rPr>
                    <w:t>2</w:t>
                  </w:r>
                </w:p>
              </w:tc>
              <w:tc>
                <w:tcPr>
                  <w:tcW w:w="2100" w:type="dxa"/>
                  <w:vAlign w:val="center"/>
                </w:tcPr>
                <w:p w14:paraId="3AEADABC">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b w:val="0"/>
                      <w:bCs w:val="0"/>
                      <w:i w:val="0"/>
                      <w:iCs w:val="0"/>
                      <w:color w:val="000000"/>
                      <w:kern w:val="0"/>
                      <w:sz w:val="21"/>
                      <w:szCs w:val="21"/>
                      <w:highlight w:val="none"/>
                      <w:u w:val="none"/>
                      <w:lang w:val="en-US" w:eastAsia="zh-CN" w:bidi="ar"/>
                    </w:rPr>
                    <w:t>7±2</w:t>
                  </w:r>
                </w:p>
              </w:tc>
            </w:tr>
            <w:tr w14:paraId="67E44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2099" w:type="dxa"/>
                  <w:vMerge w:val="continue"/>
                  <w:vAlign w:val="center"/>
                </w:tcPr>
                <w:p w14:paraId="0769D58F">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434314A5">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0AB97613">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b w:val="0"/>
                      <w:bCs w:val="0"/>
                      <w:i w:val="0"/>
                      <w:iCs w:val="0"/>
                      <w:color w:val="000000"/>
                      <w:kern w:val="0"/>
                      <w:sz w:val="21"/>
                      <w:szCs w:val="21"/>
                      <w:highlight w:val="none"/>
                      <w:u w:val="none"/>
                      <w:lang w:val="en-US" w:eastAsia="zh-CN" w:bidi="ar"/>
                    </w:rPr>
                    <w:t>H</w:t>
                  </w:r>
                  <w:r>
                    <w:rPr>
                      <w:rFonts w:hint="default" w:ascii="Times New Roman" w:hAnsi="Times New Roman" w:eastAsia="宋体" w:cs="Times New Roman"/>
                      <w:b w:val="0"/>
                      <w:bCs w:val="0"/>
                      <w:i w:val="0"/>
                      <w:iCs w:val="0"/>
                      <w:color w:val="000000"/>
                      <w:kern w:val="0"/>
                      <w:sz w:val="21"/>
                      <w:szCs w:val="21"/>
                      <w:highlight w:val="none"/>
                      <w:u w:val="none"/>
                      <w:vertAlign w:val="subscript"/>
                      <w:lang w:val="en-US" w:eastAsia="zh-CN" w:bidi="ar"/>
                    </w:rPr>
                    <w:t>2</w:t>
                  </w:r>
                  <w:r>
                    <w:rPr>
                      <w:rFonts w:hint="default" w:ascii="Times New Roman" w:hAnsi="Times New Roman" w:eastAsia="宋体" w:cs="Times New Roman"/>
                      <w:b w:val="0"/>
                      <w:bCs w:val="0"/>
                      <w:i w:val="0"/>
                      <w:iCs w:val="0"/>
                      <w:color w:val="000000"/>
                      <w:kern w:val="0"/>
                      <w:sz w:val="21"/>
                      <w:szCs w:val="21"/>
                      <w:highlight w:val="none"/>
                      <w:u w:val="none"/>
                      <w:lang w:val="en-US" w:eastAsia="zh-CN" w:bidi="ar"/>
                    </w:rPr>
                    <w:t>S</w:t>
                  </w:r>
                </w:p>
              </w:tc>
              <w:tc>
                <w:tcPr>
                  <w:tcW w:w="2100" w:type="dxa"/>
                  <w:vAlign w:val="center"/>
                </w:tcPr>
                <w:p w14:paraId="11751311">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b w:val="0"/>
                      <w:bCs w:val="0"/>
                      <w:i w:val="0"/>
                      <w:iCs w:val="0"/>
                      <w:color w:val="000000"/>
                      <w:kern w:val="0"/>
                      <w:sz w:val="21"/>
                      <w:szCs w:val="21"/>
                      <w:highlight w:val="none"/>
                      <w:u w:val="none"/>
                      <w:lang w:val="en-US" w:eastAsia="zh-CN" w:bidi="ar"/>
                    </w:rPr>
                    <w:t>-</w:t>
                  </w:r>
                </w:p>
              </w:tc>
            </w:tr>
            <w:tr w14:paraId="1A50C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2099" w:type="dxa"/>
                  <w:vMerge w:val="continue"/>
                  <w:vAlign w:val="center"/>
                </w:tcPr>
                <w:p w14:paraId="4D6EDADB">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0E28969A">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28347C09">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b w:val="0"/>
                      <w:bCs w:val="0"/>
                      <w:i w:val="0"/>
                      <w:iCs w:val="0"/>
                      <w:color w:val="000000"/>
                      <w:kern w:val="0"/>
                      <w:sz w:val="21"/>
                      <w:szCs w:val="21"/>
                      <w:highlight w:val="none"/>
                      <w:u w:val="none"/>
                      <w:lang w:val="en-US" w:eastAsia="zh-CN" w:bidi="ar"/>
                    </w:rPr>
                    <w:t>Ar+O</w:t>
                  </w:r>
                  <w:r>
                    <w:rPr>
                      <w:rFonts w:hint="default" w:ascii="Times New Roman" w:hAnsi="Times New Roman" w:eastAsia="宋体" w:cs="Times New Roman"/>
                      <w:b w:val="0"/>
                      <w:bCs w:val="0"/>
                      <w:i w:val="0"/>
                      <w:iCs w:val="0"/>
                      <w:color w:val="000000"/>
                      <w:kern w:val="0"/>
                      <w:sz w:val="21"/>
                      <w:szCs w:val="21"/>
                      <w:highlight w:val="none"/>
                      <w:u w:val="none"/>
                      <w:vertAlign w:val="subscript"/>
                      <w:lang w:val="en-US" w:eastAsia="zh-CN" w:bidi="ar"/>
                    </w:rPr>
                    <w:t>2</w:t>
                  </w:r>
                </w:p>
              </w:tc>
              <w:tc>
                <w:tcPr>
                  <w:tcW w:w="2100" w:type="dxa"/>
                  <w:vAlign w:val="center"/>
                </w:tcPr>
                <w:p w14:paraId="3E875E21">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b w:val="0"/>
                      <w:bCs w:val="0"/>
                      <w:i w:val="0"/>
                      <w:iCs w:val="0"/>
                      <w:color w:val="000000"/>
                      <w:kern w:val="0"/>
                      <w:sz w:val="21"/>
                      <w:szCs w:val="21"/>
                      <w:highlight w:val="none"/>
                      <w:u w:val="none"/>
                      <w:lang w:val="en-US" w:eastAsia="zh-CN" w:bidi="ar"/>
                    </w:rPr>
                    <w:t>1.5±0.5</w:t>
                  </w:r>
                </w:p>
              </w:tc>
            </w:tr>
            <w:tr w14:paraId="1086A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2099" w:type="dxa"/>
                  <w:vMerge w:val="continue"/>
                  <w:vAlign w:val="center"/>
                </w:tcPr>
                <w:p w14:paraId="58A7941A">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55170FAD">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6AA641A1">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b w:val="0"/>
                      <w:bCs w:val="0"/>
                      <w:i w:val="0"/>
                      <w:iCs w:val="0"/>
                      <w:color w:val="000000"/>
                      <w:kern w:val="0"/>
                      <w:sz w:val="21"/>
                      <w:szCs w:val="21"/>
                      <w:highlight w:val="none"/>
                      <w:u w:val="none"/>
                      <w:lang w:val="en-US" w:eastAsia="zh-CN" w:bidi="ar"/>
                    </w:rPr>
                    <w:t>C</w:t>
                  </w:r>
                  <w:r>
                    <w:rPr>
                      <w:rFonts w:hint="default" w:ascii="Times New Roman" w:hAnsi="Times New Roman" w:eastAsia="宋体" w:cs="Times New Roman"/>
                      <w:b w:val="0"/>
                      <w:bCs w:val="0"/>
                      <w:i w:val="0"/>
                      <w:iCs w:val="0"/>
                      <w:color w:val="000000"/>
                      <w:kern w:val="0"/>
                      <w:sz w:val="21"/>
                      <w:szCs w:val="21"/>
                      <w:highlight w:val="none"/>
                      <w:u w:val="none"/>
                      <w:vertAlign w:val="subscript"/>
                      <w:lang w:val="en-US" w:eastAsia="zh-CN" w:bidi="ar"/>
                    </w:rPr>
                    <w:t>2</w:t>
                  </w:r>
                  <w:r>
                    <w:rPr>
                      <w:rFonts w:hint="default" w:ascii="Times New Roman" w:hAnsi="Times New Roman" w:eastAsia="宋体" w:cs="Times New Roman"/>
                      <w:b w:val="0"/>
                      <w:bCs w:val="0"/>
                      <w:i w:val="0"/>
                      <w:iCs w:val="0"/>
                      <w:color w:val="000000"/>
                      <w:kern w:val="0"/>
                      <w:sz w:val="21"/>
                      <w:szCs w:val="21"/>
                      <w:highlight w:val="none"/>
                      <w:u w:val="none"/>
                      <w:lang w:val="en-US" w:eastAsia="zh-CN" w:bidi="ar"/>
                    </w:rPr>
                    <w:t>H</w:t>
                  </w:r>
                  <w:r>
                    <w:rPr>
                      <w:rFonts w:hint="default" w:ascii="Times New Roman" w:hAnsi="Times New Roman" w:eastAsia="宋体" w:cs="Times New Roman"/>
                      <w:b w:val="0"/>
                      <w:bCs w:val="0"/>
                      <w:i w:val="0"/>
                      <w:iCs w:val="0"/>
                      <w:color w:val="000000"/>
                      <w:kern w:val="0"/>
                      <w:sz w:val="21"/>
                      <w:szCs w:val="21"/>
                      <w:highlight w:val="none"/>
                      <w:u w:val="none"/>
                      <w:vertAlign w:val="subscript"/>
                      <w:lang w:val="en-US" w:eastAsia="zh-CN" w:bidi="ar"/>
                    </w:rPr>
                    <w:t>6</w:t>
                  </w:r>
                </w:p>
              </w:tc>
              <w:tc>
                <w:tcPr>
                  <w:tcW w:w="2100" w:type="dxa"/>
                  <w:vAlign w:val="center"/>
                </w:tcPr>
                <w:p w14:paraId="38966B87">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b w:val="0"/>
                      <w:bCs w:val="0"/>
                      <w:i w:val="0"/>
                      <w:iCs w:val="0"/>
                      <w:color w:val="000000"/>
                      <w:kern w:val="0"/>
                      <w:sz w:val="21"/>
                      <w:szCs w:val="21"/>
                      <w:highlight w:val="none"/>
                      <w:u w:val="none"/>
                      <w:lang w:val="en-US" w:eastAsia="zh-CN" w:bidi="ar"/>
                    </w:rPr>
                    <w:t>6±1</w:t>
                  </w:r>
                </w:p>
              </w:tc>
            </w:tr>
            <w:tr w14:paraId="59E06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099" w:type="dxa"/>
                  <w:vMerge w:val="restart"/>
                  <w:vAlign w:val="center"/>
                </w:tcPr>
                <w:p w14:paraId="6CA6A572">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r>
                    <w:rPr>
                      <w:rFonts w:hint="default" w:ascii="Times New Roman" w:hAnsi="Times New Roman" w:cs="Times New Roman"/>
                      <w:b w:val="0"/>
                      <w:bCs w:val="0"/>
                      <w:spacing w:val="0"/>
                      <w:sz w:val="21"/>
                      <w:szCs w:val="21"/>
                      <w:highlight w:val="none"/>
                      <w:vertAlign w:val="baseline"/>
                      <w:lang w:val="en-US" w:eastAsia="zh-CN"/>
                    </w:rPr>
                    <w:t>未变换净化气</w:t>
                  </w:r>
                </w:p>
              </w:tc>
              <w:tc>
                <w:tcPr>
                  <w:tcW w:w="2100" w:type="dxa"/>
                  <w:vMerge w:val="restart"/>
                  <w:vAlign w:val="center"/>
                </w:tcPr>
                <w:p w14:paraId="697CD405">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r>
                    <w:rPr>
                      <w:rFonts w:hint="default" w:ascii="Times New Roman" w:hAnsi="Times New Roman" w:cs="Times New Roman"/>
                      <w:b w:val="0"/>
                      <w:bCs w:val="0"/>
                      <w:spacing w:val="0"/>
                      <w:sz w:val="21"/>
                      <w:szCs w:val="21"/>
                      <w:highlight w:val="none"/>
                      <w:vertAlign w:val="baseline"/>
                      <w:lang w:val="en-US" w:eastAsia="zh-CN"/>
                    </w:rPr>
                    <w:t>59897</w:t>
                  </w:r>
                </w:p>
              </w:tc>
              <w:tc>
                <w:tcPr>
                  <w:tcW w:w="2099" w:type="dxa"/>
                  <w:vAlign w:val="center"/>
                </w:tcPr>
                <w:p w14:paraId="1662937E">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CO</w:t>
                  </w:r>
                </w:p>
              </w:tc>
              <w:tc>
                <w:tcPr>
                  <w:tcW w:w="2100" w:type="dxa"/>
                  <w:vAlign w:val="center"/>
                </w:tcPr>
                <w:p w14:paraId="28B03ACA">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70.93%</w:t>
                  </w:r>
                </w:p>
              </w:tc>
            </w:tr>
            <w:tr w14:paraId="02EBA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099" w:type="dxa"/>
                  <w:vMerge w:val="continue"/>
                  <w:vAlign w:val="center"/>
                </w:tcPr>
                <w:p w14:paraId="7071F9E9">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4B8B6931">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4AAD9E7A">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CO</w:t>
                  </w:r>
                  <w:r>
                    <w:rPr>
                      <w:rFonts w:hint="default" w:ascii="Times New Roman" w:hAnsi="Times New Roman" w:eastAsia="宋体" w:cs="Times New Roman"/>
                      <w:i w:val="0"/>
                      <w:iCs w:val="0"/>
                      <w:color w:val="000000"/>
                      <w:kern w:val="0"/>
                      <w:sz w:val="20"/>
                      <w:szCs w:val="20"/>
                      <w:highlight w:val="none"/>
                      <w:u w:val="none"/>
                      <w:vertAlign w:val="subscript"/>
                      <w:lang w:val="en-US" w:eastAsia="zh-CN" w:bidi="ar"/>
                    </w:rPr>
                    <w:t>2</w:t>
                  </w:r>
                </w:p>
              </w:tc>
              <w:tc>
                <w:tcPr>
                  <w:tcW w:w="2100" w:type="dxa"/>
                  <w:vAlign w:val="center"/>
                </w:tcPr>
                <w:p w14:paraId="27CB6DAD">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0.04%</w:t>
                  </w:r>
                </w:p>
              </w:tc>
            </w:tr>
            <w:tr w14:paraId="379ED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099" w:type="dxa"/>
                  <w:vMerge w:val="continue"/>
                  <w:vAlign w:val="center"/>
                </w:tcPr>
                <w:p w14:paraId="2031EDB2">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2D801A2E">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127113E6">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N</w:t>
                  </w:r>
                  <w:r>
                    <w:rPr>
                      <w:rFonts w:hint="default" w:ascii="Times New Roman" w:hAnsi="Times New Roman" w:eastAsia="宋体" w:cs="Times New Roman"/>
                      <w:i w:val="0"/>
                      <w:iCs w:val="0"/>
                      <w:color w:val="000000"/>
                      <w:kern w:val="0"/>
                      <w:sz w:val="20"/>
                      <w:szCs w:val="20"/>
                      <w:highlight w:val="none"/>
                      <w:u w:val="none"/>
                      <w:vertAlign w:val="subscript"/>
                      <w:lang w:val="en-US" w:eastAsia="zh-CN" w:bidi="ar"/>
                    </w:rPr>
                    <w:t>2</w:t>
                  </w:r>
                  <w:r>
                    <w:rPr>
                      <w:rFonts w:hint="default" w:ascii="Times New Roman" w:hAnsi="Times New Roman" w:eastAsia="宋体" w:cs="Times New Roman"/>
                      <w:i w:val="0"/>
                      <w:iCs w:val="0"/>
                      <w:color w:val="000000"/>
                      <w:kern w:val="0"/>
                      <w:sz w:val="20"/>
                      <w:szCs w:val="20"/>
                      <w:highlight w:val="none"/>
                      <w:u w:val="none"/>
                      <w:lang w:val="en-US" w:eastAsia="zh-CN" w:bidi="ar"/>
                    </w:rPr>
                    <w:t>+AR</w:t>
                  </w:r>
                </w:p>
              </w:tc>
              <w:tc>
                <w:tcPr>
                  <w:tcW w:w="2100" w:type="dxa"/>
                  <w:vAlign w:val="center"/>
                </w:tcPr>
                <w:p w14:paraId="77AE4933">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0.79%</w:t>
                  </w:r>
                </w:p>
              </w:tc>
            </w:tr>
            <w:tr w14:paraId="12475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099" w:type="dxa"/>
                  <w:vMerge w:val="continue"/>
                  <w:vAlign w:val="center"/>
                </w:tcPr>
                <w:p w14:paraId="4521A9D0">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6E4937B2">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59DDBB19">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H</w:t>
                  </w:r>
                  <w:r>
                    <w:rPr>
                      <w:rFonts w:hint="default" w:ascii="Times New Roman" w:hAnsi="Times New Roman" w:eastAsia="宋体" w:cs="Times New Roman"/>
                      <w:i w:val="0"/>
                      <w:iCs w:val="0"/>
                      <w:color w:val="000000"/>
                      <w:kern w:val="0"/>
                      <w:sz w:val="20"/>
                      <w:szCs w:val="20"/>
                      <w:highlight w:val="none"/>
                      <w:u w:val="none"/>
                      <w:vertAlign w:val="subscript"/>
                      <w:lang w:val="en-US" w:eastAsia="zh-CN" w:bidi="ar"/>
                    </w:rPr>
                    <w:t>2</w:t>
                  </w:r>
                </w:p>
              </w:tc>
              <w:tc>
                <w:tcPr>
                  <w:tcW w:w="2100" w:type="dxa"/>
                  <w:vAlign w:val="center"/>
                </w:tcPr>
                <w:p w14:paraId="15D0281C">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28.18%</w:t>
                  </w:r>
                </w:p>
              </w:tc>
            </w:tr>
            <w:tr w14:paraId="16EDB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099" w:type="dxa"/>
                  <w:vMerge w:val="continue"/>
                  <w:vAlign w:val="center"/>
                </w:tcPr>
                <w:p w14:paraId="7C73A080">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21188744">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3B18464E">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CH</w:t>
                  </w:r>
                  <w:r>
                    <w:rPr>
                      <w:rFonts w:hint="default" w:ascii="Times New Roman" w:hAnsi="Times New Roman" w:eastAsia="宋体" w:cs="Times New Roman"/>
                      <w:i w:val="0"/>
                      <w:iCs w:val="0"/>
                      <w:color w:val="000000"/>
                      <w:kern w:val="0"/>
                      <w:sz w:val="20"/>
                      <w:szCs w:val="20"/>
                      <w:highlight w:val="none"/>
                      <w:u w:val="none"/>
                      <w:vertAlign w:val="subscript"/>
                      <w:lang w:val="en-US" w:eastAsia="zh-CN" w:bidi="ar"/>
                    </w:rPr>
                    <w:t>4</w:t>
                  </w:r>
                </w:p>
              </w:tc>
              <w:tc>
                <w:tcPr>
                  <w:tcW w:w="2100" w:type="dxa"/>
                  <w:vAlign w:val="center"/>
                </w:tcPr>
                <w:p w14:paraId="55AAA5B8">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0.05%</w:t>
                  </w:r>
                </w:p>
              </w:tc>
            </w:tr>
            <w:tr w14:paraId="1EC6E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2099" w:type="dxa"/>
                  <w:vMerge w:val="restart"/>
                  <w:vAlign w:val="center"/>
                </w:tcPr>
                <w:p w14:paraId="7AF0541F">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r>
                    <w:rPr>
                      <w:rFonts w:hint="default" w:ascii="Times New Roman" w:hAnsi="Times New Roman" w:cs="Times New Roman"/>
                      <w:b w:val="0"/>
                      <w:bCs w:val="0"/>
                      <w:spacing w:val="0"/>
                      <w:sz w:val="21"/>
                      <w:szCs w:val="21"/>
                      <w:highlight w:val="none"/>
                      <w:vertAlign w:val="baseline"/>
                      <w:lang w:val="en-US" w:eastAsia="zh-CN"/>
                    </w:rPr>
                    <w:t>WRT甲烷气</w:t>
                  </w:r>
                </w:p>
              </w:tc>
              <w:tc>
                <w:tcPr>
                  <w:tcW w:w="2100" w:type="dxa"/>
                  <w:vMerge w:val="restart"/>
                  <w:vAlign w:val="center"/>
                </w:tcPr>
                <w:p w14:paraId="6A3E1364">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r>
                    <w:rPr>
                      <w:rFonts w:hint="default" w:ascii="Times New Roman" w:hAnsi="Times New Roman" w:cs="Times New Roman"/>
                      <w:b w:val="0"/>
                      <w:bCs w:val="0"/>
                      <w:spacing w:val="0"/>
                      <w:sz w:val="21"/>
                      <w:szCs w:val="21"/>
                      <w:highlight w:val="none"/>
                      <w:vertAlign w:val="baseline"/>
                      <w:lang w:val="en-US" w:eastAsia="zh-CN"/>
                    </w:rPr>
                    <w:t>1650</w:t>
                  </w:r>
                </w:p>
              </w:tc>
              <w:tc>
                <w:tcPr>
                  <w:tcW w:w="2099" w:type="dxa"/>
                  <w:vAlign w:val="center"/>
                </w:tcPr>
                <w:p w14:paraId="3BB69589">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甲烷</w:t>
                  </w:r>
                </w:p>
              </w:tc>
              <w:tc>
                <w:tcPr>
                  <w:tcW w:w="2100" w:type="dxa"/>
                  <w:vAlign w:val="center"/>
                </w:tcPr>
                <w:p w14:paraId="246512FD">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65</w:t>
                  </w:r>
                  <w:r>
                    <w:rPr>
                      <w:rFonts w:hint="eastAsia" w:cs="Times New Roman"/>
                      <w:i w:val="0"/>
                      <w:iCs w:val="0"/>
                      <w:color w:val="000000"/>
                      <w:kern w:val="0"/>
                      <w:sz w:val="20"/>
                      <w:szCs w:val="20"/>
                      <w:highlight w:val="none"/>
                      <w:u w:val="none"/>
                      <w:lang w:val="en-US" w:eastAsia="zh-CN" w:bidi="ar"/>
                    </w:rPr>
                    <w:t>%</w:t>
                  </w:r>
                  <w:r>
                    <w:rPr>
                      <w:rFonts w:hint="default" w:ascii="Times New Roman" w:hAnsi="Times New Roman" w:eastAsia="宋体" w:cs="Times New Roman"/>
                      <w:i w:val="0"/>
                      <w:iCs w:val="0"/>
                      <w:color w:val="000000"/>
                      <w:kern w:val="0"/>
                      <w:sz w:val="20"/>
                      <w:szCs w:val="20"/>
                      <w:highlight w:val="none"/>
                      <w:u w:val="none"/>
                      <w:lang w:val="en-US" w:eastAsia="zh-CN" w:bidi="ar"/>
                    </w:rPr>
                    <w:t>-75%</w:t>
                  </w:r>
                </w:p>
              </w:tc>
            </w:tr>
            <w:tr w14:paraId="07D27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2099" w:type="dxa"/>
                  <w:vMerge w:val="continue"/>
                  <w:vAlign w:val="center"/>
                </w:tcPr>
                <w:p w14:paraId="33737EE7">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4A34B32A">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6A9501D5">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二氧化碳</w:t>
                  </w:r>
                </w:p>
              </w:tc>
              <w:tc>
                <w:tcPr>
                  <w:tcW w:w="2100" w:type="dxa"/>
                  <w:vAlign w:val="center"/>
                </w:tcPr>
                <w:p w14:paraId="38CD6E82">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24</w:t>
                  </w:r>
                  <w:r>
                    <w:rPr>
                      <w:rFonts w:hint="eastAsia" w:cs="Times New Roman"/>
                      <w:i w:val="0"/>
                      <w:iCs w:val="0"/>
                      <w:color w:val="000000"/>
                      <w:kern w:val="0"/>
                      <w:sz w:val="20"/>
                      <w:szCs w:val="20"/>
                      <w:highlight w:val="none"/>
                      <w:u w:val="none"/>
                      <w:lang w:val="en-US" w:eastAsia="zh-CN" w:bidi="ar"/>
                    </w:rPr>
                    <w:t>%</w:t>
                  </w:r>
                  <w:r>
                    <w:rPr>
                      <w:rFonts w:hint="default" w:ascii="Times New Roman" w:hAnsi="Times New Roman" w:eastAsia="宋体" w:cs="Times New Roman"/>
                      <w:i w:val="0"/>
                      <w:iCs w:val="0"/>
                      <w:color w:val="000000"/>
                      <w:kern w:val="0"/>
                      <w:sz w:val="20"/>
                      <w:szCs w:val="20"/>
                      <w:highlight w:val="none"/>
                      <w:u w:val="none"/>
                      <w:lang w:val="en-US" w:eastAsia="zh-CN" w:bidi="ar"/>
                    </w:rPr>
                    <w:t>-34%</w:t>
                  </w:r>
                </w:p>
              </w:tc>
            </w:tr>
            <w:tr w14:paraId="75DCB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2099" w:type="dxa"/>
                  <w:vMerge w:val="continue"/>
                  <w:vAlign w:val="center"/>
                </w:tcPr>
                <w:p w14:paraId="0F2A2421">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6D24408D">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44800F60">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硫化氢</w:t>
                  </w:r>
                </w:p>
              </w:tc>
              <w:tc>
                <w:tcPr>
                  <w:tcW w:w="2100" w:type="dxa"/>
                  <w:vAlign w:val="center"/>
                </w:tcPr>
                <w:p w14:paraId="584CAB3E">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&lt;200ppm</w:t>
                  </w:r>
                </w:p>
              </w:tc>
            </w:tr>
            <w:tr w14:paraId="48D04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2099" w:type="dxa"/>
                  <w:vMerge w:val="restart"/>
                  <w:vAlign w:val="center"/>
                </w:tcPr>
                <w:p w14:paraId="2D6F3E1B">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r>
                    <w:rPr>
                      <w:rFonts w:hint="eastAsia" w:cs="Times New Roman"/>
                      <w:b w:val="0"/>
                      <w:bCs w:val="0"/>
                      <w:spacing w:val="0"/>
                      <w:sz w:val="21"/>
                      <w:szCs w:val="21"/>
                      <w:highlight w:val="none"/>
                      <w:vertAlign w:val="baseline"/>
                      <w:lang w:val="en-US" w:eastAsia="zh-CN"/>
                    </w:rPr>
                    <w:t>甲烷气</w:t>
                  </w:r>
                </w:p>
              </w:tc>
              <w:tc>
                <w:tcPr>
                  <w:tcW w:w="2100" w:type="dxa"/>
                  <w:vMerge w:val="restart"/>
                  <w:vAlign w:val="center"/>
                </w:tcPr>
                <w:p w14:paraId="32744C10">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r>
                    <w:rPr>
                      <w:rFonts w:hint="eastAsia" w:ascii="Times New Roman" w:hAnsi="Times New Roman" w:cs="Times New Roman"/>
                      <w:b w:val="0"/>
                      <w:bCs w:val="0"/>
                      <w:spacing w:val="0"/>
                      <w:sz w:val="21"/>
                      <w:szCs w:val="21"/>
                      <w:highlight w:val="none"/>
                      <w:vertAlign w:val="baseline"/>
                      <w:lang w:val="en-US" w:eastAsia="zh-CN"/>
                    </w:rPr>
                    <w:t>1000</w:t>
                  </w:r>
                </w:p>
              </w:tc>
              <w:tc>
                <w:tcPr>
                  <w:tcW w:w="2099" w:type="dxa"/>
                  <w:vAlign w:val="center"/>
                </w:tcPr>
                <w:p w14:paraId="2DF04CA2">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H</w:t>
                  </w:r>
                  <w:r>
                    <w:rPr>
                      <w:rFonts w:hint="default" w:ascii="Times New Roman" w:hAnsi="Times New Roman" w:eastAsia="宋体" w:cs="Times New Roman"/>
                      <w:i w:val="0"/>
                      <w:iCs w:val="0"/>
                      <w:color w:val="000000"/>
                      <w:kern w:val="0"/>
                      <w:sz w:val="20"/>
                      <w:szCs w:val="20"/>
                      <w:highlight w:val="none"/>
                      <w:u w:val="none"/>
                      <w:vertAlign w:val="subscript"/>
                      <w:lang w:val="en-US" w:eastAsia="zh-CN" w:bidi="ar"/>
                    </w:rPr>
                    <w:t>2</w:t>
                  </w:r>
                  <w:r>
                    <w:rPr>
                      <w:rFonts w:hint="eastAsia" w:cs="Times New Roman"/>
                      <w:i w:val="0"/>
                      <w:iCs w:val="0"/>
                      <w:color w:val="000000"/>
                      <w:kern w:val="0"/>
                      <w:sz w:val="20"/>
                      <w:szCs w:val="20"/>
                      <w:highlight w:val="none"/>
                      <w:u w:val="none"/>
                      <w:lang w:val="en-US" w:eastAsia="zh-CN" w:bidi="ar"/>
                    </w:rPr>
                    <w:t>（</w:t>
                  </w:r>
                  <w:r>
                    <w:rPr>
                      <w:rFonts w:hint="default" w:ascii="Times New Roman" w:hAnsi="Times New Roman" w:eastAsia="宋体" w:cs="Times New Roman"/>
                      <w:i w:val="0"/>
                      <w:iCs w:val="0"/>
                      <w:color w:val="000000"/>
                      <w:kern w:val="0"/>
                      <w:sz w:val="20"/>
                      <w:szCs w:val="20"/>
                      <w:highlight w:val="none"/>
                      <w:u w:val="none"/>
                      <w:lang w:val="en-US" w:eastAsia="zh-CN" w:bidi="ar"/>
                    </w:rPr>
                    <w:t>%</w:t>
                  </w:r>
                  <w:r>
                    <w:rPr>
                      <w:rFonts w:hint="eastAsia" w:cs="Times New Roman"/>
                      <w:i w:val="0"/>
                      <w:iCs w:val="0"/>
                      <w:color w:val="000000"/>
                      <w:kern w:val="0"/>
                      <w:sz w:val="20"/>
                      <w:szCs w:val="20"/>
                      <w:highlight w:val="none"/>
                      <w:u w:val="none"/>
                      <w:lang w:val="en-US" w:eastAsia="zh-CN" w:bidi="ar"/>
                    </w:rPr>
                    <w:t>）</w:t>
                  </w:r>
                </w:p>
              </w:tc>
              <w:tc>
                <w:tcPr>
                  <w:tcW w:w="2100" w:type="dxa"/>
                  <w:vAlign w:val="center"/>
                </w:tcPr>
                <w:p w14:paraId="5CF08E76">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r>
                    <w:rPr>
                      <w:rFonts w:hint="default" w:ascii="Times New Roman" w:hAnsi="Times New Roman" w:eastAsia="宋体" w:cs="Times New Roman"/>
                      <w:i w:val="0"/>
                      <w:iCs w:val="0"/>
                      <w:color w:val="000000"/>
                      <w:kern w:val="0"/>
                      <w:sz w:val="20"/>
                      <w:szCs w:val="20"/>
                      <w:highlight w:val="none"/>
                      <w:u w:val="none"/>
                      <w:lang w:val="en-US" w:eastAsia="zh-CN" w:bidi="ar"/>
                    </w:rPr>
                    <w:t>0.01</w:t>
                  </w:r>
                </w:p>
              </w:tc>
            </w:tr>
            <w:tr w14:paraId="48B54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099" w:type="dxa"/>
                  <w:vMerge w:val="continue"/>
                  <w:vAlign w:val="center"/>
                </w:tcPr>
                <w:p w14:paraId="56E97A3B">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63691EEB">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38E91DD8">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N</w:t>
                  </w:r>
                  <w:r>
                    <w:rPr>
                      <w:rFonts w:hint="default" w:ascii="Times New Roman" w:hAnsi="Times New Roman" w:eastAsia="宋体" w:cs="Times New Roman"/>
                      <w:i w:val="0"/>
                      <w:iCs w:val="0"/>
                      <w:color w:val="000000"/>
                      <w:kern w:val="0"/>
                      <w:sz w:val="20"/>
                      <w:szCs w:val="20"/>
                      <w:highlight w:val="none"/>
                      <w:u w:val="none"/>
                      <w:vertAlign w:val="subscript"/>
                      <w:lang w:val="en-US" w:eastAsia="zh-CN" w:bidi="ar"/>
                    </w:rPr>
                    <w:t>2</w:t>
                  </w:r>
                  <w:r>
                    <w:rPr>
                      <w:rFonts w:hint="eastAsia" w:cs="Times New Roman"/>
                      <w:i w:val="0"/>
                      <w:iCs w:val="0"/>
                      <w:color w:val="000000"/>
                      <w:kern w:val="0"/>
                      <w:sz w:val="20"/>
                      <w:szCs w:val="20"/>
                      <w:highlight w:val="none"/>
                      <w:u w:val="none"/>
                      <w:lang w:val="en-US" w:eastAsia="zh-CN" w:bidi="ar"/>
                    </w:rPr>
                    <w:t>（</w:t>
                  </w:r>
                  <w:r>
                    <w:rPr>
                      <w:rFonts w:hint="default" w:ascii="Times New Roman" w:hAnsi="Times New Roman" w:eastAsia="宋体" w:cs="Times New Roman"/>
                      <w:i w:val="0"/>
                      <w:iCs w:val="0"/>
                      <w:color w:val="000000"/>
                      <w:kern w:val="0"/>
                      <w:sz w:val="20"/>
                      <w:szCs w:val="20"/>
                      <w:highlight w:val="none"/>
                      <w:u w:val="none"/>
                      <w:lang w:val="en-US" w:eastAsia="zh-CN" w:bidi="ar"/>
                    </w:rPr>
                    <w:t>%</w:t>
                  </w:r>
                  <w:r>
                    <w:rPr>
                      <w:rFonts w:hint="eastAsia" w:cs="Times New Roman"/>
                      <w:i w:val="0"/>
                      <w:iCs w:val="0"/>
                      <w:color w:val="000000"/>
                      <w:kern w:val="0"/>
                      <w:sz w:val="20"/>
                      <w:szCs w:val="20"/>
                      <w:highlight w:val="none"/>
                      <w:u w:val="none"/>
                      <w:lang w:val="en-US" w:eastAsia="zh-CN" w:bidi="ar"/>
                    </w:rPr>
                    <w:t>）</w:t>
                  </w:r>
                </w:p>
              </w:tc>
              <w:tc>
                <w:tcPr>
                  <w:tcW w:w="2100" w:type="dxa"/>
                  <w:vAlign w:val="center"/>
                </w:tcPr>
                <w:p w14:paraId="40CAC82B">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0.21-0.36</w:t>
                  </w:r>
                </w:p>
              </w:tc>
            </w:tr>
            <w:tr w14:paraId="3921E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099" w:type="dxa"/>
                  <w:vMerge w:val="continue"/>
                  <w:vAlign w:val="center"/>
                </w:tcPr>
                <w:p w14:paraId="2DD936B4">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4346DB65">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35D4CAAC">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O</w:t>
                  </w:r>
                  <w:r>
                    <w:rPr>
                      <w:rFonts w:hint="default" w:ascii="Times New Roman" w:hAnsi="Times New Roman" w:eastAsia="宋体" w:cs="Times New Roman"/>
                      <w:i w:val="0"/>
                      <w:iCs w:val="0"/>
                      <w:color w:val="000000"/>
                      <w:kern w:val="0"/>
                      <w:sz w:val="20"/>
                      <w:szCs w:val="20"/>
                      <w:highlight w:val="none"/>
                      <w:u w:val="none"/>
                      <w:vertAlign w:val="subscript"/>
                      <w:lang w:val="en-US" w:eastAsia="zh-CN" w:bidi="ar"/>
                    </w:rPr>
                    <w:t>2</w:t>
                  </w:r>
                  <w:r>
                    <w:rPr>
                      <w:rFonts w:hint="eastAsia" w:cs="Times New Roman"/>
                      <w:i w:val="0"/>
                      <w:iCs w:val="0"/>
                      <w:color w:val="000000"/>
                      <w:kern w:val="0"/>
                      <w:sz w:val="20"/>
                      <w:szCs w:val="20"/>
                      <w:highlight w:val="none"/>
                      <w:u w:val="none"/>
                      <w:lang w:val="en-US" w:eastAsia="zh-CN" w:bidi="ar"/>
                    </w:rPr>
                    <w:t>（</w:t>
                  </w:r>
                  <w:r>
                    <w:rPr>
                      <w:rFonts w:hint="default" w:ascii="Times New Roman" w:hAnsi="Times New Roman" w:eastAsia="宋体" w:cs="Times New Roman"/>
                      <w:i w:val="0"/>
                      <w:iCs w:val="0"/>
                      <w:color w:val="000000"/>
                      <w:kern w:val="0"/>
                      <w:sz w:val="20"/>
                      <w:szCs w:val="20"/>
                      <w:highlight w:val="none"/>
                      <w:u w:val="none"/>
                      <w:lang w:val="en-US" w:eastAsia="zh-CN" w:bidi="ar"/>
                    </w:rPr>
                    <w:t>%</w:t>
                  </w:r>
                  <w:r>
                    <w:rPr>
                      <w:rFonts w:hint="eastAsia" w:cs="Times New Roman"/>
                      <w:i w:val="0"/>
                      <w:iCs w:val="0"/>
                      <w:color w:val="000000"/>
                      <w:kern w:val="0"/>
                      <w:sz w:val="20"/>
                      <w:szCs w:val="20"/>
                      <w:highlight w:val="none"/>
                      <w:u w:val="none"/>
                      <w:lang w:val="en-US" w:eastAsia="zh-CN" w:bidi="ar"/>
                    </w:rPr>
                    <w:t>）</w:t>
                  </w:r>
                </w:p>
              </w:tc>
              <w:tc>
                <w:tcPr>
                  <w:tcW w:w="2100" w:type="dxa"/>
                  <w:vAlign w:val="center"/>
                </w:tcPr>
                <w:p w14:paraId="2E5494B1">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0.03-0.13</w:t>
                  </w:r>
                </w:p>
              </w:tc>
            </w:tr>
            <w:tr w14:paraId="758A1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099" w:type="dxa"/>
                  <w:vMerge w:val="continue"/>
                  <w:vAlign w:val="center"/>
                </w:tcPr>
                <w:p w14:paraId="511B656B">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51D88185">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3176CE61">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CO</w:t>
                  </w:r>
                  <w:r>
                    <w:rPr>
                      <w:rFonts w:hint="default" w:ascii="Times New Roman" w:hAnsi="Times New Roman" w:eastAsia="宋体" w:cs="Times New Roman"/>
                      <w:i w:val="0"/>
                      <w:iCs w:val="0"/>
                      <w:color w:val="000000"/>
                      <w:kern w:val="0"/>
                      <w:sz w:val="20"/>
                      <w:szCs w:val="20"/>
                      <w:highlight w:val="none"/>
                      <w:u w:val="none"/>
                      <w:vertAlign w:val="subscript"/>
                      <w:lang w:val="en-US" w:eastAsia="zh-CN" w:bidi="ar"/>
                    </w:rPr>
                    <w:t>2</w:t>
                  </w:r>
                  <w:r>
                    <w:rPr>
                      <w:rFonts w:hint="eastAsia" w:cs="Times New Roman"/>
                      <w:i w:val="0"/>
                      <w:iCs w:val="0"/>
                      <w:color w:val="000000"/>
                      <w:kern w:val="0"/>
                      <w:sz w:val="20"/>
                      <w:szCs w:val="20"/>
                      <w:highlight w:val="none"/>
                      <w:u w:val="none"/>
                      <w:lang w:val="en-US" w:eastAsia="zh-CN" w:bidi="ar"/>
                    </w:rPr>
                    <w:t>（</w:t>
                  </w:r>
                  <w:r>
                    <w:rPr>
                      <w:rFonts w:hint="default" w:ascii="Times New Roman" w:hAnsi="Times New Roman" w:eastAsia="宋体" w:cs="Times New Roman"/>
                      <w:i w:val="0"/>
                      <w:iCs w:val="0"/>
                      <w:color w:val="000000"/>
                      <w:kern w:val="0"/>
                      <w:sz w:val="20"/>
                      <w:szCs w:val="20"/>
                      <w:highlight w:val="none"/>
                      <w:u w:val="none"/>
                      <w:lang w:val="en-US" w:eastAsia="zh-CN" w:bidi="ar"/>
                    </w:rPr>
                    <w:t>%</w:t>
                  </w:r>
                  <w:r>
                    <w:rPr>
                      <w:rFonts w:hint="eastAsia" w:cs="Times New Roman"/>
                      <w:i w:val="0"/>
                      <w:iCs w:val="0"/>
                      <w:color w:val="000000"/>
                      <w:kern w:val="0"/>
                      <w:sz w:val="20"/>
                      <w:szCs w:val="20"/>
                      <w:highlight w:val="none"/>
                      <w:u w:val="none"/>
                      <w:lang w:val="en-US" w:eastAsia="zh-CN" w:bidi="ar"/>
                    </w:rPr>
                    <w:t>）</w:t>
                  </w:r>
                </w:p>
              </w:tc>
              <w:tc>
                <w:tcPr>
                  <w:tcW w:w="2100" w:type="dxa"/>
                  <w:vAlign w:val="center"/>
                </w:tcPr>
                <w:p w14:paraId="6FD7A68F">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28.34-32.85</w:t>
                  </w:r>
                </w:p>
              </w:tc>
            </w:tr>
            <w:tr w14:paraId="0B919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099" w:type="dxa"/>
                  <w:vMerge w:val="continue"/>
                  <w:vAlign w:val="center"/>
                </w:tcPr>
                <w:p w14:paraId="1E14EC97">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6441E873">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0A94F69C">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CH</w:t>
                  </w:r>
                  <w:r>
                    <w:rPr>
                      <w:rFonts w:hint="default" w:ascii="Times New Roman" w:hAnsi="Times New Roman" w:eastAsia="宋体" w:cs="Times New Roman"/>
                      <w:i w:val="0"/>
                      <w:iCs w:val="0"/>
                      <w:color w:val="000000"/>
                      <w:kern w:val="0"/>
                      <w:sz w:val="20"/>
                      <w:szCs w:val="20"/>
                      <w:highlight w:val="none"/>
                      <w:u w:val="none"/>
                      <w:vertAlign w:val="subscript"/>
                      <w:lang w:val="en-US" w:eastAsia="zh-CN" w:bidi="ar"/>
                    </w:rPr>
                    <w:t>4</w:t>
                  </w:r>
                  <w:r>
                    <w:rPr>
                      <w:rFonts w:hint="eastAsia" w:cs="Times New Roman"/>
                      <w:i w:val="0"/>
                      <w:iCs w:val="0"/>
                      <w:color w:val="000000"/>
                      <w:kern w:val="0"/>
                      <w:sz w:val="20"/>
                      <w:szCs w:val="20"/>
                      <w:highlight w:val="none"/>
                      <w:u w:val="none"/>
                      <w:lang w:val="en-US" w:eastAsia="zh-CN" w:bidi="ar"/>
                    </w:rPr>
                    <w:t>（</w:t>
                  </w:r>
                  <w:r>
                    <w:rPr>
                      <w:rFonts w:hint="default" w:ascii="Times New Roman" w:hAnsi="Times New Roman" w:eastAsia="宋体" w:cs="Times New Roman"/>
                      <w:i w:val="0"/>
                      <w:iCs w:val="0"/>
                      <w:color w:val="000000"/>
                      <w:kern w:val="0"/>
                      <w:sz w:val="20"/>
                      <w:szCs w:val="20"/>
                      <w:highlight w:val="none"/>
                      <w:u w:val="none"/>
                      <w:lang w:val="en-US" w:eastAsia="zh-CN" w:bidi="ar"/>
                    </w:rPr>
                    <w:t>%</w:t>
                  </w:r>
                  <w:r>
                    <w:rPr>
                      <w:rFonts w:hint="eastAsia" w:cs="Times New Roman"/>
                      <w:i w:val="0"/>
                      <w:iCs w:val="0"/>
                      <w:color w:val="000000"/>
                      <w:kern w:val="0"/>
                      <w:sz w:val="20"/>
                      <w:szCs w:val="20"/>
                      <w:highlight w:val="none"/>
                      <w:u w:val="none"/>
                      <w:lang w:val="en-US" w:eastAsia="zh-CN" w:bidi="ar"/>
                    </w:rPr>
                    <w:t>）</w:t>
                  </w:r>
                </w:p>
              </w:tc>
              <w:tc>
                <w:tcPr>
                  <w:tcW w:w="2100" w:type="dxa"/>
                  <w:vAlign w:val="center"/>
                </w:tcPr>
                <w:p w14:paraId="55EEEB16">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67.51-71.41</w:t>
                  </w:r>
                </w:p>
              </w:tc>
            </w:tr>
            <w:tr w14:paraId="543A7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099" w:type="dxa"/>
                  <w:vMerge w:val="continue"/>
                  <w:vAlign w:val="center"/>
                </w:tcPr>
                <w:p w14:paraId="2C7A8FAF">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6CC5BCD3">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25976023">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H</w:t>
                  </w:r>
                  <w:r>
                    <w:rPr>
                      <w:rFonts w:hint="default" w:ascii="Times New Roman" w:hAnsi="Times New Roman" w:eastAsia="宋体" w:cs="Times New Roman"/>
                      <w:i w:val="0"/>
                      <w:iCs w:val="0"/>
                      <w:color w:val="000000"/>
                      <w:kern w:val="0"/>
                      <w:sz w:val="20"/>
                      <w:szCs w:val="20"/>
                      <w:highlight w:val="none"/>
                      <w:u w:val="none"/>
                      <w:vertAlign w:val="subscript"/>
                      <w:lang w:val="en-US" w:eastAsia="zh-CN" w:bidi="ar"/>
                    </w:rPr>
                    <w:t>2</w:t>
                  </w:r>
                  <w:r>
                    <w:rPr>
                      <w:rFonts w:hint="default" w:ascii="Times New Roman" w:hAnsi="Times New Roman" w:eastAsia="宋体" w:cs="Times New Roman"/>
                      <w:i w:val="0"/>
                      <w:iCs w:val="0"/>
                      <w:color w:val="000000"/>
                      <w:kern w:val="0"/>
                      <w:sz w:val="20"/>
                      <w:szCs w:val="20"/>
                      <w:highlight w:val="none"/>
                      <w:u w:val="none"/>
                      <w:lang w:val="en-US" w:eastAsia="zh-CN" w:bidi="ar"/>
                    </w:rPr>
                    <w:t>S</w:t>
                  </w:r>
                  <w:r>
                    <w:rPr>
                      <w:rFonts w:hint="eastAsia" w:cs="Times New Roman"/>
                      <w:i w:val="0"/>
                      <w:iCs w:val="0"/>
                      <w:color w:val="000000"/>
                      <w:kern w:val="0"/>
                      <w:sz w:val="20"/>
                      <w:szCs w:val="20"/>
                      <w:highlight w:val="none"/>
                      <w:u w:val="none"/>
                      <w:lang w:val="en-US" w:eastAsia="zh-CN" w:bidi="ar"/>
                    </w:rPr>
                    <w:t>（</w:t>
                  </w:r>
                  <w:r>
                    <w:rPr>
                      <w:rFonts w:hint="default" w:ascii="Times New Roman" w:hAnsi="Times New Roman" w:eastAsia="宋体" w:cs="Times New Roman"/>
                      <w:i w:val="0"/>
                      <w:iCs w:val="0"/>
                      <w:color w:val="000000"/>
                      <w:kern w:val="0"/>
                      <w:sz w:val="20"/>
                      <w:szCs w:val="20"/>
                      <w:highlight w:val="none"/>
                      <w:u w:val="none"/>
                      <w:lang w:val="en-US" w:eastAsia="zh-CN" w:bidi="ar"/>
                    </w:rPr>
                    <w:t>%</w:t>
                  </w:r>
                  <w:r>
                    <w:rPr>
                      <w:rFonts w:hint="eastAsia" w:cs="Times New Roman"/>
                      <w:i w:val="0"/>
                      <w:iCs w:val="0"/>
                      <w:color w:val="000000"/>
                      <w:kern w:val="0"/>
                      <w:sz w:val="20"/>
                      <w:szCs w:val="20"/>
                      <w:highlight w:val="none"/>
                      <w:u w:val="none"/>
                      <w:lang w:val="en-US" w:eastAsia="zh-CN" w:bidi="ar"/>
                    </w:rPr>
                    <w:t>）</w:t>
                  </w:r>
                </w:p>
              </w:tc>
              <w:tc>
                <w:tcPr>
                  <w:tcW w:w="2100" w:type="dxa"/>
                  <w:vAlign w:val="center"/>
                </w:tcPr>
                <w:p w14:paraId="3718A759">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0.01-0.2</w:t>
                  </w:r>
                </w:p>
              </w:tc>
            </w:tr>
            <w:tr w14:paraId="53113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2099" w:type="dxa"/>
                  <w:vMerge w:val="restart"/>
                  <w:vAlign w:val="center"/>
                </w:tcPr>
                <w:p w14:paraId="27C75A4E">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r>
                    <w:rPr>
                      <w:rFonts w:hint="default" w:ascii="Times New Roman" w:hAnsi="Times New Roman" w:cs="Times New Roman"/>
                      <w:b w:val="0"/>
                      <w:bCs w:val="0"/>
                      <w:spacing w:val="0"/>
                      <w:sz w:val="21"/>
                      <w:szCs w:val="21"/>
                      <w:highlight w:val="none"/>
                      <w:vertAlign w:val="baseline"/>
                      <w:lang w:val="en-US" w:eastAsia="zh-CN"/>
                    </w:rPr>
                    <w:t>低压含烃火炬气工况</w:t>
                  </w:r>
                </w:p>
              </w:tc>
              <w:tc>
                <w:tcPr>
                  <w:tcW w:w="2100" w:type="dxa"/>
                  <w:vMerge w:val="restart"/>
                  <w:vAlign w:val="center"/>
                </w:tcPr>
                <w:p w14:paraId="69215DAE">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r>
                    <w:rPr>
                      <w:rFonts w:hint="eastAsia" w:ascii="Times New Roman" w:hAnsi="Times New Roman" w:cs="Times New Roman"/>
                      <w:b w:val="0"/>
                      <w:bCs w:val="0"/>
                      <w:spacing w:val="0"/>
                      <w:sz w:val="21"/>
                      <w:szCs w:val="21"/>
                      <w:highlight w:val="none"/>
                      <w:vertAlign w:val="baseline"/>
                      <w:lang w:val="en-US" w:eastAsia="zh-CN"/>
                    </w:rPr>
                    <w:t>36237</w:t>
                  </w:r>
                </w:p>
              </w:tc>
              <w:tc>
                <w:tcPr>
                  <w:tcW w:w="2099" w:type="dxa"/>
                  <w:vAlign w:val="center"/>
                </w:tcPr>
                <w:p w14:paraId="01F78BC9">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乙醇</w:t>
                  </w:r>
                </w:p>
              </w:tc>
              <w:tc>
                <w:tcPr>
                  <w:tcW w:w="2100" w:type="dxa"/>
                  <w:vAlign w:val="center"/>
                </w:tcPr>
                <w:p w14:paraId="5D1D7343">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9.34</w:t>
                  </w:r>
                </w:p>
              </w:tc>
            </w:tr>
            <w:tr w14:paraId="55951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2099" w:type="dxa"/>
                  <w:vMerge w:val="continue"/>
                  <w:vAlign w:val="center"/>
                </w:tcPr>
                <w:p w14:paraId="70745F53">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6F0C072C">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262DC805">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丁醇</w:t>
                  </w:r>
                </w:p>
              </w:tc>
              <w:tc>
                <w:tcPr>
                  <w:tcW w:w="2100" w:type="dxa"/>
                  <w:vAlign w:val="center"/>
                </w:tcPr>
                <w:p w14:paraId="450B2E6D">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0.1</w:t>
                  </w:r>
                </w:p>
              </w:tc>
            </w:tr>
            <w:tr w14:paraId="60E90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2099" w:type="dxa"/>
                  <w:vMerge w:val="continue"/>
                  <w:vAlign w:val="center"/>
                </w:tcPr>
                <w:p w14:paraId="57B9741B">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463D061E">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1C2A65EF">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二氧化碳</w:t>
                  </w:r>
                </w:p>
              </w:tc>
              <w:tc>
                <w:tcPr>
                  <w:tcW w:w="2100" w:type="dxa"/>
                  <w:vAlign w:val="center"/>
                </w:tcPr>
                <w:p w14:paraId="4345DBCF">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8.55</w:t>
                  </w:r>
                </w:p>
              </w:tc>
            </w:tr>
            <w:tr w14:paraId="596B2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2099" w:type="dxa"/>
                  <w:vMerge w:val="continue"/>
                  <w:vAlign w:val="center"/>
                </w:tcPr>
                <w:p w14:paraId="40E42FB8">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182FA778">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00F42E3F">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乙酸乙酯</w:t>
                  </w:r>
                </w:p>
              </w:tc>
              <w:tc>
                <w:tcPr>
                  <w:tcW w:w="2100" w:type="dxa"/>
                  <w:vAlign w:val="center"/>
                </w:tcPr>
                <w:p w14:paraId="56F3EC75">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0.82</w:t>
                  </w:r>
                </w:p>
              </w:tc>
            </w:tr>
            <w:tr w14:paraId="023FB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2099" w:type="dxa"/>
                  <w:vMerge w:val="continue"/>
                  <w:vAlign w:val="center"/>
                </w:tcPr>
                <w:p w14:paraId="5D58410F">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270855A8">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0ED60889">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水</w:t>
                  </w:r>
                </w:p>
              </w:tc>
              <w:tc>
                <w:tcPr>
                  <w:tcW w:w="2100" w:type="dxa"/>
                  <w:vAlign w:val="center"/>
                </w:tcPr>
                <w:p w14:paraId="614A0DCF">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81.19</w:t>
                  </w:r>
                </w:p>
              </w:tc>
            </w:tr>
            <w:tr w14:paraId="2C0D5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099" w:type="dxa"/>
                  <w:vMerge w:val="restart"/>
                  <w:vAlign w:val="center"/>
                </w:tcPr>
                <w:p w14:paraId="5C940393">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r>
                    <w:rPr>
                      <w:rFonts w:hint="default" w:ascii="Times New Roman" w:hAnsi="Times New Roman" w:cs="Times New Roman"/>
                      <w:b w:val="0"/>
                      <w:bCs w:val="0"/>
                      <w:spacing w:val="0"/>
                      <w:sz w:val="21"/>
                      <w:szCs w:val="21"/>
                      <w:highlight w:val="none"/>
                      <w:vertAlign w:val="baseline"/>
                      <w:lang w:val="en-US" w:eastAsia="zh-CN"/>
                    </w:rPr>
                    <w:t>湿酸火炬气1</w:t>
                  </w:r>
                </w:p>
              </w:tc>
              <w:tc>
                <w:tcPr>
                  <w:tcW w:w="2100" w:type="dxa"/>
                  <w:vMerge w:val="restart"/>
                  <w:vAlign w:val="center"/>
                </w:tcPr>
                <w:p w14:paraId="31D754DB">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r>
                    <w:rPr>
                      <w:rFonts w:hint="eastAsia" w:ascii="Times New Roman" w:hAnsi="Times New Roman" w:cs="Times New Roman"/>
                      <w:b w:val="0"/>
                      <w:bCs w:val="0"/>
                      <w:spacing w:val="0"/>
                      <w:sz w:val="21"/>
                      <w:szCs w:val="21"/>
                      <w:highlight w:val="none"/>
                      <w:vertAlign w:val="baseline"/>
                      <w:lang w:val="en-US" w:eastAsia="zh-CN"/>
                    </w:rPr>
                    <w:t>2500</w:t>
                  </w:r>
                  <w:r>
                    <w:rPr>
                      <w:rFonts w:hint="eastAsia" w:cs="Times New Roman"/>
                      <w:b w:val="0"/>
                      <w:bCs w:val="0"/>
                      <w:spacing w:val="0"/>
                      <w:sz w:val="21"/>
                      <w:szCs w:val="21"/>
                      <w:highlight w:val="none"/>
                      <w:vertAlign w:val="baseline"/>
                      <w:lang w:val="en-US" w:eastAsia="zh-CN"/>
                    </w:rPr>
                    <w:t>0</w:t>
                  </w:r>
                </w:p>
              </w:tc>
              <w:tc>
                <w:tcPr>
                  <w:tcW w:w="2099" w:type="dxa"/>
                  <w:vAlign w:val="center"/>
                </w:tcPr>
                <w:p w14:paraId="7BB6FC45">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CO</w:t>
                  </w:r>
                </w:p>
              </w:tc>
              <w:tc>
                <w:tcPr>
                  <w:tcW w:w="2100" w:type="dxa"/>
                  <w:vAlign w:val="center"/>
                </w:tcPr>
                <w:p w14:paraId="4A467BF1">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70.93%</w:t>
                  </w:r>
                </w:p>
              </w:tc>
            </w:tr>
            <w:tr w14:paraId="59ACB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099" w:type="dxa"/>
                  <w:vMerge w:val="continue"/>
                  <w:vAlign w:val="center"/>
                </w:tcPr>
                <w:p w14:paraId="713CA847">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2556E2BB">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64F63509">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CO</w:t>
                  </w:r>
                  <w:r>
                    <w:rPr>
                      <w:rFonts w:hint="default" w:ascii="Times New Roman" w:hAnsi="Times New Roman" w:eastAsia="宋体" w:cs="Times New Roman"/>
                      <w:i w:val="0"/>
                      <w:iCs w:val="0"/>
                      <w:color w:val="000000"/>
                      <w:kern w:val="0"/>
                      <w:sz w:val="20"/>
                      <w:szCs w:val="20"/>
                      <w:highlight w:val="none"/>
                      <w:u w:val="none"/>
                      <w:vertAlign w:val="subscript"/>
                      <w:lang w:val="en-US" w:eastAsia="zh-CN" w:bidi="ar"/>
                    </w:rPr>
                    <w:t>2</w:t>
                  </w:r>
                </w:p>
              </w:tc>
              <w:tc>
                <w:tcPr>
                  <w:tcW w:w="2100" w:type="dxa"/>
                  <w:vAlign w:val="center"/>
                </w:tcPr>
                <w:p w14:paraId="7D351A93">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0.04%</w:t>
                  </w:r>
                </w:p>
              </w:tc>
            </w:tr>
            <w:tr w14:paraId="7B631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099" w:type="dxa"/>
                  <w:vMerge w:val="continue"/>
                  <w:vAlign w:val="center"/>
                </w:tcPr>
                <w:p w14:paraId="0BA03B4B">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4B948D67">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05DA3FD3">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N</w:t>
                  </w:r>
                  <w:r>
                    <w:rPr>
                      <w:rFonts w:hint="default" w:ascii="Times New Roman" w:hAnsi="Times New Roman" w:eastAsia="宋体" w:cs="Times New Roman"/>
                      <w:i w:val="0"/>
                      <w:iCs w:val="0"/>
                      <w:color w:val="000000"/>
                      <w:kern w:val="0"/>
                      <w:sz w:val="20"/>
                      <w:szCs w:val="20"/>
                      <w:highlight w:val="none"/>
                      <w:u w:val="none"/>
                      <w:vertAlign w:val="subscript"/>
                      <w:lang w:val="en-US" w:eastAsia="zh-CN" w:bidi="ar"/>
                    </w:rPr>
                    <w:t>2</w:t>
                  </w:r>
                  <w:r>
                    <w:rPr>
                      <w:rFonts w:hint="default" w:ascii="Times New Roman" w:hAnsi="Times New Roman" w:eastAsia="宋体" w:cs="Times New Roman"/>
                      <w:i w:val="0"/>
                      <w:iCs w:val="0"/>
                      <w:color w:val="000000"/>
                      <w:kern w:val="0"/>
                      <w:sz w:val="20"/>
                      <w:szCs w:val="20"/>
                      <w:highlight w:val="none"/>
                      <w:u w:val="none"/>
                      <w:lang w:val="en-US" w:eastAsia="zh-CN" w:bidi="ar"/>
                    </w:rPr>
                    <w:t>+AR</w:t>
                  </w:r>
                </w:p>
              </w:tc>
              <w:tc>
                <w:tcPr>
                  <w:tcW w:w="2100" w:type="dxa"/>
                  <w:vAlign w:val="center"/>
                </w:tcPr>
                <w:p w14:paraId="3C168FC2">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0.79%</w:t>
                  </w:r>
                </w:p>
              </w:tc>
            </w:tr>
            <w:tr w14:paraId="44154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099" w:type="dxa"/>
                  <w:vMerge w:val="continue"/>
                  <w:vAlign w:val="center"/>
                </w:tcPr>
                <w:p w14:paraId="56F4B50D">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30BCEFE6">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647230A1">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H</w:t>
                  </w:r>
                  <w:r>
                    <w:rPr>
                      <w:rFonts w:hint="default" w:ascii="Times New Roman" w:hAnsi="Times New Roman" w:eastAsia="宋体" w:cs="Times New Roman"/>
                      <w:i w:val="0"/>
                      <w:iCs w:val="0"/>
                      <w:color w:val="000000"/>
                      <w:kern w:val="0"/>
                      <w:sz w:val="20"/>
                      <w:szCs w:val="20"/>
                      <w:highlight w:val="none"/>
                      <w:u w:val="none"/>
                      <w:vertAlign w:val="subscript"/>
                      <w:lang w:val="en-US" w:eastAsia="zh-CN" w:bidi="ar"/>
                    </w:rPr>
                    <w:t>2</w:t>
                  </w:r>
                </w:p>
              </w:tc>
              <w:tc>
                <w:tcPr>
                  <w:tcW w:w="2100" w:type="dxa"/>
                  <w:vAlign w:val="center"/>
                </w:tcPr>
                <w:p w14:paraId="415C5667">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28.18%</w:t>
                  </w:r>
                </w:p>
              </w:tc>
            </w:tr>
            <w:tr w14:paraId="291AA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099" w:type="dxa"/>
                  <w:vMerge w:val="continue"/>
                  <w:vAlign w:val="center"/>
                </w:tcPr>
                <w:p w14:paraId="7635FC74">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5DBA56DF">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73982383">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CH</w:t>
                  </w:r>
                  <w:r>
                    <w:rPr>
                      <w:rFonts w:hint="default" w:ascii="Times New Roman" w:hAnsi="Times New Roman" w:eastAsia="宋体" w:cs="Times New Roman"/>
                      <w:i w:val="0"/>
                      <w:iCs w:val="0"/>
                      <w:color w:val="000000"/>
                      <w:kern w:val="0"/>
                      <w:sz w:val="20"/>
                      <w:szCs w:val="20"/>
                      <w:highlight w:val="none"/>
                      <w:u w:val="none"/>
                      <w:vertAlign w:val="subscript"/>
                      <w:lang w:val="en-US" w:eastAsia="zh-CN" w:bidi="ar"/>
                    </w:rPr>
                    <w:t>4</w:t>
                  </w:r>
                </w:p>
              </w:tc>
              <w:tc>
                <w:tcPr>
                  <w:tcW w:w="2100" w:type="dxa"/>
                  <w:vAlign w:val="center"/>
                </w:tcPr>
                <w:p w14:paraId="704049B7">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0.05%</w:t>
                  </w:r>
                </w:p>
              </w:tc>
            </w:tr>
            <w:tr w14:paraId="6ECF8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099" w:type="dxa"/>
                  <w:vMerge w:val="continue"/>
                  <w:vAlign w:val="center"/>
                </w:tcPr>
                <w:p w14:paraId="0E34C0F1">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6B78B741">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0F243A96">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H</w:t>
                  </w:r>
                  <w:r>
                    <w:rPr>
                      <w:rFonts w:hint="default" w:ascii="Times New Roman" w:hAnsi="Times New Roman" w:eastAsia="宋体" w:cs="Times New Roman"/>
                      <w:i w:val="0"/>
                      <w:iCs w:val="0"/>
                      <w:color w:val="000000"/>
                      <w:kern w:val="0"/>
                      <w:sz w:val="20"/>
                      <w:szCs w:val="20"/>
                      <w:highlight w:val="none"/>
                      <w:u w:val="none"/>
                      <w:vertAlign w:val="subscript"/>
                      <w:lang w:val="en-US" w:eastAsia="zh-CN" w:bidi="ar"/>
                    </w:rPr>
                    <w:t>2</w:t>
                  </w:r>
                  <w:r>
                    <w:rPr>
                      <w:rFonts w:hint="default" w:ascii="Times New Roman" w:hAnsi="Times New Roman" w:eastAsia="宋体" w:cs="Times New Roman"/>
                      <w:i w:val="0"/>
                      <w:iCs w:val="0"/>
                      <w:color w:val="000000"/>
                      <w:kern w:val="0"/>
                      <w:sz w:val="20"/>
                      <w:szCs w:val="20"/>
                      <w:highlight w:val="none"/>
                      <w:u w:val="none"/>
                      <w:lang w:val="en-US" w:eastAsia="zh-CN" w:bidi="ar"/>
                    </w:rPr>
                    <w:t>S</w:t>
                  </w:r>
                </w:p>
              </w:tc>
              <w:tc>
                <w:tcPr>
                  <w:tcW w:w="2100" w:type="dxa"/>
                  <w:vAlign w:val="center"/>
                </w:tcPr>
                <w:p w14:paraId="7498606F">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1500ppm</w:t>
                  </w:r>
                </w:p>
              </w:tc>
            </w:tr>
            <w:tr w14:paraId="7B3B7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2099" w:type="dxa"/>
                  <w:vMerge w:val="restart"/>
                  <w:vAlign w:val="center"/>
                </w:tcPr>
                <w:p w14:paraId="00B94649">
                  <w:pPr>
                    <w:keepNext w:val="0"/>
                    <w:keepLines w:val="0"/>
                    <w:pageBreakBefore w:val="0"/>
                    <w:kinsoku/>
                    <w:wordWrap w:val="0"/>
                    <w:overflowPunct/>
                    <w:topLinePunct w:val="0"/>
                    <w:autoSpaceDE/>
                    <w:autoSpaceDN/>
                    <w:bidi w:val="0"/>
                    <w:adjustRightInd/>
                    <w:snapToGrid/>
                    <w:spacing w:line="360" w:lineRule="auto"/>
                    <w:jc w:val="center"/>
                    <w:rPr>
                      <w:rFonts w:hint="eastAsia" w:ascii="Times New Roman" w:hAnsi="Times New Roman" w:eastAsia="宋体" w:cs="Times New Roman"/>
                      <w:b w:val="0"/>
                      <w:bCs w:val="0"/>
                      <w:spacing w:val="0"/>
                      <w:sz w:val="21"/>
                      <w:szCs w:val="21"/>
                      <w:highlight w:val="none"/>
                      <w:vertAlign w:val="baseline"/>
                      <w:lang w:val="en-US" w:eastAsia="zh-CN"/>
                    </w:rPr>
                  </w:pPr>
                  <w:r>
                    <w:rPr>
                      <w:rFonts w:hint="default" w:ascii="Times New Roman" w:hAnsi="Times New Roman" w:cs="Times New Roman"/>
                      <w:b w:val="0"/>
                      <w:bCs w:val="0"/>
                      <w:spacing w:val="0"/>
                      <w:sz w:val="21"/>
                      <w:szCs w:val="21"/>
                      <w:highlight w:val="none"/>
                      <w:vertAlign w:val="baseline"/>
                      <w:lang w:val="en-US" w:eastAsia="zh-CN"/>
                    </w:rPr>
                    <w:t>酸性气</w:t>
                  </w:r>
                  <w:r>
                    <w:rPr>
                      <w:rFonts w:hint="eastAsia" w:cs="Times New Roman"/>
                      <w:b w:val="0"/>
                      <w:bCs w:val="0"/>
                      <w:spacing w:val="0"/>
                      <w:sz w:val="21"/>
                      <w:szCs w:val="21"/>
                      <w:highlight w:val="none"/>
                      <w:vertAlign w:val="baseline"/>
                      <w:lang w:val="en-US" w:eastAsia="zh-CN"/>
                    </w:rPr>
                    <w:t>体</w:t>
                  </w:r>
                </w:p>
              </w:tc>
              <w:tc>
                <w:tcPr>
                  <w:tcW w:w="2100" w:type="dxa"/>
                  <w:vMerge w:val="restart"/>
                  <w:vAlign w:val="center"/>
                </w:tcPr>
                <w:p w14:paraId="1DB3CA06">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r>
                    <w:rPr>
                      <w:rFonts w:hint="eastAsia" w:ascii="Times New Roman" w:hAnsi="Times New Roman" w:cs="Times New Roman"/>
                      <w:b w:val="0"/>
                      <w:bCs w:val="0"/>
                      <w:spacing w:val="0"/>
                      <w:sz w:val="21"/>
                      <w:szCs w:val="21"/>
                      <w:highlight w:val="none"/>
                      <w:vertAlign w:val="baseline"/>
                      <w:lang w:val="en-US" w:eastAsia="zh-CN"/>
                    </w:rPr>
                    <w:t>1500</w:t>
                  </w:r>
                </w:p>
              </w:tc>
              <w:tc>
                <w:tcPr>
                  <w:tcW w:w="2099" w:type="dxa"/>
                  <w:vAlign w:val="center"/>
                </w:tcPr>
                <w:p w14:paraId="156D4AEF">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水</w:t>
                  </w:r>
                </w:p>
              </w:tc>
              <w:tc>
                <w:tcPr>
                  <w:tcW w:w="2100" w:type="dxa"/>
                  <w:vAlign w:val="center"/>
                </w:tcPr>
                <w:p w14:paraId="6AC54E5F">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3.43</w:t>
                  </w:r>
                </w:p>
              </w:tc>
            </w:tr>
            <w:tr w14:paraId="02B4E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099" w:type="dxa"/>
                  <w:vMerge w:val="continue"/>
                  <w:vAlign w:val="center"/>
                </w:tcPr>
                <w:p w14:paraId="65024BA8">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01664E54">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4E73C180">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CO</w:t>
                  </w:r>
                  <w:r>
                    <w:rPr>
                      <w:rFonts w:hint="default" w:ascii="Times New Roman" w:hAnsi="Times New Roman" w:eastAsia="宋体" w:cs="Times New Roman"/>
                      <w:i w:val="0"/>
                      <w:iCs w:val="0"/>
                      <w:color w:val="000000"/>
                      <w:kern w:val="0"/>
                      <w:sz w:val="20"/>
                      <w:szCs w:val="20"/>
                      <w:highlight w:val="none"/>
                      <w:u w:val="none"/>
                      <w:vertAlign w:val="subscript"/>
                      <w:lang w:val="en-US" w:eastAsia="zh-CN" w:bidi="ar"/>
                    </w:rPr>
                    <w:t>2</w:t>
                  </w:r>
                </w:p>
              </w:tc>
              <w:tc>
                <w:tcPr>
                  <w:tcW w:w="2100" w:type="dxa"/>
                  <w:vAlign w:val="center"/>
                </w:tcPr>
                <w:p w14:paraId="0EF5DB68">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95</w:t>
                  </w:r>
                </w:p>
              </w:tc>
            </w:tr>
            <w:tr w14:paraId="27FB9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099" w:type="dxa"/>
                  <w:vMerge w:val="continue"/>
                  <w:vAlign w:val="center"/>
                </w:tcPr>
                <w:p w14:paraId="193E50B4">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7E413B28">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2FDC0057">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H</w:t>
                  </w:r>
                  <w:r>
                    <w:rPr>
                      <w:rFonts w:hint="default" w:ascii="Times New Roman" w:hAnsi="Times New Roman" w:eastAsia="宋体" w:cs="Times New Roman"/>
                      <w:i w:val="0"/>
                      <w:iCs w:val="0"/>
                      <w:color w:val="000000"/>
                      <w:kern w:val="0"/>
                      <w:sz w:val="20"/>
                      <w:szCs w:val="20"/>
                      <w:highlight w:val="none"/>
                      <w:u w:val="none"/>
                      <w:vertAlign w:val="subscript"/>
                      <w:lang w:val="en-US" w:eastAsia="zh-CN" w:bidi="ar"/>
                    </w:rPr>
                    <w:t>2</w:t>
                  </w:r>
                  <w:r>
                    <w:rPr>
                      <w:rFonts w:hint="default" w:ascii="Times New Roman" w:hAnsi="Times New Roman" w:eastAsia="宋体" w:cs="Times New Roman"/>
                      <w:i w:val="0"/>
                      <w:iCs w:val="0"/>
                      <w:color w:val="000000"/>
                      <w:kern w:val="0"/>
                      <w:sz w:val="20"/>
                      <w:szCs w:val="20"/>
                      <w:highlight w:val="none"/>
                      <w:u w:val="none"/>
                      <w:lang w:val="en-US" w:eastAsia="zh-CN" w:bidi="ar"/>
                    </w:rPr>
                    <w:t>S</w:t>
                  </w:r>
                </w:p>
              </w:tc>
              <w:tc>
                <w:tcPr>
                  <w:tcW w:w="2100" w:type="dxa"/>
                  <w:vAlign w:val="center"/>
                </w:tcPr>
                <w:p w14:paraId="3A1C133C">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1.36</w:t>
                  </w:r>
                </w:p>
              </w:tc>
            </w:tr>
            <w:tr w14:paraId="4A0C0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099" w:type="dxa"/>
                  <w:vMerge w:val="continue"/>
                  <w:vAlign w:val="center"/>
                </w:tcPr>
                <w:p w14:paraId="54B7A843">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02708D0E">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3E7CE3D5">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H</w:t>
                  </w:r>
                  <w:r>
                    <w:rPr>
                      <w:rFonts w:hint="default" w:ascii="Times New Roman" w:hAnsi="Times New Roman" w:eastAsia="宋体" w:cs="Times New Roman"/>
                      <w:i w:val="0"/>
                      <w:iCs w:val="0"/>
                      <w:color w:val="000000"/>
                      <w:kern w:val="0"/>
                      <w:sz w:val="20"/>
                      <w:szCs w:val="20"/>
                      <w:highlight w:val="none"/>
                      <w:u w:val="none"/>
                      <w:vertAlign w:val="subscript"/>
                      <w:lang w:val="en-US" w:eastAsia="zh-CN" w:bidi="ar"/>
                    </w:rPr>
                    <w:t>2</w:t>
                  </w:r>
                </w:p>
              </w:tc>
              <w:tc>
                <w:tcPr>
                  <w:tcW w:w="2100" w:type="dxa"/>
                  <w:vAlign w:val="center"/>
                </w:tcPr>
                <w:p w14:paraId="75682279">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0.08</w:t>
                  </w:r>
                </w:p>
              </w:tc>
            </w:tr>
            <w:tr w14:paraId="709F3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099" w:type="dxa"/>
                  <w:vMerge w:val="continue"/>
                  <w:vAlign w:val="center"/>
                </w:tcPr>
                <w:p w14:paraId="14946012">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7DCC8FB0">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312165FC">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CH</w:t>
                  </w:r>
                  <w:r>
                    <w:rPr>
                      <w:rFonts w:hint="default" w:ascii="Times New Roman" w:hAnsi="Times New Roman" w:eastAsia="宋体" w:cs="Times New Roman"/>
                      <w:i w:val="0"/>
                      <w:iCs w:val="0"/>
                      <w:color w:val="000000"/>
                      <w:kern w:val="0"/>
                      <w:sz w:val="20"/>
                      <w:szCs w:val="20"/>
                      <w:highlight w:val="none"/>
                      <w:u w:val="none"/>
                      <w:vertAlign w:val="subscript"/>
                      <w:lang w:val="en-US" w:eastAsia="zh-CN" w:bidi="ar"/>
                    </w:rPr>
                    <w:t>4</w:t>
                  </w:r>
                </w:p>
              </w:tc>
              <w:tc>
                <w:tcPr>
                  <w:tcW w:w="2100" w:type="dxa"/>
                  <w:vAlign w:val="center"/>
                </w:tcPr>
                <w:p w14:paraId="7F61FA19">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0.1</w:t>
                  </w:r>
                </w:p>
              </w:tc>
            </w:tr>
            <w:tr w14:paraId="1D8AB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099" w:type="dxa"/>
                  <w:vMerge w:val="continue"/>
                  <w:vAlign w:val="center"/>
                </w:tcPr>
                <w:p w14:paraId="7B9E5FC0">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10F6D25E">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00C2CA45">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N</w:t>
                  </w:r>
                  <w:r>
                    <w:rPr>
                      <w:rFonts w:hint="default" w:ascii="Times New Roman" w:hAnsi="Times New Roman" w:eastAsia="宋体" w:cs="Times New Roman"/>
                      <w:i w:val="0"/>
                      <w:iCs w:val="0"/>
                      <w:color w:val="000000"/>
                      <w:kern w:val="0"/>
                      <w:sz w:val="20"/>
                      <w:szCs w:val="20"/>
                      <w:highlight w:val="none"/>
                      <w:u w:val="none"/>
                      <w:vertAlign w:val="subscript"/>
                      <w:lang w:val="en-US" w:eastAsia="zh-CN" w:bidi="ar"/>
                    </w:rPr>
                    <w:t>2</w:t>
                  </w:r>
                </w:p>
              </w:tc>
              <w:tc>
                <w:tcPr>
                  <w:tcW w:w="2100" w:type="dxa"/>
                  <w:vAlign w:val="center"/>
                </w:tcPr>
                <w:p w14:paraId="02C8CF4C">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0.03</w:t>
                  </w:r>
                </w:p>
              </w:tc>
            </w:tr>
            <w:tr w14:paraId="06659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099" w:type="dxa"/>
                  <w:vMerge w:val="restart"/>
                  <w:vAlign w:val="center"/>
                </w:tcPr>
                <w:p w14:paraId="19160801">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r>
                    <w:rPr>
                      <w:rFonts w:hint="eastAsia" w:ascii="Times New Roman" w:hAnsi="Times New Roman" w:cs="Times New Roman"/>
                      <w:b w:val="0"/>
                      <w:bCs w:val="0"/>
                      <w:spacing w:val="0"/>
                      <w:sz w:val="21"/>
                      <w:szCs w:val="21"/>
                      <w:highlight w:val="none"/>
                      <w:vertAlign w:val="baseline"/>
                      <w:lang w:val="en-US" w:eastAsia="zh-CN"/>
                    </w:rPr>
                    <w:t>尾气</w:t>
                  </w:r>
                </w:p>
              </w:tc>
              <w:tc>
                <w:tcPr>
                  <w:tcW w:w="2100" w:type="dxa"/>
                  <w:vMerge w:val="restart"/>
                  <w:vAlign w:val="center"/>
                </w:tcPr>
                <w:p w14:paraId="31ABBED7">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r>
                    <w:rPr>
                      <w:rFonts w:hint="eastAsia" w:ascii="Times New Roman" w:hAnsi="Times New Roman" w:cs="Times New Roman"/>
                      <w:b w:val="0"/>
                      <w:bCs w:val="0"/>
                      <w:spacing w:val="0"/>
                      <w:sz w:val="21"/>
                      <w:szCs w:val="21"/>
                      <w:highlight w:val="none"/>
                      <w:vertAlign w:val="baseline"/>
                      <w:lang w:val="en-US" w:eastAsia="zh-CN"/>
                    </w:rPr>
                    <w:t>14324</w:t>
                  </w:r>
                </w:p>
              </w:tc>
              <w:tc>
                <w:tcPr>
                  <w:tcW w:w="2099" w:type="dxa"/>
                  <w:vAlign w:val="center"/>
                </w:tcPr>
                <w:p w14:paraId="130A975E">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CO</w:t>
                  </w:r>
                </w:p>
              </w:tc>
              <w:tc>
                <w:tcPr>
                  <w:tcW w:w="2100" w:type="dxa"/>
                  <w:vAlign w:val="center"/>
                </w:tcPr>
                <w:p w14:paraId="7CB6F027">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0.00%</w:t>
                  </w:r>
                </w:p>
              </w:tc>
            </w:tr>
            <w:tr w14:paraId="309CA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099" w:type="dxa"/>
                  <w:vMerge w:val="continue"/>
                  <w:vAlign w:val="center"/>
                </w:tcPr>
                <w:p w14:paraId="16788E18">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2E774393">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4A20F57F">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CO</w:t>
                  </w:r>
                  <w:r>
                    <w:rPr>
                      <w:rFonts w:hint="default" w:ascii="Times New Roman" w:hAnsi="Times New Roman" w:eastAsia="宋体" w:cs="Times New Roman"/>
                      <w:i w:val="0"/>
                      <w:iCs w:val="0"/>
                      <w:color w:val="000000"/>
                      <w:kern w:val="0"/>
                      <w:sz w:val="20"/>
                      <w:szCs w:val="20"/>
                      <w:highlight w:val="none"/>
                      <w:u w:val="none"/>
                      <w:vertAlign w:val="subscript"/>
                      <w:lang w:val="en-US" w:eastAsia="zh-CN" w:bidi="ar"/>
                    </w:rPr>
                    <w:t>2</w:t>
                  </w:r>
                </w:p>
              </w:tc>
              <w:tc>
                <w:tcPr>
                  <w:tcW w:w="2100" w:type="dxa"/>
                  <w:vAlign w:val="center"/>
                </w:tcPr>
                <w:p w14:paraId="4F2E8887">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20.83%</w:t>
                  </w:r>
                </w:p>
              </w:tc>
            </w:tr>
            <w:tr w14:paraId="0E1CA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099" w:type="dxa"/>
                  <w:vMerge w:val="continue"/>
                  <w:vAlign w:val="center"/>
                </w:tcPr>
                <w:p w14:paraId="20211FFE">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4069EA81">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7354AE4D">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N2</w:t>
                  </w:r>
                </w:p>
              </w:tc>
              <w:tc>
                <w:tcPr>
                  <w:tcW w:w="2100" w:type="dxa"/>
                  <w:vAlign w:val="center"/>
                </w:tcPr>
                <w:p w14:paraId="763C67FE">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17.34%</w:t>
                  </w:r>
                </w:p>
              </w:tc>
            </w:tr>
            <w:tr w14:paraId="1BEA7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099" w:type="dxa"/>
                  <w:vMerge w:val="continue"/>
                  <w:vAlign w:val="center"/>
                </w:tcPr>
                <w:p w14:paraId="31DF1CE2">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378F27B9">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5D83FF80">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AR</w:t>
                  </w:r>
                </w:p>
              </w:tc>
              <w:tc>
                <w:tcPr>
                  <w:tcW w:w="2100" w:type="dxa"/>
                  <w:vAlign w:val="center"/>
                </w:tcPr>
                <w:p w14:paraId="048A0DEE">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2.62%</w:t>
                  </w:r>
                </w:p>
              </w:tc>
            </w:tr>
            <w:tr w14:paraId="7FE63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099" w:type="dxa"/>
                  <w:vMerge w:val="continue"/>
                  <w:vAlign w:val="center"/>
                </w:tcPr>
                <w:p w14:paraId="60432146">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4B2928A0">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42988809">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WATER</w:t>
                  </w:r>
                </w:p>
              </w:tc>
              <w:tc>
                <w:tcPr>
                  <w:tcW w:w="2100" w:type="dxa"/>
                  <w:vAlign w:val="center"/>
                </w:tcPr>
                <w:p w14:paraId="7AF10521">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0.00%</w:t>
                  </w:r>
                </w:p>
              </w:tc>
            </w:tr>
            <w:tr w14:paraId="5E7C7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099" w:type="dxa"/>
                  <w:vMerge w:val="continue"/>
                  <w:vAlign w:val="center"/>
                </w:tcPr>
                <w:p w14:paraId="54FC7C77">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72E2604D">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71B94628">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H</w:t>
                  </w:r>
                  <w:r>
                    <w:rPr>
                      <w:rFonts w:hint="default" w:ascii="Times New Roman" w:hAnsi="Times New Roman" w:eastAsia="宋体" w:cs="Times New Roman"/>
                      <w:i w:val="0"/>
                      <w:iCs w:val="0"/>
                      <w:color w:val="000000"/>
                      <w:kern w:val="0"/>
                      <w:sz w:val="20"/>
                      <w:szCs w:val="20"/>
                      <w:highlight w:val="none"/>
                      <w:u w:val="none"/>
                      <w:vertAlign w:val="subscript"/>
                      <w:lang w:val="en-US" w:eastAsia="zh-CN" w:bidi="ar"/>
                    </w:rPr>
                    <w:t>2</w:t>
                  </w:r>
                </w:p>
              </w:tc>
              <w:tc>
                <w:tcPr>
                  <w:tcW w:w="2100" w:type="dxa"/>
                  <w:vAlign w:val="center"/>
                </w:tcPr>
                <w:p w14:paraId="27A6BD86">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35.52%</w:t>
                  </w:r>
                </w:p>
              </w:tc>
            </w:tr>
            <w:tr w14:paraId="3DC40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099" w:type="dxa"/>
                  <w:vMerge w:val="continue"/>
                  <w:vAlign w:val="center"/>
                </w:tcPr>
                <w:p w14:paraId="3A0D7ABB">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2F584652">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15818DD6">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ETHANOL</w:t>
                  </w:r>
                </w:p>
              </w:tc>
              <w:tc>
                <w:tcPr>
                  <w:tcW w:w="2100" w:type="dxa"/>
                  <w:vAlign w:val="center"/>
                </w:tcPr>
                <w:p w14:paraId="0BB6FF6C">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0.00%</w:t>
                  </w:r>
                </w:p>
              </w:tc>
            </w:tr>
            <w:tr w14:paraId="510D1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099" w:type="dxa"/>
                  <w:vMerge w:val="continue"/>
                  <w:vAlign w:val="center"/>
                </w:tcPr>
                <w:p w14:paraId="1678C1A8">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76D976D6">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02141AEE">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CH</w:t>
                  </w:r>
                  <w:r>
                    <w:rPr>
                      <w:rFonts w:hint="default" w:ascii="Times New Roman" w:hAnsi="Times New Roman" w:eastAsia="宋体" w:cs="Times New Roman"/>
                      <w:i w:val="0"/>
                      <w:iCs w:val="0"/>
                      <w:color w:val="000000"/>
                      <w:kern w:val="0"/>
                      <w:sz w:val="20"/>
                      <w:szCs w:val="20"/>
                      <w:highlight w:val="none"/>
                      <w:u w:val="none"/>
                      <w:vertAlign w:val="subscript"/>
                      <w:lang w:val="en-US" w:eastAsia="zh-CN" w:bidi="ar"/>
                    </w:rPr>
                    <w:t>4</w:t>
                  </w:r>
                </w:p>
              </w:tc>
              <w:tc>
                <w:tcPr>
                  <w:tcW w:w="2100" w:type="dxa"/>
                  <w:vAlign w:val="center"/>
                </w:tcPr>
                <w:p w14:paraId="0EA0BC71">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23.69%</w:t>
                  </w:r>
                </w:p>
              </w:tc>
            </w:tr>
            <w:tr w14:paraId="6ABB4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099" w:type="dxa"/>
                  <w:vMerge w:val="restart"/>
                  <w:vAlign w:val="center"/>
                </w:tcPr>
                <w:p w14:paraId="0C81B881">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r>
                    <w:rPr>
                      <w:rFonts w:hint="eastAsia" w:ascii="Times New Roman" w:hAnsi="Times New Roman" w:cs="Times New Roman"/>
                      <w:b w:val="0"/>
                      <w:bCs w:val="0"/>
                      <w:spacing w:val="0"/>
                      <w:sz w:val="21"/>
                      <w:szCs w:val="21"/>
                      <w:highlight w:val="none"/>
                      <w:vertAlign w:val="baseline"/>
                      <w:lang w:val="en-US" w:eastAsia="zh-CN"/>
                    </w:rPr>
                    <w:t>富甲烷气</w:t>
                  </w:r>
                </w:p>
              </w:tc>
              <w:tc>
                <w:tcPr>
                  <w:tcW w:w="2100" w:type="dxa"/>
                  <w:vMerge w:val="restart"/>
                  <w:vAlign w:val="center"/>
                </w:tcPr>
                <w:p w14:paraId="435BC925">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r>
                    <w:rPr>
                      <w:rFonts w:hint="eastAsia" w:ascii="Times New Roman" w:hAnsi="Times New Roman" w:cs="Times New Roman"/>
                      <w:b w:val="0"/>
                      <w:bCs w:val="0"/>
                      <w:spacing w:val="0"/>
                      <w:sz w:val="21"/>
                      <w:szCs w:val="21"/>
                      <w:highlight w:val="none"/>
                      <w:vertAlign w:val="baseline"/>
                      <w:lang w:val="en-US" w:eastAsia="zh-CN"/>
                    </w:rPr>
                    <w:t>3000</w:t>
                  </w:r>
                  <w:r>
                    <w:rPr>
                      <w:rFonts w:hint="eastAsia" w:cs="Times New Roman"/>
                      <w:b w:val="0"/>
                      <w:bCs w:val="0"/>
                      <w:spacing w:val="0"/>
                      <w:sz w:val="21"/>
                      <w:szCs w:val="21"/>
                      <w:highlight w:val="none"/>
                      <w:vertAlign w:val="baseline"/>
                      <w:lang w:val="en-US" w:eastAsia="zh-CN"/>
                    </w:rPr>
                    <w:t>0</w:t>
                  </w:r>
                </w:p>
              </w:tc>
              <w:tc>
                <w:tcPr>
                  <w:tcW w:w="2099" w:type="dxa"/>
                  <w:vAlign w:val="center"/>
                </w:tcPr>
                <w:p w14:paraId="5A78319D">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H</w:t>
                  </w:r>
                  <w:r>
                    <w:rPr>
                      <w:rFonts w:hint="default" w:ascii="Times New Roman" w:hAnsi="Times New Roman" w:eastAsia="宋体" w:cs="Times New Roman"/>
                      <w:i w:val="0"/>
                      <w:iCs w:val="0"/>
                      <w:color w:val="000000"/>
                      <w:kern w:val="0"/>
                      <w:sz w:val="20"/>
                      <w:szCs w:val="20"/>
                      <w:highlight w:val="none"/>
                      <w:u w:val="none"/>
                      <w:vertAlign w:val="subscript"/>
                      <w:lang w:val="en-US" w:eastAsia="zh-CN" w:bidi="ar"/>
                    </w:rPr>
                    <w:t>2</w:t>
                  </w:r>
                  <w:r>
                    <w:rPr>
                      <w:rFonts w:hint="default" w:ascii="Times New Roman" w:hAnsi="Times New Roman" w:eastAsia="宋体" w:cs="Times New Roman"/>
                      <w:i w:val="0"/>
                      <w:iCs w:val="0"/>
                      <w:color w:val="000000"/>
                      <w:kern w:val="0"/>
                      <w:sz w:val="20"/>
                      <w:szCs w:val="20"/>
                      <w:highlight w:val="none"/>
                      <w:u w:val="none"/>
                      <w:lang w:val="en-US" w:eastAsia="zh-CN" w:bidi="ar"/>
                    </w:rPr>
                    <w:t>O</w:t>
                  </w:r>
                </w:p>
              </w:tc>
              <w:tc>
                <w:tcPr>
                  <w:tcW w:w="2100" w:type="dxa"/>
                  <w:vAlign w:val="center"/>
                </w:tcPr>
                <w:p w14:paraId="231EC43D">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0.5</w:t>
                  </w:r>
                </w:p>
              </w:tc>
            </w:tr>
            <w:tr w14:paraId="1CEB5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099" w:type="dxa"/>
                  <w:vMerge w:val="continue"/>
                  <w:vAlign w:val="center"/>
                </w:tcPr>
                <w:p w14:paraId="39399760">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62B98A74">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262C65BA">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CO</w:t>
                  </w:r>
                </w:p>
              </w:tc>
              <w:tc>
                <w:tcPr>
                  <w:tcW w:w="2100" w:type="dxa"/>
                  <w:vAlign w:val="center"/>
                </w:tcPr>
                <w:p w14:paraId="4AC56174">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6.04</w:t>
                  </w:r>
                </w:p>
              </w:tc>
            </w:tr>
            <w:tr w14:paraId="5EF6B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099" w:type="dxa"/>
                  <w:vMerge w:val="continue"/>
                  <w:vAlign w:val="center"/>
                </w:tcPr>
                <w:p w14:paraId="3444D48C">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6664D00A">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6BF6B0FF">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H</w:t>
                  </w:r>
                  <w:r>
                    <w:rPr>
                      <w:rFonts w:hint="default" w:ascii="Times New Roman" w:hAnsi="Times New Roman" w:eastAsia="宋体" w:cs="Times New Roman"/>
                      <w:i w:val="0"/>
                      <w:iCs w:val="0"/>
                      <w:color w:val="000000"/>
                      <w:kern w:val="0"/>
                      <w:sz w:val="20"/>
                      <w:szCs w:val="20"/>
                      <w:highlight w:val="none"/>
                      <w:u w:val="none"/>
                      <w:vertAlign w:val="subscript"/>
                      <w:lang w:val="en-US" w:eastAsia="zh-CN" w:bidi="ar"/>
                    </w:rPr>
                    <w:t>2</w:t>
                  </w:r>
                </w:p>
              </w:tc>
              <w:tc>
                <w:tcPr>
                  <w:tcW w:w="2100" w:type="dxa"/>
                  <w:vAlign w:val="center"/>
                </w:tcPr>
                <w:p w14:paraId="1B91EEFB">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25.05</w:t>
                  </w:r>
                </w:p>
              </w:tc>
            </w:tr>
            <w:tr w14:paraId="5336C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099" w:type="dxa"/>
                  <w:vMerge w:val="continue"/>
                  <w:vAlign w:val="center"/>
                </w:tcPr>
                <w:p w14:paraId="17677850">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4BD120B8">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0FE01D4D">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CO</w:t>
                  </w:r>
                  <w:r>
                    <w:rPr>
                      <w:rFonts w:hint="default" w:ascii="Times New Roman" w:hAnsi="Times New Roman" w:eastAsia="宋体" w:cs="Times New Roman"/>
                      <w:i w:val="0"/>
                      <w:iCs w:val="0"/>
                      <w:color w:val="000000"/>
                      <w:kern w:val="0"/>
                      <w:sz w:val="20"/>
                      <w:szCs w:val="20"/>
                      <w:highlight w:val="none"/>
                      <w:u w:val="none"/>
                      <w:vertAlign w:val="subscript"/>
                      <w:lang w:val="en-US" w:eastAsia="zh-CN" w:bidi="ar"/>
                    </w:rPr>
                    <w:t>2</w:t>
                  </w:r>
                </w:p>
              </w:tc>
              <w:tc>
                <w:tcPr>
                  <w:tcW w:w="2100" w:type="dxa"/>
                  <w:vAlign w:val="center"/>
                </w:tcPr>
                <w:p w14:paraId="533EFCA4">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67.48</w:t>
                  </w:r>
                </w:p>
              </w:tc>
            </w:tr>
            <w:tr w14:paraId="7C2CC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099" w:type="dxa"/>
                  <w:vMerge w:val="continue"/>
                  <w:vAlign w:val="center"/>
                </w:tcPr>
                <w:p w14:paraId="4A7164E5">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448C94C5">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7BD80701">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CH</w:t>
                  </w:r>
                  <w:r>
                    <w:rPr>
                      <w:rFonts w:hint="default" w:ascii="Times New Roman" w:hAnsi="Times New Roman" w:eastAsia="宋体" w:cs="Times New Roman"/>
                      <w:i w:val="0"/>
                      <w:iCs w:val="0"/>
                      <w:color w:val="000000"/>
                      <w:kern w:val="0"/>
                      <w:sz w:val="20"/>
                      <w:szCs w:val="20"/>
                      <w:highlight w:val="none"/>
                      <w:u w:val="none"/>
                      <w:vertAlign w:val="subscript"/>
                      <w:lang w:val="en-US" w:eastAsia="zh-CN" w:bidi="ar"/>
                    </w:rPr>
                    <w:t>4</w:t>
                  </w:r>
                </w:p>
              </w:tc>
              <w:tc>
                <w:tcPr>
                  <w:tcW w:w="2100" w:type="dxa"/>
                  <w:vAlign w:val="center"/>
                </w:tcPr>
                <w:p w14:paraId="482A0270">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0.09</w:t>
                  </w:r>
                </w:p>
              </w:tc>
            </w:tr>
            <w:tr w14:paraId="7842B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099" w:type="dxa"/>
                  <w:vMerge w:val="continue"/>
                  <w:vAlign w:val="center"/>
                </w:tcPr>
                <w:p w14:paraId="51335E63">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0CE6D0AE">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7C5751C3">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N</w:t>
                  </w:r>
                  <w:r>
                    <w:rPr>
                      <w:rFonts w:hint="default" w:ascii="Times New Roman" w:hAnsi="Times New Roman" w:eastAsia="宋体" w:cs="Times New Roman"/>
                      <w:i w:val="0"/>
                      <w:iCs w:val="0"/>
                      <w:color w:val="000000"/>
                      <w:kern w:val="0"/>
                      <w:sz w:val="20"/>
                      <w:szCs w:val="20"/>
                      <w:highlight w:val="none"/>
                      <w:u w:val="none"/>
                      <w:vertAlign w:val="subscript"/>
                      <w:lang w:val="en-US" w:eastAsia="zh-CN" w:bidi="ar"/>
                    </w:rPr>
                    <w:t>2</w:t>
                  </w:r>
                </w:p>
              </w:tc>
              <w:tc>
                <w:tcPr>
                  <w:tcW w:w="2100" w:type="dxa"/>
                  <w:vAlign w:val="center"/>
                </w:tcPr>
                <w:p w14:paraId="450502B8">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1.325</w:t>
                  </w:r>
                </w:p>
              </w:tc>
            </w:tr>
            <w:tr w14:paraId="288C5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099" w:type="dxa"/>
                  <w:vMerge w:val="continue"/>
                  <w:vAlign w:val="center"/>
                </w:tcPr>
                <w:p w14:paraId="258D912D">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142041C4">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398280AE">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H</w:t>
                  </w:r>
                  <w:r>
                    <w:rPr>
                      <w:rFonts w:hint="default" w:ascii="Times New Roman" w:hAnsi="Times New Roman" w:eastAsia="宋体" w:cs="Times New Roman"/>
                      <w:i w:val="0"/>
                      <w:iCs w:val="0"/>
                      <w:color w:val="000000"/>
                      <w:kern w:val="0"/>
                      <w:sz w:val="20"/>
                      <w:szCs w:val="20"/>
                      <w:highlight w:val="none"/>
                      <w:u w:val="none"/>
                      <w:vertAlign w:val="subscript"/>
                      <w:lang w:val="en-US" w:eastAsia="zh-CN" w:bidi="ar"/>
                    </w:rPr>
                    <w:t>2</w:t>
                  </w:r>
                  <w:r>
                    <w:rPr>
                      <w:rFonts w:hint="default" w:ascii="Times New Roman" w:hAnsi="Times New Roman" w:eastAsia="宋体" w:cs="Times New Roman"/>
                      <w:i w:val="0"/>
                      <w:iCs w:val="0"/>
                      <w:color w:val="000000"/>
                      <w:kern w:val="0"/>
                      <w:sz w:val="20"/>
                      <w:szCs w:val="20"/>
                      <w:highlight w:val="none"/>
                      <w:u w:val="none"/>
                      <w:lang w:val="en-US" w:eastAsia="zh-CN" w:bidi="ar"/>
                    </w:rPr>
                    <w:t>S</w:t>
                  </w:r>
                </w:p>
              </w:tc>
              <w:tc>
                <w:tcPr>
                  <w:tcW w:w="2100" w:type="dxa"/>
                  <w:vAlign w:val="center"/>
                </w:tcPr>
                <w:p w14:paraId="32BDB9F2">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0.015</w:t>
                  </w:r>
                </w:p>
              </w:tc>
            </w:tr>
            <w:tr w14:paraId="1EF7B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099" w:type="dxa"/>
                  <w:vMerge w:val="continue"/>
                  <w:vAlign w:val="center"/>
                </w:tcPr>
                <w:p w14:paraId="2040CB1A">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587133C3">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231E0C32">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CH</w:t>
                  </w:r>
                  <w:r>
                    <w:rPr>
                      <w:rFonts w:hint="default" w:ascii="Times New Roman" w:hAnsi="Times New Roman" w:eastAsia="宋体" w:cs="Times New Roman"/>
                      <w:i w:val="0"/>
                      <w:iCs w:val="0"/>
                      <w:color w:val="000000"/>
                      <w:kern w:val="0"/>
                      <w:sz w:val="20"/>
                      <w:szCs w:val="20"/>
                      <w:highlight w:val="none"/>
                      <w:u w:val="none"/>
                      <w:vertAlign w:val="subscript"/>
                      <w:lang w:val="en-US" w:eastAsia="zh-CN" w:bidi="ar"/>
                    </w:rPr>
                    <w:t>3</w:t>
                  </w:r>
                  <w:r>
                    <w:rPr>
                      <w:rFonts w:hint="default" w:ascii="Times New Roman" w:hAnsi="Times New Roman" w:eastAsia="宋体" w:cs="Times New Roman"/>
                      <w:i w:val="0"/>
                      <w:iCs w:val="0"/>
                      <w:color w:val="000000"/>
                      <w:kern w:val="0"/>
                      <w:sz w:val="20"/>
                      <w:szCs w:val="20"/>
                      <w:highlight w:val="none"/>
                      <w:u w:val="none"/>
                      <w:lang w:val="en-US" w:eastAsia="zh-CN" w:bidi="ar"/>
                    </w:rPr>
                    <w:t>CH</w:t>
                  </w:r>
                  <w:r>
                    <w:rPr>
                      <w:rFonts w:hint="default" w:ascii="Times New Roman" w:hAnsi="Times New Roman" w:eastAsia="宋体" w:cs="Times New Roman"/>
                      <w:i w:val="0"/>
                      <w:iCs w:val="0"/>
                      <w:color w:val="000000"/>
                      <w:kern w:val="0"/>
                      <w:sz w:val="20"/>
                      <w:szCs w:val="20"/>
                      <w:highlight w:val="none"/>
                      <w:u w:val="none"/>
                      <w:vertAlign w:val="subscript"/>
                      <w:lang w:val="en-US" w:eastAsia="zh-CN" w:bidi="ar"/>
                    </w:rPr>
                    <w:t>2</w:t>
                  </w:r>
                  <w:r>
                    <w:rPr>
                      <w:rFonts w:hint="eastAsia" w:cs="Times New Roman"/>
                      <w:i w:val="0"/>
                      <w:iCs w:val="0"/>
                      <w:color w:val="000000"/>
                      <w:kern w:val="0"/>
                      <w:sz w:val="20"/>
                      <w:szCs w:val="20"/>
                      <w:highlight w:val="none"/>
                      <w:u w:val="none"/>
                      <w:lang w:val="en-US" w:eastAsia="zh-CN" w:bidi="ar"/>
                    </w:rPr>
                    <w:t>O</w:t>
                  </w:r>
                  <w:r>
                    <w:rPr>
                      <w:rFonts w:hint="default" w:ascii="Times New Roman" w:hAnsi="Times New Roman" w:eastAsia="宋体" w:cs="Times New Roman"/>
                      <w:i w:val="0"/>
                      <w:iCs w:val="0"/>
                      <w:color w:val="000000"/>
                      <w:kern w:val="0"/>
                      <w:sz w:val="20"/>
                      <w:szCs w:val="20"/>
                      <w:highlight w:val="none"/>
                      <w:u w:val="none"/>
                      <w:lang w:val="en-US" w:eastAsia="zh-CN" w:bidi="ar"/>
                    </w:rPr>
                    <w:t>H</w:t>
                  </w:r>
                </w:p>
              </w:tc>
              <w:tc>
                <w:tcPr>
                  <w:tcW w:w="2100" w:type="dxa"/>
                  <w:vAlign w:val="center"/>
                </w:tcPr>
                <w:p w14:paraId="3BD1E2D8">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0.1</w:t>
                  </w:r>
                </w:p>
              </w:tc>
            </w:tr>
            <w:tr w14:paraId="6092E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2099" w:type="dxa"/>
                  <w:vMerge w:val="restart"/>
                  <w:vAlign w:val="center"/>
                </w:tcPr>
                <w:p w14:paraId="7682B949">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r>
                    <w:rPr>
                      <w:rFonts w:hint="eastAsia" w:ascii="Times New Roman" w:hAnsi="Times New Roman" w:cs="Times New Roman"/>
                      <w:b w:val="0"/>
                      <w:bCs w:val="0"/>
                      <w:spacing w:val="0"/>
                      <w:sz w:val="21"/>
                      <w:szCs w:val="21"/>
                      <w:highlight w:val="none"/>
                      <w:vertAlign w:val="baseline"/>
                      <w:lang w:val="en-US" w:eastAsia="zh-CN"/>
                    </w:rPr>
                    <w:t>真空尾气</w:t>
                  </w:r>
                </w:p>
              </w:tc>
              <w:tc>
                <w:tcPr>
                  <w:tcW w:w="2100" w:type="dxa"/>
                  <w:vMerge w:val="restart"/>
                  <w:vAlign w:val="center"/>
                </w:tcPr>
                <w:p w14:paraId="6C0B0467">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r>
                    <w:rPr>
                      <w:rFonts w:hint="eastAsia" w:ascii="Times New Roman" w:hAnsi="Times New Roman" w:cs="Times New Roman"/>
                      <w:b w:val="0"/>
                      <w:bCs w:val="0"/>
                      <w:spacing w:val="0"/>
                      <w:sz w:val="21"/>
                      <w:szCs w:val="21"/>
                      <w:highlight w:val="none"/>
                      <w:vertAlign w:val="baseline"/>
                      <w:lang w:val="en-US" w:eastAsia="zh-CN"/>
                    </w:rPr>
                    <w:t>660</w:t>
                  </w:r>
                </w:p>
              </w:tc>
              <w:tc>
                <w:tcPr>
                  <w:tcW w:w="2099" w:type="dxa"/>
                  <w:vAlign w:val="center"/>
                </w:tcPr>
                <w:p w14:paraId="5DCA5A84">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乙醇</w:t>
                  </w:r>
                </w:p>
              </w:tc>
              <w:tc>
                <w:tcPr>
                  <w:tcW w:w="2100" w:type="dxa"/>
                  <w:vAlign w:val="center"/>
                </w:tcPr>
                <w:p w14:paraId="212A8836">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6.41</w:t>
                  </w:r>
                </w:p>
              </w:tc>
            </w:tr>
            <w:tr w14:paraId="17C3B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2099" w:type="dxa"/>
                  <w:vMerge w:val="continue"/>
                  <w:vAlign w:val="center"/>
                </w:tcPr>
                <w:p w14:paraId="2D7E033E">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5DBBD1F1">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661C82EB">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丁醇</w:t>
                  </w:r>
                </w:p>
              </w:tc>
              <w:tc>
                <w:tcPr>
                  <w:tcW w:w="2100" w:type="dxa"/>
                  <w:vAlign w:val="center"/>
                </w:tcPr>
                <w:p w14:paraId="69C5C62B">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0.0062</w:t>
                  </w:r>
                </w:p>
              </w:tc>
            </w:tr>
            <w:tr w14:paraId="0EADF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2099" w:type="dxa"/>
                  <w:vMerge w:val="continue"/>
                  <w:vAlign w:val="center"/>
                </w:tcPr>
                <w:p w14:paraId="5B47A71C">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54B2CD2E">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7C028620">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甲醇</w:t>
                  </w:r>
                </w:p>
              </w:tc>
              <w:tc>
                <w:tcPr>
                  <w:tcW w:w="2100" w:type="dxa"/>
                  <w:vAlign w:val="center"/>
                </w:tcPr>
                <w:p w14:paraId="2800115B">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0.0008</w:t>
                  </w:r>
                </w:p>
              </w:tc>
            </w:tr>
            <w:tr w14:paraId="7106D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2099" w:type="dxa"/>
                  <w:vMerge w:val="continue"/>
                  <w:vAlign w:val="center"/>
                </w:tcPr>
                <w:p w14:paraId="4C1015CE">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018621E6">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5F77506C">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正丙醇</w:t>
                  </w:r>
                </w:p>
              </w:tc>
              <w:tc>
                <w:tcPr>
                  <w:tcW w:w="2100" w:type="dxa"/>
                  <w:vAlign w:val="center"/>
                </w:tcPr>
                <w:p w14:paraId="74DD6D82">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0.0001</w:t>
                  </w:r>
                </w:p>
              </w:tc>
            </w:tr>
            <w:tr w14:paraId="09997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2099" w:type="dxa"/>
                  <w:vMerge w:val="continue"/>
                  <w:vAlign w:val="center"/>
                </w:tcPr>
                <w:p w14:paraId="58C38706">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7953FC7B">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6889611C">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异丙醇</w:t>
                  </w:r>
                </w:p>
              </w:tc>
              <w:tc>
                <w:tcPr>
                  <w:tcW w:w="2100" w:type="dxa"/>
                  <w:vAlign w:val="center"/>
                </w:tcPr>
                <w:p w14:paraId="1B2B1D44">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0.0008</w:t>
                  </w:r>
                </w:p>
              </w:tc>
            </w:tr>
            <w:tr w14:paraId="771FA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2099" w:type="dxa"/>
                  <w:vMerge w:val="continue"/>
                  <w:vAlign w:val="center"/>
                </w:tcPr>
                <w:p w14:paraId="2FEB3261">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57683CEC">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7ECBAD39">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乙酸</w:t>
                  </w:r>
                </w:p>
              </w:tc>
              <w:tc>
                <w:tcPr>
                  <w:tcW w:w="2100" w:type="dxa"/>
                  <w:vAlign w:val="center"/>
                </w:tcPr>
                <w:p w14:paraId="07D3146F">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0.0005</w:t>
                  </w:r>
                </w:p>
              </w:tc>
            </w:tr>
            <w:tr w14:paraId="2ACD4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2099" w:type="dxa"/>
                  <w:vMerge w:val="continue"/>
                  <w:vAlign w:val="center"/>
                </w:tcPr>
                <w:p w14:paraId="50DE66CC">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5FAF01FC">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2E0E16EA">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乙酸乙酯</w:t>
                  </w:r>
                </w:p>
              </w:tc>
              <w:tc>
                <w:tcPr>
                  <w:tcW w:w="2100" w:type="dxa"/>
                  <w:vAlign w:val="center"/>
                </w:tcPr>
                <w:p w14:paraId="5B5C8B16">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8.46</w:t>
                  </w:r>
                </w:p>
              </w:tc>
            </w:tr>
            <w:tr w14:paraId="16129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2099" w:type="dxa"/>
                  <w:vMerge w:val="continue"/>
                  <w:vAlign w:val="center"/>
                </w:tcPr>
                <w:p w14:paraId="3F6D6713">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710614E6">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77CBFD47">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乙醛</w:t>
                  </w:r>
                </w:p>
              </w:tc>
              <w:tc>
                <w:tcPr>
                  <w:tcW w:w="2100" w:type="dxa"/>
                  <w:vAlign w:val="center"/>
                </w:tcPr>
                <w:p w14:paraId="4769C378">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0.204</w:t>
                  </w:r>
                </w:p>
              </w:tc>
            </w:tr>
            <w:tr w14:paraId="2AA51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099" w:type="dxa"/>
                  <w:vMerge w:val="continue"/>
                  <w:vAlign w:val="center"/>
                </w:tcPr>
                <w:p w14:paraId="4FFBFFAA">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06615414">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6D73423E">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CO</w:t>
                  </w:r>
                  <w:r>
                    <w:rPr>
                      <w:rFonts w:hint="default" w:ascii="Times New Roman" w:hAnsi="Times New Roman" w:eastAsia="宋体" w:cs="Times New Roman"/>
                      <w:i w:val="0"/>
                      <w:iCs w:val="0"/>
                      <w:color w:val="000000"/>
                      <w:kern w:val="0"/>
                      <w:sz w:val="20"/>
                      <w:szCs w:val="20"/>
                      <w:highlight w:val="none"/>
                      <w:u w:val="none"/>
                      <w:vertAlign w:val="subscript"/>
                      <w:lang w:val="en-US" w:eastAsia="zh-CN" w:bidi="ar"/>
                    </w:rPr>
                    <w:t>2</w:t>
                  </w:r>
                </w:p>
              </w:tc>
              <w:tc>
                <w:tcPr>
                  <w:tcW w:w="2100" w:type="dxa"/>
                  <w:vAlign w:val="center"/>
                </w:tcPr>
                <w:p w14:paraId="6D3BDDAE">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78.14</w:t>
                  </w:r>
                </w:p>
              </w:tc>
            </w:tr>
            <w:tr w14:paraId="7F7AD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099" w:type="dxa"/>
                  <w:vMerge w:val="continue"/>
                  <w:vAlign w:val="center"/>
                </w:tcPr>
                <w:p w14:paraId="04E26FE0">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38C00E40">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60EDE0E1">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CO</w:t>
                  </w:r>
                </w:p>
              </w:tc>
              <w:tc>
                <w:tcPr>
                  <w:tcW w:w="2100" w:type="dxa"/>
                  <w:vAlign w:val="center"/>
                </w:tcPr>
                <w:p w14:paraId="7B6DAE6D">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0.1158</w:t>
                  </w:r>
                </w:p>
              </w:tc>
            </w:tr>
            <w:tr w14:paraId="076BC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099" w:type="dxa"/>
                  <w:vMerge w:val="continue"/>
                  <w:vAlign w:val="center"/>
                </w:tcPr>
                <w:p w14:paraId="714134ED">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4843224F">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20C0F196">
                  <w:pPr>
                    <w:keepNext w:val="0"/>
                    <w:keepLines w:val="0"/>
                    <w:pageBreakBefore w:val="0"/>
                    <w:widowControl/>
                    <w:suppressLineNumbers w:val="0"/>
                    <w:kinsoku/>
                    <w:wordWrap w:val="0"/>
                    <w:overflowPunct/>
                    <w:topLinePunct w:val="0"/>
                    <w:autoSpaceDE/>
                    <w:autoSpaceDN/>
                    <w:bidi w:val="0"/>
                    <w:adjustRightInd/>
                    <w:snapToGrid/>
                    <w:jc w:val="center"/>
                    <w:textAlignment w:val="bottom"/>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H</w:t>
                  </w:r>
                  <w:r>
                    <w:rPr>
                      <w:rFonts w:hint="default" w:ascii="Times New Roman" w:hAnsi="Times New Roman" w:eastAsia="宋体" w:cs="Times New Roman"/>
                      <w:i w:val="0"/>
                      <w:iCs w:val="0"/>
                      <w:color w:val="000000"/>
                      <w:kern w:val="0"/>
                      <w:sz w:val="20"/>
                      <w:szCs w:val="20"/>
                      <w:highlight w:val="none"/>
                      <w:u w:val="none"/>
                      <w:vertAlign w:val="subscript"/>
                      <w:lang w:val="en-US" w:eastAsia="zh-CN" w:bidi="ar"/>
                    </w:rPr>
                    <w:t>2</w:t>
                  </w:r>
                </w:p>
              </w:tc>
              <w:tc>
                <w:tcPr>
                  <w:tcW w:w="2100" w:type="dxa"/>
                  <w:vAlign w:val="center"/>
                </w:tcPr>
                <w:p w14:paraId="50A9064F">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0.839</w:t>
                  </w:r>
                </w:p>
              </w:tc>
            </w:tr>
            <w:tr w14:paraId="75FCE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099" w:type="dxa"/>
                  <w:vMerge w:val="continue"/>
                  <w:vAlign w:val="center"/>
                </w:tcPr>
                <w:p w14:paraId="39EE521E">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05684EE2">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37D5F8A3">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N</w:t>
                  </w:r>
                  <w:r>
                    <w:rPr>
                      <w:rFonts w:hint="default" w:ascii="Times New Roman" w:hAnsi="Times New Roman" w:eastAsia="宋体" w:cs="Times New Roman"/>
                      <w:i w:val="0"/>
                      <w:iCs w:val="0"/>
                      <w:color w:val="000000"/>
                      <w:kern w:val="0"/>
                      <w:sz w:val="20"/>
                      <w:szCs w:val="20"/>
                      <w:highlight w:val="none"/>
                      <w:u w:val="none"/>
                      <w:vertAlign w:val="subscript"/>
                      <w:lang w:val="en-US" w:eastAsia="zh-CN" w:bidi="ar"/>
                    </w:rPr>
                    <w:t>2</w:t>
                  </w:r>
                </w:p>
              </w:tc>
              <w:tc>
                <w:tcPr>
                  <w:tcW w:w="2100" w:type="dxa"/>
                  <w:vAlign w:val="center"/>
                </w:tcPr>
                <w:p w14:paraId="1B092C87">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0.0358</w:t>
                  </w:r>
                </w:p>
              </w:tc>
            </w:tr>
            <w:tr w14:paraId="178C5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2099" w:type="dxa"/>
                  <w:vMerge w:val="continue"/>
                  <w:vAlign w:val="center"/>
                </w:tcPr>
                <w:p w14:paraId="7CA95B99">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3C854858">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77CDD5C2">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Ar</w:t>
                  </w:r>
                </w:p>
              </w:tc>
              <w:tc>
                <w:tcPr>
                  <w:tcW w:w="2100" w:type="dxa"/>
                  <w:vAlign w:val="center"/>
                </w:tcPr>
                <w:p w14:paraId="14CD1248">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0.0884</w:t>
                  </w:r>
                </w:p>
              </w:tc>
            </w:tr>
            <w:tr w14:paraId="4ADEF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099" w:type="dxa"/>
                  <w:vMerge w:val="continue"/>
                  <w:vAlign w:val="center"/>
                </w:tcPr>
                <w:p w14:paraId="11651F96">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23998053">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0586AD50">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CH</w:t>
                  </w:r>
                  <w:r>
                    <w:rPr>
                      <w:rFonts w:hint="default" w:ascii="Times New Roman" w:hAnsi="Times New Roman" w:eastAsia="宋体" w:cs="Times New Roman"/>
                      <w:i w:val="0"/>
                      <w:iCs w:val="0"/>
                      <w:color w:val="000000"/>
                      <w:kern w:val="0"/>
                      <w:sz w:val="20"/>
                      <w:szCs w:val="20"/>
                      <w:highlight w:val="none"/>
                      <w:u w:val="none"/>
                      <w:vertAlign w:val="subscript"/>
                      <w:lang w:val="en-US" w:eastAsia="zh-CN" w:bidi="ar"/>
                    </w:rPr>
                    <w:t>4</w:t>
                  </w:r>
                </w:p>
              </w:tc>
              <w:tc>
                <w:tcPr>
                  <w:tcW w:w="2100" w:type="dxa"/>
                  <w:vAlign w:val="center"/>
                </w:tcPr>
                <w:p w14:paraId="5596C241">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0.2158</w:t>
                  </w:r>
                </w:p>
              </w:tc>
            </w:tr>
            <w:tr w14:paraId="4D337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099" w:type="dxa"/>
                  <w:vMerge w:val="continue"/>
                  <w:vAlign w:val="center"/>
                </w:tcPr>
                <w:p w14:paraId="4F7A5DC1">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3DBD2442">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34D5A290">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H</w:t>
                  </w:r>
                  <w:r>
                    <w:rPr>
                      <w:rFonts w:hint="default" w:ascii="Times New Roman" w:hAnsi="Times New Roman" w:eastAsia="宋体" w:cs="Times New Roman"/>
                      <w:i w:val="0"/>
                      <w:iCs w:val="0"/>
                      <w:color w:val="000000"/>
                      <w:kern w:val="0"/>
                      <w:sz w:val="20"/>
                      <w:szCs w:val="20"/>
                      <w:highlight w:val="none"/>
                      <w:u w:val="none"/>
                      <w:vertAlign w:val="subscript"/>
                      <w:lang w:val="en-US" w:eastAsia="zh-CN" w:bidi="ar"/>
                    </w:rPr>
                    <w:t>2</w:t>
                  </w:r>
                  <w:r>
                    <w:rPr>
                      <w:rFonts w:hint="default" w:ascii="Times New Roman" w:hAnsi="Times New Roman" w:eastAsia="宋体" w:cs="Times New Roman"/>
                      <w:i w:val="0"/>
                      <w:iCs w:val="0"/>
                      <w:color w:val="000000"/>
                      <w:kern w:val="0"/>
                      <w:sz w:val="20"/>
                      <w:szCs w:val="20"/>
                      <w:highlight w:val="none"/>
                      <w:u w:val="none"/>
                      <w:lang w:val="en-US" w:eastAsia="zh-CN" w:bidi="ar"/>
                    </w:rPr>
                    <w:t>O</w:t>
                  </w:r>
                </w:p>
              </w:tc>
              <w:tc>
                <w:tcPr>
                  <w:tcW w:w="2100" w:type="dxa"/>
                  <w:vAlign w:val="center"/>
                </w:tcPr>
                <w:p w14:paraId="3251E4A9">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4.1</w:t>
                  </w:r>
                </w:p>
              </w:tc>
            </w:tr>
            <w:tr w14:paraId="131AF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099" w:type="dxa"/>
                  <w:vMerge w:val="continue"/>
                  <w:vAlign w:val="center"/>
                </w:tcPr>
                <w:p w14:paraId="24EA5670">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4329E4A3">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1DA00508">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H</w:t>
                  </w:r>
                  <w:r>
                    <w:rPr>
                      <w:rFonts w:hint="default" w:ascii="Times New Roman" w:hAnsi="Times New Roman" w:eastAsia="宋体" w:cs="Times New Roman"/>
                      <w:i w:val="0"/>
                      <w:iCs w:val="0"/>
                      <w:color w:val="000000"/>
                      <w:kern w:val="0"/>
                      <w:sz w:val="20"/>
                      <w:szCs w:val="20"/>
                      <w:highlight w:val="none"/>
                      <w:u w:val="none"/>
                      <w:vertAlign w:val="subscript"/>
                      <w:lang w:val="en-US" w:eastAsia="zh-CN" w:bidi="ar"/>
                    </w:rPr>
                    <w:t>2</w:t>
                  </w:r>
                  <w:r>
                    <w:rPr>
                      <w:rFonts w:hint="default" w:ascii="Times New Roman" w:hAnsi="Times New Roman" w:eastAsia="宋体" w:cs="Times New Roman"/>
                      <w:i w:val="0"/>
                      <w:iCs w:val="0"/>
                      <w:color w:val="000000"/>
                      <w:kern w:val="0"/>
                      <w:sz w:val="20"/>
                      <w:szCs w:val="20"/>
                      <w:highlight w:val="none"/>
                      <w:u w:val="none"/>
                      <w:lang w:val="en-US" w:eastAsia="zh-CN" w:bidi="ar"/>
                    </w:rPr>
                    <w:t>S</w:t>
                  </w:r>
                </w:p>
              </w:tc>
              <w:tc>
                <w:tcPr>
                  <w:tcW w:w="2100" w:type="dxa"/>
                  <w:vAlign w:val="center"/>
                </w:tcPr>
                <w:p w14:paraId="05507FE2">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1.1</w:t>
                  </w:r>
                </w:p>
              </w:tc>
            </w:tr>
            <w:tr w14:paraId="02A72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099" w:type="dxa"/>
                  <w:vMerge w:val="continue"/>
                  <w:vAlign w:val="center"/>
                </w:tcPr>
                <w:p w14:paraId="2864E543">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3D8A87DF">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2105CBA3">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NH</w:t>
                  </w:r>
                  <w:r>
                    <w:rPr>
                      <w:rFonts w:hint="default" w:ascii="Times New Roman" w:hAnsi="Times New Roman" w:eastAsia="宋体" w:cs="Times New Roman"/>
                      <w:i w:val="0"/>
                      <w:iCs w:val="0"/>
                      <w:color w:val="000000"/>
                      <w:kern w:val="0"/>
                      <w:sz w:val="20"/>
                      <w:szCs w:val="20"/>
                      <w:highlight w:val="none"/>
                      <w:u w:val="none"/>
                      <w:vertAlign w:val="subscript"/>
                      <w:lang w:val="en-US" w:eastAsia="zh-CN" w:bidi="ar"/>
                    </w:rPr>
                    <w:t>3</w:t>
                  </w:r>
                </w:p>
              </w:tc>
              <w:tc>
                <w:tcPr>
                  <w:tcW w:w="2100" w:type="dxa"/>
                  <w:vAlign w:val="center"/>
                </w:tcPr>
                <w:p w14:paraId="7FC95CA5">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0.2779</w:t>
                  </w:r>
                </w:p>
              </w:tc>
            </w:tr>
            <w:tr w14:paraId="26902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2099" w:type="dxa"/>
                  <w:vMerge w:val="continue"/>
                  <w:vAlign w:val="center"/>
                </w:tcPr>
                <w:p w14:paraId="213121E4">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100" w:type="dxa"/>
                  <w:vMerge w:val="continue"/>
                  <w:vAlign w:val="center"/>
                </w:tcPr>
                <w:p w14:paraId="3383CF3E">
                  <w:pPr>
                    <w:keepNext w:val="0"/>
                    <w:keepLines w:val="0"/>
                    <w:pageBreakBefore w:val="0"/>
                    <w:kinsoku/>
                    <w:wordWrap w:val="0"/>
                    <w:overflowPunct/>
                    <w:topLinePunct w:val="0"/>
                    <w:autoSpaceDE/>
                    <w:autoSpaceDN/>
                    <w:bidi w:val="0"/>
                    <w:adjustRightInd/>
                    <w:snapToGrid/>
                    <w:spacing w:line="360" w:lineRule="auto"/>
                    <w:jc w:val="center"/>
                    <w:rPr>
                      <w:rFonts w:hint="default" w:ascii="Times New Roman" w:hAnsi="Times New Roman" w:cs="Times New Roman"/>
                      <w:b w:val="0"/>
                      <w:bCs w:val="0"/>
                      <w:spacing w:val="0"/>
                      <w:sz w:val="21"/>
                      <w:szCs w:val="21"/>
                      <w:highlight w:val="none"/>
                      <w:vertAlign w:val="baseline"/>
                      <w:lang w:val="en-US" w:eastAsia="zh-CN"/>
                    </w:rPr>
                  </w:pPr>
                </w:p>
              </w:tc>
              <w:tc>
                <w:tcPr>
                  <w:tcW w:w="2099" w:type="dxa"/>
                  <w:vAlign w:val="center"/>
                </w:tcPr>
                <w:p w14:paraId="4D9D359A">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O</w:t>
                  </w:r>
                  <w:r>
                    <w:rPr>
                      <w:rFonts w:hint="default" w:ascii="Times New Roman" w:hAnsi="Times New Roman" w:eastAsia="宋体" w:cs="Times New Roman"/>
                      <w:i w:val="0"/>
                      <w:iCs w:val="0"/>
                      <w:color w:val="000000"/>
                      <w:kern w:val="0"/>
                      <w:sz w:val="20"/>
                      <w:szCs w:val="20"/>
                      <w:highlight w:val="none"/>
                      <w:u w:val="none"/>
                      <w:vertAlign w:val="subscript"/>
                      <w:lang w:val="en-US" w:eastAsia="zh-CN" w:bidi="ar"/>
                    </w:rPr>
                    <w:t>2</w:t>
                  </w:r>
                </w:p>
              </w:tc>
              <w:tc>
                <w:tcPr>
                  <w:tcW w:w="2100" w:type="dxa"/>
                  <w:vAlign w:val="center"/>
                </w:tcPr>
                <w:p w14:paraId="59EAC8B6">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0</w:t>
                  </w:r>
                </w:p>
              </w:tc>
            </w:tr>
          </w:tbl>
          <w:p w14:paraId="4AB43195">
            <w:pPr>
              <w:spacing w:line="360" w:lineRule="auto"/>
              <w:rPr>
                <w:rFonts w:hint="eastAsia" w:cs="宋体"/>
                <w:b/>
                <w:bCs/>
                <w:sz w:val="24"/>
                <w:highlight w:val="none"/>
              </w:rPr>
            </w:pPr>
            <w:r>
              <w:rPr>
                <w:rFonts w:hint="eastAsia" w:cs="宋体"/>
                <w:b/>
                <w:bCs/>
                <w:sz w:val="24"/>
                <w:highlight w:val="none"/>
                <w:lang w:val="en-US" w:eastAsia="zh-CN"/>
              </w:rPr>
              <w:t>5.</w:t>
            </w:r>
            <w:r>
              <w:rPr>
                <w:rFonts w:hint="eastAsia" w:cs="宋体"/>
                <w:b/>
                <w:bCs/>
                <w:sz w:val="24"/>
                <w:highlight w:val="none"/>
              </w:rPr>
              <w:t>能源消耗</w:t>
            </w:r>
          </w:p>
          <w:p w14:paraId="7FB69B31">
            <w:pPr>
              <w:pStyle w:val="28"/>
              <w:ind w:firstLine="480" w:firstLineChars="200"/>
              <w:rPr>
                <w:rFonts w:ascii="Times New Roman"/>
                <w:color w:val="auto"/>
                <w:highlight w:val="none"/>
              </w:rPr>
            </w:pPr>
            <w:r>
              <w:rPr>
                <w:rFonts w:hint="eastAsia" w:ascii="Times New Roman"/>
                <w:color w:val="auto"/>
                <w:kern w:val="2"/>
                <w:highlight w:val="none"/>
              </w:rPr>
              <w:t>能源消耗见表2-</w:t>
            </w:r>
            <w:r>
              <w:rPr>
                <w:rFonts w:hint="eastAsia" w:ascii="Times New Roman"/>
                <w:color w:val="auto"/>
                <w:kern w:val="2"/>
                <w:highlight w:val="none"/>
                <w:lang w:val="en-US" w:eastAsia="zh-CN"/>
              </w:rPr>
              <w:t>6</w:t>
            </w:r>
            <w:r>
              <w:rPr>
                <w:rFonts w:hint="eastAsia" w:ascii="Times New Roman"/>
                <w:color w:val="auto"/>
                <w:kern w:val="2"/>
                <w:highlight w:val="none"/>
              </w:rPr>
              <w:t>。</w:t>
            </w:r>
          </w:p>
          <w:p w14:paraId="40378B91">
            <w:pPr>
              <w:adjustRightInd w:val="0"/>
              <w:snapToGrid w:val="0"/>
              <w:spacing w:line="360" w:lineRule="auto"/>
              <w:ind w:firstLine="0" w:firstLineChars="0"/>
              <w:jc w:val="center"/>
              <w:outlineLvl w:val="9"/>
              <w:rPr>
                <w:rFonts w:hint="eastAsia" w:ascii="Times New Roman" w:hAnsi="Times New Roman" w:eastAsia="宋体" w:cs="Times New Roman"/>
                <w:b/>
                <w:bCs/>
                <w:sz w:val="21"/>
                <w:szCs w:val="21"/>
                <w:highlight w:val="none"/>
              </w:rPr>
            </w:pPr>
            <w:r>
              <w:rPr>
                <w:rFonts w:hint="eastAsia" w:ascii="Times New Roman" w:hAnsi="Times New Roman" w:eastAsia="宋体" w:cs="Times New Roman"/>
                <w:b/>
                <w:bCs/>
                <w:sz w:val="21"/>
                <w:szCs w:val="21"/>
                <w:highlight w:val="none"/>
              </w:rPr>
              <w:t>表2-</w:t>
            </w:r>
            <w:r>
              <w:rPr>
                <w:rFonts w:hint="eastAsia" w:cs="Times New Roman"/>
                <w:b/>
                <w:bCs/>
                <w:sz w:val="21"/>
                <w:szCs w:val="21"/>
                <w:highlight w:val="none"/>
                <w:lang w:val="en-US" w:eastAsia="zh-CN"/>
              </w:rPr>
              <w:t>6</w:t>
            </w:r>
            <w:r>
              <w:rPr>
                <w:rFonts w:hint="eastAsia" w:ascii="Times New Roman" w:hAnsi="Times New Roman" w:eastAsia="宋体" w:cs="Times New Roman"/>
                <w:b/>
                <w:bCs/>
                <w:sz w:val="21"/>
                <w:szCs w:val="21"/>
                <w:highlight w:val="none"/>
              </w:rPr>
              <w:t xml:space="preserve">   能源消耗一览表</w:t>
            </w:r>
          </w:p>
          <w:tbl>
            <w:tblPr>
              <w:tblStyle w:val="19"/>
              <w:tblW w:w="4996" w:type="pct"/>
              <w:jc w:val="center"/>
              <w:tblBorders>
                <w:top w:val="single" w:color="auto" w:sz="4" w:space="0"/>
                <w:left w:val="single" w:color="auto" w:sz="4" w:space="0"/>
                <w:bottom w:val="single" w:color="auto" w:sz="4" w:space="0"/>
                <w:right w:val="single" w:color="auto" w:sz="4" w:space="0"/>
                <w:insideH w:val="dotted" w:color="auto" w:sz="8" w:space="0"/>
                <w:insideV w:val="dotted" w:color="auto" w:sz="8" w:space="0"/>
              </w:tblBorders>
              <w:tblLayout w:type="fixed"/>
              <w:tblCellMar>
                <w:top w:w="0" w:type="dxa"/>
                <w:left w:w="0" w:type="dxa"/>
                <w:bottom w:w="0" w:type="dxa"/>
                <w:right w:w="0" w:type="dxa"/>
              </w:tblCellMar>
            </w:tblPr>
            <w:tblGrid>
              <w:gridCol w:w="814"/>
              <w:gridCol w:w="1673"/>
              <w:gridCol w:w="1762"/>
              <w:gridCol w:w="2034"/>
              <w:gridCol w:w="2216"/>
            </w:tblGrid>
            <w:tr w14:paraId="6A39283A">
              <w:tblPrEx>
                <w:tblBorders>
                  <w:top w:val="single" w:color="auto" w:sz="4" w:space="0"/>
                  <w:left w:val="single" w:color="auto" w:sz="4" w:space="0"/>
                  <w:bottom w:val="single" w:color="auto" w:sz="4" w:space="0"/>
                  <w:right w:val="single" w:color="auto" w:sz="4" w:space="0"/>
                  <w:insideH w:val="dotted" w:color="auto" w:sz="8" w:space="0"/>
                  <w:insideV w:val="dotted" w:color="auto" w:sz="8" w:space="0"/>
                </w:tblBorders>
                <w:tblCellMar>
                  <w:top w:w="0" w:type="dxa"/>
                  <w:left w:w="0" w:type="dxa"/>
                  <w:bottom w:w="0" w:type="dxa"/>
                  <w:right w:w="0" w:type="dxa"/>
                </w:tblCellMar>
              </w:tblPrEx>
              <w:trPr>
                <w:trHeight w:val="20" w:hRule="atLeast"/>
                <w:jc w:val="center"/>
              </w:trPr>
              <w:tc>
                <w:tcPr>
                  <w:tcW w:w="479" w:type="pct"/>
                  <w:tcBorders>
                    <w:bottom w:val="single" w:color="auto" w:sz="12" w:space="0"/>
                  </w:tcBorders>
                  <w:noWrap w:val="0"/>
                  <w:vAlign w:val="center"/>
                </w:tcPr>
                <w:p w14:paraId="28CCA092">
                  <w:pPr>
                    <w:jc w:val="center"/>
                    <w:rPr>
                      <w:rFonts w:cs="宋体"/>
                      <w:b w:val="0"/>
                      <w:bCs/>
                      <w:szCs w:val="21"/>
                      <w:highlight w:val="none"/>
                    </w:rPr>
                  </w:pPr>
                  <w:r>
                    <w:rPr>
                      <w:rFonts w:hint="eastAsia" w:cs="宋体"/>
                      <w:b w:val="0"/>
                      <w:bCs/>
                      <w:szCs w:val="21"/>
                      <w:highlight w:val="none"/>
                    </w:rPr>
                    <w:t>序号</w:t>
                  </w:r>
                </w:p>
              </w:tc>
              <w:tc>
                <w:tcPr>
                  <w:tcW w:w="984" w:type="pct"/>
                  <w:tcBorders>
                    <w:bottom w:val="single" w:color="auto" w:sz="12" w:space="0"/>
                  </w:tcBorders>
                  <w:noWrap w:val="0"/>
                  <w:vAlign w:val="center"/>
                </w:tcPr>
                <w:p w14:paraId="3FF4E2E4">
                  <w:pPr>
                    <w:jc w:val="center"/>
                    <w:rPr>
                      <w:rFonts w:cs="宋体"/>
                      <w:b w:val="0"/>
                      <w:bCs/>
                      <w:szCs w:val="21"/>
                      <w:highlight w:val="none"/>
                    </w:rPr>
                  </w:pPr>
                  <w:r>
                    <w:rPr>
                      <w:rFonts w:hint="eastAsia" w:cs="宋体"/>
                      <w:b w:val="0"/>
                      <w:bCs/>
                      <w:szCs w:val="21"/>
                      <w:highlight w:val="none"/>
                    </w:rPr>
                    <w:t>主要能源</w:t>
                  </w:r>
                </w:p>
              </w:tc>
              <w:tc>
                <w:tcPr>
                  <w:tcW w:w="1036" w:type="pct"/>
                  <w:tcBorders>
                    <w:bottom w:val="single" w:color="auto" w:sz="12" w:space="0"/>
                  </w:tcBorders>
                  <w:noWrap w:val="0"/>
                  <w:vAlign w:val="center"/>
                </w:tcPr>
                <w:p w14:paraId="5829134B">
                  <w:pPr>
                    <w:jc w:val="center"/>
                    <w:rPr>
                      <w:rFonts w:cs="宋体"/>
                      <w:b w:val="0"/>
                      <w:bCs/>
                      <w:szCs w:val="21"/>
                      <w:highlight w:val="none"/>
                    </w:rPr>
                  </w:pPr>
                  <w:r>
                    <w:rPr>
                      <w:rFonts w:hint="eastAsia" w:cs="宋体"/>
                      <w:b w:val="0"/>
                      <w:bCs/>
                      <w:szCs w:val="21"/>
                      <w:highlight w:val="none"/>
                    </w:rPr>
                    <w:t>单位</w:t>
                  </w:r>
                </w:p>
              </w:tc>
              <w:tc>
                <w:tcPr>
                  <w:tcW w:w="1196" w:type="pct"/>
                  <w:tcBorders>
                    <w:bottom w:val="single" w:color="auto" w:sz="12" w:space="0"/>
                  </w:tcBorders>
                  <w:noWrap w:val="0"/>
                  <w:vAlign w:val="center"/>
                </w:tcPr>
                <w:p w14:paraId="6B8B6D1D">
                  <w:pPr>
                    <w:jc w:val="center"/>
                    <w:rPr>
                      <w:rFonts w:cs="宋体"/>
                      <w:b w:val="0"/>
                      <w:bCs/>
                      <w:szCs w:val="21"/>
                      <w:highlight w:val="none"/>
                    </w:rPr>
                  </w:pPr>
                  <w:r>
                    <w:rPr>
                      <w:rFonts w:hint="eastAsia" w:cs="宋体"/>
                      <w:b w:val="0"/>
                      <w:bCs/>
                      <w:szCs w:val="21"/>
                      <w:highlight w:val="none"/>
                    </w:rPr>
                    <w:t>消耗量</w:t>
                  </w:r>
                </w:p>
              </w:tc>
              <w:tc>
                <w:tcPr>
                  <w:tcW w:w="1303" w:type="pct"/>
                  <w:tcBorders>
                    <w:bottom w:val="single" w:color="auto" w:sz="12" w:space="0"/>
                  </w:tcBorders>
                  <w:noWrap w:val="0"/>
                  <w:vAlign w:val="center"/>
                </w:tcPr>
                <w:p w14:paraId="5A73F3A2">
                  <w:pPr>
                    <w:jc w:val="center"/>
                    <w:rPr>
                      <w:rFonts w:cs="宋体"/>
                      <w:b w:val="0"/>
                      <w:bCs/>
                      <w:szCs w:val="21"/>
                      <w:highlight w:val="none"/>
                    </w:rPr>
                  </w:pPr>
                  <w:r>
                    <w:rPr>
                      <w:rFonts w:hint="eastAsia" w:cs="宋体"/>
                      <w:b w:val="0"/>
                      <w:bCs/>
                      <w:szCs w:val="21"/>
                      <w:highlight w:val="none"/>
                    </w:rPr>
                    <w:t>来源</w:t>
                  </w:r>
                </w:p>
              </w:tc>
            </w:tr>
            <w:tr w14:paraId="1F979835">
              <w:tblPrEx>
                <w:tblBorders>
                  <w:top w:val="single" w:color="auto" w:sz="4" w:space="0"/>
                  <w:left w:val="single" w:color="auto" w:sz="4" w:space="0"/>
                  <w:bottom w:val="single" w:color="auto" w:sz="4" w:space="0"/>
                  <w:right w:val="single" w:color="auto" w:sz="4" w:space="0"/>
                  <w:insideH w:val="dotted" w:color="auto" w:sz="8" w:space="0"/>
                  <w:insideV w:val="dotted" w:color="auto" w:sz="8" w:space="0"/>
                </w:tblBorders>
                <w:tblCellMar>
                  <w:top w:w="0" w:type="dxa"/>
                  <w:left w:w="0" w:type="dxa"/>
                  <w:bottom w:w="0" w:type="dxa"/>
                  <w:right w:w="0" w:type="dxa"/>
                </w:tblCellMar>
              </w:tblPrEx>
              <w:trPr>
                <w:trHeight w:val="20" w:hRule="atLeast"/>
                <w:jc w:val="center"/>
              </w:trPr>
              <w:tc>
                <w:tcPr>
                  <w:tcW w:w="479" w:type="pct"/>
                  <w:noWrap w:val="0"/>
                  <w:vAlign w:val="center"/>
                </w:tcPr>
                <w:p w14:paraId="75DAFBB9">
                  <w:pPr>
                    <w:jc w:val="center"/>
                    <w:rPr>
                      <w:rFonts w:hint="eastAsia" w:eastAsia="宋体"/>
                      <w:szCs w:val="21"/>
                      <w:highlight w:val="none"/>
                      <w:lang w:eastAsia="zh-CN"/>
                    </w:rPr>
                  </w:pPr>
                  <w:r>
                    <w:rPr>
                      <w:rFonts w:hint="eastAsia"/>
                      <w:szCs w:val="21"/>
                      <w:highlight w:val="none"/>
                      <w:lang w:val="en-US" w:eastAsia="zh-CN"/>
                    </w:rPr>
                    <w:t>1</w:t>
                  </w:r>
                </w:p>
              </w:tc>
              <w:tc>
                <w:tcPr>
                  <w:tcW w:w="984" w:type="pct"/>
                  <w:noWrap w:val="0"/>
                  <w:vAlign w:val="center"/>
                </w:tcPr>
                <w:p w14:paraId="0F194BC4">
                  <w:pPr>
                    <w:jc w:val="center"/>
                    <w:rPr>
                      <w:rFonts w:hint="eastAsia" w:eastAsia="宋体" w:cs="宋体"/>
                      <w:szCs w:val="21"/>
                      <w:highlight w:val="none"/>
                      <w:lang w:eastAsia="zh-CN"/>
                    </w:rPr>
                  </w:pPr>
                  <w:r>
                    <w:rPr>
                      <w:rFonts w:hint="eastAsia" w:cs="宋体"/>
                      <w:szCs w:val="21"/>
                      <w:highlight w:val="none"/>
                    </w:rPr>
                    <w:t>水</w:t>
                  </w:r>
                  <w:r>
                    <w:rPr>
                      <w:rFonts w:hint="eastAsia" w:cs="宋体"/>
                      <w:szCs w:val="21"/>
                      <w:highlight w:val="none"/>
                      <w:lang w:eastAsia="zh-CN"/>
                    </w:rPr>
                    <w:t>（</w:t>
                  </w:r>
                  <w:r>
                    <w:rPr>
                      <w:rFonts w:hint="eastAsia" w:cs="宋体"/>
                      <w:szCs w:val="21"/>
                      <w:highlight w:val="none"/>
                      <w:lang w:val="en-US" w:eastAsia="zh-CN"/>
                    </w:rPr>
                    <w:t>施工期</w:t>
                  </w:r>
                  <w:r>
                    <w:rPr>
                      <w:rFonts w:hint="eastAsia" w:cs="宋体"/>
                      <w:szCs w:val="21"/>
                      <w:highlight w:val="none"/>
                      <w:lang w:eastAsia="zh-CN"/>
                    </w:rPr>
                    <w:t>）</w:t>
                  </w:r>
                </w:p>
              </w:tc>
              <w:tc>
                <w:tcPr>
                  <w:tcW w:w="1036" w:type="pct"/>
                  <w:noWrap w:val="0"/>
                  <w:vAlign w:val="center"/>
                </w:tcPr>
                <w:p w14:paraId="7927A2F1">
                  <w:pPr>
                    <w:jc w:val="center"/>
                    <w:rPr>
                      <w:rFonts w:hint="eastAsia"/>
                      <w:szCs w:val="21"/>
                      <w:highlight w:val="none"/>
                    </w:rPr>
                  </w:pPr>
                  <w:r>
                    <w:rPr>
                      <w:rFonts w:hint="eastAsia"/>
                      <w:szCs w:val="21"/>
                      <w:highlight w:val="none"/>
                    </w:rPr>
                    <w:t>t</w:t>
                  </w:r>
                </w:p>
              </w:tc>
              <w:tc>
                <w:tcPr>
                  <w:tcW w:w="1196" w:type="pct"/>
                  <w:noWrap w:val="0"/>
                  <w:vAlign w:val="center"/>
                </w:tcPr>
                <w:p w14:paraId="05F170BB">
                  <w:pPr>
                    <w:jc w:val="center"/>
                    <w:rPr>
                      <w:rFonts w:hint="default" w:eastAsia="宋体"/>
                      <w:szCs w:val="21"/>
                      <w:highlight w:val="none"/>
                      <w:lang w:val="en-US" w:eastAsia="zh-CN"/>
                    </w:rPr>
                  </w:pPr>
                  <w:r>
                    <w:rPr>
                      <w:rFonts w:hint="eastAsia"/>
                      <w:szCs w:val="21"/>
                      <w:highlight w:val="none"/>
                      <w:lang w:val="en-US" w:eastAsia="zh-CN"/>
                    </w:rPr>
                    <w:t>236</w:t>
                  </w:r>
                </w:p>
              </w:tc>
              <w:tc>
                <w:tcPr>
                  <w:tcW w:w="1303" w:type="pct"/>
                  <w:noWrap w:val="0"/>
                  <w:vAlign w:val="center"/>
                </w:tcPr>
                <w:p w14:paraId="3C1B6D5D">
                  <w:pPr>
                    <w:jc w:val="center"/>
                    <w:rPr>
                      <w:rFonts w:cs="宋体"/>
                      <w:szCs w:val="21"/>
                      <w:highlight w:val="none"/>
                    </w:rPr>
                  </w:pPr>
                  <w:r>
                    <w:rPr>
                      <w:rFonts w:hint="eastAsia" w:cs="宋体"/>
                      <w:szCs w:val="21"/>
                      <w:highlight w:val="none"/>
                    </w:rPr>
                    <w:t>厂内现有供水管网</w:t>
                  </w:r>
                </w:p>
              </w:tc>
            </w:tr>
            <w:tr w14:paraId="13C813BC">
              <w:tblPrEx>
                <w:tblBorders>
                  <w:top w:val="single" w:color="auto" w:sz="4" w:space="0"/>
                  <w:left w:val="single" w:color="auto" w:sz="4" w:space="0"/>
                  <w:bottom w:val="single" w:color="auto" w:sz="4" w:space="0"/>
                  <w:right w:val="single" w:color="auto" w:sz="4" w:space="0"/>
                  <w:insideH w:val="dotted" w:color="auto" w:sz="8" w:space="0"/>
                  <w:insideV w:val="dotted" w:color="auto" w:sz="8" w:space="0"/>
                </w:tblBorders>
                <w:tblCellMar>
                  <w:top w:w="0" w:type="dxa"/>
                  <w:left w:w="0" w:type="dxa"/>
                  <w:bottom w:w="0" w:type="dxa"/>
                  <w:right w:w="0" w:type="dxa"/>
                </w:tblCellMar>
              </w:tblPrEx>
              <w:trPr>
                <w:trHeight w:val="20" w:hRule="atLeast"/>
                <w:jc w:val="center"/>
              </w:trPr>
              <w:tc>
                <w:tcPr>
                  <w:tcW w:w="479" w:type="pct"/>
                  <w:noWrap w:val="0"/>
                  <w:vAlign w:val="center"/>
                </w:tcPr>
                <w:p w14:paraId="28D4A2F9">
                  <w:pPr>
                    <w:jc w:val="center"/>
                    <w:rPr>
                      <w:rFonts w:hint="default"/>
                      <w:szCs w:val="21"/>
                      <w:highlight w:val="none"/>
                      <w:lang w:val="en-US" w:eastAsia="zh-CN"/>
                    </w:rPr>
                  </w:pPr>
                  <w:r>
                    <w:rPr>
                      <w:rFonts w:hint="eastAsia"/>
                      <w:szCs w:val="21"/>
                      <w:highlight w:val="none"/>
                      <w:lang w:val="en-US" w:eastAsia="zh-CN"/>
                    </w:rPr>
                    <w:t>2</w:t>
                  </w:r>
                </w:p>
              </w:tc>
              <w:tc>
                <w:tcPr>
                  <w:tcW w:w="984" w:type="pct"/>
                  <w:noWrap w:val="0"/>
                  <w:vAlign w:val="center"/>
                </w:tcPr>
                <w:p w14:paraId="415154D9">
                  <w:pPr>
                    <w:jc w:val="center"/>
                    <w:rPr>
                      <w:rFonts w:hint="default" w:eastAsia="宋体" w:cs="宋体"/>
                      <w:szCs w:val="21"/>
                      <w:highlight w:val="none"/>
                      <w:lang w:val="en-US" w:eastAsia="zh-CN"/>
                    </w:rPr>
                  </w:pPr>
                  <w:r>
                    <w:rPr>
                      <w:rFonts w:hint="eastAsia" w:cs="宋体"/>
                      <w:szCs w:val="21"/>
                      <w:highlight w:val="none"/>
                      <w:lang w:val="en-US" w:eastAsia="zh-CN"/>
                    </w:rPr>
                    <w:t>电</w:t>
                  </w:r>
                </w:p>
              </w:tc>
              <w:tc>
                <w:tcPr>
                  <w:tcW w:w="1036" w:type="pct"/>
                  <w:noWrap w:val="0"/>
                  <w:vAlign w:val="center"/>
                </w:tcPr>
                <w:p w14:paraId="695F5541">
                  <w:pPr>
                    <w:jc w:val="center"/>
                    <w:rPr>
                      <w:rFonts w:hint="default" w:eastAsia="宋体"/>
                      <w:szCs w:val="21"/>
                      <w:highlight w:val="none"/>
                      <w:lang w:val="en-US" w:eastAsia="zh-CN"/>
                    </w:rPr>
                  </w:pPr>
                  <w:r>
                    <w:rPr>
                      <w:rFonts w:hint="eastAsia"/>
                      <w:szCs w:val="21"/>
                      <w:highlight w:val="none"/>
                      <w:lang w:val="en-US" w:eastAsia="zh-CN"/>
                    </w:rPr>
                    <w:t>kW.h</w:t>
                  </w:r>
                </w:p>
              </w:tc>
              <w:tc>
                <w:tcPr>
                  <w:tcW w:w="1196" w:type="pct"/>
                  <w:noWrap w:val="0"/>
                  <w:vAlign w:val="center"/>
                </w:tcPr>
                <w:p w14:paraId="72269DE3">
                  <w:pPr>
                    <w:jc w:val="center"/>
                    <w:rPr>
                      <w:rFonts w:hint="default" w:eastAsia="宋体"/>
                      <w:szCs w:val="21"/>
                      <w:highlight w:val="none"/>
                      <w:lang w:val="en-US" w:eastAsia="zh-CN"/>
                    </w:rPr>
                  </w:pPr>
                  <w:r>
                    <w:rPr>
                      <w:rFonts w:hint="eastAsia"/>
                      <w:highlight w:val="none"/>
                      <w:lang w:val="en-US" w:eastAsia="zh-CN"/>
                    </w:rPr>
                    <w:t>80</w:t>
                  </w:r>
                </w:p>
              </w:tc>
              <w:tc>
                <w:tcPr>
                  <w:tcW w:w="1303" w:type="pct"/>
                  <w:noWrap w:val="0"/>
                  <w:vAlign w:val="center"/>
                </w:tcPr>
                <w:p w14:paraId="33E6F90A">
                  <w:pPr>
                    <w:jc w:val="center"/>
                    <w:rPr>
                      <w:rFonts w:hint="default" w:eastAsia="宋体" w:cs="宋体"/>
                      <w:szCs w:val="21"/>
                      <w:highlight w:val="none"/>
                      <w:lang w:val="en-US" w:eastAsia="zh-CN"/>
                    </w:rPr>
                  </w:pPr>
                  <w:r>
                    <w:rPr>
                      <w:rFonts w:hint="eastAsia" w:cs="宋体"/>
                      <w:szCs w:val="21"/>
                      <w:highlight w:val="none"/>
                      <w:lang w:val="en-US" w:eastAsia="zh-CN"/>
                    </w:rPr>
                    <w:t>依托厂区供电</w:t>
                  </w:r>
                </w:p>
              </w:tc>
            </w:tr>
          </w:tbl>
          <w:p w14:paraId="72DDCF56">
            <w:pPr>
              <w:spacing w:line="360" w:lineRule="auto"/>
              <w:jc w:val="left"/>
              <w:rPr>
                <w:rFonts w:hint="eastAsia" w:cs="宋体"/>
                <w:b/>
                <w:bCs/>
                <w:sz w:val="24"/>
                <w:highlight w:val="none"/>
              </w:rPr>
            </w:pPr>
            <w:r>
              <w:rPr>
                <w:rFonts w:hint="eastAsia" w:cs="宋体"/>
                <w:b/>
                <w:bCs/>
                <w:sz w:val="24"/>
                <w:highlight w:val="none"/>
                <w:lang w:val="en-US" w:eastAsia="zh-CN"/>
              </w:rPr>
              <w:t>6.</w:t>
            </w:r>
            <w:r>
              <w:rPr>
                <w:rFonts w:hint="eastAsia" w:cs="宋体"/>
                <w:b/>
                <w:bCs/>
                <w:sz w:val="24"/>
                <w:highlight w:val="none"/>
              </w:rPr>
              <w:t>公用工程</w:t>
            </w:r>
          </w:p>
          <w:p w14:paraId="35A10109">
            <w:pPr>
              <w:spacing w:line="360" w:lineRule="auto"/>
              <w:ind w:firstLine="480" w:firstLineChars="200"/>
              <w:rPr>
                <w:rFonts w:cs="宋体"/>
                <w:sz w:val="24"/>
                <w:highlight w:val="none"/>
              </w:rPr>
            </w:pPr>
            <w:r>
              <w:rPr>
                <w:rFonts w:hint="eastAsia" w:cs="宋体"/>
                <w:sz w:val="24"/>
                <w:highlight w:val="none"/>
                <w:lang w:val="en-US" w:eastAsia="zh-CN"/>
              </w:rPr>
              <w:t>6.1</w:t>
            </w:r>
            <w:r>
              <w:rPr>
                <w:rFonts w:hint="eastAsia" w:cs="宋体"/>
                <w:sz w:val="24"/>
                <w:highlight w:val="none"/>
              </w:rPr>
              <w:t>给排水</w:t>
            </w:r>
          </w:p>
          <w:p w14:paraId="56FFA013">
            <w:pPr>
              <w:spacing w:line="360" w:lineRule="auto"/>
              <w:ind w:firstLine="480" w:firstLineChars="200"/>
              <w:rPr>
                <w:rFonts w:hint="eastAsia" w:ascii="Times New Roman" w:hAnsi="Times New Roman" w:cs="宋体"/>
                <w:sz w:val="24"/>
                <w:highlight w:val="none"/>
                <w:rPrChange w:id="0" w:author="马马虎虎" w:date="2025-12-22T17:29:17Z">
                  <w:rPr>
                    <w:rFonts w:hint="default" w:ascii="Times New Roman" w:hAnsi="Times New Roman" w:cs="Times New Roman"/>
                    <w:sz w:val="24"/>
                    <w:highlight w:val="none"/>
                  </w:rPr>
                </w:rPrChange>
              </w:rPr>
            </w:pPr>
            <w:r>
              <w:rPr>
                <w:rFonts w:hint="eastAsia" w:ascii="Times New Roman" w:hAnsi="Times New Roman" w:cs="宋体"/>
                <w:sz w:val="24"/>
                <w:highlight w:val="none"/>
                <w:rPrChange w:id="1" w:author="马马虎虎" w:date="2025-12-22T17:29:17Z">
                  <w:rPr>
                    <w:rFonts w:hint="default" w:ascii="Times New Roman" w:hAnsi="Times New Roman" w:cs="Times New Roman"/>
                    <w:sz w:val="24"/>
                    <w:highlight w:val="none"/>
                  </w:rPr>
                </w:rPrChange>
              </w:rPr>
              <w:t>（1）施工期</w:t>
            </w:r>
          </w:p>
          <w:p w14:paraId="530003B3">
            <w:pPr>
              <w:spacing w:line="360" w:lineRule="auto"/>
              <w:ind w:firstLine="480" w:firstLineChars="200"/>
              <w:rPr>
                <w:rFonts w:hint="eastAsia" w:ascii="Times New Roman" w:hAnsi="Times New Roman" w:cs="宋体"/>
                <w:sz w:val="24"/>
                <w:szCs w:val="24"/>
                <w:highlight w:val="none"/>
              </w:rPr>
            </w:pPr>
            <w:r>
              <w:rPr>
                <w:rFonts w:hint="eastAsia" w:ascii="Times New Roman" w:hAnsi="Times New Roman" w:cs="宋体"/>
                <w:sz w:val="24"/>
                <w:szCs w:val="24"/>
                <w:highlight w:val="none"/>
                <w:rPrChange w:id="2" w:author="马马虎虎" w:date="2025-12-22T17:29:17Z">
                  <w:rPr>
                    <w:rFonts w:hint="default" w:ascii="Times New Roman" w:hAnsi="Times New Roman" w:cs="Times New Roman"/>
                    <w:sz w:val="24"/>
                    <w:szCs w:val="24"/>
                    <w:highlight w:val="none"/>
                  </w:rPr>
                </w:rPrChange>
              </w:rPr>
              <w:t>本项目施工期水源依托厂区内现有</w:t>
            </w:r>
            <w:r>
              <w:rPr>
                <w:rFonts w:hint="eastAsia" w:ascii="Times New Roman" w:hAnsi="Times New Roman" w:cs="宋体"/>
                <w:sz w:val="24"/>
                <w:szCs w:val="24"/>
                <w:highlight w:val="none"/>
                <w:lang w:val="en-US" w:eastAsia="zh-CN"/>
                <w:rPrChange w:id="3" w:author="马马虎虎" w:date="2025-12-22T17:29:17Z">
                  <w:rPr>
                    <w:rFonts w:hint="eastAsia" w:ascii="Times New Roman" w:hAnsi="Times New Roman" w:cs="Times New Roman"/>
                    <w:sz w:val="24"/>
                    <w:szCs w:val="24"/>
                    <w:highlight w:val="none"/>
                    <w:lang w:val="en-US" w:eastAsia="zh-CN"/>
                  </w:rPr>
                </w:rPrChange>
              </w:rPr>
              <w:t>用水管网</w:t>
            </w:r>
            <w:r>
              <w:rPr>
                <w:rFonts w:hint="eastAsia" w:ascii="Times New Roman" w:hAnsi="Times New Roman" w:cs="宋体"/>
                <w:sz w:val="24"/>
                <w:szCs w:val="24"/>
                <w:highlight w:val="none"/>
                <w:rPrChange w:id="4" w:author="马马虎虎" w:date="2025-12-22T17:29:17Z">
                  <w:rPr>
                    <w:rFonts w:hint="default" w:ascii="Times New Roman" w:hAnsi="Times New Roman" w:cs="Times New Roman"/>
                    <w:sz w:val="24"/>
                    <w:szCs w:val="24"/>
                    <w:highlight w:val="none"/>
                  </w:rPr>
                </w:rPrChange>
              </w:rPr>
              <w:t>提供</w:t>
            </w:r>
            <w:r>
              <w:rPr>
                <w:rFonts w:hint="eastAsia" w:ascii="Times New Roman" w:hAnsi="Times New Roman" w:cs="宋体"/>
                <w:sz w:val="24"/>
                <w:szCs w:val="24"/>
                <w:highlight w:val="none"/>
                <w:lang w:eastAsia="zh-CN"/>
                <w:rPrChange w:id="5" w:author="马马虎虎" w:date="2025-12-22T17:29:17Z">
                  <w:rPr>
                    <w:rFonts w:hint="eastAsia" w:ascii="Times New Roman" w:hAnsi="Times New Roman" w:cs="Times New Roman"/>
                    <w:sz w:val="24"/>
                    <w:szCs w:val="24"/>
                    <w:highlight w:val="none"/>
                    <w:lang w:eastAsia="zh-CN"/>
                  </w:rPr>
                </w:rPrChange>
              </w:rPr>
              <w:t>的</w:t>
            </w:r>
            <w:r>
              <w:rPr>
                <w:rFonts w:hint="eastAsia" w:ascii="Times New Roman" w:hAnsi="Times New Roman" w:cs="宋体"/>
                <w:sz w:val="24"/>
                <w:szCs w:val="24"/>
                <w:highlight w:val="none"/>
                <w:lang w:val="en-US" w:eastAsia="zh-CN"/>
                <w:rPrChange w:id="6" w:author="马马虎虎" w:date="2025-12-22T17:29:17Z">
                  <w:rPr>
                    <w:rFonts w:hint="eastAsia" w:ascii="Times New Roman" w:hAnsi="Times New Roman" w:cs="Times New Roman"/>
                    <w:sz w:val="24"/>
                    <w:szCs w:val="24"/>
                    <w:highlight w:val="none"/>
                    <w:lang w:val="en-US" w:eastAsia="zh-CN"/>
                  </w:rPr>
                </w:rPrChange>
              </w:rPr>
              <w:t>新鲜水</w:t>
            </w:r>
            <w:r>
              <w:rPr>
                <w:rFonts w:hint="eastAsia" w:ascii="Times New Roman" w:hAnsi="Times New Roman" w:cs="宋体"/>
                <w:sz w:val="24"/>
                <w:szCs w:val="24"/>
                <w:highlight w:val="none"/>
                <w:rPrChange w:id="7" w:author="马马虎虎" w:date="2025-12-22T17:29:17Z">
                  <w:rPr>
                    <w:rFonts w:hint="default" w:ascii="Times New Roman" w:hAnsi="Times New Roman" w:cs="Times New Roman"/>
                    <w:sz w:val="24"/>
                    <w:szCs w:val="24"/>
                    <w:highlight w:val="none"/>
                  </w:rPr>
                </w:rPrChange>
              </w:rPr>
              <w:t>。施工期用水主要包括试压用水、抑尘用水。施工期12个月，施工期总用水量为</w:t>
            </w:r>
            <w:r>
              <w:rPr>
                <w:rFonts w:hint="eastAsia" w:ascii="Times New Roman" w:hAnsi="Times New Roman" w:cs="宋体"/>
                <w:sz w:val="24"/>
                <w:szCs w:val="24"/>
                <w:highlight w:val="none"/>
                <w:lang w:val="en-US" w:eastAsia="zh-CN"/>
                <w:rPrChange w:id="8" w:author="马马虎虎" w:date="2025-12-22T17:29:17Z">
                  <w:rPr>
                    <w:rFonts w:hint="eastAsia" w:ascii="Times New Roman" w:hAnsi="Times New Roman" w:cs="Times New Roman"/>
                    <w:sz w:val="24"/>
                    <w:szCs w:val="24"/>
                    <w:highlight w:val="none"/>
                    <w:lang w:val="en-US" w:eastAsia="zh-CN"/>
                  </w:rPr>
                </w:rPrChange>
              </w:rPr>
              <w:t>236</w:t>
            </w:r>
            <w:r>
              <w:rPr>
                <w:rFonts w:hint="eastAsia" w:ascii="Times New Roman" w:hAnsi="Times New Roman" w:cs="宋体"/>
                <w:sz w:val="24"/>
                <w:szCs w:val="24"/>
                <w:highlight w:val="none"/>
                <w:rPrChange w:id="9" w:author="马马虎虎" w:date="2025-12-22T17:29:17Z">
                  <w:rPr>
                    <w:rFonts w:hint="default" w:ascii="Times New Roman" w:hAnsi="Times New Roman" w:cs="Times New Roman"/>
                    <w:sz w:val="24"/>
                    <w:szCs w:val="24"/>
                    <w:highlight w:val="none"/>
                  </w:rPr>
                </w:rPrChange>
              </w:rPr>
              <w:t>t，总废水排量为</w:t>
            </w:r>
            <w:r>
              <w:rPr>
                <w:rFonts w:hint="eastAsia" w:ascii="Times New Roman" w:hAnsi="Times New Roman" w:cs="宋体"/>
                <w:sz w:val="24"/>
                <w:szCs w:val="24"/>
                <w:highlight w:val="none"/>
                <w:lang w:val="en-US" w:eastAsia="zh-CN"/>
                <w:rPrChange w:id="10" w:author="马马虎虎" w:date="2025-12-22T17:29:17Z">
                  <w:rPr>
                    <w:rFonts w:hint="eastAsia" w:ascii="Times New Roman" w:hAnsi="Times New Roman" w:cs="Times New Roman"/>
                    <w:sz w:val="24"/>
                    <w:szCs w:val="24"/>
                    <w:highlight w:val="none"/>
                    <w:lang w:val="en-US" w:eastAsia="zh-CN"/>
                  </w:rPr>
                </w:rPrChange>
              </w:rPr>
              <w:t>200</w:t>
            </w:r>
            <w:r>
              <w:rPr>
                <w:rFonts w:hint="eastAsia" w:ascii="Times New Roman" w:hAnsi="Times New Roman" w:cs="宋体"/>
                <w:sz w:val="24"/>
                <w:szCs w:val="24"/>
                <w:highlight w:val="none"/>
                <w:rPrChange w:id="11" w:author="马马虎虎" w:date="2025-12-22T17:29:17Z">
                  <w:rPr>
                    <w:rFonts w:hint="default" w:ascii="Times New Roman" w:hAnsi="Times New Roman" w:cs="Times New Roman"/>
                    <w:sz w:val="24"/>
                    <w:szCs w:val="24"/>
                    <w:highlight w:val="none"/>
                  </w:rPr>
                </w:rPrChange>
              </w:rPr>
              <w:t>t</w:t>
            </w:r>
            <w:r>
              <w:rPr>
                <w:rFonts w:hint="eastAsia" w:ascii="Times New Roman" w:hAnsi="Times New Roman" w:cs="宋体"/>
                <w:sz w:val="24"/>
                <w:szCs w:val="24"/>
                <w:highlight w:val="none"/>
                <w:lang w:val="en-US" w:eastAsia="zh-CN"/>
                <w:rPrChange w:id="12" w:author="马马虎虎" w:date="2025-12-22T17:29:17Z">
                  <w:rPr>
                    <w:rFonts w:hint="default" w:ascii="Times New Roman" w:hAnsi="Times New Roman" w:cs="Times New Roman"/>
                    <w:sz w:val="24"/>
                    <w:szCs w:val="24"/>
                    <w:highlight w:val="none"/>
                    <w:lang w:val="en-US" w:eastAsia="zh-CN"/>
                  </w:rPr>
                </w:rPrChange>
              </w:rPr>
              <w:t>/</w:t>
            </w:r>
            <w:r>
              <w:rPr>
                <w:rFonts w:hint="eastAsia" w:ascii="Times New Roman" w:hAnsi="Times New Roman" w:cs="宋体"/>
                <w:sz w:val="24"/>
                <w:szCs w:val="24"/>
                <w:highlight w:val="none"/>
                <w:lang w:val="en-US" w:eastAsia="zh-CN"/>
              </w:rPr>
              <w:t>a</w:t>
            </w:r>
            <w:r>
              <w:rPr>
                <w:rFonts w:hint="eastAsia" w:ascii="Times New Roman" w:hAnsi="Times New Roman" w:cs="宋体"/>
                <w:sz w:val="24"/>
                <w:szCs w:val="24"/>
                <w:highlight w:val="none"/>
              </w:rPr>
              <w:t>，</w:t>
            </w:r>
            <w:r>
              <w:rPr>
                <w:rFonts w:hint="eastAsia" w:ascii="Times New Roman" w:hAnsi="Times New Roman" w:eastAsia="宋体" w:cs="宋体"/>
                <w:kern w:val="2"/>
                <w:sz w:val="24"/>
                <w:szCs w:val="24"/>
                <w:highlight w:val="none"/>
              </w:rPr>
              <w:t>施工期</w:t>
            </w:r>
            <w:r>
              <w:rPr>
                <w:rFonts w:hint="eastAsia" w:cs="宋体"/>
                <w:kern w:val="2"/>
                <w:sz w:val="24"/>
                <w:szCs w:val="24"/>
                <w:highlight w:val="none"/>
                <w:lang w:val="en-US" w:eastAsia="zh-CN"/>
              </w:rPr>
              <w:t>试压</w:t>
            </w:r>
            <w:r>
              <w:rPr>
                <w:rFonts w:hint="eastAsia" w:ascii="Times New Roman" w:hAnsi="Times New Roman" w:eastAsia="宋体" w:cs="宋体"/>
                <w:kern w:val="2"/>
                <w:sz w:val="24"/>
                <w:szCs w:val="24"/>
                <w:highlight w:val="none"/>
              </w:rPr>
              <w:t>废水</w:t>
            </w:r>
            <w:r>
              <w:rPr>
                <w:rFonts w:hint="eastAsia" w:cs="宋体"/>
                <w:kern w:val="2"/>
                <w:sz w:val="24"/>
                <w:szCs w:val="24"/>
                <w:highlight w:val="none"/>
                <w:lang w:val="en-US" w:eastAsia="zh-CN"/>
              </w:rPr>
              <w:t>产生后通过罐车运输至伊泰化工</w:t>
            </w:r>
            <w:r>
              <w:rPr>
                <w:rFonts w:hint="eastAsia" w:ascii="Times New Roman" w:hAnsi="Times New Roman" w:eastAsia="宋体" w:cs="宋体"/>
                <w:kern w:val="2"/>
                <w:sz w:val="24"/>
                <w:szCs w:val="24"/>
                <w:highlight w:val="none"/>
              </w:rPr>
              <w:t>厂区内现有</w:t>
            </w:r>
            <w:r>
              <w:rPr>
                <w:rFonts w:hint="eastAsia" w:cs="宋体"/>
                <w:sz w:val="24"/>
                <w:highlight w:val="none"/>
              </w:rPr>
              <w:t>污水处理站废水处理及回用清净废水处理单元</w:t>
            </w:r>
            <w:r>
              <w:rPr>
                <w:rFonts w:hint="eastAsia" w:ascii="Times New Roman" w:hAnsi="Times New Roman" w:eastAsia="宋体" w:cs="宋体"/>
                <w:kern w:val="2"/>
                <w:sz w:val="24"/>
                <w:szCs w:val="24"/>
                <w:highlight w:val="none"/>
              </w:rPr>
              <w:t>，处理后回用，不外排。</w:t>
            </w:r>
          </w:p>
          <w:p w14:paraId="531DA19E">
            <w:pPr>
              <w:spacing w:line="360" w:lineRule="auto"/>
              <w:ind w:firstLine="480" w:firstLineChars="200"/>
              <w:rPr>
                <w:rFonts w:hint="eastAsia" w:cs="宋体"/>
                <w:sz w:val="24"/>
                <w:highlight w:val="none"/>
              </w:rPr>
            </w:pPr>
            <w:r>
              <w:rPr>
                <w:rFonts w:hint="eastAsia" w:cs="宋体"/>
                <w:sz w:val="24"/>
                <w:highlight w:val="none"/>
              </w:rPr>
              <w:t>①试压用水</w:t>
            </w:r>
          </w:p>
          <w:p w14:paraId="3733A8B1">
            <w:pPr>
              <w:spacing w:line="360" w:lineRule="auto"/>
              <w:ind w:firstLine="480" w:firstLineChars="200"/>
              <w:rPr>
                <w:rFonts w:hint="eastAsia" w:ascii="Times New Roman" w:hAnsi="Times New Roman" w:eastAsia="宋体" w:cs="Times New Roman"/>
                <w:kern w:val="2"/>
                <w:sz w:val="24"/>
                <w:szCs w:val="24"/>
                <w:highlight w:val="none"/>
                <w:lang w:val="zh-CN" w:eastAsia="zh-CN" w:bidi="zh-CN"/>
              </w:rPr>
            </w:pPr>
            <w:r>
              <w:rPr>
                <w:rFonts w:hint="eastAsia" w:cs="宋体"/>
                <w:sz w:val="24"/>
                <w:highlight w:val="none"/>
              </w:rPr>
              <w:t>试压用水是</w:t>
            </w:r>
            <w:r>
              <w:rPr>
                <w:rFonts w:hint="eastAsia" w:cs="宋体"/>
                <w:sz w:val="24"/>
                <w:highlight w:val="none"/>
                <w:lang w:eastAsia="zh-CN"/>
              </w:rPr>
              <w:t>指</w:t>
            </w:r>
            <w:r>
              <w:rPr>
                <w:rFonts w:hint="eastAsia" w:cs="宋体"/>
                <w:sz w:val="24"/>
                <w:highlight w:val="none"/>
              </w:rPr>
              <w:t>管道在安装完毕和无损检测合格后进行的水压试验产生的废水。管道试压采用</w:t>
            </w:r>
            <w:r>
              <w:rPr>
                <w:rFonts w:hint="eastAsia" w:cs="宋体"/>
                <w:sz w:val="24"/>
                <w:highlight w:val="none"/>
                <w:lang w:val="en-US" w:eastAsia="zh-CN"/>
              </w:rPr>
              <w:t>新鲜水</w:t>
            </w:r>
            <w:r>
              <w:rPr>
                <w:rFonts w:hint="eastAsia" w:cs="宋体"/>
                <w:sz w:val="24"/>
                <w:highlight w:val="none"/>
              </w:rPr>
              <w:t>，试压后需把水排尽，</w:t>
            </w:r>
            <w:r>
              <w:rPr>
                <w:rFonts w:hint="eastAsia" w:cs="宋体"/>
                <w:sz w:val="24"/>
                <w:highlight w:val="none"/>
                <w:lang w:val="en-US" w:eastAsia="zh-CN"/>
              </w:rPr>
              <w:t>本项目采取循环利用水资源的方式。按照最大管道，本项目</w:t>
            </w:r>
            <w:r>
              <w:rPr>
                <w:rFonts w:hint="eastAsia" w:cs="宋体"/>
                <w:sz w:val="24"/>
                <w:highlight w:val="none"/>
              </w:rPr>
              <w:t>试压</w:t>
            </w:r>
            <w:r>
              <w:rPr>
                <w:rFonts w:hint="eastAsia" w:cs="宋体"/>
                <w:sz w:val="24"/>
                <w:highlight w:val="none"/>
                <w:lang w:val="en-US" w:eastAsia="zh-CN"/>
              </w:rPr>
              <w:t>用水为200</w:t>
            </w:r>
            <w:r>
              <w:rPr>
                <w:rFonts w:hint="eastAsia" w:cs="宋体"/>
                <w:sz w:val="24"/>
                <w:highlight w:val="none"/>
              </w:rPr>
              <w:t>t，</w:t>
            </w:r>
            <w:r>
              <w:rPr>
                <w:rFonts w:hint="eastAsia" w:cs="宋体"/>
                <w:sz w:val="24"/>
                <w:highlight w:val="none"/>
                <w:lang w:val="en-US" w:eastAsia="zh-CN"/>
              </w:rPr>
              <w:t>采取循环利用的方式。试压</w:t>
            </w:r>
            <w:r>
              <w:rPr>
                <w:rFonts w:hint="eastAsia" w:cs="宋体"/>
                <w:sz w:val="24"/>
                <w:highlight w:val="none"/>
              </w:rPr>
              <w:t>废水中含有少量SS，污染物来源为管道内部灰尘和杂质，</w:t>
            </w:r>
            <w:r>
              <w:rPr>
                <w:rFonts w:hint="eastAsia" w:cs="宋体"/>
                <w:sz w:val="24"/>
                <w:highlight w:val="none"/>
                <w:lang w:val="en-US" w:eastAsia="zh-CN"/>
              </w:rPr>
              <w:t>排入</w:t>
            </w:r>
            <w:r>
              <w:rPr>
                <w:rFonts w:hint="eastAsia" w:cs="宋体"/>
                <w:kern w:val="2"/>
                <w:sz w:val="24"/>
                <w:szCs w:val="24"/>
                <w:highlight w:val="none"/>
                <w:lang w:val="en-US" w:eastAsia="zh-CN"/>
              </w:rPr>
              <w:t>伊泰化工</w:t>
            </w:r>
            <w:r>
              <w:rPr>
                <w:rFonts w:hint="eastAsia" w:ascii="Times New Roman" w:hAnsi="Times New Roman" w:eastAsia="宋体" w:cs="宋体"/>
                <w:kern w:val="2"/>
                <w:sz w:val="24"/>
                <w:szCs w:val="24"/>
                <w:highlight w:val="none"/>
              </w:rPr>
              <w:t>厂区内现有</w:t>
            </w:r>
            <w:r>
              <w:rPr>
                <w:rFonts w:hint="eastAsia" w:cs="宋体"/>
                <w:sz w:val="24"/>
                <w:highlight w:val="none"/>
              </w:rPr>
              <w:t>污水处理站废水处理及回用清净废水处理单元</w:t>
            </w:r>
            <w:r>
              <w:rPr>
                <w:rFonts w:hint="eastAsia" w:ascii="Times New Roman" w:hAnsi="Times New Roman" w:eastAsia="宋体" w:cs="宋体"/>
                <w:kern w:val="2"/>
                <w:sz w:val="24"/>
                <w:szCs w:val="24"/>
                <w:highlight w:val="none"/>
              </w:rPr>
              <w:t>，处理后回用，不外排</w:t>
            </w:r>
            <w:r>
              <w:rPr>
                <w:rFonts w:hint="eastAsia" w:ascii="Times New Roman" w:hAnsi="Times New Roman" w:eastAsia="宋体" w:cs="Times New Roman"/>
                <w:kern w:val="2"/>
                <w:sz w:val="24"/>
                <w:szCs w:val="24"/>
                <w:highlight w:val="none"/>
                <w:lang w:val="zh-CN" w:eastAsia="zh-CN" w:bidi="zh-CN"/>
              </w:rPr>
              <w:t>。</w:t>
            </w:r>
          </w:p>
          <w:p w14:paraId="3F207076">
            <w:pPr>
              <w:spacing w:line="360" w:lineRule="auto"/>
              <w:ind w:firstLine="480" w:firstLineChars="200"/>
              <w:rPr>
                <w:rFonts w:cs="宋体"/>
                <w:sz w:val="24"/>
                <w:highlight w:val="none"/>
              </w:rPr>
            </w:pPr>
            <w:r>
              <w:rPr>
                <w:rFonts w:hint="eastAsia" w:cs="宋体"/>
                <w:sz w:val="24"/>
                <w:highlight w:val="none"/>
              </w:rPr>
              <w:t>②抑尘用水</w:t>
            </w:r>
          </w:p>
          <w:p w14:paraId="2CF9C637">
            <w:pPr>
              <w:spacing w:line="360" w:lineRule="auto"/>
              <w:ind w:firstLine="480" w:firstLineChars="200"/>
              <w:rPr>
                <w:rFonts w:hint="eastAsia" w:cs="宋体"/>
                <w:sz w:val="24"/>
                <w:highlight w:val="none"/>
              </w:rPr>
            </w:pPr>
            <w:r>
              <w:rPr>
                <w:rFonts w:hint="eastAsia" w:cs="宋体"/>
                <w:sz w:val="24"/>
                <w:highlight w:val="none"/>
              </w:rPr>
              <w:t>施工场地需定期洒水进行抑尘，洒水抑尘采用清洁水，</w:t>
            </w:r>
            <w:r>
              <w:rPr>
                <w:rFonts w:hint="eastAsia" w:cs="宋体"/>
                <w:sz w:val="24"/>
                <w:highlight w:val="none"/>
                <w:lang w:val="en-US" w:eastAsia="zh-CN"/>
              </w:rPr>
              <w:t>根据设计提供资料，</w:t>
            </w:r>
            <w:r>
              <w:rPr>
                <w:rFonts w:hint="eastAsia" w:cs="宋体"/>
                <w:sz w:val="24"/>
                <w:highlight w:val="none"/>
              </w:rPr>
              <w:t>用水量约为</w:t>
            </w:r>
            <w:r>
              <w:rPr>
                <w:rFonts w:hint="eastAsia" w:cs="宋体"/>
                <w:sz w:val="24"/>
                <w:highlight w:val="none"/>
                <w:lang w:val="en-US" w:eastAsia="zh-CN"/>
              </w:rPr>
              <w:t>36t/a</w:t>
            </w:r>
            <w:r>
              <w:rPr>
                <w:rFonts w:hint="eastAsia" w:cs="宋体"/>
                <w:sz w:val="24"/>
                <w:highlight w:val="none"/>
              </w:rPr>
              <w:t>，抑尘用水经地面渗透及蒸发，不会产生废水。</w:t>
            </w:r>
          </w:p>
          <w:p w14:paraId="1E5E9C18">
            <w:pPr>
              <w:spacing w:line="360" w:lineRule="auto"/>
              <w:ind w:firstLine="480" w:firstLineChars="200"/>
              <w:rPr>
                <w:rFonts w:hint="eastAsia" w:cs="宋体"/>
                <w:sz w:val="24"/>
                <w:highlight w:val="none"/>
              </w:rPr>
            </w:pPr>
            <w:r>
              <w:rPr>
                <w:rFonts w:hint="eastAsia" w:cs="宋体"/>
                <w:sz w:val="24"/>
                <w:highlight w:val="none"/>
              </w:rPr>
              <w:t>③施工人员生活用水</w:t>
            </w:r>
          </w:p>
          <w:p w14:paraId="0B0832DB">
            <w:pPr>
              <w:spacing w:line="360" w:lineRule="auto"/>
              <w:ind w:firstLine="480" w:firstLineChars="200"/>
              <w:rPr>
                <w:rFonts w:hint="eastAsia" w:cs="宋体"/>
                <w:color w:val="1900FF"/>
                <w:sz w:val="24"/>
                <w:highlight w:val="none"/>
              </w:rPr>
            </w:pPr>
            <w:r>
              <w:rPr>
                <w:rFonts w:hint="eastAsia" w:cs="宋体"/>
                <w:sz w:val="24"/>
                <w:highlight w:val="none"/>
              </w:rPr>
              <w:t>本项目</w:t>
            </w:r>
            <w:r>
              <w:rPr>
                <w:rFonts w:hint="eastAsia" w:cs="宋体"/>
                <w:sz w:val="24"/>
                <w:highlight w:val="none"/>
                <w:lang w:eastAsia="zh-CN"/>
              </w:rPr>
              <w:t>施工</w:t>
            </w:r>
            <w:r>
              <w:rPr>
                <w:rFonts w:hint="eastAsia" w:cs="宋体"/>
                <w:sz w:val="24"/>
                <w:highlight w:val="none"/>
              </w:rPr>
              <w:t>人员</w:t>
            </w:r>
            <w:r>
              <w:rPr>
                <w:rFonts w:hint="eastAsia" w:cs="宋体"/>
                <w:sz w:val="24"/>
                <w:highlight w:val="none"/>
                <w:lang w:val="en-US" w:eastAsia="zh-CN"/>
              </w:rPr>
              <w:t>依托内蒙古伊泰化工有限责任公司现有工作人员，生活污水</w:t>
            </w:r>
            <w:r>
              <w:rPr>
                <w:rFonts w:hint="eastAsia" w:cs="宋体"/>
                <w:sz w:val="24"/>
                <w:highlight w:val="none"/>
              </w:rPr>
              <w:t>依托现有公共卫生间集中收集</w:t>
            </w:r>
            <w:r>
              <w:rPr>
                <w:rFonts w:hint="eastAsia" w:cs="宋体"/>
                <w:sz w:val="24"/>
                <w:highlight w:val="none"/>
                <w:lang w:val="en-US" w:eastAsia="zh-CN"/>
              </w:rPr>
              <w:t>，最终排向厂区污水处理站，不新增排水量</w:t>
            </w:r>
            <w:r>
              <w:rPr>
                <w:rFonts w:hint="eastAsia" w:cs="宋体"/>
                <w:sz w:val="24"/>
                <w:highlight w:val="none"/>
              </w:rPr>
              <w:t>。</w:t>
            </w:r>
          </w:p>
          <w:p w14:paraId="3D030689">
            <w:pPr>
              <w:spacing w:line="360" w:lineRule="auto"/>
              <w:ind w:firstLine="480" w:firstLineChars="200"/>
              <w:rPr>
                <w:rFonts w:cs="宋体"/>
                <w:sz w:val="24"/>
                <w:highlight w:val="none"/>
              </w:rPr>
            </w:pPr>
            <w:r>
              <w:rPr>
                <w:rFonts w:hint="eastAsia" w:cs="宋体"/>
                <w:sz w:val="24"/>
                <w:highlight w:val="none"/>
              </w:rPr>
              <w:t>本项目施工期水平衡见图2-</w:t>
            </w:r>
            <w:r>
              <w:rPr>
                <w:rFonts w:hint="eastAsia" w:cs="宋体"/>
                <w:sz w:val="24"/>
                <w:highlight w:val="none"/>
                <w:lang w:val="en-US" w:eastAsia="zh-CN"/>
              </w:rPr>
              <w:t>3</w:t>
            </w:r>
            <w:r>
              <w:rPr>
                <w:rFonts w:hint="eastAsia" w:cs="宋体"/>
                <w:sz w:val="24"/>
                <w:highlight w:val="none"/>
              </w:rPr>
              <w:t>。</w:t>
            </w:r>
          </w:p>
          <w:p w14:paraId="608772B6">
            <w:pPr>
              <w:spacing w:line="360" w:lineRule="auto"/>
              <w:jc w:val="center"/>
              <w:rPr>
                <w:rFonts w:hint="eastAsia" w:cs="宋体"/>
                <w:color w:val="1900FF"/>
                <w:szCs w:val="21"/>
                <w:highlight w:val="none"/>
              </w:rPr>
            </w:pPr>
            <w:r>
              <w:rPr>
                <w:color w:val="1900FF"/>
                <w:highlight w:val="none"/>
              </w:rPr>
              <w:object>
                <v:shape id="_x0000_i1025" o:spt="75" type="#_x0000_t75" style="height:157.2pt;width:413.35pt;" o:ole="t" filled="f" o:preferrelative="t" stroked="f" coordsize="21600,21600">
                  <v:path/>
                  <v:fill on="f" focussize="0,0"/>
                  <v:stroke on="f"/>
                  <v:imagedata r:id="rId15" o:title=""/>
                  <o:lock v:ext="edit" aspectratio="t"/>
                  <w10:wrap type="none"/>
                  <w10:anchorlock/>
                </v:shape>
                <o:OLEObject Type="Embed" ProgID="Visio.Drawing.15" ShapeID="_x0000_i1025" DrawAspect="Content" ObjectID="_1468075725" r:id="rId14">
                  <o:LockedField>false</o:LockedField>
                </o:OLEObject>
              </w:object>
            </w:r>
          </w:p>
          <w:p w14:paraId="44EDE728">
            <w:pPr>
              <w:adjustRightInd w:val="0"/>
              <w:snapToGrid w:val="0"/>
              <w:spacing w:line="360" w:lineRule="auto"/>
              <w:ind w:firstLine="0" w:firstLineChars="0"/>
              <w:jc w:val="center"/>
              <w:outlineLvl w:val="9"/>
              <w:rPr>
                <w:rFonts w:hint="eastAsia" w:ascii="Times New Roman" w:hAnsi="Times New Roman" w:eastAsia="宋体" w:cs="Times New Roman"/>
                <w:b/>
                <w:bCs/>
                <w:sz w:val="21"/>
                <w:szCs w:val="21"/>
                <w:highlight w:val="none"/>
              </w:rPr>
            </w:pPr>
            <w:r>
              <w:rPr>
                <w:rFonts w:hint="eastAsia" w:ascii="Times New Roman" w:hAnsi="Times New Roman" w:eastAsia="宋体" w:cs="Times New Roman"/>
                <w:b/>
                <w:bCs/>
                <w:sz w:val="21"/>
                <w:szCs w:val="21"/>
                <w:highlight w:val="none"/>
              </w:rPr>
              <w:t>图2-</w:t>
            </w:r>
            <w:r>
              <w:rPr>
                <w:rFonts w:hint="eastAsia" w:cs="Times New Roman"/>
                <w:b/>
                <w:bCs/>
                <w:sz w:val="21"/>
                <w:szCs w:val="21"/>
                <w:highlight w:val="none"/>
                <w:lang w:val="en-US" w:eastAsia="zh-CN"/>
              </w:rPr>
              <w:t>3</w:t>
            </w:r>
            <w:r>
              <w:rPr>
                <w:rFonts w:hint="eastAsia" w:ascii="Times New Roman" w:hAnsi="Times New Roman" w:eastAsia="宋体" w:cs="Times New Roman"/>
                <w:b/>
                <w:bCs/>
                <w:sz w:val="21"/>
                <w:szCs w:val="21"/>
                <w:highlight w:val="none"/>
              </w:rPr>
              <w:t xml:space="preserve">   施工期水平衡图（t/a）</w:t>
            </w:r>
          </w:p>
          <w:p w14:paraId="35B99AB7">
            <w:pPr>
              <w:spacing w:line="360" w:lineRule="auto"/>
              <w:ind w:firstLine="480" w:firstLineChars="200"/>
              <w:rPr>
                <w:rFonts w:cs="宋体"/>
                <w:sz w:val="24"/>
                <w:highlight w:val="none"/>
              </w:rPr>
            </w:pPr>
            <w:r>
              <w:rPr>
                <w:rFonts w:hint="eastAsia" w:cs="宋体"/>
                <w:sz w:val="24"/>
                <w:highlight w:val="none"/>
              </w:rPr>
              <w:t>（2）运营期</w:t>
            </w:r>
          </w:p>
          <w:p w14:paraId="0ED280AB">
            <w:pPr>
              <w:spacing w:line="360" w:lineRule="auto"/>
              <w:ind w:firstLine="480" w:firstLineChars="200"/>
              <w:rPr>
                <w:rFonts w:cs="宋体"/>
                <w:sz w:val="24"/>
                <w:highlight w:val="none"/>
              </w:rPr>
            </w:pPr>
            <w:r>
              <w:rPr>
                <w:rFonts w:hint="eastAsia" w:cs="宋体"/>
                <w:sz w:val="24"/>
                <w:highlight w:val="none"/>
              </w:rPr>
              <w:t>本项目运营期无需工艺用水。</w:t>
            </w:r>
          </w:p>
          <w:p w14:paraId="2B299E61">
            <w:pPr>
              <w:spacing w:line="360" w:lineRule="auto"/>
              <w:ind w:firstLine="480" w:firstLineChars="200"/>
              <w:rPr>
                <w:sz w:val="24"/>
                <w:highlight w:val="none"/>
              </w:rPr>
            </w:pPr>
            <w:r>
              <w:rPr>
                <w:rFonts w:hint="eastAsia" w:cs="宋体"/>
                <w:sz w:val="24"/>
                <w:highlight w:val="none"/>
              </w:rPr>
              <w:t>本项目无新增员工，无新增生活用水。</w:t>
            </w:r>
          </w:p>
          <w:p w14:paraId="75D3A66B">
            <w:pPr>
              <w:spacing w:line="360" w:lineRule="auto"/>
              <w:ind w:firstLine="480" w:firstLineChars="200"/>
              <w:rPr>
                <w:rFonts w:hint="eastAsia" w:cs="宋体"/>
                <w:sz w:val="24"/>
                <w:highlight w:val="none"/>
              </w:rPr>
            </w:pPr>
            <w:r>
              <w:rPr>
                <w:rFonts w:hint="eastAsia" w:cs="宋体"/>
                <w:sz w:val="24"/>
                <w:highlight w:val="none"/>
                <w:lang w:val="en-US" w:eastAsia="zh-CN"/>
              </w:rPr>
              <w:t>6.2</w:t>
            </w:r>
            <w:r>
              <w:rPr>
                <w:rFonts w:hint="eastAsia" w:cs="宋体"/>
                <w:sz w:val="24"/>
                <w:highlight w:val="none"/>
              </w:rPr>
              <w:t>供电</w:t>
            </w:r>
          </w:p>
          <w:p w14:paraId="26494773">
            <w:pPr>
              <w:spacing w:line="360" w:lineRule="auto"/>
              <w:ind w:firstLine="480" w:firstLineChars="200"/>
              <w:rPr>
                <w:rFonts w:hint="eastAsia" w:cs="宋体"/>
                <w:sz w:val="24"/>
                <w:highlight w:val="none"/>
              </w:rPr>
            </w:pPr>
            <w:r>
              <w:rPr>
                <w:rFonts w:hint="eastAsia"/>
                <w:sz w:val="24"/>
                <w:highlight w:val="none"/>
              </w:rPr>
              <w:t>本项目主要是控制室及视频监控</w:t>
            </w:r>
            <w:r>
              <w:rPr>
                <w:rFonts w:hint="eastAsia"/>
                <w:sz w:val="24"/>
                <w:highlight w:val="none"/>
                <w:lang w:eastAsia="zh-CN"/>
              </w:rPr>
              <w:t>、</w:t>
            </w:r>
            <w:r>
              <w:rPr>
                <w:rFonts w:hint="eastAsia"/>
                <w:sz w:val="24"/>
                <w:highlight w:val="none"/>
                <w:lang w:val="en-US" w:eastAsia="zh-CN"/>
              </w:rPr>
              <w:t>甲烷压缩机等</w:t>
            </w:r>
            <w:r>
              <w:rPr>
                <w:rFonts w:hint="eastAsia"/>
                <w:sz w:val="24"/>
                <w:highlight w:val="none"/>
              </w:rPr>
              <w:t>需要用电，电源为场内现有设施</w:t>
            </w:r>
            <w:r>
              <w:rPr>
                <w:rFonts w:hint="eastAsia" w:cs="宋体"/>
                <w:sz w:val="24"/>
                <w:highlight w:val="none"/>
              </w:rPr>
              <w:t>。</w:t>
            </w:r>
          </w:p>
          <w:p w14:paraId="1B0AAB8A">
            <w:pPr>
              <w:spacing w:line="360" w:lineRule="auto"/>
              <w:ind w:firstLine="480" w:firstLineChars="200"/>
              <w:rPr>
                <w:rFonts w:hint="eastAsia" w:cs="宋体"/>
                <w:sz w:val="24"/>
                <w:highlight w:val="none"/>
              </w:rPr>
            </w:pPr>
            <w:r>
              <w:rPr>
                <w:rFonts w:hint="eastAsia" w:cs="宋体"/>
                <w:sz w:val="24"/>
                <w:highlight w:val="none"/>
                <w:lang w:val="en-US" w:eastAsia="zh-CN"/>
              </w:rPr>
              <w:t>6.3</w:t>
            </w:r>
            <w:r>
              <w:rPr>
                <w:rFonts w:hint="eastAsia" w:cs="宋体"/>
                <w:sz w:val="24"/>
                <w:highlight w:val="none"/>
              </w:rPr>
              <w:t>消防</w:t>
            </w:r>
          </w:p>
          <w:p w14:paraId="31DAF83A">
            <w:pPr>
              <w:adjustRightInd w:val="0"/>
              <w:snapToGrid w:val="0"/>
              <w:spacing w:line="360" w:lineRule="auto"/>
              <w:ind w:firstLine="480" w:firstLineChars="200"/>
              <w:rPr>
                <w:color w:val="000000"/>
                <w:sz w:val="24"/>
                <w:highlight w:val="none"/>
              </w:rPr>
            </w:pPr>
            <w:r>
              <w:rPr>
                <w:rFonts w:hint="eastAsia"/>
                <w:color w:val="000000"/>
                <w:sz w:val="24"/>
                <w:highlight w:val="none"/>
              </w:rPr>
              <w:t>本项目不新建消防站，依托</w:t>
            </w:r>
            <w:r>
              <w:rPr>
                <w:rFonts w:hint="eastAsia"/>
                <w:color w:val="000000"/>
                <w:sz w:val="24"/>
                <w:highlight w:val="none"/>
                <w:lang w:eastAsia="zh-CN"/>
              </w:rPr>
              <w:t>“</w:t>
            </w:r>
            <w:r>
              <w:rPr>
                <w:rFonts w:hint="eastAsia"/>
                <w:color w:val="000000"/>
                <w:sz w:val="24"/>
                <w:highlight w:val="none"/>
              </w:rPr>
              <w:t>内蒙古伊泰化工有限责任公司120万吨/年精细化学品示范项目</w:t>
            </w:r>
            <w:r>
              <w:rPr>
                <w:rFonts w:hint="eastAsia"/>
                <w:color w:val="000000"/>
                <w:sz w:val="24"/>
                <w:highlight w:val="none"/>
                <w:lang w:eastAsia="zh-CN"/>
              </w:rPr>
              <w:t>”</w:t>
            </w:r>
            <w:r>
              <w:rPr>
                <w:rFonts w:hint="eastAsia"/>
                <w:color w:val="000000"/>
                <w:sz w:val="24"/>
                <w:highlight w:val="none"/>
              </w:rPr>
              <w:t>厂区内建设的一座消防站作为机动消防力量。工艺装置周围设置环形稳高压消防水管道，管道上设置室外地上式消火栓，供消防车灭火及移动水炮使用。装置内沿消防通道亦设置消防水管道，并在管道上设置室外地上式消火栓</w:t>
            </w:r>
            <w:r>
              <w:rPr>
                <w:color w:val="000000"/>
                <w:sz w:val="24"/>
                <w:highlight w:val="none"/>
              </w:rPr>
              <w:t>。</w:t>
            </w:r>
          </w:p>
          <w:p w14:paraId="460C5619">
            <w:pPr>
              <w:spacing w:line="360" w:lineRule="auto"/>
              <w:jc w:val="both"/>
              <w:rPr>
                <w:rFonts w:hint="default" w:cs="宋体"/>
                <w:b/>
                <w:bCs/>
                <w:sz w:val="24"/>
                <w:highlight w:val="none"/>
                <w:lang w:val="en-US"/>
              </w:rPr>
            </w:pPr>
            <w:r>
              <w:rPr>
                <w:rFonts w:hint="eastAsia" w:cs="宋体"/>
                <w:b/>
                <w:bCs/>
                <w:sz w:val="24"/>
                <w:highlight w:val="none"/>
                <w:lang w:val="en-US" w:eastAsia="zh-CN"/>
              </w:rPr>
              <w:t>7.工程占地</w:t>
            </w:r>
          </w:p>
          <w:p w14:paraId="76B15005">
            <w:pPr>
              <w:spacing w:line="360" w:lineRule="auto"/>
              <w:ind w:firstLine="480" w:firstLineChars="200"/>
              <w:rPr>
                <w:rFonts w:hint="default" w:eastAsia="宋体"/>
                <w:color w:val="000000"/>
                <w:sz w:val="24"/>
                <w:highlight w:val="none"/>
                <w:lang w:val="en-US" w:eastAsia="zh-CN"/>
              </w:rPr>
            </w:pPr>
            <w:r>
              <w:rPr>
                <w:rFonts w:hint="eastAsia" w:cs="宋体"/>
                <w:sz w:val="24"/>
                <w:highlight w:val="none"/>
                <w:lang w:val="en-US" w:eastAsia="zh-CN"/>
              </w:rPr>
              <w:t>本项目施工期不设单独施工营地，项目管线长度共计</w:t>
            </w:r>
            <w:r>
              <w:rPr>
                <w:rFonts w:hint="eastAsia" w:ascii="Times New Roman" w:hAnsi="Times New Roman" w:cs="Times New Roman"/>
                <w:sz w:val="24"/>
                <w:highlight w:val="none"/>
                <w:lang w:val="en-US" w:eastAsia="zh-CN"/>
              </w:rPr>
              <w:t>16.333km</w:t>
            </w:r>
            <w:r>
              <w:rPr>
                <w:rFonts w:hint="eastAsia" w:cs="Times New Roman"/>
                <w:sz w:val="24"/>
                <w:highlight w:val="none"/>
                <w:lang w:val="en-US" w:eastAsia="zh-CN"/>
              </w:rPr>
              <w:t>，</w:t>
            </w:r>
            <w:r>
              <w:rPr>
                <w:rFonts w:hint="eastAsia"/>
                <w:color w:val="000000"/>
                <w:sz w:val="24"/>
                <w:highlight w:val="none"/>
                <w:lang w:val="en-US" w:eastAsia="zh-CN"/>
              </w:rPr>
              <w:t>运营期管线均架空布设，不新增占地。</w:t>
            </w:r>
          </w:p>
        </w:tc>
      </w:tr>
      <w:tr w14:paraId="06DB2B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6" w:type="dxa"/>
            <w:noWrap w:val="0"/>
            <w:vAlign w:val="center"/>
          </w:tcPr>
          <w:p w14:paraId="481E4D55">
            <w:pPr>
              <w:adjustRightInd w:val="0"/>
              <w:snapToGrid w:val="0"/>
              <w:jc w:val="center"/>
              <w:rPr>
                <w:rFonts w:ascii="宋体" w:hAnsi="宋体" w:cs="宋体"/>
                <w:kern w:val="0"/>
                <w:sz w:val="24"/>
                <w:highlight w:val="none"/>
              </w:rPr>
            </w:pPr>
            <w:r>
              <w:rPr>
                <w:rFonts w:hint="eastAsia" w:ascii="宋体" w:hAnsi="宋体" w:cs="宋体"/>
                <w:kern w:val="0"/>
                <w:sz w:val="24"/>
                <w:highlight w:val="none"/>
              </w:rPr>
              <w:t>总平面及现场布置</w:t>
            </w:r>
          </w:p>
        </w:tc>
        <w:tc>
          <w:tcPr>
            <w:tcW w:w="8732" w:type="dxa"/>
            <w:noWrap w:val="0"/>
            <w:vAlign w:val="center"/>
          </w:tcPr>
          <w:p w14:paraId="42D4CA83">
            <w:pPr>
              <w:numPr>
                <w:ilvl w:val="0"/>
                <w:numId w:val="0"/>
              </w:numPr>
              <w:adjustRightInd w:val="0"/>
              <w:snapToGrid w:val="0"/>
              <w:spacing w:line="360" w:lineRule="auto"/>
              <w:ind w:firstLine="480" w:firstLineChars="200"/>
              <w:rPr>
                <w:rFonts w:hint="eastAsia"/>
                <w:sz w:val="24"/>
                <w:highlight w:val="none"/>
              </w:rPr>
            </w:pPr>
            <w:r>
              <w:rPr>
                <w:rFonts w:hint="eastAsia" w:ascii="Times New Roman" w:hAnsi="Times New Roman" w:eastAsia="宋体" w:cs="Times New Roman"/>
                <w:kern w:val="2"/>
                <w:sz w:val="24"/>
                <w:szCs w:val="24"/>
                <w:highlight w:val="none"/>
                <w:lang w:val="en-US" w:eastAsia="zh-CN" w:bidi="ar-SA"/>
              </w:rPr>
              <w:t>1</w:t>
            </w:r>
            <w:r>
              <w:rPr>
                <w:rFonts w:hint="eastAsia" w:cs="Times New Roman"/>
                <w:kern w:val="2"/>
                <w:sz w:val="24"/>
                <w:szCs w:val="24"/>
                <w:highlight w:val="none"/>
                <w:lang w:val="en-US" w:eastAsia="zh-CN" w:bidi="ar-SA"/>
              </w:rPr>
              <w:t>.</w:t>
            </w:r>
            <w:r>
              <w:rPr>
                <w:rFonts w:hint="eastAsia" w:cs="宋体"/>
                <w:kern w:val="0"/>
                <w:sz w:val="24"/>
                <w:highlight w:val="none"/>
                <w:lang w:val="en-US" w:eastAsia="zh-CN"/>
              </w:rPr>
              <w:t>伊泰化工管廊</w:t>
            </w:r>
            <w:r>
              <w:rPr>
                <w:rFonts w:hint="eastAsia" w:cs="宋体"/>
                <w:kern w:val="0"/>
                <w:sz w:val="24"/>
                <w:highlight w:val="none"/>
              </w:rPr>
              <w:t>：</w:t>
            </w:r>
            <w:r>
              <w:rPr>
                <w:rFonts w:hint="eastAsia" w:cs="宋体"/>
                <w:kern w:val="0"/>
                <w:sz w:val="24"/>
                <w:highlight w:val="none"/>
                <w:lang w:val="en-US" w:eastAsia="zh-CN"/>
              </w:rPr>
              <w:t>利用现有</w:t>
            </w:r>
            <w:r>
              <w:rPr>
                <w:rFonts w:hint="eastAsia"/>
                <w:sz w:val="24"/>
                <w:highlight w:val="none"/>
                <w:lang w:val="en-US" w:eastAsia="zh-CN"/>
              </w:rPr>
              <w:t>内蒙古伊泰化工有限责任公司</w:t>
            </w:r>
            <w:r>
              <w:rPr>
                <w:rFonts w:hint="eastAsia" w:cs="宋体"/>
                <w:kern w:val="0"/>
                <w:sz w:val="24"/>
                <w:highlight w:val="none"/>
                <w:lang w:val="en-US" w:eastAsia="zh-CN"/>
              </w:rPr>
              <w:t>联博管廊</w:t>
            </w:r>
            <w:r>
              <w:rPr>
                <w:rFonts w:hint="eastAsia"/>
                <w:sz w:val="24"/>
                <w:highlight w:val="none"/>
                <w:lang w:val="en-US" w:eastAsia="zh-CN"/>
              </w:rPr>
              <w:t>在此基础上新建两层（采用架空敷设）</w:t>
            </w:r>
            <w:r>
              <w:rPr>
                <w:rFonts w:hint="eastAsia"/>
                <w:sz w:val="24"/>
                <w:highlight w:val="none"/>
              </w:rPr>
              <w:t>；</w:t>
            </w:r>
          </w:p>
          <w:p w14:paraId="7DC0920D">
            <w:pPr>
              <w:numPr>
                <w:ilvl w:val="0"/>
                <w:numId w:val="0"/>
              </w:numPr>
              <w:adjustRightInd w:val="0"/>
              <w:snapToGrid w:val="0"/>
              <w:spacing w:line="360" w:lineRule="auto"/>
              <w:ind w:firstLine="480" w:firstLineChars="200"/>
              <w:rPr>
                <w:rFonts w:hint="default" w:ascii="Times New Roman" w:hAnsi="Times New Roman" w:eastAsia="宋体" w:cs="Times New Roman"/>
                <w:bCs/>
                <w:sz w:val="24"/>
                <w:highlight w:val="none"/>
                <w:lang w:val="en-US" w:eastAsia="zh-CN"/>
              </w:rPr>
            </w:pPr>
            <w:r>
              <w:rPr>
                <w:rFonts w:hint="default" w:ascii="Times New Roman" w:hAnsi="Times New Roman" w:eastAsia="宋体" w:cs="Times New Roman"/>
                <w:bCs/>
                <w:kern w:val="2"/>
                <w:sz w:val="24"/>
                <w:szCs w:val="24"/>
                <w:highlight w:val="none"/>
                <w:lang w:val="en-US" w:eastAsia="zh-CN" w:bidi="ar-SA"/>
              </w:rPr>
              <w:t>2</w:t>
            </w:r>
            <w:r>
              <w:rPr>
                <w:rFonts w:hint="eastAsia" w:cs="Times New Roman"/>
                <w:bCs/>
                <w:kern w:val="2"/>
                <w:sz w:val="24"/>
                <w:szCs w:val="24"/>
                <w:highlight w:val="none"/>
                <w:lang w:val="en-US" w:eastAsia="zh-CN" w:bidi="ar-SA"/>
              </w:rPr>
              <w:t>.</w:t>
            </w:r>
            <w:r>
              <w:rPr>
                <w:rFonts w:ascii="CIDFont" w:hAnsi="CIDFont" w:eastAsia="CIDFont" w:cs="CIDFont"/>
                <w:color w:val="000000"/>
                <w:kern w:val="0"/>
                <w:sz w:val="24"/>
                <w:szCs w:val="24"/>
                <w:highlight w:val="none"/>
                <w:lang w:val="en-US" w:eastAsia="zh-CN" w:bidi="ar"/>
              </w:rPr>
              <w:t>本</w:t>
            </w:r>
            <w:r>
              <w:rPr>
                <w:rFonts w:hint="default" w:ascii="Times New Roman" w:hAnsi="Times New Roman" w:eastAsia="宋体" w:cs="Times New Roman"/>
                <w:bCs/>
                <w:sz w:val="24"/>
                <w:highlight w:val="none"/>
                <w:lang w:val="en-US" w:eastAsia="zh-CN"/>
              </w:rPr>
              <w:t>项目所需新建管道共2</w:t>
            </w:r>
            <w:r>
              <w:rPr>
                <w:rFonts w:hint="eastAsia" w:cs="Times New Roman"/>
                <w:bCs/>
                <w:sz w:val="24"/>
                <w:highlight w:val="none"/>
                <w:lang w:val="en-US" w:eastAsia="zh-CN"/>
              </w:rPr>
              <w:t>3根：</w:t>
            </w:r>
          </w:p>
          <w:p w14:paraId="156680D5">
            <w:pPr>
              <w:adjustRightInd w:val="0"/>
              <w:snapToGrid w:val="0"/>
              <w:spacing w:line="360" w:lineRule="auto"/>
              <w:ind w:firstLine="480" w:firstLineChars="200"/>
              <w:jc w:val="left"/>
              <w:rPr>
                <w:rFonts w:hint="default" w:ascii="Times New Roman" w:hAnsi="Times New Roman" w:eastAsia="宋体" w:cs="Times New Roman"/>
                <w:bCs/>
                <w:sz w:val="24"/>
                <w:highlight w:val="none"/>
                <w:lang w:val="en-US" w:eastAsia="zh-CN"/>
              </w:rPr>
            </w:pPr>
            <w:r>
              <w:rPr>
                <w:rFonts w:hint="default" w:ascii="Times New Roman" w:hAnsi="Times New Roman" w:eastAsia="宋体" w:cs="Times New Roman"/>
                <w:bCs/>
                <w:sz w:val="24"/>
                <w:highlight w:val="none"/>
                <w:lang w:val="en-US" w:eastAsia="zh-CN"/>
              </w:rPr>
              <w:t>管道1</w:t>
            </w:r>
            <w:r>
              <w:rPr>
                <w:rFonts w:hint="eastAsia" w:cs="Times New Roman"/>
                <w:bCs/>
                <w:sz w:val="24"/>
                <w:highlight w:val="none"/>
                <w:lang w:val="en-US" w:eastAsia="zh-CN"/>
              </w:rPr>
              <w:t>来自</w:t>
            </w:r>
            <w:r>
              <w:rPr>
                <w:rFonts w:hint="default" w:ascii="Times New Roman" w:hAnsi="Times New Roman" w:eastAsia="宋体" w:cs="Times New Roman"/>
                <w:bCs/>
                <w:sz w:val="24"/>
                <w:highlight w:val="none"/>
                <w:lang w:val="en-US" w:eastAsia="zh-CN"/>
              </w:rPr>
              <w:t>尾气脱碳单元，该管道现在已经做好抽头，抽头位于尾气脱碳车间，通过该抽头沿着现有管廊新建管道至鹏泰生物公司管廊处。</w:t>
            </w:r>
          </w:p>
          <w:p w14:paraId="20A79A62">
            <w:pPr>
              <w:adjustRightInd w:val="0"/>
              <w:snapToGrid w:val="0"/>
              <w:spacing w:line="360" w:lineRule="auto"/>
              <w:ind w:firstLine="480" w:firstLineChars="200"/>
              <w:jc w:val="left"/>
              <w:rPr>
                <w:rFonts w:hint="default" w:ascii="Times New Roman" w:hAnsi="Times New Roman" w:eastAsia="宋体" w:cs="Times New Roman"/>
                <w:bCs/>
                <w:sz w:val="24"/>
                <w:highlight w:val="none"/>
                <w:lang w:val="en-US" w:eastAsia="zh-CN"/>
              </w:rPr>
            </w:pPr>
            <w:r>
              <w:rPr>
                <w:rFonts w:hint="default" w:ascii="Times New Roman" w:hAnsi="Times New Roman" w:eastAsia="宋体" w:cs="Times New Roman"/>
                <w:bCs/>
                <w:sz w:val="24"/>
                <w:highlight w:val="none"/>
                <w:lang w:val="en-US" w:eastAsia="zh-CN"/>
              </w:rPr>
              <w:t>管道2来为未变换净化气，现有管道抽头已经位于利旧管廊处，需要沿着该抽头处新建管道至鹏泰生物公司管廊。</w:t>
            </w:r>
          </w:p>
          <w:p w14:paraId="2D838E39">
            <w:pPr>
              <w:adjustRightInd w:val="0"/>
              <w:snapToGrid w:val="0"/>
              <w:spacing w:line="360" w:lineRule="auto"/>
              <w:ind w:firstLine="480" w:firstLineChars="200"/>
              <w:jc w:val="left"/>
              <w:rPr>
                <w:rFonts w:hint="default" w:ascii="Times New Roman" w:hAnsi="Times New Roman" w:eastAsia="宋体" w:cs="Times New Roman"/>
                <w:bCs/>
                <w:sz w:val="24"/>
                <w:highlight w:val="none"/>
                <w:lang w:val="en-US" w:eastAsia="zh-CN"/>
              </w:rPr>
            </w:pPr>
            <w:r>
              <w:rPr>
                <w:rFonts w:hint="default" w:ascii="Times New Roman" w:hAnsi="Times New Roman" w:eastAsia="宋体" w:cs="Times New Roman"/>
                <w:bCs/>
                <w:sz w:val="24"/>
                <w:highlight w:val="none"/>
                <w:lang w:val="en-US" w:eastAsia="zh-CN"/>
              </w:rPr>
              <w:t>管道3为鹏泰生物公司尾气</w:t>
            </w:r>
            <w:r>
              <w:rPr>
                <w:rFonts w:hint="eastAsia" w:cs="Times New Roman"/>
                <w:bCs/>
                <w:sz w:val="24"/>
                <w:highlight w:val="none"/>
                <w:lang w:val="en-US" w:eastAsia="zh-CN"/>
              </w:rPr>
              <w:t>管道</w:t>
            </w:r>
            <w:r>
              <w:rPr>
                <w:rFonts w:hint="default" w:ascii="Times New Roman" w:hAnsi="Times New Roman" w:eastAsia="宋体" w:cs="Times New Roman"/>
                <w:bCs/>
                <w:sz w:val="24"/>
                <w:highlight w:val="none"/>
                <w:lang w:val="en-US" w:eastAsia="zh-CN"/>
              </w:rPr>
              <w:t>，该处接点位于鹏泰生物管廊处，需要沿着该抽头新建管道至伊泰化工管廊抽头处。</w:t>
            </w:r>
          </w:p>
          <w:p w14:paraId="45EBCF11">
            <w:pPr>
              <w:adjustRightInd w:val="0"/>
              <w:snapToGrid w:val="0"/>
              <w:spacing w:line="360" w:lineRule="auto"/>
              <w:ind w:firstLine="480" w:firstLineChars="200"/>
              <w:jc w:val="left"/>
              <w:rPr>
                <w:rFonts w:hint="default" w:ascii="Times New Roman" w:hAnsi="Times New Roman" w:eastAsia="宋体" w:cs="Times New Roman"/>
                <w:bCs/>
                <w:sz w:val="24"/>
                <w:highlight w:val="none"/>
                <w:lang w:val="en-US" w:eastAsia="zh-CN"/>
              </w:rPr>
            </w:pPr>
            <w:r>
              <w:rPr>
                <w:rFonts w:hint="default" w:ascii="Times New Roman" w:hAnsi="Times New Roman" w:eastAsia="宋体" w:cs="Times New Roman"/>
                <w:bCs/>
                <w:sz w:val="24"/>
                <w:highlight w:val="none"/>
                <w:lang w:val="en-US" w:eastAsia="zh-CN"/>
              </w:rPr>
              <w:t>管道4为WRT甲烷尾气，该管道暂未抽头，为鹏泰生物公司输送至伊泰化工管道</w:t>
            </w:r>
            <w:r>
              <w:rPr>
                <w:rFonts w:hint="eastAsia" w:cs="Times New Roman"/>
                <w:bCs/>
                <w:sz w:val="24"/>
                <w:highlight w:val="none"/>
                <w:lang w:val="en-US" w:eastAsia="zh-CN"/>
              </w:rPr>
              <w:t>。</w:t>
            </w:r>
          </w:p>
          <w:p w14:paraId="16C55344">
            <w:pPr>
              <w:adjustRightInd w:val="0"/>
              <w:snapToGrid w:val="0"/>
              <w:spacing w:line="360" w:lineRule="auto"/>
              <w:ind w:firstLine="480" w:firstLineChars="200"/>
              <w:jc w:val="left"/>
              <w:rPr>
                <w:rFonts w:hint="default" w:ascii="Times New Roman" w:hAnsi="Times New Roman" w:eastAsia="宋体" w:cs="Times New Roman"/>
                <w:bCs/>
                <w:sz w:val="24"/>
                <w:highlight w:val="none"/>
                <w:lang w:val="en-US" w:eastAsia="zh-CN"/>
              </w:rPr>
            </w:pPr>
            <w:r>
              <w:rPr>
                <w:rFonts w:hint="default" w:ascii="Times New Roman" w:hAnsi="Times New Roman" w:eastAsia="宋体" w:cs="Times New Roman"/>
                <w:bCs/>
                <w:sz w:val="24"/>
                <w:highlight w:val="none"/>
                <w:lang w:val="en-US" w:eastAsia="zh-CN"/>
              </w:rPr>
              <w:t>管道</w:t>
            </w:r>
            <w:r>
              <w:rPr>
                <w:rFonts w:hint="eastAsia" w:cs="Times New Roman"/>
                <w:bCs/>
                <w:sz w:val="24"/>
                <w:highlight w:val="none"/>
                <w:lang w:val="en-US" w:eastAsia="zh-CN"/>
              </w:rPr>
              <w:t>5</w:t>
            </w:r>
            <w:r>
              <w:rPr>
                <w:rFonts w:hint="default" w:ascii="Times New Roman" w:hAnsi="Times New Roman" w:eastAsia="宋体" w:cs="Times New Roman"/>
                <w:bCs/>
                <w:sz w:val="24"/>
                <w:highlight w:val="none"/>
                <w:lang w:val="en-US" w:eastAsia="zh-CN"/>
              </w:rPr>
              <w:t>为</w:t>
            </w:r>
            <w:r>
              <w:rPr>
                <w:rFonts w:hint="eastAsia" w:cs="Times New Roman"/>
                <w:bCs/>
                <w:sz w:val="24"/>
                <w:highlight w:val="none"/>
                <w:lang w:val="en-US" w:eastAsia="zh-CN"/>
              </w:rPr>
              <w:t>甲烷</w:t>
            </w:r>
            <w:r>
              <w:rPr>
                <w:rFonts w:hint="default" w:ascii="Times New Roman" w:hAnsi="Times New Roman" w:eastAsia="宋体" w:cs="Times New Roman"/>
                <w:bCs/>
                <w:sz w:val="24"/>
                <w:highlight w:val="none"/>
                <w:lang w:val="en-US" w:eastAsia="zh-CN"/>
              </w:rPr>
              <w:t>管道，暂未抽头，需要由伊泰化工新建管道至鹏泰生物公司的管廊处。</w:t>
            </w:r>
          </w:p>
          <w:p w14:paraId="7AF189F3">
            <w:pPr>
              <w:adjustRightInd w:val="0"/>
              <w:snapToGrid w:val="0"/>
              <w:spacing w:line="360" w:lineRule="auto"/>
              <w:ind w:firstLine="480" w:firstLineChars="200"/>
              <w:jc w:val="left"/>
              <w:rPr>
                <w:rFonts w:hint="eastAsia" w:cs="Times New Roman"/>
                <w:bCs/>
                <w:sz w:val="24"/>
                <w:highlight w:val="none"/>
                <w:lang w:val="en-US" w:eastAsia="zh-CN"/>
              </w:rPr>
            </w:pPr>
            <w:r>
              <w:rPr>
                <w:rFonts w:hint="default" w:ascii="Times New Roman" w:hAnsi="Times New Roman" w:eastAsia="宋体" w:cs="Times New Roman"/>
                <w:bCs/>
                <w:sz w:val="24"/>
                <w:highlight w:val="none"/>
                <w:lang w:val="en-US" w:eastAsia="zh-CN"/>
              </w:rPr>
              <w:t>管道</w:t>
            </w:r>
            <w:r>
              <w:rPr>
                <w:rFonts w:hint="eastAsia" w:cs="Times New Roman"/>
                <w:bCs/>
                <w:sz w:val="24"/>
                <w:highlight w:val="none"/>
                <w:lang w:val="en-US" w:eastAsia="zh-CN"/>
              </w:rPr>
              <w:t>6</w:t>
            </w:r>
            <w:r>
              <w:rPr>
                <w:rFonts w:hint="default" w:ascii="Times New Roman" w:hAnsi="Times New Roman" w:eastAsia="宋体" w:cs="Times New Roman"/>
                <w:bCs/>
                <w:sz w:val="24"/>
                <w:highlight w:val="none"/>
                <w:lang w:val="en-US" w:eastAsia="zh-CN"/>
              </w:rPr>
              <w:t>为低压含烃火炬，未抽头，需要在就近的含烃火炬总管处抽头后新建管道至鹏泰生物公司管廊处</w:t>
            </w:r>
            <w:r>
              <w:rPr>
                <w:rFonts w:hint="eastAsia" w:cs="Times New Roman"/>
                <w:bCs/>
                <w:sz w:val="24"/>
                <w:highlight w:val="none"/>
                <w:lang w:val="en-US" w:eastAsia="zh-CN"/>
              </w:rPr>
              <w:t>。</w:t>
            </w:r>
          </w:p>
          <w:p w14:paraId="7656E222">
            <w:pPr>
              <w:adjustRightInd w:val="0"/>
              <w:snapToGrid w:val="0"/>
              <w:spacing w:line="360" w:lineRule="auto"/>
              <w:ind w:firstLine="480" w:firstLineChars="200"/>
              <w:jc w:val="left"/>
              <w:rPr>
                <w:rFonts w:hint="default" w:ascii="Times New Roman" w:hAnsi="Times New Roman" w:eastAsia="宋体" w:cs="Times New Roman"/>
                <w:bCs/>
                <w:sz w:val="24"/>
                <w:highlight w:val="none"/>
                <w:lang w:val="en-US" w:eastAsia="zh-CN"/>
              </w:rPr>
            </w:pPr>
            <w:r>
              <w:rPr>
                <w:rFonts w:hint="default" w:ascii="Times New Roman" w:hAnsi="Times New Roman" w:eastAsia="宋体" w:cs="Times New Roman"/>
                <w:bCs/>
                <w:sz w:val="24"/>
                <w:highlight w:val="none"/>
                <w:lang w:val="en-US" w:eastAsia="zh-CN"/>
              </w:rPr>
              <w:t>管道</w:t>
            </w:r>
            <w:r>
              <w:rPr>
                <w:rFonts w:hint="eastAsia" w:cs="Times New Roman"/>
                <w:bCs/>
                <w:sz w:val="24"/>
                <w:highlight w:val="none"/>
                <w:lang w:val="en-US" w:eastAsia="zh-CN"/>
              </w:rPr>
              <w:t>7</w:t>
            </w:r>
            <w:r>
              <w:rPr>
                <w:rFonts w:hint="default" w:ascii="Times New Roman" w:hAnsi="Times New Roman" w:eastAsia="宋体" w:cs="Times New Roman"/>
                <w:bCs/>
                <w:sz w:val="24"/>
                <w:highlight w:val="none"/>
                <w:lang w:val="en-US" w:eastAsia="zh-CN"/>
              </w:rPr>
              <w:t>为酸湿火炬，需要</w:t>
            </w:r>
            <w:r>
              <w:rPr>
                <w:rFonts w:hint="eastAsia" w:cs="Times New Roman"/>
                <w:bCs/>
                <w:sz w:val="24"/>
                <w:highlight w:val="none"/>
                <w:lang w:val="en-US" w:eastAsia="zh-CN"/>
              </w:rPr>
              <w:t>在</w:t>
            </w:r>
            <w:r>
              <w:rPr>
                <w:rFonts w:hint="default" w:ascii="Times New Roman" w:hAnsi="Times New Roman" w:eastAsia="宋体" w:cs="Times New Roman"/>
                <w:bCs/>
                <w:sz w:val="24"/>
                <w:highlight w:val="none"/>
                <w:lang w:val="en-US" w:eastAsia="zh-CN"/>
              </w:rPr>
              <w:t>就近的酸湿火炬总管处抽头，新建管道至鹏泰生物公司管廊处。</w:t>
            </w:r>
          </w:p>
          <w:p w14:paraId="29F8F77D">
            <w:pPr>
              <w:adjustRightInd w:val="0"/>
              <w:snapToGrid w:val="0"/>
              <w:spacing w:line="360" w:lineRule="auto"/>
              <w:ind w:firstLine="480" w:firstLineChars="200"/>
              <w:jc w:val="left"/>
              <w:rPr>
                <w:rFonts w:hint="default" w:ascii="Times New Roman" w:hAnsi="Times New Roman" w:eastAsia="宋体" w:cs="Times New Roman"/>
                <w:bCs/>
                <w:sz w:val="24"/>
                <w:highlight w:val="none"/>
                <w:lang w:val="en-US" w:eastAsia="zh-CN"/>
              </w:rPr>
            </w:pPr>
            <w:r>
              <w:rPr>
                <w:rFonts w:hint="default" w:ascii="Times New Roman" w:hAnsi="Times New Roman" w:eastAsia="宋体" w:cs="Times New Roman"/>
                <w:bCs/>
                <w:sz w:val="24"/>
                <w:highlight w:val="none"/>
                <w:lang w:val="en-US" w:eastAsia="zh-CN"/>
              </w:rPr>
              <w:t>管道</w:t>
            </w:r>
            <w:r>
              <w:rPr>
                <w:rFonts w:hint="eastAsia" w:cs="Times New Roman"/>
                <w:bCs/>
                <w:sz w:val="24"/>
                <w:highlight w:val="none"/>
                <w:lang w:val="en-US" w:eastAsia="zh-CN"/>
              </w:rPr>
              <w:t>8</w:t>
            </w:r>
            <w:r>
              <w:rPr>
                <w:rFonts w:hint="default" w:ascii="Times New Roman" w:hAnsi="Times New Roman" w:eastAsia="宋体" w:cs="Times New Roman"/>
                <w:bCs/>
                <w:sz w:val="24"/>
                <w:highlight w:val="none"/>
                <w:lang w:val="en-US" w:eastAsia="zh-CN"/>
              </w:rPr>
              <w:t>为中压蒸汽管道，已在现有伊泰化工管廊处抽头，需要在抽头处新增管道至鹏泰生物公司管廊。</w:t>
            </w:r>
          </w:p>
          <w:p w14:paraId="1A5DCE76">
            <w:pPr>
              <w:adjustRightInd w:val="0"/>
              <w:snapToGrid w:val="0"/>
              <w:spacing w:line="360" w:lineRule="auto"/>
              <w:ind w:firstLine="480" w:firstLineChars="200"/>
              <w:jc w:val="left"/>
              <w:rPr>
                <w:rFonts w:hint="default" w:ascii="Times New Roman" w:hAnsi="Times New Roman" w:eastAsia="宋体" w:cs="Times New Roman"/>
                <w:bCs/>
                <w:sz w:val="24"/>
                <w:highlight w:val="none"/>
                <w:lang w:val="en-US" w:eastAsia="zh-CN"/>
              </w:rPr>
            </w:pPr>
            <w:r>
              <w:rPr>
                <w:rFonts w:hint="default" w:ascii="Times New Roman" w:hAnsi="Times New Roman" w:eastAsia="宋体" w:cs="Times New Roman"/>
                <w:bCs/>
                <w:sz w:val="24"/>
                <w:highlight w:val="none"/>
                <w:lang w:val="en-US" w:eastAsia="zh-CN"/>
              </w:rPr>
              <w:t>管道</w:t>
            </w:r>
            <w:r>
              <w:rPr>
                <w:rFonts w:hint="eastAsia" w:cs="Times New Roman"/>
                <w:bCs/>
                <w:sz w:val="24"/>
                <w:highlight w:val="none"/>
                <w:lang w:val="en-US" w:eastAsia="zh-CN"/>
              </w:rPr>
              <w:t>9</w:t>
            </w:r>
            <w:r>
              <w:rPr>
                <w:rFonts w:hint="default" w:ascii="Times New Roman" w:hAnsi="Times New Roman" w:eastAsia="宋体" w:cs="Times New Roman"/>
                <w:bCs/>
                <w:sz w:val="24"/>
                <w:highlight w:val="none"/>
                <w:lang w:val="en-US" w:eastAsia="zh-CN"/>
              </w:rPr>
              <w:t>为冷凝水管道，已在现有伊泰化工管廊处抽头，需要在抽头处新增管道至鹏泰生物公司管廊。</w:t>
            </w:r>
          </w:p>
          <w:p w14:paraId="6D653097">
            <w:pPr>
              <w:adjustRightInd w:val="0"/>
              <w:snapToGrid w:val="0"/>
              <w:spacing w:line="360" w:lineRule="auto"/>
              <w:ind w:firstLine="480" w:firstLineChars="200"/>
              <w:jc w:val="left"/>
              <w:rPr>
                <w:rFonts w:hint="default" w:ascii="Times New Roman" w:hAnsi="Times New Roman" w:eastAsia="宋体" w:cs="Times New Roman"/>
                <w:bCs/>
                <w:sz w:val="24"/>
                <w:highlight w:val="none"/>
                <w:lang w:val="en-US" w:eastAsia="zh-CN"/>
              </w:rPr>
            </w:pPr>
            <w:r>
              <w:rPr>
                <w:rFonts w:hint="default" w:ascii="Times New Roman" w:hAnsi="Times New Roman" w:eastAsia="宋体" w:cs="Times New Roman"/>
                <w:bCs/>
                <w:sz w:val="24"/>
                <w:highlight w:val="none"/>
                <w:lang w:val="en-US" w:eastAsia="zh-CN"/>
              </w:rPr>
              <w:t>管道</w:t>
            </w:r>
            <w:r>
              <w:rPr>
                <w:rFonts w:hint="eastAsia" w:cs="Times New Roman"/>
                <w:bCs/>
                <w:sz w:val="24"/>
                <w:highlight w:val="none"/>
                <w:lang w:val="en-US" w:eastAsia="zh-CN"/>
              </w:rPr>
              <w:t>10</w:t>
            </w:r>
            <w:r>
              <w:rPr>
                <w:rFonts w:hint="default" w:ascii="Times New Roman" w:hAnsi="Times New Roman" w:eastAsia="宋体" w:cs="Times New Roman"/>
                <w:bCs/>
                <w:sz w:val="24"/>
                <w:highlight w:val="none"/>
                <w:lang w:val="en-US" w:eastAsia="zh-CN"/>
              </w:rPr>
              <w:t>，1</w:t>
            </w:r>
            <w:r>
              <w:rPr>
                <w:rFonts w:hint="eastAsia" w:cs="Times New Roman"/>
                <w:bCs/>
                <w:sz w:val="24"/>
                <w:highlight w:val="none"/>
                <w:lang w:val="en-US" w:eastAsia="zh-CN"/>
              </w:rPr>
              <w:t>1</w:t>
            </w:r>
            <w:r>
              <w:rPr>
                <w:rFonts w:hint="default" w:ascii="Times New Roman" w:hAnsi="Times New Roman" w:eastAsia="宋体" w:cs="Times New Roman"/>
                <w:bCs/>
                <w:sz w:val="24"/>
                <w:highlight w:val="none"/>
                <w:lang w:val="en-US" w:eastAsia="zh-CN"/>
              </w:rPr>
              <w:t>，</w:t>
            </w:r>
            <w:r>
              <w:rPr>
                <w:rFonts w:hint="eastAsia" w:cs="Times New Roman"/>
                <w:bCs/>
                <w:sz w:val="24"/>
                <w:highlight w:val="none"/>
                <w:lang w:val="en-US" w:eastAsia="zh-CN"/>
              </w:rPr>
              <w:t>12</w:t>
            </w:r>
            <w:r>
              <w:rPr>
                <w:rFonts w:hint="default" w:ascii="Times New Roman" w:hAnsi="Times New Roman" w:eastAsia="宋体" w:cs="Times New Roman"/>
                <w:bCs/>
                <w:sz w:val="24"/>
                <w:highlight w:val="none"/>
                <w:lang w:val="en-US" w:eastAsia="zh-CN"/>
              </w:rPr>
              <w:t>为仪表空气</w:t>
            </w:r>
            <w:r>
              <w:rPr>
                <w:rFonts w:hint="eastAsia" w:cs="Times New Roman"/>
                <w:bCs/>
                <w:sz w:val="24"/>
                <w:highlight w:val="none"/>
                <w:lang w:val="en-US" w:eastAsia="zh-CN"/>
              </w:rPr>
              <w:t>管道</w:t>
            </w:r>
            <w:r>
              <w:rPr>
                <w:rFonts w:hint="default" w:ascii="Times New Roman" w:hAnsi="Times New Roman" w:eastAsia="宋体" w:cs="Times New Roman"/>
                <w:bCs/>
                <w:sz w:val="24"/>
                <w:highlight w:val="none"/>
                <w:lang w:val="en-US" w:eastAsia="zh-CN"/>
              </w:rPr>
              <w:t>，</w:t>
            </w:r>
            <w:r>
              <w:rPr>
                <w:rFonts w:hint="eastAsia" w:cs="Times New Roman"/>
                <w:bCs/>
                <w:sz w:val="24"/>
                <w:highlight w:val="none"/>
                <w:lang w:val="en-US" w:eastAsia="zh-CN"/>
              </w:rPr>
              <w:t>工厂风</w:t>
            </w:r>
            <w:r>
              <w:rPr>
                <w:rFonts w:hint="default" w:ascii="Times New Roman" w:hAnsi="Times New Roman" w:eastAsia="宋体" w:cs="Times New Roman"/>
                <w:bCs/>
                <w:sz w:val="24"/>
                <w:highlight w:val="none"/>
                <w:lang w:val="en-US" w:eastAsia="zh-CN"/>
              </w:rPr>
              <w:t>和氮气管道，已在现有伊泰化工管廊处抽头，需要在抽头处新增管道至鹏泰生物公司管廊。</w:t>
            </w:r>
          </w:p>
          <w:p w14:paraId="3601C4B6">
            <w:pPr>
              <w:adjustRightInd w:val="0"/>
              <w:snapToGrid w:val="0"/>
              <w:spacing w:line="360" w:lineRule="auto"/>
              <w:ind w:firstLine="480" w:firstLineChars="200"/>
              <w:jc w:val="left"/>
              <w:rPr>
                <w:rFonts w:hint="default" w:ascii="Times New Roman" w:hAnsi="Times New Roman" w:eastAsia="宋体" w:cs="Times New Roman"/>
                <w:bCs/>
                <w:sz w:val="24"/>
                <w:highlight w:val="none"/>
                <w:lang w:val="en-US" w:eastAsia="zh-CN"/>
              </w:rPr>
            </w:pPr>
            <w:r>
              <w:rPr>
                <w:rFonts w:hint="default" w:ascii="Times New Roman" w:hAnsi="Times New Roman" w:eastAsia="宋体" w:cs="Times New Roman"/>
                <w:bCs/>
                <w:sz w:val="24"/>
                <w:highlight w:val="none"/>
                <w:lang w:val="en-US" w:eastAsia="zh-CN"/>
              </w:rPr>
              <w:t>管道1</w:t>
            </w:r>
            <w:r>
              <w:rPr>
                <w:rFonts w:hint="eastAsia" w:ascii="Times New Roman" w:hAnsi="Times New Roman" w:eastAsia="宋体" w:cs="Times New Roman"/>
                <w:bCs/>
                <w:sz w:val="24"/>
                <w:highlight w:val="none"/>
                <w:lang w:val="en-US" w:eastAsia="zh-CN"/>
              </w:rPr>
              <w:t>3</w:t>
            </w:r>
            <w:r>
              <w:rPr>
                <w:rFonts w:hint="default" w:ascii="Times New Roman" w:hAnsi="Times New Roman" w:eastAsia="宋体" w:cs="Times New Roman"/>
                <w:bCs/>
                <w:sz w:val="24"/>
                <w:highlight w:val="none"/>
                <w:lang w:val="en-US" w:eastAsia="zh-CN"/>
              </w:rPr>
              <w:t>为黄河水，</w:t>
            </w:r>
            <w:r>
              <w:rPr>
                <w:rFonts w:hint="eastAsia" w:cs="Times New Roman"/>
                <w:bCs/>
                <w:sz w:val="24"/>
                <w:highlight w:val="none"/>
                <w:lang w:val="en-US" w:eastAsia="zh-CN"/>
              </w:rPr>
              <w:t>黄河水管线</w:t>
            </w:r>
            <w:r>
              <w:rPr>
                <w:rFonts w:hint="eastAsia" w:ascii="Times New Roman" w:hAnsi="Times New Roman" w:eastAsia="宋体" w:cs="Times New Roman"/>
                <w:bCs/>
                <w:sz w:val="24"/>
                <w:highlight w:val="none"/>
                <w:lang w:val="en-US" w:eastAsia="zh-CN"/>
              </w:rPr>
              <w:t>接至已有埋地管道</w:t>
            </w:r>
            <w:r>
              <w:rPr>
                <w:rFonts w:hint="eastAsia" w:cs="Times New Roman"/>
                <w:bCs/>
                <w:sz w:val="24"/>
                <w:highlight w:val="none"/>
                <w:lang w:val="en-US" w:eastAsia="zh-CN"/>
              </w:rPr>
              <w:t>预留接口</w:t>
            </w:r>
            <w:r>
              <w:rPr>
                <w:rFonts w:hint="eastAsia" w:ascii="Times New Roman" w:hAnsi="Times New Roman" w:eastAsia="宋体" w:cs="Times New Roman"/>
                <w:bCs/>
                <w:sz w:val="24"/>
                <w:highlight w:val="none"/>
                <w:lang w:val="en-US" w:eastAsia="zh-CN"/>
              </w:rPr>
              <w:t>，</w:t>
            </w:r>
            <w:r>
              <w:rPr>
                <w:rFonts w:hint="eastAsia" w:cs="Times New Roman"/>
                <w:bCs/>
                <w:sz w:val="24"/>
                <w:highlight w:val="none"/>
                <w:lang w:val="en-US" w:eastAsia="zh-CN"/>
              </w:rPr>
              <w:t>管线整体采用架空敷设，管线从</w:t>
            </w:r>
            <w:r>
              <w:rPr>
                <w:rFonts w:hint="eastAsia" w:ascii="Times New Roman" w:hAnsi="Times New Roman" w:eastAsia="宋体" w:cs="Times New Roman"/>
                <w:bCs/>
                <w:sz w:val="24"/>
                <w:highlight w:val="none"/>
                <w:lang w:val="en-US" w:eastAsia="zh-CN"/>
              </w:rPr>
              <w:t>支墩上</w:t>
            </w:r>
            <w:r>
              <w:rPr>
                <w:rFonts w:hint="default" w:ascii="Times New Roman" w:hAnsi="Times New Roman" w:eastAsia="宋体" w:cs="Times New Roman"/>
                <w:bCs/>
                <w:sz w:val="24"/>
                <w:highlight w:val="none"/>
                <w:lang w:val="en-US" w:eastAsia="zh-CN"/>
              </w:rPr>
              <w:t>引入伊泰化工管廊，</w:t>
            </w:r>
            <w:r>
              <w:rPr>
                <w:rFonts w:hint="eastAsia" w:cs="Times New Roman"/>
                <w:bCs/>
                <w:sz w:val="24"/>
                <w:highlight w:val="none"/>
                <w:lang w:val="en-US" w:eastAsia="zh-CN"/>
              </w:rPr>
              <w:t>距离管廊共计200m，最终</w:t>
            </w:r>
            <w:r>
              <w:rPr>
                <w:rFonts w:hint="default" w:ascii="Times New Roman" w:hAnsi="Times New Roman" w:eastAsia="宋体" w:cs="Times New Roman"/>
                <w:bCs/>
                <w:sz w:val="24"/>
                <w:highlight w:val="none"/>
                <w:lang w:val="en-US" w:eastAsia="zh-CN"/>
              </w:rPr>
              <w:t>输送至鹏泰化工管廊处。</w:t>
            </w:r>
          </w:p>
          <w:p w14:paraId="683F2B6F">
            <w:pPr>
              <w:adjustRightInd w:val="0"/>
              <w:snapToGrid w:val="0"/>
              <w:spacing w:line="360" w:lineRule="auto"/>
              <w:ind w:firstLine="480" w:firstLineChars="200"/>
              <w:jc w:val="left"/>
              <w:rPr>
                <w:rFonts w:hint="eastAsia" w:cs="Times New Roman"/>
                <w:bCs/>
                <w:sz w:val="24"/>
                <w:highlight w:val="none"/>
                <w:lang w:val="en-US" w:eastAsia="zh-CN"/>
              </w:rPr>
            </w:pPr>
            <w:r>
              <w:rPr>
                <w:rFonts w:hint="default" w:ascii="Times New Roman" w:hAnsi="Times New Roman" w:eastAsia="宋体" w:cs="Times New Roman"/>
                <w:bCs/>
                <w:sz w:val="24"/>
                <w:highlight w:val="none"/>
                <w:lang w:val="en-US" w:eastAsia="zh-CN"/>
              </w:rPr>
              <w:t>管道</w:t>
            </w:r>
            <w:r>
              <w:rPr>
                <w:rFonts w:hint="eastAsia" w:cs="Times New Roman"/>
                <w:bCs/>
                <w:sz w:val="24"/>
                <w:highlight w:val="none"/>
                <w:lang w:val="en-US" w:eastAsia="zh-CN"/>
              </w:rPr>
              <w:t>14</w:t>
            </w:r>
            <w:r>
              <w:rPr>
                <w:rFonts w:hint="default" w:ascii="Times New Roman" w:hAnsi="Times New Roman" w:eastAsia="宋体" w:cs="Times New Roman"/>
                <w:bCs/>
                <w:sz w:val="24"/>
                <w:highlight w:val="none"/>
                <w:lang w:val="en-US" w:eastAsia="zh-CN"/>
              </w:rPr>
              <w:t>为回用水，已在现有伊泰化工管廊处抽头，需要在抽头处新增管道至鹏泰生物公司管廊</w:t>
            </w:r>
            <w:r>
              <w:rPr>
                <w:rFonts w:hint="eastAsia" w:cs="Times New Roman"/>
                <w:bCs/>
                <w:sz w:val="24"/>
                <w:highlight w:val="none"/>
                <w:lang w:val="en-US" w:eastAsia="zh-CN"/>
              </w:rPr>
              <w:t>。</w:t>
            </w:r>
          </w:p>
          <w:p w14:paraId="58BB463E">
            <w:pPr>
              <w:adjustRightInd w:val="0"/>
              <w:snapToGrid w:val="0"/>
              <w:spacing w:line="360" w:lineRule="auto"/>
              <w:ind w:firstLine="480" w:firstLineChars="200"/>
              <w:jc w:val="left"/>
              <w:rPr>
                <w:rFonts w:hint="default" w:ascii="Times New Roman" w:hAnsi="Times New Roman" w:eastAsia="宋体" w:cs="Times New Roman"/>
                <w:bCs/>
                <w:sz w:val="24"/>
                <w:highlight w:val="none"/>
                <w:lang w:val="en-US" w:eastAsia="zh-CN"/>
              </w:rPr>
            </w:pPr>
            <w:r>
              <w:rPr>
                <w:rFonts w:hint="default" w:ascii="Times New Roman" w:hAnsi="Times New Roman" w:eastAsia="宋体" w:cs="Times New Roman"/>
                <w:bCs/>
                <w:sz w:val="24"/>
                <w:highlight w:val="none"/>
                <w:lang w:val="en-US" w:eastAsia="zh-CN"/>
              </w:rPr>
              <w:t>管道</w:t>
            </w:r>
            <w:r>
              <w:rPr>
                <w:rFonts w:hint="eastAsia" w:cs="Times New Roman"/>
                <w:bCs/>
                <w:sz w:val="24"/>
                <w:highlight w:val="none"/>
                <w:lang w:val="en-US" w:eastAsia="zh-CN"/>
              </w:rPr>
              <w:t>15</w:t>
            </w:r>
            <w:r>
              <w:rPr>
                <w:rFonts w:hint="default" w:ascii="Times New Roman" w:hAnsi="Times New Roman" w:eastAsia="宋体" w:cs="Times New Roman"/>
                <w:bCs/>
                <w:sz w:val="24"/>
                <w:highlight w:val="none"/>
                <w:lang w:val="en-US" w:eastAsia="zh-CN"/>
              </w:rPr>
              <w:t>和</w:t>
            </w:r>
            <w:r>
              <w:rPr>
                <w:rFonts w:hint="eastAsia" w:cs="Times New Roman"/>
                <w:bCs/>
                <w:sz w:val="24"/>
                <w:highlight w:val="none"/>
                <w:lang w:val="en-US" w:eastAsia="zh-CN"/>
              </w:rPr>
              <w:t>16</w:t>
            </w:r>
            <w:r>
              <w:rPr>
                <w:rFonts w:hint="default" w:ascii="Times New Roman" w:hAnsi="Times New Roman" w:eastAsia="宋体" w:cs="Times New Roman"/>
                <w:bCs/>
                <w:sz w:val="24"/>
                <w:highlight w:val="none"/>
                <w:lang w:val="en-US" w:eastAsia="zh-CN"/>
              </w:rPr>
              <w:t>为污水</w:t>
            </w:r>
            <w:r>
              <w:rPr>
                <w:rFonts w:hint="eastAsia" w:cs="Times New Roman"/>
                <w:bCs/>
                <w:sz w:val="24"/>
                <w:highlight w:val="none"/>
                <w:lang w:val="en-US" w:eastAsia="zh-CN"/>
              </w:rPr>
              <w:t>管道</w:t>
            </w:r>
            <w:r>
              <w:rPr>
                <w:rFonts w:hint="default" w:ascii="Times New Roman" w:hAnsi="Times New Roman" w:eastAsia="宋体" w:cs="Times New Roman"/>
                <w:bCs/>
                <w:sz w:val="24"/>
                <w:highlight w:val="none"/>
                <w:lang w:val="en-US" w:eastAsia="zh-CN"/>
              </w:rPr>
              <w:t>，分别在污水处理池和调浆装置附近做好抽头，需要在抽头处新增管道至鹏泰生物公司管廊。</w:t>
            </w:r>
          </w:p>
          <w:p w14:paraId="37327A60">
            <w:pPr>
              <w:adjustRightInd w:val="0"/>
              <w:snapToGrid w:val="0"/>
              <w:spacing w:line="360" w:lineRule="auto"/>
              <w:ind w:firstLine="480" w:firstLineChars="200"/>
              <w:jc w:val="left"/>
              <w:rPr>
                <w:rFonts w:hint="default" w:ascii="Times New Roman" w:hAnsi="Times New Roman" w:eastAsia="宋体" w:cs="Times New Roman"/>
                <w:bCs/>
                <w:sz w:val="24"/>
                <w:highlight w:val="none"/>
                <w:lang w:val="en-US" w:eastAsia="zh-CN"/>
              </w:rPr>
            </w:pPr>
            <w:r>
              <w:rPr>
                <w:rFonts w:hint="default" w:ascii="Times New Roman" w:hAnsi="Times New Roman" w:eastAsia="宋体" w:cs="Times New Roman"/>
                <w:bCs/>
                <w:sz w:val="24"/>
                <w:highlight w:val="none"/>
                <w:lang w:val="en-US" w:eastAsia="zh-CN"/>
              </w:rPr>
              <w:t>管道</w:t>
            </w:r>
            <w:r>
              <w:rPr>
                <w:rFonts w:hint="eastAsia" w:cs="Times New Roman"/>
                <w:bCs/>
                <w:sz w:val="24"/>
                <w:highlight w:val="none"/>
                <w:lang w:val="en-US" w:eastAsia="zh-CN"/>
              </w:rPr>
              <w:t>17</w:t>
            </w:r>
            <w:r>
              <w:rPr>
                <w:rFonts w:hint="default" w:ascii="Times New Roman" w:hAnsi="Times New Roman" w:eastAsia="宋体" w:cs="Times New Roman"/>
                <w:bCs/>
                <w:sz w:val="24"/>
                <w:highlight w:val="none"/>
                <w:lang w:val="en-US" w:eastAsia="zh-CN"/>
              </w:rPr>
              <w:t>为清净废水</w:t>
            </w:r>
            <w:r>
              <w:rPr>
                <w:rFonts w:hint="eastAsia" w:cs="Times New Roman"/>
                <w:bCs/>
                <w:sz w:val="24"/>
                <w:highlight w:val="none"/>
                <w:lang w:val="en-US" w:eastAsia="zh-CN"/>
              </w:rPr>
              <w:t>管道</w:t>
            </w:r>
            <w:r>
              <w:rPr>
                <w:rFonts w:hint="default" w:ascii="Times New Roman" w:hAnsi="Times New Roman" w:eastAsia="宋体" w:cs="Times New Roman"/>
                <w:bCs/>
                <w:sz w:val="24"/>
                <w:highlight w:val="none"/>
                <w:lang w:val="en-US" w:eastAsia="zh-CN"/>
              </w:rPr>
              <w:t>，暂未抽头</w:t>
            </w:r>
            <w:r>
              <w:rPr>
                <w:rFonts w:hint="eastAsia" w:cs="Times New Roman"/>
                <w:bCs/>
                <w:sz w:val="24"/>
                <w:highlight w:val="none"/>
                <w:lang w:val="en-US" w:eastAsia="zh-CN"/>
              </w:rPr>
              <w:t>；</w:t>
            </w:r>
            <w:r>
              <w:rPr>
                <w:rFonts w:hint="default" w:ascii="Times New Roman" w:hAnsi="Times New Roman" w:eastAsia="宋体" w:cs="Times New Roman"/>
                <w:bCs/>
                <w:sz w:val="24"/>
                <w:highlight w:val="none"/>
                <w:lang w:val="en-US" w:eastAsia="zh-CN"/>
              </w:rPr>
              <w:t>需要在就近</w:t>
            </w:r>
            <w:r>
              <w:rPr>
                <w:rFonts w:hint="eastAsia" w:cs="Times New Roman"/>
                <w:bCs/>
                <w:sz w:val="24"/>
                <w:highlight w:val="none"/>
                <w:lang w:val="en-US" w:eastAsia="zh-CN"/>
              </w:rPr>
              <w:t>的</w:t>
            </w:r>
            <w:r>
              <w:rPr>
                <w:rFonts w:hint="default" w:ascii="Times New Roman" w:hAnsi="Times New Roman" w:eastAsia="宋体" w:cs="Times New Roman"/>
                <w:bCs/>
                <w:sz w:val="24"/>
                <w:highlight w:val="none"/>
                <w:lang w:val="en-US" w:eastAsia="zh-CN"/>
              </w:rPr>
              <w:t>清净废水管道处抽头，新增管道至鹏泰生物公司管廊。</w:t>
            </w:r>
          </w:p>
          <w:p w14:paraId="1541835B">
            <w:pPr>
              <w:adjustRightInd w:val="0"/>
              <w:snapToGrid w:val="0"/>
              <w:spacing w:line="360" w:lineRule="auto"/>
              <w:ind w:firstLine="480" w:firstLineChars="200"/>
              <w:jc w:val="left"/>
              <w:rPr>
                <w:rFonts w:hint="default" w:ascii="Times New Roman" w:hAnsi="Times New Roman" w:eastAsia="宋体" w:cs="Times New Roman"/>
                <w:bCs/>
                <w:sz w:val="24"/>
                <w:highlight w:val="none"/>
                <w:lang w:val="en-US" w:eastAsia="zh-CN"/>
              </w:rPr>
            </w:pPr>
            <w:r>
              <w:rPr>
                <w:rFonts w:hint="default" w:ascii="Times New Roman" w:hAnsi="Times New Roman" w:eastAsia="宋体" w:cs="Times New Roman"/>
                <w:bCs/>
                <w:sz w:val="24"/>
                <w:highlight w:val="none"/>
                <w:lang w:val="en-US" w:eastAsia="zh-CN"/>
              </w:rPr>
              <w:t>管道</w:t>
            </w:r>
            <w:r>
              <w:rPr>
                <w:rFonts w:hint="eastAsia" w:cs="Times New Roman"/>
                <w:bCs/>
                <w:sz w:val="24"/>
                <w:highlight w:val="none"/>
                <w:lang w:val="en-US" w:eastAsia="zh-CN"/>
              </w:rPr>
              <w:t>18</w:t>
            </w:r>
            <w:r>
              <w:rPr>
                <w:rFonts w:hint="default" w:ascii="Times New Roman" w:hAnsi="Times New Roman" w:eastAsia="宋体" w:cs="Times New Roman"/>
                <w:bCs/>
                <w:sz w:val="24"/>
                <w:highlight w:val="none"/>
                <w:lang w:val="en-US" w:eastAsia="zh-CN"/>
              </w:rPr>
              <w:t>为酸性气体管道，已在伊泰化工管廊处抽头，需要在抽头处新增管道至鹏泰生物公司管廊。</w:t>
            </w:r>
          </w:p>
          <w:p w14:paraId="0A4AED34">
            <w:pPr>
              <w:adjustRightInd w:val="0"/>
              <w:snapToGrid w:val="0"/>
              <w:spacing w:line="360" w:lineRule="auto"/>
              <w:ind w:firstLine="480" w:firstLineChars="200"/>
              <w:jc w:val="left"/>
              <w:rPr>
                <w:rFonts w:hint="default" w:ascii="Times New Roman" w:hAnsi="Times New Roman" w:eastAsia="宋体" w:cs="Times New Roman"/>
                <w:bCs/>
                <w:sz w:val="24"/>
                <w:highlight w:val="none"/>
                <w:lang w:val="en-US" w:eastAsia="zh-CN"/>
              </w:rPr>
            </w:pPr>
            <w:r>
              <w:rPr>
                <w:rFonts w:hint="default" w:ascii="Times New Roman" w:hAnsi="Times New Roman" w:eastAsia="宋体" w:cs="Times New Roman"/>
                <w:bCs/>
                <w:sz w:val="24"/>
                <w:highlight w:val="none"/>
                <w:lang w:val="en-US" w:eastAsia="zh-CN"/>
              </w:rPr>
              <w:t>管道</w:t>
            </w:r>
            <w:r>
              <w:rPr>
                <w:rFonts w:hint="eastAsia" w:cs="Times New Roman"/>
                <w:bCs/>
                <w:sz w:val="24"/>
                <w:highlight w:val="none"/>
                <w:lang w:val="en-US" w:eastAsia="zh-CN"/>
              </w:rPr>
              <w:t>19</w:t>
            </w:r>
            <w:r>
              <w:rPr>
                <w:rFonts w:hint="default" w:ascii="Times New Roman" w:hAnsi="Times New Roman" w:eastAsia="宋体" w:cs="Times New Roman"/>
                <w:bCs/>
                <w:sz w:val="24"/>
                <w:highlight w:val="none"/>
                <w:lang w:val="en-US" w:eastAsia="zh-CN"/>
              </w:rPr>
              <w:t>，</w:t>
            </w:r>
            <w:r>
              <w:rPr>
                <w:rFonts w:hint="eastAsia" w:cs="Times New Roman"/>
                <w:bCs/>
                <w:sz w:val="24"/>
                <w:highlight w:val="none"/>
                <w:lang w:val="en-US" w:eastAsia="zh-CN"/>
              </w:rPr>
              <w:t>20</w:t>
            </w:r>
            <w:r>
              <w:rPr>
                <w:rFonts w:hint="default" w:ascii="Times New Roman" w:hAnsi="Times New Roman" w:eastAsia="宋体" w:cs="Times New Roman"/>
                <w:bCs/>
                <w:sz w:val="24"/>
                <w:highlight w:val="none"/>
                <w:lang w:val="en-US" w:eastAsia="zh-CN"/>
              </w:rPr>
              <w:t>为冷冻水</w:t>
            </w:r>
            <w:r>
              <w:rPr>
                <w:rFonts w:hint="eastAsia" w:cs="Times New Roman"/>
                <w:bCs/>
                <w:sz w:val="24"/>
                <w:highlight w:val="none"/>
                <w:lang w:val="en-US" w:eastAsia="zh-CN"/>
              </w:rPr>
              <w:t>来</w:t>
            </w:r>
            <w:r>
              <w:rPr>
                <w:rFonts w:hint="default" w:ascii="Times New Roman" w:hAnsi="Times New Roman" w:eastAsia="宋体" w:cs="Times New Roman"/>
                <w:bCs/>
                <w:sz w:val="24"/>
                <w:highlight w:val="none"/>
                <w:lang w:val="en-US" w:eastAsia="zh-CN"/>
              </w:rPr>
              <w:t>水和回水，无须抽头，在冷冻机装置附近直接新建管道至鹏泰生物公司即可。</w:t>
            </w:r>
          </w:p>
          <w:p w14:paraId="3CE1C1DD">
            <w:pPr>
              <w:adjustRightInd w:val="0"/>
              <w:snapToGrid w:val="0"/>
              <w:spacing w:line="360" w:lineRule="auto"/>
              <w:ind w:firstLine="480" w:firstLineChars="200"/>
              <w:jc w:val="left"/>
              <w:rPr>
                <w:rFonts w:hint="default" w:ascii="Times New Roman" w:hAnsi="Times New Roman" w:eastAsia="宋体" w:cs="Times New Roman"/>
                <w:bCs/>
                <w:sz w:val="24"/>
                <w:highlight w:val="none"/>
                <w:lang w:val="en-US" w:eastAsia="zh-CN"/>
              </w:rPr>
            </w:pPr>
            <w:r>
              <w:rPr>
                <w:rFonts w:hint="default" w:ascii="Times New Roman" w:hAnsi="Times New Roman" w:eastAsia="宋体" w:cs="Times New Roman"/>
                <w:bCs/>
                <w:sz w:val="24"/>
                <w:highlight w:val="none"/>
                <w:lang w:val="en-US" w:eastAsia="zh-CN"/>
              </w:rPr>
              <w:t>管道</w:t>
            </w:r>
            <w:r>
              <w:rPr>
                <w:rFonts w:hint="eastAsia" w:cs="Times New Roman"/>
                <w:bCs/>
                <w:sz w:val="24"/>
                <w:highlight w:val="none"/>
                <w:lang w:val="en-US" w:eastAsia="zh-CN"/>
              </w:rPr>
              <w:t>21</w:t>
            </w:r>
            <w:r>
              <w:rPr>
                <w:rFonts w:hint="default" w:ascii="Times New Roman" w:hAnsi="Times New Roman" w:eastAsia="宋体" w:cs="Times New Roman"/>
                <w:bCs/>
                <w:sz w:val="24"/>
                <w:highlight w:val="none"/>
                <w:lang w:val="en-US" w:eastAsia="zh-CN"/>
              </w:rPr>
              <w:t>为</w:t>
            </w:r>
            <w:r>
              <w:rPr>
                <w:rFonts w:hint="eastAsia" w:cs="Times New Roman"/>
                <w:bCs/>
                <w:sz w:val="24"/>
                <w:highlight w:val="none"/>
                <w:lang w:val="en-US" w:eastAsia="zh-CN"/>
              </w:rPr>
              <w:t>富甲烷气</w:t>
            </w:r>
            <w:r>
              <w:rPr>
                <w:rFonts w:hint="default" w:ascii="Times New Roman" w:hAnsi="Times New Roman" w:eastAsia="宋体" w:cs="Times New Roman"/>
                <w:bCs/>
                <w:sz w:val="24"/>
                <w:highlight w:val="none"/>
                <w:lang w:val="en-US" w:eastAsia="zh-CN"/>
              </w:rPr>
              <w:t>，由鹏泰生物公司管道处，新建管道接至伊泰化工。</w:t>
            </w:r>
          </w:p>
          <w:p w14:paraId="0DDC93A7">
            <w:pPr>
              <w:adjustRightInd w:val="0"/>
              <w:snapToGrid w:val="0"/>
              <w:spacing w:line="360" w:lineRule="auto"/>
              <w:ind w:firstLine="480" w:firstLineChars="200"/>
              <w:jc w:val="left"/>
              <w:rPr>
                <w:rFonts w:hint="eastAsia" w:ascii="宋体" w:hAnsi="宋体" w:eastAsia="宋体" w:cs="宋体"/>
                <w:color w:val="0000FF"/>
                <w:kern w:val="0"/>
                <w:szCs w:val="21"/>
                <w:highlight w:val="none"/>
                <w:lang w:val="en-US" w:eastAsia="zh-CN"/>
              </w:rPr>
            </w:pPr>
            <w:r>
              <w:rPr>
                <w:rFonts w:hint="default" w:ascii="Times New Roman" w:hAnsi="Times New Roman" w:eastAsia="宋体" w:cs="Times New Roman"/>
                <w:bCs/>
                <w:sz w:val="24"/>
                <w:highlight w:val="none"/>
                <w:lang w:val="en-US" w:eastAsia="zh-CN"/>
              </w:rPr>
              <w:t>管道</w:t>
            </w:r>
            <w:r>
              <w:rPr>
                <w:rFonts w:hint="eastAsia" w:cs="Times New Roman"/>
                <w:bCs/>
                <w:sz w:val="24"/>
                <w:highlight w:val="none"/>
                <w:lang w:val="en-US" w:eastAsia="zh-CN"/>
              </w:rPr>
              <w:t>22</w:t>
            </w:r>
            <w:r>
              <w:rPr>
                <w:rFonts w:hint="default" w:ascii="Times New Roman" w:hAnsi="Times New Roman" w:eastAsia="宋体" w:cs="Times New Roman"/>
                <w:bCs/>
                <w:sz w:val="24"/>
                <w:highlight w:val="none"/>
                <w:lang w:val="en-US" w:eastAsia="zh-CN"/>
              </w:rPr>
              <w:t>，</w:t>
            </w:r>
            <w:r>
              <w:rPr>
                <w:rFonts w:hint="eastAsia" w:cs="Times New Roman"/>
                <w:bCs/>
                <w:sz w:val="24"/>
                <w:highlight w:val="none"/>
                <w:lang w:val="en-US" w:eastAsia="zh-CN"/>
              </w:rPr>
              <w:t>23</w:t>
            </w:r>
            <w:r>
              <w:rPr>
                <w:rFonts w:hint="default" w:ascii="Times New Roman" w:hAnsi="Times New Roman" w:eastAsia="宋体" w:cs="Times New Roman"/>
                <w:bCs/>
                <w:sz w:val="24"/>
                <w:highlight w:val="none"/>
                <w:lang w:val="en-US" w:eastAsia="zh-CN"/>
              </w:rPr>
              <w:t>为真空泵尾气管道，CO</w:t>
            </w:r>
            <w:r>
              <w:rPr>
                <w:rFonts w:hint="default" w:ascii="Times New Roman" w:hAnsi="Times New Roman" w:eastAsia="宋体" w:cs="Times New Roman"/>
                <w:bCs/>
                <w:sz w:val="24"/>
                <w:highlight w:val="none"/>
                <w:vertAlign w:val="subscript"/>
                <w:lang w:val="en-US" w:eastAsia="zh-CN"/>
              </w:rPr>
              <w:t>2</w:t>
            </w:r>
            <w:r>
              <w:rPr>
                <w:rFonts w:hint="default" w:ascii="Times New Roman" w:hAnsi="Times New Roman" w:eastAsia="宋体" w:cs="Times New Roman"/>
                <w:bCs/>
                <w:sz w:val="24"/>
                <w:highlight w:val="none"/>
                <w:lang w:val="en-US" w:eastAsia="zh-CN"/>
              </w:rPr>
              <w:t>管道，暂时未抽头，需要在就近主管处抽头后经过伊泰化工管廊输送至鹏泰生物公司管廊</w:t>
            </w:r>
            <w:r>
              <w:rPr>
                <w:rFonts w:hint="default" w:ascii="Times New Roman" w:hAnsi="Times New Roman" w:eastAsia="宋体" w:cs="Times New Roman"/>
                <w:bCs/>
                <w:sz w:val="24"/>
                <w:szCs w:val="24"/>
                <w:highlight w:val="none"/>
                <w:lang w:val="en-US" w:eastAsia="zh-CN"/>
              </w:rPr>
              <w:t>。</w:t>
            </w:r>
            <w:r>
              <w:rPr>
                <w:rFonts w:hint="eastAsia"/>
                <w:sz w:val="24"/>
                <w:szCs w:val="24"/>
                <w:highlight w:val="none"/>
                <w:lang w:eastAsia="zh-CN"/>
              </w:rPr>
              <w:t>（</w:t>
            </w:r>
            <w:r>
              <w:rPr>
                <w:rFonts w:hint="eastAsia"/>
                <w:sz w:val="24"/>
                <w:szCs w:val="24"/>
                <w:highlight w:val="none"/>
                <w:lang w:val="en-US" w:eastAsia="zh-CN"/>
              </w:rPr>
              <w:t>具体内容见附图二</w:t>
            </w:r>
            <w:r>
              <w:rPr>
                <w:rFonts w:hint="eastAsia"/>
                <w:highlight w:val="none"/>
                <w:lang w:eastAsia="zh-CN"/>
              </w:rPr>
              <w:t>）</w:t>
            </w:r>
          </w:p>
        </w:tc>
      </w:tr>
      <w:tr w14:paraId="605097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456" w:type="dxa"/>
            <w:noWrap w:val="0"/>
            <w:vAlign w:val="center"/>
          </w:tcPr>
          <w:p w14:paraId="5F2D90F0">
            <w:pPr>
              <w:adjustRightInd w:val="0"/>
              <w:snapToGrid w:val="0"/>
              <w:jc w:val="center"/>
              <w:rPr>
                <w:rFonts w:ascii="宋体" w:hAnsi="宋体" w:cs="宋体"/>
                <w:kern w:val="0"/>
                <w:sz w:val="24"/>
                <w:highlight w:val="none"/>
              </w:rPr>
            </w:pPr>
            <w:r>
              <w:rPr>
                <w:rFonts w:hint="eastAsia" w:ascii="宋体" w:hAnsi="宋体" w:cs="宋体"/>
                <w:kern w:val="0"/>
                <w:sz w:val="24"/>
                <w:highlight w:val="none"/>
              </w:rPr>
              <w:t>施工方案</w:t>
            </w:r>
          </w:p>
        </w:tc>
        <w:tc>
          <w:tcPr>
            <w:tcW w:w="8732" w:type="dxa"/>
            <w:noWrap w:val="0"/>
            <w:vAlign w:val="center"/>
          </w:tcPr>
          <w:p w14:paraId="74095EDA">
            <w:pPr>
              <w:spacing w:line="360" w:lineRule="auto"/>
              <w:rPr>
                <w:rFonts w:hint="default"/>
                <w:color w:val="auto"/>
                <w:highlight w:val="none"/>
                <w:lang w:val="en-US"/>
              </w:rPr>
            </w:pPr>
            <w:r>
              <w:rPr>
                <w:rFonts w:hint="eastAsia"/>
                <w:b/>
                <w:bCs/>
                <w:sz w:val="24"/>
                <w:szCs w:val="32"/>
                <w:highlight w:val="none"/>
                <w:lang w:val="en-US" w:eastAsia="zh-CN"/>
              </w:rPr>
              <w:t>1.施工方案</w:t>
            </w:r>
          </w:p>
          <w:p w14:paraId="0DD71668">
            <w:pPr>
              <w:ind w:firstLine="0" w:firstLineChars="0"/>
              <w:jc w:val="center"/>
              <w:rPr>
                <w:color w:val="auto"/>
                <w:highlight w:val="none"/>
              </w:rPr>
            </w:pPr>
            <w:r>
              <w:rPr>
                <w:highlight w:val="none"/>
              </w:rPr>
              <w:drawing>
                <wp:inline distT="0" distB="0" distL="114300" distR="114300">
                  <wp:extent cx="5120640" cy="2225040"/>
                  <wp:effectExtent l="0" t="0" r="3810" b="381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16"/>
                          <a:stretch>
                            <a:fillRect/>
                          </a:stretch>
                        </pic:blipFill>
                        <pic:spPr>
                          <a:xfrm>
                            <a:off x="0" y="0"/>
                            <a:ext cx="5120640" cy="2225040"/>
                          </a:xfrm>
                          <a:prstGeom prst="rect">
                            <a:avLst/>
                          </a:prstGeom>
                          <a:noFill/>
                          <a:ln>
                            <a:noFill/>
                          </a:ln>
                        </pic:spPr>
                      </pic:pic>
                    </a:graphicData>
                  </a:graphic>
                </wp:inline>
              </w:drawing>
            </w:r>
          </w:p>
          <w:p w14:paraId="05C48E9C">
            <w:pPr>
              <w:adjustRightInd w:val="0"/>
              <w:snapToGrid w:val="0"/>
              <w:spacing w:line="360" w:lineRule="auto"/>
              <w:jc w:val="center"/>
              <w:rPr>
                <w:rFonts w:hint="default" w:ascii="Times New Roman" w:hAnsi="Times New Roman" w:eastAsia="宋体" w:cs="Times New Roman"/>
                <w:b/>
                <w:bCs w:val="0"/>
                <w:sz w:val="21"/>
                <w:szCs w:val="21"/>
                <w:highlight w:val="none"/>
                <w:lang w:val="en-US" w:eastAsia="zh-CN"/>
              </w:rPr>
            </w:pPr>
            <w:r>
              <w:rPr>
                <w:rFonts w:hint="eastAsia" w:cs="Times New Roman"/>
                <w:b/>
                <w:bCs w:val="0"/>
                <w:sz w:val="21"/>
                <w:szCs w:val="21"/>
                <w:highlight w:val="none"/>
                <w:lang w:val="en-US" w:eastAsia="zh-CN"/>
              </w:rPr>
              <w:t xml:space="preserve">图2.4   </w:t>
            </w:r>
            <w:r>
              <w:rPr>
                <w:rFonts w:hint="eastAsia" w:ascii="Times New Roman" w:hAnsi="Times New Roman" w:eastAsia="宋体" w:cs="Times New Roman"/>
                <w:b/>
                <w:bCs w:val="0"/>
                <w:sz w:val="21"/>
                <w:szCs w:val="21"/>
                <w:highlight w:val="none"/>
                <w:lang w:val="en-US" w:eastAsia="zh-CN"/>
              </w:rPr>
              <w:t>架空敷设施工流程及产污环节示意图</w:t>
            </w:r>
          </w:p>
          <w:p w14:paraId="022F82DA">
            <w:pPr>
              <w:adjustRightInd w:val="0"/>
              <w:snapToGrid w:val="0"/>
              <w:spacing w:line="360" w:lineRule="auto"/>
              <w:ind w:firstLine="480" w:firstLineChars="200"/>
              <w:jc w:val="left"/>
              <w:rPr>
                <w:rFonts w:hint="default" w:ascii="Times New Roman" w:hAnsi="Times New Roman" w:eastAsia="宋体" w:cs="Times New Roman"/>
                <w:bCs/>
                <w:sz w:val="24"/>
                <w:highlight w:val="none"/>
                <w:lang w:val="en-US" w:eastAsia="zh-CN"/>
              </w:rPr>
            </w:pPr>
            <w:r>
              <w:rPr>
                <w:rFonts w:hint="eastAsia" w:cs="Times New Roman"/>
                <w:bCs/>
                <w:sz w:val="24"/>
                <w:highlight w:val="none"/>
                <w:lang w:val="en-US" w:eastAsia="zh-CN"/>
              </w:rPr>
              <w:t>（</w:t>
            </w:r>
            <w:r>
              <w:rPr>
                <w:rFonts w:hint="eastAsia" w:ascii="Times New Roman" w:hAnsi="Times New Roman" w:eastAsia="宋体" w:cs="Times New Roman"/>
                <w:bCs/>
                <w:sz w:val="24"/>
                <w:highlight w:val="none"/>
                <w:lang w:val="en-US" w:eastAsia="zh-CN"/>
              </w:rPr>
              <w:t>1</w:t>
            </w:r>
            <w:r>
              <w:rPr>
                <w:rFonts w:hint="eastAsia" w:cs="Times New Roman"/>
                <w:bCs/>
                <w:sz w:val="24"/>
                <w:highlight w:val="none"/>
                <w:lang w:val="en-US" w:eastAsia="zh-CN"/>
              </w:rPr>
              <w:t>）</w:t>
            </w:r>
            <w:r>
              <w:rPr>
                <w:rFonts w:hint="eastAsia" w:ascii="Times New Roman" w:hAnsi="Times New Roman" w:eastAsia="宋体" w:cs="Times New Roman"/>
                <w:bCs/>
                <w:sz w:val="24"/>
                <w:highlight w:val="none"/>
                <w:lang w:val="en-US" w:eastAsia="zh-CN"/>
              </w:rPr>
              <w:t>管线布设、作业线路清理</w:t>
            </w:r>
          </w:p>
          <w:p w14:paraId="2C7EED76">
            <w:pPr>
              <w:adjustRightInd w:val="0"/>
              <w:snapToGrid w:val="0"/>
              <w:spacing w:line="360" w:lineRule="auto"/>
              <w:ind w:firstLine="480" w:firstLineChars="200"/>
              <w:jc w:val="left"/>
              <w:rPr>
                <w:rFonts w:hint="default" w:ascii="Times New Roman" w:hAnsi="Times New Roman" w:eastAsia="宋体" w:cs="Times New Roman"/>
                <w:bCs/>
                <w:sz w:val="24"/>
                <w:highlight w:val="none"/>
                <w:lang w:val="en-US" w:eastAsia="zh-CN"/>
              </w:rPr>
            </w:pPr>
            <w:r>
              <w:rPr>
                <w:rFonts w:hint="eastAsia" w:ascii="Times New Roman" w:hAnsi="Times New Roman" w:eastAsia="宋体" w:cs="Times New Roman"/>
                <w:bCs/>
                <w:sz w:val="24"/>
                <w:highlight w:val="none"/>
                <w:lang w:val="en-US" w:eastAsia="zh-CN"/>
              </w:rPr>
              <w:t>根据管线设计走向</w:t>
            </w:r>
            <w:r>
              <w:rPr>
                <w:rFonts w:hint="eastAsia" w:cs="Times New Roman"/>
                <w:bCs/>
                <w:sz w:val="24"/>
                <w:highlight w:val="none"/>
                <w:lang w:val="en-US" w:eastAsia="zh-CN"/>
              </w:rPr>
              <w:t>及管线建设方式（架空）</w:t>
            </w:r>
            <w:r>
              <w:rPr>
                <w:rFonts w:hint="eastAsia" w:ascii="Times New Roman" w:hAnsi="Times New Roman" w:eastAsia="宋体" w:cs="Times New Roman"/>
                <w:bCs/>
                <w:sz w:val="24"/>
                <w:highlight w:val="none"/>
                <w:lang w:val="en-US" w:eastAsia="zh-CN"/>
              </w:rPr>
              <w:t>，本项目不涉及施工场地平整、清理。</w:t>
            </w:r>
          </w:p>
          <w:p w14:paraId="2127C5E5">
            <w:pPr>
              <w:adjustRightInd w:val="0"/>
              <w:snapToGrid w:val="0"/>
              <w:spacing w:line="360" w:lineRule="auto"/>
              <w:ind w:firstLine="480" w:firstLineChars="200"/>
              <w:jc w:val="left"/>
              <w:rPr>
                <w:rFonts w:hint="default" w:ascii="Times New Roman" w:hAnsi="Times New Roman" w:eastAsia="宋体" w:cs="Times New Roman"/>
                <w:bCs/>
                <w:sz w:val="24"/>
                <w:highlight w:val="none"/>
                <w:lang w:val="en-US" w:eastAsia="zh-CN"/>
              </w:rPr>
            </w:pPr>
            <w:r>
              <w:rPr>
                <w:rFonts w:hint="eastAsia" w:cs="Times New Roman"/>
                <w:bCs/>
                <w:sz w:val="24"/>
                <w:highlight w:val="none"/>
                <w:lang w:val="en-US" w:eastAsia="zh-CN"/>
              </w:rPr>
              <w:t>（</w:t>
            </w:r>
            <w:r>
              <w:rPr>
                <w:rFonts w:hint="eastAsia" w:ascii="Times New Roman" w:hAnsi="Times New Roman" w:eastAsia="宋体" w:cs="Times New Roman"/>
                <w:bCs/>
                <w:sz w:val="24"/>
                <w:highlight w:val="none"/>
                <w:lang w:val="en-US" w:eastAsia="zh-CN"/>
              </w:rPr>
              <w:t>2</w:t>
            </w:r>
            <w:r>
              <w:rPr>
                <w:rFonts w:hint="eastAsia" w:cs="Times New Roman"/>
                <w:bCs/>
                <w:sz w:val="24"/>
                <w:highlight w:val="none"/>
                <w:lang w:val="en-US" w:eastAsia="zh-CN"/>
              </w:rPr>
              <w:t>）</w:t>
            </w:r>
            <w:r>
              <w:rPr>
                <w:rFonts w:hint="eastAsia" w:ascii="Times New Roman" w:hAnsi="Times New Roman" w:eastAsia="宋体" w:cs="Times New Roman"/>
                <w:bCs/>
                <w:sz w:val="24"/>
                <w:highlight w:val="none"/>
                <w:lang w:val="en-US" w:eastAsia="zh-CN"/>
              </w:rPr>
              <w:t>架空敷设、吊装</w:t>
            </w:r>
          </w:p>
          <w:p w14:paraId="7AD8449B">
            <w:pPr>
              <w:adjustRightInd w:val="0"/>
              <w:snapToGrid w:val="0"/>
              <w:spacing w:line="360" w:lineRule="auto"/>
              <w:ind w:firstLine="480" w:firstLineChars="200"/>
              <w:jc w:val="left"/>
              <w:rPr>
                <w:rFonts w:hint="eastAsia" w:ascii="Times New Roman" w:hAnsi="Times New Roman" w:eastAsia="宋体" w:cs="Times New Roman"/>
                <w:bCs/>
                <w:sz w:val="24"/>
                <w:highlight w:val="none"/>
                <w:lang w:val="en-US" w:eastAsia="zh-CN"/>
              </w:rPr>
            </w:pPr>
            <w:r>
              <w:rPr>
                <w:rFonts w:hint="eastAsia" w:ascii="Times New Roman" w:hAnsi="Times New Roman" w:eastAsia="宋体" w:cs="Times New Roman"/>
                <w:bCs/>
                <w:sz w:val="24"/>
                <w:highlight w:val="none"/>
                <w:lang w:val="en-US" w:eastAsia="zh-CN"/>
              </w:rPr>
              <w:t>本项目管道在</w:t>
            </w:r>
            <w:r>
              <w:rPr>
                <w:rFonts w:hint="eastAsia" w:cs="Times New Roman"/>
                <w:bCs/>
                <w:sz w:val="24"/>
                <w:highlight w:val="none"/>
                <w:lang w:val="en-US" w:eastAsia="zh-CN"/>
              </w:rPr>
              <w:t>依托</w:t>
            </w:r>
            <w:r>
              <w:rPr>
                <w:rFonts w:hint="eastAsia" w:ascii="Times New Roman" w:hAnsi="Times New Roman" w:eastAsia="宋体" w:cs="Times New Roman"/>
                <w:bCs/>
                <w:sz w:val="24"/>
                <w:highlight w:val="none"/>
                <w:lang w:val="en-US" w:eastAsia="zh-CN"/>
              </w:rPr>
              <w:t>预制场内进行预制后，运到防腐厂涂刷防腐漆后，再运送至本项目施工场地</w:t>
            </w:r>
            <w:r>
              <w:rPr>
                <w:rFonts w:hint="eastAsia" w:cs="Times New Roman"/>
                <w:bCs/>
                <w:sz w:val="24"/>
                <w:highlight w:val="none"/>
                <w:lang w:val="en-US" w:eastAsia="zh-CN"/>
              </w:rPr>
              <w:t>。本项目施工期间不会大面积涂漆，</w:t>
            </w:r>
            <w:r>
              <w:rPr>
                <w:rFonts w:hint="eastAsia" w:ascii="Times New Roman" w:hAnsi="Times New Roman" w:eastAsia="宋体" w:cs="Times New Roman"/>
                <w:bCs/>
                <w:sz w:val="24"/>
                <w:highlight w:val="none"/>
                <w:lang w:val="en-US" w:eastAsia="zh-CN"/>
              </w:rPr>
              <w:t>本项目</w:t>
            </w:r>
            <w:r>
              <w:rPr>
                <w:rFonts w:hint="eastAsia"/>
                <w:sz w:val="24"/>
                <w:highlight w:val="none"/>
              </w:rPr>
              <w:t>现场</w:t>
            </w:r>
            <w:r>
              <w:rPr>
                <w:rFonts w:hint="eastAsia"/>
                <w:sz w:val="24"/>
                <w:highlight w:val="none"/>
                <w:lang w:val="en-US" w:eastAsia="zh-CN"/>
              </w:rPr>
              <w:t>只</w:t>
            </w:r>
            <w:r>
              <w:rPr>
                <w:rFonts w:hint="eastAsia"/>
                <w:sz w:val="24"/>
                <w:highlight w:val="none"/>
              </w:rPr>
              <w:t>进行补刷</w:t>
            </w:r>
            <w:r>
              <w:rPr>
                <w:rFonts w:hint="eastAsia"/>
                <w:sz w:val="24"/>
                <w:highlight w:val="none"/>
                <w:lang w:eastAsia="zh-CN"/>
              </w:rPr>
              <w:t>以</w:t>
            </w:r>
            <w:r>
              <w:rPr>
                <w:rFonts w:hint="eastAsia"/>
                <w:sz w:val="24"/>
                <w:highlight w:val="none"/>
              </w:rPr>
              <w:t>加强防腐处理，会产生少量有机废气</w:t>
            </w:r>
            <w:r>
              <w:rPr>
                <w:rFonts w:hint="eastAsia"/>
                <w:sz w:val="24"/>
                <w:highlight w:val="none"/>
                <w:lang w:eastAsia="zh-CN"/>
              </w:rPr>
              <w:t>，</w:t>
            </w:r>
            <w:r>
              <w:rPr>
                <w:rFonts w:hint="eastAsia"/>
                <w:sz w:val="24"/>
                <w:highlight w:val="none"/>
                <w:lang w:val="en-US" w:eastAsia="zh-CN"/>
              </w:rPr>
              <w:t>影响较小</w:t>
            </w:r>
            <w:r>
              <w:rPr>
                <w:rFonts w:hint="eastAsia" w:ascii="Times New Roman" w:hAnsi="Times New Roman" w:eastAsia="宋体" w:cs="Times New Roman"/>
                <w:bCs/>
                <w:sz w:val="24"/>
                <w:highlight w:val="none"/>
                <w:lang w:val="en-US" w:eastAsia="zh-CN"/>
              </w:rPr>
              <w:t>。</w:t>
            </w:r>
          </w:p>
          <w:p w14:paraId="131209B1">
            <w:pPr>
              <w:adjustRightInd w:val="0"/>
              <w:snapToGrid w:val="0"/>
              <w:spacing w:line="360" w:lineRule="auto"/>
              <w:ind w:firstLine="480" w:firstLineChars="200"/>
              <w:jc w:val="left"/>
              <w:rPr>
                <w:rFonts w:hint="default"/>
                <w:highlight w:val="none"/>
                <w:lang w:val="en-US" w:eastAsia="zh-CN"/>
              </w:rPr>
            </w:pPr>
            <w:r>
              <w:rPr>
                <w:rFonts w:hint="eastAsia" w:ascii="Times New Roman" w:hAnsi="Times New Roman" w:eastAsia="宋体" w:cs="Times New Roman"/>
                <w:bCs/>
                <w:sz w:val="24"/>
                <w:highlight w:val="none"/>
                <w:lang w:val="en-US" w:eastAsia="zh-CN"/>
              </w:rPr>
              <w:t>已涂刷防腐漆的管材通过吊管机在管廊上进行吊装、敷设。该过程产生施工扬尘、噪声。</w:t>
            </w:r>
          </w:p>
          <w:p w14:paraId="355359F8">
            <w:pPr>
              <w:adjustRightInd w:val="0"/>
              <w:snapToGrid w:val="0"/>
              <w:spacing w:line="360" w:lineRule="auto"/>
              <w:ind w:firstLine="480" w:firstLineChars="200"/>
              <w:jc w:val="left"/>
              <w:rPr>
                <w:rFonts w:hint="default" w:ascii="Times New Roman" w:hAnsi="Times New Roman" w:eastAsia="宋体" w:cs="Times New Roman"/>
                <w:bCs/>
                <w:sz w:val="24"/>
                <w:highlight w:val="none"/>
                <w:lang w:val="en-US" w:eastAsia="zh-CN"/>
              </w:rPr>
            </w:pPr>
            <w:r>
              <w:rPr>
                <w:rFonts w:hint="eastAsia" w:cs="Times New Roman"/>
                <w:bCs/>
                <w:sz w:val="24"/>
                <w:highlight w:val="none"/>
                <w:lang w:val="en-US" w:eastAsia="zh-CN"/>
              </w:rPr>
              <w:t>（</w:t>
            </w:r>
            <w:r>
              <w:rPr>
                <w:rFonts w:hint="eastAsia" w:ascii="Times New Roman" w:hAnsi="Times New Roman" w:eastAsia="宋体" w:cs="Times New Roman"/>
                <w:bCs/>
                <w:sz w:val="24"/>
                <w:highlight w:val="none"/>
                <w:lang w:val="en-US" w:eastAsia="zh-CN"/>
              </w:rPr>
              <w:t>3</w:t>
            </w:r>
            <w:r>
              <w:rPr>
                <w:rFonts w:hint="eastAsia" w:cs="Times New Roman"/>
                <w:bCs/>
                <w:sz w:val="24"/>
                <w:highlight w:val="none"/>
                <w:lang w:val="en-US" w:eastAsia="zh-CN"/>
              </w:rPr>
              <w:t>）</w:t>
            </w:r>
            <w:r>
              <w:rPr>
                <w:rFonts w:hint="eastAsia" w:ascii="Times New Roman" w:hAnsi="Times New Roman" w:eastAsia="宋体" w:cs="Times New Roman"/>
                <w:bCs/>
                <w:sz w:val="24"/>
                <w:highlight w:val="none"/>
                <w:lang w:val="en-US" w:eastAsia="zh-CN"/>
              </w:rPr>
              <w:t>管道组装、焊接</w:t>
            </w:r>
          </w:p>
          <w:p w14:paraId="018B579E">
            <w:pPr>
              <w:adjustRightInd w:val="0"/>
              <w:snapToGrid w:val="0"/>
              <w:spacing w:line="360" w:lineRule="auto"/>
              <w:ind w:firstLine="480" w:firstLineChars="200"/>
              <w:jc w:val="left"/>
              <w:rPr>
                <w:rFonts w:hint="default" w:ascii="Times New Roman" w:hAnsi="Times New Roman" w:eastAsia="宋体" w:cs="Times New Roman"/>
                <w:bCs/>
                <w:sz w:val="24"/>
                <w:highlight w:val="none"/>
                <w:lang w:val="en-US" w:eastAsia="zh-CN"/>
              </w:rPr>
            </w:pPr>
            <w:r>
              <w:rPr>
                <w:rFonts w:hint="eastAsia" w:ascii="Times New Roman" w:hAnsi="Times New Roman" w:eastAsia="宋体" w:cs="Times New Roman"/>
                <w:bCs/>
                <w:sz w:val="24"/>
                <w:highlight w:val="none"/>
                <w:lang w:val="en-US" w:eastAsia="zh-CN"/>
              </w:rPr>
              <w:t>按照管道走向，组织管道，并进行对口焊接。管道现场焊接开始前，应进行相应的焊接工艺试验</w:t>
            </w:r>
            <w:r>
              <w:rPr>
                <w:rFonts w:hint="eastAsia" w:cs="Times New Roman"/>
                <w:bCs/>
                <w:sz w:val="24"/>
                <w:highlight w:val="none"/>
                <w:lang w:val="en-US" w:eastAsia="zh-CN"/>
              </w:rPr>
              <w:t>。</w:t>
            </w:r>
            <w:r>
              <w:rPr>
                <w:rFonts w:hint="eastAsia" w:ascii="Times New Roman" w:hAnsi="Times New Roman" w:eastAsia="宋体" w:cs="Times New Roman"/>
                <w:bCs/>
                <w:sz w:val="24"/>
                <w:highlight w:val="none"/>
                <w:lang w:val="en-US" w:eastAsia="zh-CN"/>
              </w:rPr>
              <w:t>制定现场对口焊接及缺陷修补的焊接工艺规程，并进行焊接工艺评定。该过程会产生焊接烟尘、噪声和固体废物。</w:t>
            </w:r>
          </w:p>
          <w:p w14:paraId="76C2F283">
            <w:pPr>
              <w:adjustRightInd w:val="0"/>
              <w:snapToGrid w:val="0"/>
              <w:spacing w:line="360" w:lineRule="auto"/>
              <w:ind w:firstLine="480" w:firstLineChars="200"/>
              <w:jc w:val="left"/>
              <w:rPr>
                <w:rFonts w:hint="default" w:ascii="Times New Roman" w:hAnsi="Times New Roman" w:eastAsia="宋体" w:cs="Times New Roman"/>
                <w:bCs/>
                <w:sz w:val="24"/>
                <w:highlight w:val="none"/>
                <w:lang w:val="en-US" w:eastAsia="zh-CN"/>
              </w:rPr>
            </w:pPr>
            <w:r>
              <w:rPr>
                <w:rFonts w:hint="eastAsia" w:cs="Times New Roman"/>
                <w:bCs/>
                <w:sz w:val="24"/>
                <w:highlight w:val="none"/>
                <w:lang w:val="en-US" w:eastAsia="zh-CN"/>
              </w:rPr>
              <w:t>（4）</w:t>
            </w:r>
            <w:r>
              <w:rPr>
                <w:rFonts w:hint="eastAsia" w:ascii="Times New Roman" w:hAnsi="Times New Roman" w:eastAsia="宋体" w:cs="Times New Roman"/>
                <w:bCs/>
                <w:sz w:val="24"/>
                <w:highlight w:val="none"/>
                <w:lang w:val="en-US" w:eastAsia="zh-CN"/>
              </w:rPr>
              <w:t>清管、试压等泄漏性检验</w:t>
            </w:r>
          </w:p>
          <w:p w14:paraId="34F1346E">
            <w:pPr>
              <w:pStyle w:val="13"/>
              <w:spacing w:after="0" w:line="360" w:lineRule="auto"/>
              <w:ind w:left="0" w:leftChars="0" w:firstLine="480" w:firstLineChars="200"/>
              <w:rPr>
                <w:rFonts w:hint="eastAsia"/>
                <w:sz w:val="24"/>
                <w:szCs w:val="32"/>
                <w:highlight w:val="none"/>
                <w:lang w:val="en-US"/>
              </w:rPr>
            </w:pPr>
            <w:r>
              <w:rPr>
                <w:rFonts w:hint="eastAsia"/>
                <w:sz w:val="24"/>
                <w:szCs w:val="32"/>
                <w:highlight w:val="none"/>
                <w:lang w:val="en-US"/>
              </w:rPr>
              <w:t>项目在启动时考虑试压，试压用水</w:t>
            </w:r>
            <w:r>
              <w:rPr>
                <w:rFonts w:hint="eastAsia"/>
                <w:sz w:val="24"/>
                <w:szCs w:val="32"/>
                <w:highlight w:val="none"/>
                <w:lang w:val="en-US" w:eastAsia="zh-CN"/>
              </w:rPr>
              <w:t>应</w:t>
            </w:r>
            <w:r>
              <w:rPr>
                <w:rFonts w:hint="eastAsia"/>
                <w:sz w:val="24"/>
                <w:szCs w:val="32"/>
                <w:highlight w:val="none"/>
                <w:lang w:val="en-US"/>
              </w:rPr>
              <w:t>引自本厂</w:t>
            </w:r>
            <w:r>
              <w:rPr>
                <w:rFonts w:hint="eastAsia"/>
                <w:sz w:val="24"/>
                <w:szCs w:val="32"/>
                <w:highlight w:val="none"/>
                <w:lang w:val="en-US" w:eastAsia="zh-CN"/>
              </w:rPr>
              <w:t>管网内的新鲜水</w:t>
            </w:r>
            <w:r>
              <w:rPr>
                <w:rFonts w:hint="eastAsia"/>
                <w:sz w:val="24"/>
                <w:szCs w:val="32"/>
                <w:highlight w:val="none"/>
                <w:lang w:val="en-US"/>
              </w:rPr>
              <w:t>。管道试压工艺流程大致如下：</w:t>
            </w:r>
          </w:p>
          <w:p w14:paraId="44D6EFA2">
            <w:pPr>
              <w:pStyle w:val="13"/>
              <w:spacing w:after="0" w:line="360" w:lineRule="auto"/>
              <w:ind w:left="0" w:leftChars="0" w:firstLine="480" w:firstLineChars="200"/>
              <w:rPr>
                <w:rFonts w:hint="eastAsia"/>
                <w:sz w:val="24"/>
                <w:szCs w:val="32"/>
                <w:highlight w:val="none"/>
                <w:lang w:val="en-US"/>
              </w:rPr>
            </w:pPr>
            <w:r>
              <w:rPr>
                <w:rFonts w:hint="eastAsia"/>
                <w:sz w:val="24"/>
                <w:szCs w:val="32"/>
                <w:highlight w:val="none"/>
                <w:lang w:val="en-US"/>
              </w:rPr>
              <w:t>①水压测试</w:t>
            </w:r>
            <w:r>
              <w:rPr>
                <w:rFonts w:hint="eastAsia"/>
                <w:sz w:val="24"/>
                <w:szCs w:val="32"/>
                <w:highlight w:val="none"/>
                <w:lang w:val="en-US" w:eastAsia="zh-CN"/>
              </w:rPr>
              <w:t>之</w:t>
            </w:r>
            <w:r>
              <w:rPr>
                <w:rFonts w:hint="eastAsia"/>
                <w:sz w:val="24"/>
                <w:szCs w:val="32"/>
                <w:highlight w:val="none"/>
                <w:lang w:val="en-US"/>
              </w:rPr>
              <w:t>前，</w:t>
            </w:r>
            <w:r>
              <w:rPr>
                <w:rFonts w:hint="eastAsia"/>
                <w:sz w:val="24"/>
                <w:szCs w:val="32"/>
                <w:highlight w:val="none"/>
                <w:lang w:val="en-US" w:eastAsia="zh-CN"/>
              </w:rPr>
              <w:t>需要</w:t>
            </w:r>
            <w:r>
              <w:rPr>
                <w:rFonts w:hint="eastAsia"/>
                <w:sz w:val="24"/>
                <w:szCs w:val="32"/>
                <w:highlight w:val="none"/>
                <w:lang w:val="en-US"/>
              </w:rPr>
              <w:t>先检查管道系统的所有阀门</w:t>
            </w:r>
            <w:r>
              <w:rPr>
                <w:rFonts w:hint="eastAsia"/>
                <w:sz w:val="24"/>
                <w:szCs w:val="32"/>
                <w:highlight w:val="none"/>
                <w:lang w:val="en-US" w:eastAsia="zh-CN"/>
              </w:rPr>
              <w:t>的</w:t>
            </w:r>
            <w:r>
              <w:rPr>
                <w:rFonts w:hint="eastAsia"/>
                <w:sz w:val="24"/>
                <w:szCs w:val="32"/>
                <w:highlight w:val="none"/>
                <w:lang w:val="en-US"/>
              </w:rPr>
              <w:t>关闭状态；</w:t>
            </w:r>
          </w:p>
          <w:p w14:paraId="493598D9">
            <w:pPr>
              <w:pStyle w:val="13"/>
              <w:spacing w:after="0" w:line="360" w:lineRule="auto"/>
              <w:ind w:left="0" w:leftChars="0" w:firstLine="480" w:firstLineChars="200"/>
              <w:rPr>
                <w:rFonts w:hint="eastAsia"/>
                <w:sz w:val="24"/>
                <w:szCs w:val="32"/>
                <w:highlight w:val="none"/>
                <w:lang w:val="en-US"/>
              </w:rPr>
            </w:pPr>
            <w:r>
              <w:rPr>
                <w:rFonts w:hint="eastAsia"/>
                <w:sz w:val="24"/>
                <w:szCs w:val="32"/>
                <w:highlight w:val="none"/>
                <w:lang w:val="en-US"/>
              </w:rPr>
              <w:t>②连接测试设备</w:t>
            </w:r>
            <w:r>
              <w:rPr>
                <w:rFonts w:hint="eastAsia"/>
                <w:sz w:val="24"/>
                <w:szCs w:val="32"/>
                <w:highlight w:val="none"/>
                <w:lang w:val="en-US" w:eastAsia="zh-CN"/>
              </w:rPr>
              <w:t>：</w:t>
            </w:r>
            <w:r>
              <w:rPr>
                <w:rFonts w:hint="eastAsia"/>
                <w:sz w:val="24"/>
                <w:szCs w:val="32"/>
                <w:highlight w:val="none"/>
                <w:lang w:val="en-US"/>
              </w:rPr>
              <w:t>使用高压水泵向管道系统中加压，检查管道系统压力是否与设计要求一致；</w:t>
            </w:r>
          </w:p>
          <w:p w14:paraId="1D8E28F6">
            <w:pPr>
              <w:pStyle w:val="13"/>
              <w:spacing w:after="0" w:line="360" w:lineRule="auto"/>
              <w:ind w:left="0" w:leftChars="0" w:firstLine="480" w:firstLineChars="200"/>
              <w:rPr>
                <w:rFonts w:hint="eastAsia"/>
                <w:sz w:val="24"/>
                <w:szCs w:val="32"/>
                <w:highlight w:val="none"/>
                <w:lang w:val="en-US"/>
              </w:rPr>
            </w:pPr>
            <w:r>
              <w:rPr>
                <w:rFonts w:hint="eastAsia"/>
                <w:sz w:val="24"/>
                <w:szCs w:val="32"/>
                <w:highlight w:val="none"/>
                <w:lang w:val="en-US"/>
              </w:rPr>
              <w:t>③在管道系统达到设计压力后，保持一段时间稳定压力；</w:t>
            </w:r>
          </w:p>
          <w:p w14:paraId="692648C4">
            <w:pPr>
              <w:pStyle w:val="13"/>
              <w:spacing w:after="0" w:line="360" w:lineRule="auto"/>
              <w:ind w:left="0" w:leftChars="0" w:firstLine="480" w:firstLineChars="200"/>
              <w:rPr>
                <w:rFonts w:hint="eastAsia"/>
                <w:sz w:val="24"/>
                <w:szCs w:val="32"/>
                <w:highlight w:val="none"/>
                <w:lang w:val="en-US"/>
              </w:rPr>
            </w:pPr>
            <w:r>
              <w:rPr>
                <w:rFonts w:hint="eastAsia"/>
                <w:sz w:val="24"/>
                <w:szCs w:val="32"/>
                <w:highlight w:val="none"/>
                <w:lang w:val="en-US"/>
              </w:rPr>
              <w:t>④检查管道系统的密封性，如有泄漏则需要重新检查和处理；</w:t>
            </w:r>
          </w:p>
          <w:p w14:paraId="12AFEC01">
            <w:pPr>
              <w:pStyle w:val="13"/>
              <w:spacing w:after="0" w:line="360" w:lineRule="auto"/>
              <w:ind w:left="0" w:leftChars="0" w:firstLine="480" w:firstLineChars="200"/>
              <w:rPr>
                <w:rFonts w:hint="eastAsia"/>
                <w:sz w:val="24"/>
                <w:szCs w:val="32"/>
                <w:highlight w:val="none"/>
                <w:lang w:val="en-US"/>
              </w:rPr>
            </w:pPr>
            <w:r>
              <w:rPr>
                <w:rFonts w:hint="eastAsia"/>
                <w:sz w:val="24"/>
                <w:szCs w:val="32"/>
                <w:highlight w:val="none"/>
                <w:lang w:val="en-US"/>
              </w:rPr>
              <w:t>⑤水压试验完成后，充分放空管道中的水。</w:t>
            </w:r>
          </w:p>
          <w:p w14:paraId="182E493E">
            <w:pPr>
              <w:adjustRightInd w:val="0"/>
              <w:snapToGrid w:val="0"/>
              <w:spacing w:line="360" w:lineRule="auto"/>
              <w:ind w:firstLine="480" w:firstLineChars="200"/>
              <w:jc w:val="left"/>
              <w:rPr>
                <w:rFonts w:hint="default" w:ascii="Times New Roman" w:hAnsi="Times New Roman" w:eastAsia="宋体" w:cs="Times New Roman"/>
                <w:bCs/>
                <w:sz w:val="24"/>
                <w:highlight w:val="none"/>
                <w:lang w:val="en-US" w:eastAsia="zh-CN"/>
              </w:rPr>
            </w:pPr>
            <w:r>
              <w:rPr>
                <w:rFonts w:hint="eastAsia" w:ascii="Times New Roman" w:hAnsi="Times New Roman" w:eastAsia="宋体" w:cs="宋体"/>
                <w:kern w:val="2"/>
                <w:sz w:val="24"/>
                <w:szCs w:val="24"/>
                <w:highlight w:val="none"/>
              </w:rPr>
              <w:t>施工期</w:t>
            </w:r>
            <w:r>
              <w:rPr>
                <w:rFonts w:hint="eastAsia" w:cs="宋体"/>
                <w:kern w:val="2"/>
                <w:sz w:val="24"/>
                <w:szCs w:val="24"/>
                <w:highlight w:val="none"/>
                <w:lang w:val="en-US" w:eastAsia="zh-CN"/>
              </w:rPr>
              <w:t>试压</w:t>
            </w:r>
            <w:r>
              <w:rPr>
                <w:rFonts w:hint="eastAsia" w:ascii="Times New Roman" w:hAnsi="Times New Roman" w:eastAsia="宋体" w:cs="宋体"/>
                <w:kern w:val="2"/>
                <w:sz w:val="24"/>
                <w:szCs w:val="24"/>
                <w:highlight w:val="none"/>
              </w:rPr>
              <w:t>废水</w:t>
            </w:r>
            <w:r>
              <w:rPr>
                <w:rFonts w:hint="eastAsia" w:cs="宋体"/>
                <w:kern w:val="2"/>
                <w:sz w:val="24"/>
                <w:szCs w:val="24"/>
                <w:highlight w:val="none"/>
                <w:lang w:val="en-US" w:eastAsia="zh-CN"/>
              </w:rPr>
              <w:t>产生后通过罐车运输至伊泰化工</w:t>
            </w:r>
            <w:r>
              <w:rPr>
                <w:rFonts w:hint="eastAsia" w:ascii="Times New Roman" w:hAnsi="Times New Roman" w:eastAsia="宋体" w:cs="宋体"/>
                <w:kern w:val="2"/>
                <w:sz w:val="24"/>
                <w:szCs w:val="24"/>
                <w:highlight w:val="none"/>
              </w:rPr>
              <w:t>厂区内现有</w:t>
            </w:r>
            <w:r>
              <w:rPr>
                <w:rFonts w:hint="eastAsia" w:cs="宋体"/>
                <w:sz w:val="24"/>
                <w:highlight w:val="none"/>
              </w:rPr>
              <w:t>污水处理站废水处理及回用清净废水处理单元</w:t>
            </w:r>
            <w:r>
              <w:rPr>
                <w:rFonts w:hint="eastAsia" w:ascii="Times New Roman" w:hAnsi="Times New Roman" w:eastAsia="宋体" w:cs="宋体"/>
                <w:kern w:val="2"/>
                <w:sz w:val="24"/>
                <w:szCs w:val="24"/>
                <w:highlight w:val="none"/>
              </w:rPr>
              <w:t>，处理后回用，不外排。</w:t>
            </w:r>
          </w:p>
          <w:p w14:paraId="6E0E664E">
            <w:pPr>
              <w:adjustRightInd w:val="0"/>
              <w:snapToGrid w:val="0"/>
              <w:spacing w:line="360" w:lineRule="auto"/>
              <w:ind w:firstLine="480" w:firstLineChars="200"/>
              <w:jc w:val="left"/>
              <w:rPr>
                <w:rFonts w:hint="default" w:ascii="Times New Roman" w:hAnsi="Times New Roman" w:eastAsia="宋体" w:cs="Times New Roman"/>
                <w:bCs/>
                <w:sz w:val="24"/>
                <w:highlight w:val="none"/>
                <w:lang w:val="en-US" w:eastAsia="zh-CN"/>
              </w:rPr>
            </w:pPr>
            <w:r>
              <w:rPr>
                <w:rFonts w:hint="eastAsia" w:ascii="Times New Roman" w:hAnsi="Times New Roman" w:eastAsia="宋体" w:cs="Times New Roman"/>
                <w:bCs/>
                <w:sz w:val="24"/>
                <w:highlight w:val="none"/>
                <w:lang w:val="en-US" w:eastAsia="zh-CN"/>
              </w:rPr>
              <w:t>（</w:t>
            </w:r>
            <w:r>
              <w:rPr>
                <w:rFonts w:hint="eastAsia" w:cs="Times New Roman"/>
                <w:bCs/>
                <w:sz w:val="24"/>
                <w:highlight w:val="none"/>
                <w:lang w:val="en-US" w:eastAsia="zh-CN"/>
              </w:rPr>
              <w:t>5</w:t>
            </w:r>
            <w:r>
              <w:rPr>
                <w:rFonts w:hint="eastAsia" w:ascii="Times New Roman" w:hAnsi="Times New Roman" w:eastAsia="宋体" w:cs="Times New Roman"/>
                <w:bCs/>
                <w:sz w:val="24"/>
                <w:highlight w:val="none"/>
                <w:lang w:val="en-US" w:eastAsia="zh-CN"/>
              </w:rPr>
              <w:t>）管道测径</w:t>
            </w:r>
          </w:p>
          <w:p w14:paraId="12837303">
            <w:pPr>
              <w:adjustRightInd w:val="0"/>
              <w:snapToGrid w:val="0"/>
              <w:spacing w:line="360" w:lineRule="auto"/>
              <w:ind w:firstLine="480" w:firstLineChars="200"/>
              <w:jc w:val="left"/>
              <w:rPr>
                <w:rFonts w:hint="default" w:ascii="Times New Roman" w:hAnsi="Times New Roman" w:eastAsia="宋体" w:cs="Times New Roman"/>
                <w:bCs/>
                <w:sz w:val="24"/>
                <w:highlight w:val="none"/>
                <w:lang w:val="en-US" w:eastAsia="zh-CN"/>
              </w:rPr>
            </w:pPr>
            <w:r>
              <w:rPr>
                <w:rFonts w:hint="eastAsia" w:ascii="Times New Roman" w:hAnsi="Times New Roman" w:eastAsia="宋体" w:cs="Times New Roman"/>
                <w:bCs/>
                <w:sz w:val="24"/>
                <w:highlight w:val="none"/>
                <w:lang w:val="en-US" w:eastAsia="zh-CN"/>
              </w:rPr>
              <w:t>管道清管合格后应在试压前后分别进行测径，测径应采用测径清管器。</w:t>
            </w:r>
          </w:p>
          <w:p w14:paraId="72CD6F5F">
            <w:pPr>
              <w:adjustRightInd w:val="0"/>
              <w:snapToGrid w:val="0"/>
              <w:spacing w:line="360" w:lineRule="auto"/>
              <w:ind w:firstLine="480" w:firstLineChars="200"/>
              <w:jc w:val="left"/>
              <w:rPr>
                <w:rFonts w:hint="default" w:ascii="Times New Roman" w:hAnsi="Times New Roman" w:eastAsia="宋体" w:cs="Times New Roman"/>
                <w:bCs/>
                <w:sz w:val="24"/>
                <w:highlight w:val="none"/>
                <w:lang w:val="en-US" w:eastAsia="zh-CN"/>
              </w:rPr>
            </w:pPr>
            <w:r>
              <w:rPr>
                <w:rFonts w:hint="eastAsia" w:ascii="Times New Roman" w:hAnsi="Times New Roman" w:eastAsia="宋体" w:cs="Times New Roman"/>
                <w:bCs/>
                <w:sz w:val="24"/>
                <w:highlight w:val="none"/>
                <w:lang w:val="en-US" w:eastAsia="zh-CN"/>
              </w:rPr>
              <w:t>（</w:t>
            </w:r>
            <w:r>
              <w:rPr>
                <w:rFonts w:hint="eastAsia" w:cs="Times New Roman"/>
                <w:bCs/>
                <w:sz w:val="24"/>
                <w:highlight w:val="none"/>
                <w:lang w:val="en-US" w:eastAsia="zh-CN"/>
              </w:rPr>
              <w:t>6</w:t>
            </w:r>
            <w:r>
              <w:rPr>
                <w:rFonts w:hint="eastAsia" w:ascii="Times New Roman" w:hAnsi="Times New Roman" w:eastAsia="宋体" w:cs="Times New Roman"/>
                <w:bCs/>
                <w:sz w:val="24"/>
                <w:highlight w:val="none"/>
                <w:lang w:val="en-US" w:eastAsia="zh-CN"/>
              </w:rPr>
              <w:t>）管道干燥</w:t>
            </w:r>
          </w:p>
          <w:p w14:paraId="4FC11758">
            <w:pPr>
              <w:adjustRightInd w:val="0"/>
              <w:snapToGrid w:val="0"/>
              <w:spacing w:line="360" w:lineRule="auto"/>
              <w:ind w:firstLine="480" w:firstLineChars="200"/>
              <w:jc w:val="left"/>
              <w:rPr>
                <w:rFonts w:hint="default" w:ascii="Times New Roman" w:hAnsi="Times New Roman" w:eastAsia="宋体" w:cs="Times New Roman"/>
                <w:bCs/>
                <w:sz w:val="24"/>
                <w:highlight w:val="none"/>
                <w:lang w:val="en-US" w:eastAsia="zh-CN"/>
              </w:rPr>
            </w:pPr>
            <w:r>
              <w:rPr>
                <w:rFonts w:hint="eastAsia" w:ascii="Times New Roman" w:hAnsi="Times New Roman" w:eastAsia="宋体" w:cs="Times New Roman"/>
                <w:bCs/>
                <w:sz w:val="24"/>
                <w:highlight w:val="none"/>
                <w:lang w:val="en-US" w:eastAsia="zh-CN"/>
              </w:rPr>
              <w:t>输气管道在投产之前应进行管道内水分的清除和干燥。管道干燥的方法采用</w:t>
            </w:r>
            <w:r>
              <w:rPr>
                <w:rFonts w:hint="eastAsia" w:cs="Times New Roman"/>
                <w:bCs/>
                <w:sz w:val="24"/>
                <w:highlight w:val="none"/>
                <w:lang w:val="en-US" w:eastAsia="zh-CN"/>
              </w:rPr>
              <w:t>氮气</w:t>
            </w:r>
            <w:r>
              <w:rPr>
                <w:rFonts w:hint="eastAsia" w:ascii="Times New Roman" w:hAnsi="Times New Roman" w:eastAsia="宋体" w:cs="Times New Roman"/>
                <w:bCs/>
                <w:sz w:val="24"/>
                <w:highlight w:val="none"/>
                <w:lang w:val="en-US" w:eastAsia="zh-CN"/>
              </w:rPr>
              <w:t>干燥。</w:t>
            </w:r>
          </w:p>
          <w:p w14:paraId="60761B6C">
            <w:pPr>
              <w:adjustRightInd w:val="0"/>
              <w:snapToGrid w:val="0"/>
              <w:spacing w:line="360" w:lineRule="auto"/>
              <w:ind w:firstLine="480" w:firstLineChars="200"/>
              <w:jc w:val="left"/>
              <w:rPr>
                <w:rFonts w:hint="default" w:ascii="Times New Roman" w:hAnsi="Times New Roman" w:eastAsia="宋体" w:cs="Times New Roman"/>
                <w:bCs/>
                <w:sz w:val="24"/>
                <w:highlight w:val="none"/>
                <w:lang w:val="en-US" w:eastAsia="zh-CN"/>
              </w:rPr>
            </w:pPr>
            <w:r>
              <w:rPr>
                <w:rFonts w:hint="eastAsia" w:ascii="Times New Roman" w:hAnsi="Times New Roman" w:eastAsia="宋体" w:cs="Times New Roman"/>
                <w:bCs/>
                <w:sz w:val="24"/>
                <w:highlight w:val="none"/>
                <w:lang w:val="en-US" w:eastAsia="zh-CN"/>
              </w:rPr>
              <w:t>该过程会产生清管、试压废水、噪声</w:t>
            </w:r>
            <w:r>
              <w:rPr>
                <w:rFonts w:hint="eastAsia" w:cs="Times New Roman"/>
                <w:bCs/>
                <w:sz w:val="24"/>
                <w:highlight w:val="none"/>
                <w:lang w:val="en-US" w:eastAsia="zh-CN"/>
              </w:rPr>
              <w:t>等</w:t>
            </w:r>
            <w:r>
              <w:rPr>
                <w:rFonts w:hint="eastAsia" w:ascii="Times New Roman" w:hAnsi="Times New Roman" w:eastAsia="宋体" w:cs="Times New Roman"/>
                <w:bCs/>
                <w:sz w:val="24"/>
                <w:highlight w:val="none"/>
                <w:lang w:val="en-US" w:eastAsia="zh-CN"/>
              </w:rPr>
              <w:t>。</w:t>
            </w:r>
          </w:p>
          <w:p w14:paraId="62BAA643">
            <w:pPr>
              <w:adjustRightInd w:val="0"/>
              <w:snapToGrid w:val="0"/>
              <w:spacing w:line="360" w:lineRule="auto"/>
              <w:ind w:firstLine="480" w:firstLineChars="200"/>
              <w:jc w:val="left"/>
              <w:rPr>
                <w:rFonts w:hint="default" w:ascii="Times New Roman" w:hAnsi="Times New Roman" w:eastAsia="宋体" w:cs="Times New Roman"/>
                <w:bCs/>
                <w:sz w:val="24"/>
                <w:highlight w:val="none"/>
                <w:lang w:val="en-US" w:eastAsia="zh-CN"/>
              </w:rPr>
            </w:pPr>
            <w:r>
              <w:rPr>
                <w:rFonts w:hint="eastAsia" w:ascii="Times New Roman" w:hAnsi="Times New Roman" w:eastAsia="宋体" w:cs="Times New Roman"/>
                <w:bCs/>
                <w:sz w:val="24"/>
                <w:highlight w:val="none"/>
                <w:lang w:val="en-US" w:eastAsia="zh-CN"/>
              </w:rPr>
              <w:t>（</w:t>
            </w:r>
            <w:r>
              <w:rPr>
                <w:rFonts w:hint="eastAsia" w:cs="Times New Roman"/>
                <w:bCs/>
                <w:sz w:val="24"/>
                <w:highlight w:val="none"/>
                <w:lang w:val="en-US" w:eastAsia="zh-CN"/>
              </w:rPr>
              <w:t>7</w:t>
            </w:r>
            <w:r>
              <w:rPr>
                <w:rFonts w:hint="eastAsia" w:ascii="Times New Roman" w:hAnsi="Times New Roman" w:eastAsia="宋体" w:cs="Times New Roman"/>
                <w:bCs/>
                <w:sz w:val="24"/>
                <w:highlight w:val="none"/>
                <w:lang w:val="en-US" w:eastAsia="zh-CN"/>
              </w:rPr>
              <w:t>）调试、清理现场</w:t>
            </w:r>
          </w:p>
          <w:p w14:paraId="566CC51E">
            <w:pPr>
              <w:adjustRightInd w:val="0"/>
              <w:snapToGrid w:val="0"/>
              <w:spacing w:line="360" w:lineRule="auto"/>
              <w:ind w:firstLine="480" w:firstLineChars="200"/>
              <w:jc w:val="left"/>
              <w:rPr>
                <w:rFonts w:hint="default" w:ascii="Times New Roman" w:hAnsi="Times New Roman" w:eastAsia="宋体" w:cs="Times New Roman"/>
                <w:bCs/>
                <w:sz w:val="24"/>
                <w:highlight w:val="none"/>
                <w:lang w:val="en-US" w:eastAsia="zh-CN"/>
              </w:rPr>
            </w:pPr>
            <w:r>
              <w:rPr>
                <w:rFonts w:hint="eastAsia" w:ascii="Times New Roman" w:hAnsi="Times New Roman" w:eastAsia="宋体" w:cs="Times New Roman"/>
                <w:bCs/>
                <w:sz w:val="24"/>
                <w:highlight w:val="none"/>
                <w:lang w:val="en-US" w:eastAsia="zh-CN"/>
              </w:rPr>
              <w:t>管道通过泄漏性检验后，根据相关要求进行调试，合格后再对施工场地进行清理。该过程会产生噪声。</w:t>
            </w:r>
          </w:p>
          <w:p w14:paraId="3B2FB5C0">
            <w:pPr>
              <w:pStyle w:val="29"/>
              <w:spacing w:before="0" w:beforeLines="0" w:after="0" w:afterLines="0" w:line="360" w:lineRule="auto"/>
              <w:jc w:val="both"/>
              <w:rPr>
                <w:rFonts w:hint="default"/>
                <w:sz w:val="24"/>
                <w:szCs w:val="32"/>
                <w:highlight w:val="none"/>
                <w:lang w:val="en-US" w:eastAsia="zh-CN"/>
              </w:rPr>
            </w:pPr>
            <w:r>
              <w:rPr>
                <w:rFonts w:hint="eastAsia"/>
                <w:sz w:val="24"/>
                <w:szCs w:val="32"/>
                <w:highlight w:val="none"/>
                <w:lang w:val="en-US" w:eastAsia="zh-CN"/>
              </w:rPr>
              <w:t>2.施工通道</w:t>
            </w:r>
          </w:p>
          <w:p w14:paraId="62360B1A">
            <w:pPr>
              <w:adjustRightInd w:val="0"/>
              <w:snapToGrid w:val="0"/>
              <w:spacing w:line="360" w:lineRule="auto"/>
              <w:ind w:firstLine="480" w:firstLineChars="200"/>
              <w:jc w:val="left"/>
              <w:rPr>
                <w:rFonts w:hint="default" w:ascii="Times New Roman" w:hAnsi="Times New Roman" w:eastAsia="宋体" w:cs="Times New Roman"/>
                <w:bCs/>
                <w:sz w:val="24"/>
                <w:highlight w:val="none"/>
                <w:lang w:val="en-US" w:eastAsia="zh-CN"/>
              </w:rPr>
            </w:pPr>
            <w:r>
              <w:rPr>
                <w:rFonts w:hint="eastAsia" w:ascii="Times New Roman" w:hAnsi="Times New Roman" w:eastAsia="宋体" w:cs="Times New Roman"/>
                <w:bCs/>
                <w:sz w:val="24"/>
                <w:highlight w:val="none"/>
                <w:lang w:val="en-US" w:eastAsia="zh-CN"/>
              </w:rPr>
              <w:t>本项目道路依托内蒙古伊泰化工有限</w:t>
            </w:r>
            <w:r>
              <w:rPr>
                <w:rFonts w:hint="eastAsia" w:cs="Times New Roman"/>
                <w:bCs/>
                <w:sz w:val="24"/>
                <w:highlight w:val="none"/>
                <w:lang w:val="en-US" w:eastAsia="zh-CN"/>
              </w:rPr>
              <w:t>责任</w:t>
            </w:r>
            <w:r>
              <w:rPr>
                <w:rFonts w:hint="eastAsia" w:ascii="Times New Roman" w:hAnsi="Times New Roman" w:eastAsia="宋体" w:cs="Times New Roman"/>
                <w:bCs/>
                <w:sz w:val="24"/>
                <w:highlight w:val="none"/>
                <w:lang w:val="en-US" w:eastAsia="zh-CN"/>
              </w:rPr>
              <w:t>公司内部道路和园区内道路。</w:t>
            </w:r>
          </w:p>
          <w:p w14:paraId="570A9243">
            <w:pPr>
              <w:pStyle w:val="29"/>
              <w:spacing w:before="0" w:beforeLines="0" w:after="0" w:afterLines="0" w:line="360" w:lineRule="auto"/>
              <w:jc w:val="both"/>
              <w:rPr>
                <w:rFonts w:hint="default"/>
                <w:sz w:val="24"/>
                <w:szCs w:val="32"/>
                <w:highlight w:val="none"/>
                <w:lang w:val="en-US" w:eastAsia="zh-CN"/>
              </w:rPr>
            </w:pPr>
            <w:r>
              <w:rPr>
                <w:rFonts w:hint="eastAsia"/>
                <w:sz w:val="24"/>
                <w:szCs w:val="32"/>
                <w:highlight w:val="none"/>
                <w:lang w:val="en-US" w:eastAsia="zh-CN"/>
              </w:rPr>
              <w:t>3.施工占地</w:t>
            </w:r>
          </w:p>
          <w:p w14:paraId="02489B23">
            <w:pPr>
              <w:pStyle w:val="30"/>
              <w:keepNext/>
              <w:ind w:firstLineChars="200"/>
              <w:rPr>
                <w:rFonts w:hint="default" w:ascii="Times New Roman" w:hAnsi="Times New Roman" w:eastAsia="宋体" w:cs="Times New Roman"/>
                <w:bCs/>
                <w:sz w:val="24"/>
                <w:highlight w:val="none"/>
                <w:lang w:val="en-US" w:eastAsia="zh-CN"/>
              </w:rPr>
            </w:pPr>
            <w:r>
              <w:rPr>
                <w:rFonts w:hint="eastAsia" w:ascii="Times New Roman" w:hAnsi="Times New Roman" w:eastAsia="宋体" w:cs="Times New Roman"/>
                <w:bCs/>
                <w:sz w:val="24"/>
                <w:highlight w:val="none"/>
                <w:lang w:val="en-US" w:eastAsia="zh-CN"/>
              </w:rPr>
              <w:t>管廊施工利用内蒙古伊泰化工有限</w:t>
            </w:r>
            <w:r>
              <w:rPr>
                <w:rFonts w:hint="eastAsia" w:cs="Times New Roman"/>
                <w:bCs/>
                <w:sz w:val="24"/>
                <w:highlight w:val="none"/>
                <w:lang w:val="en-US" w:eastAsia="zh-CN"/>
              </w:rPr>
              <w:t>责任</w:t>
            </w:r>
            <w:r>
              <w:rPr>
                <w:rFonts w:hint="eastAsia" w:ascii="Times New Roman" w:hAnsi="Times New Roman" w:eastAsia="宋体" w:cs="Times New Roman"/>
                <w:bCs/>
                <w:sz w:val="24"/>
                <w:highlight w:val="none"/>
                <w:lang w:val="en-US" w:eastAsia="zh-CN"/>
              </w:rPr>
              <w:t>公司现有道路。管架先在施工单位内部预制场预制好后，运到现场进行焊接即可，不设置施工营地。</w:t>
            </w:r>
            <w:r>
              <w:rPr>
                <w:color w:val="000000"/>
                <w:spacing w:val="-1"/>
                <w:sz w:val="24"/>
                <w:szCs w:val="24"/>
                <w:highlight w:val="none"/>
              </w:rPr>
              <w:t>本项目</w:t>
            </w:r>
            <w:r>
              <w:rPr>
                <w:rFonts w:hint="eastAsia"/>
                <w:color w:val="000000"/>
                <w:spacing w:val="-1"/>
                <w:sz w:val="24"/>
                <w:szCs w:val="24"/>
                <w:highlight w:val="none"/>
                <w:lang w:val="en-US" w:eastAsia="zh-CN"/>
              </w:rPr>
              <w:t>架空管线工程本身主体结构不直接接触地下水，不涉及地面工程，管线支撑结构（如杆塔基础、支架底座等）检修、维护均不属于本次评价内容，均依托现有工程。项目厂区内管廊管道占地均为无植被区，</w:t>
            </w:r>
            <w:r>
              <w:rPr>
                <w:rFonts w:hint="eastAsia" w:ascii="Times New Roman" w:hAnsi="Times New Roman" w:eastAsia="宋体" w:cs="Times New Roman"/>
                <w:bCs/>
                <w:sz w:val="24"/>
                <w:highlight w:val="none"/>
                <w:lang w:val="en-US" w:eastAsia="zh-CN"/>
              </w:rPr>
              <w:t>不涉及植被破</w:t>
            </w:r>
            <w:r>
              <w:rPr>
                <w:rFonts w:hint="eastAsia" w:cs="Times New Roman"/>
                <w:bCs/>
                <w:sz w:val="24"/>
                <w:highlight w:val="none"/>
                <w:lang w:val="en-US" w:eastAsia="zh-CN"/>
              </w:rPr>
              <w:t>坏。</w:t>
            </w:r>
            <w:r>
              <w:rPr>
                <w:rFonts w:hint="eastAsia"/>
                <w:color w:val="000000"/>
                <w:spacing w:val="-1"/>
                <w:sz w:val="24"/>
                <w:szCs w:val="24"/>
                <w:highlight w:val="none"/>
                <w:lang w:val="en-US" w:eastAsia="zh-CN"/>
              </w:rPr>
              <w:t>厂区外WRT甲烷气管道、清净废水管道部分涉及天然牧草地，但均为架空敷设因此对地下影响较小，不涉及</w:t>
            </w:r>
            <w:r>
              <w:rPr>
                <w:rFonts w:hint="eastAsia" w:cs="Times New Roman"/>
                <w:color w:val="000000"/>
                <w:sz w:val="24"/>
                <w:szCs w:val="24"/>
                <w:highlight w:val="none"/>
                <w:lang w:val="en-US" w:eastAsia="zh-CN"/>
              </w:rPr>
              <w:t>敏感区域。项目黄河水管道</w:t>
            </w:r>
            <w:r>
              <w:rPr>
                <w:rFonts w:hint="eastAsia" w:ascii="Times New Roman" w:hAnsi="Times New Roman" w:eastAsia="宋体" w:cs="Times New Roman"/>
                <w:bCs/>
                <w:sz w:val="24"/>
                <w:highlight w:val="none"/>
                <w:lang w:val="en-US" w:eastAsia="zh-CN"/>
              </w:rPr>
              <w:t>接至已有埋地管道</w:t>
            </w:r>
            <w:r>
              <w:rPr>
                <w:rFonts w:hint="eastAsia" w:cs="Times New Roman"/>
                <w:bCs/>
                <w:sz w:val="24"/>
                <w:highlight w:val="none"/>
                <w:lang w:val="en-US" w:eastAsia="zh-CN"/>
              </w:rPr>
              <w:t>预留接口</w:t>
            </w:r>
            <w:r>
              <w:rPr>
                <w:rFonts w:hint="eastAsia" w:ascii="Times New Roman" w:hAnsi="Times New Roman" w:eastAsia="宋体" w:cs="Times New Roman"/>
                <w:bCs/>
                <w:sz w:val="24"/>
                <w:highlight w:val="none"/>
                <w:lang w:val="en-US" w:eastAsia="zh-CN"/>
              </w:rPr>
              <w:t>，</w:t>
            </w:r>
            <w:r>
              <w:rPr>
                <w:rFonts w:hint="eastAsia" w:cs="Times New Roman"/>
                <w:bCs/>
                <w:sz w:val="24"/>
                <w:highlight w:val="none"/>
                <w:lang w:val="en-US" w:eastAsia="zh-CN"/>
              </w:rPr>
              <w:t>不涉及土方工程。在</w:t>
            </w:r>
            <w:r>
              <w:rPr>
                <w:rFonts w:hint="eastAsia" w:ascii="Times New Roman" w:hAnsi="Times New Roman" w:eastAsia="宋体" w:cs="Times New Roman"/>
                <w:bCs/>
                <w:sz w:val="24"/>
                <w:highlight w:val="none"/>
                <w:lang w:val="en-US" w:eastAsia="zh-CN"/>
              </w:rPr>
              <w:t>支墩上敷设</w:t>
            </w:r>
            <w:r>
              <w:rPr>
                <w:rFonts w:hint="default" w:ascii="Times New Roman" w:hAnsi="Times New Roman" w:eastAsia="宋体" w:cs="Times New Roman"/>
                <w:bCs/>
                <w:sz w:val="24"/>
                <w:highlight w:val="none"/>
                <w:lang w:val="en-US" w:eastAsia="zh-CN"/>
              </w:rPr>
              <w:t>引入伊泰化工管廊，</w:t>
            </w:r>
            <w:r>
              <w:rPr>
                <w:rFonts w:hint="eastAsia" w:cs="Times New Roman"/>
                <w:bCs/>
                <w:sz w:val="24"/>
                <w:highlight w:val="none"/>
                <w:lang w:val="en-US" w:eastAsia="zh-CN"/>
              </w:rPr>
              <w:t>距离管廊共计200m。管线整体采用架空铺设，最终</w:t>
            </w:r>
            <w:r>
              <w:rPr>
                <w:rFonts w:hint="default" w:ascii="Times New Roman" w:hAnsi="Times New Roman" w:eastAsia="宋体" w:cs="Times New Roman"/>
                <w:bCs/>
                <w:sz w:val="24"/>
                <w:highlight w:val="none"/>
                <w:lang w:val="en-US" w:eastAsia="zh-CN"/>
              </w:rPr>
              <w:t>输送至鹏泰化工管廊处。</w:t>
            </w:r>
          </w:p>
          <w:p w14:paraId="305F493C">
            <w:pPr>
              <w:pStyle w:val="29"/>
              <w:spacing w:before="0" w:beforeLines="0" w:after="0" w:afterLines="0" w:line="360" w:lineRule="auto"/>
              <w:jc w:val="both"/>
              <w:rPr>
                <w:rFonts w:hint="default"/>
                <w:sz w:val="24"/>
                <w:szCs w:val="32"/>
                <w:highlight w:val="none"/>
                <w:lang w:val="en-US" w:eastAsia="zh-CN"/>
              </w:rPr>
            </w:pPr>
            <w:r>
              <w:rPr>
                <w:rFonts w:hint="eastAsia"/>
                <w:sz w:val="24"/>
                <w:szCs w:val="32"/>
                <w:highlight w:val="none"/>
                <w:lang w:val="en-US" w:eastAsia="zh-CN"/>
              </w:rPr>
              <w:t>4.</w:t>
            </w:r>
            <w:r>
              <w:rPr>
                <w:rFonts w:hint="default"/>
                <w:sz w:val="24"/>
                <w:szCs w:val="32"/>
                <w:highlight w:val="none"/>
                <w:lang w:val="en-US" w:eastAsia="zh-CN"/>
              </w:rPr>
              <w:t>项目建设周期</w:t>
            </w:r>
          </w:p>
          <w:p w14:paraId="02795835">
            <w:pPr>
              <w:pStyle w:val="29"/>
              <w:spacing w:before="0" w:beforeLines="0" w:after="0" w:afterLines="0" w:line="360" w:lineRule="auto"/>
              <w:ind w:firstLine="480" w:firstLineChars="200"/>
              <w:jc w:val="both"/>
              <w:rPr>
                <w:rFonts w:hint="eastAsia"/>
                <w:b w:val="0"/>
                <w:bCs/>
                <w:sz w:val="24"/>
                <w:szCs w:val="32"/>
                <w:highlight w:val="none"/>
              </w:rPr>
            </w:pPr>
            <w:r>
              <w:rPr>
                <w:rFonts w:hint="eastAsia"/>
                <w:b w:val="0"/>
                <w:bCs/>
                <w:sz w:val="24"/>
                <w:szCs w:val="32"/>
                <w:highlight w:val="none"/>
              </w:rPr>
              <w:t>施工期为12个月，</w:t>
            </w:r>
            <w:r>
              <w:rPr>
                <w:rFonts w:hint="eastAsia"/>
                <w:b w:val="0"/>
                <w:bCs/>
                <w:sz w:val="24"/>
                <w:szCs w:val="32"/>
                <w:highlight w:val="none"/>
                <w:lang w:val="en-US" w:eastAsia="zh-CN"/>
              </w:rPr>
              <w:t>2025年12月~2026年11月。施工</w:t>
            </w:r>
            <w:r>
              <w:rPr>
                <w:rFonts w:hint="eastAsia"/>
                <w:b w:val="0"/>
                <w:bCs/>
                <w:sz w:val="24"/>
                <w:szCs w:val="32"/>
                <w:highlight w:val="none"/>
              </w:rPr>
              <w:t>人员</w:t>
            </w:r>
            <w:r>
              <w:rPr>
                <w:rFonts w:hint="eastAsia"/>
                <w:b w:val="0"/>
                <w:bCs/>
                <w:sz w:val="24"/>
                <w:szCs w:val="32"/>
                <w:highlight w:val="none"/>
                <w:lang w:val="en-US" w:eastAsia="zh-CN"/>
              </w:rPr>
              <w:t>依托内蒙古伊泰化工有限责任公司现有工作人员</w:t>
            </w:r>
            <w:r>
              <w:rPr>
                <w:rFonts w:hint="eastAsia"/>
                <w:b w:val="0"/>
                <w:bCs/>
                <w:sz w:val="24"/>
                <w:szCs w:val="32"/>
                <w:highlight w:val="none"/>
              </w:rPr>
              <w:t>。</w:t>
            </w:r>
          </w:p>
          <w:p w14:paraId="2BF7817B">
            <w:pPr>
              <w:pStyle w:val="29"/>
              <w:spacing w:before="0" w:beforeLines="0" w:after="0" w:afterLines="0" w:line="360" w:lineRule="auto"/>
              <w:jc w:val="both"/>
              <w:rPr>
                <w:rFonts w:hint="eastAsia"/>
                <w:sz w:val="24"/>
                <w:highlight w:val="none"/>
              </w:rPr>
            </w:pPr>
            <w:r>
              <w:rPr>
                <w:rFonts w:hint="eastAsia"/>
                <w:sz w:val="24"/>
                <w:szCs w:val="32"/>
                <w:highlight w:val="none"/>
                <w:lang w:val="en-US" w:eastAsia="zh-CN"/>
              </w:rPr>
              <w:t>5.</w:t>
            </w:r>
            <w:r>
              <w:rPr>
                <w:rFonts w:hint="eastAsia"/>
                <w:sz w:val="24"/>
                <w:highlight w:val="none"/>
              </w:rPr>
              <w:t>施工</w:t>
            </w:r>
            <w:r>
              <w:rPr>
                <w:rFonts w:hint="eastAsia"/>
                <w:sz w:val="24"/>
                <w:highlight w:val="none"/>
                <w:lang w:eastAsia="zh-CN"/>
              </w:rPr>
              <w:t>期间</w:t>
            </w:r>
            <w:r>
              <w:rPr>
                <w:rFonts w:hint="eastAsia"/>
                <w:sz w:val="24"/>
                <w:highlight w:val="none"/>
              </w:rPr>
              <w:t>污染源分析</w:t>
            </w:r>
          </w:p>
          <w:p w14:paraId="4589543F">
            <w:pPr>
              <w:pStyle w:val="13"/>
              <w:spacing w:after="0" w:line="360" w:lineRule="auto"/>
              <w:ind w:left="0" w:leftChars="0" w:firstLine="480" w:firstLineChars="200"/>
              <w:rPr>
                <w:rFonts w:hint="eastAsia"/>
                <w:sz w:val="24"/>
                <w:highlight w:val="none"/>
              </w:rPr>
            </w:pPr>
            <w:r>
              <w:rPr>
                <w:rFonts w:hint="eastAsia"/>
                <w:sz w:val="24"/>
                <w:highlight w:val="none"/>
              </w:rPr>
              <w:t>本项目施工过程</w:t>
            </w:r>
            <w:r>
              <w:rPr>
                <w:rFonts w:hint="eastAsia"/>
                <w:sz w:val="24"/>
                <w:highlight w:val="none"/>
                <w:lang w:eastAsia="zh-CN"/>
              </w:rPr>
              <w:t>中</w:t>
            </w:r>
            <w:r>
              <w:rPr>
                <w:rFonts w:hint="eastAsia"/>
                <w:sz w:val="24"/>
                <w:highlight w:val="none"/>
              </w:rPr>
              <w:t>施工机械、车辆可能会产生扬尘、施工噪声等</w:t>
            </w:r>
            <w:r>
              <w:rPr>
                <w:rFonts w:hint="eastAsia"/>
                <w:sz w:val="24"/>
                <w:highlight w:val="none"/>
                <w:lang w:eastAsia="zh-CN"/>
              </w:rPr>
              <w:t>，</w:t>
            </w:r>
            <w:r>
              <w:rPr>
                <w:rFonts w:hint="eastAsia"/>
                <w:sz w:val="24"/>
                <w:highlight w:val="none"/>
              </w:rPr>
              <w:t>管道架设安装过</w:t>
            </w:r>
            <w:r>
              <w:rPr>
                <w:rFonts w:hint="eastAsia"/>
                <w:sz w:val="24"/>
                <w:highlight w:val="none"/>
                <w:lang w:eastAsia="zh-CN"/>
              </w:rPr>
              <w:t>程中</w:t>
            </w:r>
            <w:r>
              <w:rPr>
                <w:rFonts w:hint="eastAsia"/>
                <w:sz w:val="24"/>
                <w:highlight w:val="none"/>
              </w:rPr>
              <w:t>会产生少量焊烟及试压废水等。</w:t>
            </w:r>
          </w:p>
          <w:p w14:paraId="1AA662CA">
            <w:pPr>
              <w:pStyle w:val="13"/>
              <w:spacing w:after="0" w:line="360" w:lineRule="auto"/>
              <w:ind w:left="0" w:leftChars="0" w:firstLine="480" w:firstLineChars="200"/>
              <w:rPr>
                <w:rFonts w:hint="eastAsia"/>
                <w:sz w:val="24"/>
                <w:highlight w:val="none"/>
              </w:rPr>
            </w:pPr>
            <w:r>
              <w:rPr>
                <w:rFonts w:hint="eastAsia"/>
                <w:sz w:val="24"/>
                <w:highlight w:val="none"/>
              </w:rPr>
              <w:t>（</w:t>
            </w:r>
            <w:r>
              <w:rPr>
                <w:rFonts w:hint="eastAsia"/>
                <w:sz w:val="24"/>
                <w:highlight w:val="none"/>
                <w:lang w:val="en-US"/>
              </w:rPr>
              <w:t>1</w:t>
            </w:r>
            <w:r>
              <w:rPr>
                <w:rFonts w:hint="eastAsia"/>
                <w:sz w:val="24"/>
                <w:highlight w:val="none"/>
              </w:rPr>
              <w:t>）废水</w:t>
            </w:r>
          </w:p>
          <w:p w14:paraId="0D83112F">
            <w:pPr>
              <w:pStyle w:val="13"/>
              <w:spacing w:after="0" w:line="360" w:lineRule="auto"/>
              <w:ind w:left="0" w:leftChars="0" w:firstLine="480" w:firstLineChars="200"/>
              <w:rPr>
                <w:rFonts w:hint="eastAsia"/>
                <w:sz w:val="24"/>
                <w:highlight w:val="none"/>
              </w:rPr>
            </w:pPr>
            <w:r>
              <w:rPr>
                <w:rFonts w:hint="eastAsia"/>
                <w:sz w:val="24"/>
                <w:highlight w:val="none"/>
              </w:rPr>
              <w:t>施工期间所产生的废水主要来自管道试压阶段排放的试压废水。</w:t>
            </w:r>
          </w:p>
          <w:p w14:paraId="25FB5230">
            <w:pPr>
              <w:spacing w:line="360" w:lineRule="auto"/>
              <w:ind w:firstLine="480" w:firstLineChars="200"/>
              <w:rPr>
                <w:rFonts w:hint="eastAsia" w:cs="宋体"/>
                <w:color w:val="1900FF"/>
                <w:sz w:val="24"/>
                <w:highlight w:val="none"/>
              </w:rPr>
            </w:pPr>
            <w:r>
              <w:rPr>
                <w:rFonts w:hint="eastAsia"/>
                <w:sz w:val="24"/>
                <w:highlight w:val="none"/>
              </w:rPr>
              <w:t>①生活污水：</w:t>
            </w:r>
            <w:r>
              <w:rPr>
                <w:rFonts w:hint="eastAsia" w:cs="宋体"/>
                <w:sz w:val="24"/>
                <w:highlight w:val="none"/>
              </w:rPr>
              <w:t>本项目</w:t>
            </w:r>
            <w:r>
              <w:rPr>
                <w:rFonts w:hint="eastAsia" w:cs="宋体"/>
                <w:sz w:val="24"/>
                <w:highlight w:val="none"/>
                <w:lang w:eastAsia="zh-CN"/>
              </w:rPr>
              <w:t>施工</w:t>
            </w:r>
            <w:r>
              <w:rPr>
                <w:rFonts w:hint="eastAsia" w:cs="宋体"/>
                <w:sz w:val="24"/>
                <w:highlight w:val="none"/>
              </w:rPr>
              <w:t>人员</w:t>
            </w:r>
            <w:r>
              <w:rPr>
                <w:rFonts w:hint="eastAsia" w:cs="宋体"/>
                <w:sz w:val="24"/>
                <w:highlight w:val="none"/>
                <w:lang w:val="en-US" w:eastAsia="zh-CN"/>
              </w:rPr>
              <w:t>依托内蒙古伊泰化工有限责任公司现有工作人员，生活污水</w:t>
            </w:r>
            <w:r>
              <w:rPr>
                <w:rFonts w:hint="eastAsia" w:cs="宋体"/>
                <w:sz w:val="24"/>
                <w:highlight w:val="none"/>
              </w:rPr>
              <w:t>依托现有公共卫生间集中收集</w:t>
            </w:r>
            <w:r>
              <w:rPr>
                <w:rFonts w:hint="eastAsia" w:cs="宋体"/>
                <w:sz w:val="24"/>
                <w:highlight w:val="none"/>
                <w:lang w:eastAsia="zh-CN"/>
              </w:rPr>
              <w:t>，</w:t>
            </w:r>
            <w:r>
              <w:rPr>
                <w:rFonts w:hint="eastAsia" w:cs="宋体"/>
                <w:sz w:val="24"/>
                <w:highlight w:val="none"/>
                <w:lang w:val="en-US" w:eastAsia="zh-CN"/>
              </w:rPr>
              <w:t>最终排向厂区污水处理站，本次不新增用排水</w:t>
            </w:r>
            <w:r>
              <w:rPr>
                <w:rFonts w:hint="eastAsia" w:cs="宋体"/>
                <w:sz w:val="24"/>
                <w:highlight w:val="none"/>
              </w:rPr>
              <w:t>。</w:t>
            </w:r>
          </w:p>
          <w:p w14:paraId="2BE82F6D">
            <w:pPr>
              <w:pStyle w:val="13"/>
              <w:spacing w:after="0" w:line="360" w:lineRule="auto"/>
              <w:ind w:left="0" w:leftChars="0" w:firstLine="480" w:firstLineChars="200"/>
              <w:rPr>
                <w:sz w:val="24"/>
                <w:highlight w:val="none"/>
              </w:rPr>
            </w:pPr>
            <w:r>
              <w:rPr>
                <w:rFonts w:hint="eastAsia"/>
                <w:sz w:val="24"/>
                <w:highlight w:val="none"/>
              </w:rPr>
              <w:t>②管道试压废水：是</w:t>
            </w:r>
            <w:r>
              <w:rPr>
                <w:rFonts w:hint="eastAsia"/>
                <w:sz w:val="24"/>
                <w:highlight w:val="none"/>
                <w:lang w:eastAsia="zh-CN"/>
              </w:rPr>
              <w:t>指</w:t>
            </w:r>
            <w:r>
              <w:rPr>
                <w:rFonts w:hint="eastAsia"/>
                <w:sz w:val="24"/>
                <w:highlight w:val="none"/>
              </w:rPr>
              <w:t>管道在安装完毕和无损检测合格后进行的水压试验产生的废水。管道试压采用自来水，试压后需把水排尽，产生试压废水</w:t>
            </w:r>
            <w:r>
              <w:rPr>
                <w:rFonts w:hint="eastAsia"/>
                <w:sz w:val="24"/>
                <w:highlight w:val="none"/>
                <w:lang w:eastAsia="zh-CN"/>
              </w:rPr>
              <w:t>。</w:t>
            </w:r>
            <w:r>
              <w:rPr>
                <w:rFonts w:hint="eastAsia"/>
                <w:sz w:val="24"/>
                <w:highlight w:val="none"/>
              </w:rPr>
              <w:t>废水中含有少量SS，污染物来源为管道内部</w:t>
            </w:r>
            <w:r>
              <w:rPr>
                <w:rFonts w:hint="eastAsia"/>
                <w:sz w:val="24"/>
                <w:highlight w:val="none"/>
                <w:lang w:val="en-US" w:eastAsia="zh-CN"/>
              </w:rPr>
              <w:t>的</w:t>
            </w:r>
            <w:r>
              <w:rPr>
                <w:rFonts w:hint="eastAsia"/>
                <w:sz w:val="24"/>
                <w:highlight w:val="none"/>
              </w:rPr>
              <w:t>灰尘和杂质</w:t>
            </w:r>
            <w:r>
              <w:rPr>
                <w:rFonts w:hint="eastAsia"/>
                <w:sz w:val="24"/>
                <w:highlight w:val="none"/>
                <w:lang w:eastAsia="zh-CN"/>
              </w:rPr>
              <w:t>。</w:t>
            </w:r>
            <w:r>
              <w:rPr>
                <w:rFonts w:hint="eastAsia" w:cs="宋体"/>
                <w:kern w:val="2"/>
                <w:sz w:val="24"/>
                <w:szCs w:val="24"/>
                <w:highlight w:val="none"/>
                <w:lang w:val="en-US" w:eastAsia="zh-CN"/>
              </w:rPr>
              <w:t>产生后通过罐车运输至伊泰化工</w:t>
            </w:r>
            <w:r>
              <w:rPr>
                <w:rFonts w:hint="eastAsia" w:ascii="Times New Roman" w:hAnsi="Times New Roman" w:eastAsia="宋体" w:cs="宋体"/>
                <w:kern w:val="2"/>
                <w:sz w:val="24"/>
                <w:szCs w:val="24"/>
                <w:highlight w:val="none"/>
              </w:rPr>
              <w:t>厂区内现有</w:t>
            </w:r>
            <w:r>
              <w:rPr>
                <w:rFonts w:hint="eastAsia" w:cs="宋体"/>
                <w:sz w:val="24"/>
                <w:highlight w:val="none"/>
              </w:rPr>
              <w:t>污水处理站废水处理及回用清净废水处理单元</w:t>
            </w:r>
            <w:r>
              <w:rPr>
                <w:rFonts w:hint="eastAsia" w:ascii="Times New Roman" w:hAnsi="Times New Roman" w:eastAsia="宋体" w:cs="宋体"/>
                <w:kern w:val="2"/>
                <w:sz w:val="24"/>
                <w:szCs w:val="24"/>
                <w:highlight w:val="none"/>
              </w:rPr>
              <w:t>，处理后回用，不外排。</w:t>
            </w:r>
          </w:p>
          <w:p w14:paraId="79873DF9">
            <w:pPr>
              <w:pStyle w:val="13"/>
              <w:spacing w:after="0" w:line="360" w:lineRule="auto"/>
              <w:ind w:left="0" w:leftChars="0" w:firstLine="480" w:firstLineChars="200"/>
              <w:rPr>
                <w:rFonts w:hint="eastAsia"/>
                <w:sz w:val="24"/>
                <w:highlight w:val="none"/>
              </w:rPr>
            </w:pPr>
            <w:r>
              <w:rPr>
                <w:rFonts w:hint="eastAsia"/>
                <w:sz w:val="24"/>
                <w:highlight w:val="none"/>
              </w:rPr>
              <w:t>（</w:t>
            </w:r>
            <w:r>
              <w:rPr>
                <w:rFonts w:hint="eastAsia"/>
                <w:sz w:val="24"/>
                <w:highlight w:val="none"/>
                <w:lang w:val="en-US"/>
              </w:rPr>
              <w:t>2</w:t>
            </w:r>
            <w:r>
              <w:rPr>
                <w:rFonts w:hint="eastAsia"/>
                <w:sz w:val="24"/>
                <w:highlight w:val="none"/>
              </w:rPr>
              <w:t>）废气</w:t>
            </w:r>
          </w:p>
          <w:p w14:paraId="4459BBD2">
            <w:pPr>
              <w:pStyle w:val="13"/>
              <w:spacing w:after="0" w:line="360" w:lineRule="auto"/>
              <w:ind w:left="0" w:leftChars="0" w:firstLine="480" w:firstLineChars="200"/>
              <w:rPr>
                <w:rFonts w:hint="eastAsia"/>
                <w:sz w:val="24"/>
                <w:highlight w:val="none"/>
              </w:rPr>
            </w:pPr>
            <w:r>
              <w:rPr>
                <w:rFonts w:hint="eastAsia"/>
                <w:sz w:val="24"/>
                <w:highlight w:val="none"/>
              </w:rPr>
              <w:t>施工期大气污染源主要有：施工扬尘及施工机械设备尾气、焊接烟气及涂漆废气等。项目施工扬尘主要来自来往运输车辆引起的施工扬尘，施工机械、运输车辆排放的废气、管道焊接废气、管道涂漆废气等。</w:t>
            </w:r>
          </w:p>
          <w:p w14:paraId="550C8D34">
            <w:pPr>
              <w:pStyle w:val="13"/>
              <w:spacing w:after="0" w:line="360" w:lineRule="auto"/>
              <w:ind w:left="0" w:leftChars="0" w:firstLine="480" w:firstLineChars="200"/>
              <w:rPr>
                <w:rFonts w:hint="eastAsia"/>
                <w:sz w:val="24"/>
                <w:highlight w:val="none"/>
              </w:rPr>
            </w:pPr>
            <w:r>
              <w:rPr>
                <w:rFonts w:hint="eastAsia"/>
                <w:sz w:val="24"/>
                <w:highlight w:val="none"/>
              </w:rPr>
              <w:t>①施工扬尘：施工运输车辆沿现有道路进行运输，道路地面为水泥地面和</w:t>
            </w:r>
            <w:r>
              <w:rPr>
                <w:rFonts w:hint="eastAsia"/>
                <w:sz w:val="24"/>
                <w:highlight w:val="none"/>
                <w:lang w:val="en-US"/>
              </w:rPr>
              <w:t>碎石</w:t>
            </w:r>
            <w:r>
              <w:rPr>
                <w:rFonts w:hint="eastAsia"/>
                <w:sz w:val="24"/>
                <w:highlight w:val="none"/>
              </w:rPr>
              <w:t>路面，施工车辆</w:t>
            </w:r>
            <w:r>
              <w:rPr>
                <w:rFonts w:hint="eastAsia"/>
                <w:sz w:val="24"/>
                <w:highlight w:val="none"/>
                <w:lang w:eastAsia="zh-CN"/>
              </w:rPr>
              <w:t>在</w:t>
            </w:r>
            <w:r>
              <w:rPr>
                <w:rFonts w:hint="eastAsia"/>
                <w:sz w:val="24"/>
                <w:highlight w:val="none"/>
              </w:rPr>
              <w:t>运输过程</w:t>
            </w:r>
            <w:r>
              <w:rPr>
                <w:rFonts w:hint="eastAsia"/>
                <w:sz w:val="24"/>
                <w:highlight w:val="none"/>
                <w:lang w:eastAsia="zh-CN"/>
              </w:rPr>
              <w:t>中</w:t>
            </w:r>
            <w:r>
              <w:rPr>
                <w:rFonts w:hint="eastAsia"/>
                <w:sz w:val="24"/>
                <w:highlight w:val="none"/>
              </w:rPr>
              <w:t>会产生一定的路面扬尘。</w:t>
            </w:r>
          </w:p>
          <w:p w14:paraId="65158AC2">
            <w:pPr>
              <w:pStyle w:val="13"/>
              <w:spacing w:after="0" w:line="360" w:lineRule="auto"/>
              <w:ind w:left="0" w:leftChars="0" w:firstLine="480" w:firstLineChars="200"/>
              <w:rPr>
                <w:rFonts w:hint="eastAsia"/>
                <w:sz w:val="24"/>
                <w:highlight w:val="none"/>
              </w:rPr>
            </w:pPr>
            <w:r>
              <w:rPr>
                <w:rFonts w:hint="eastAsia"/>
                <w:sz w:val="24"/>
                <w:highlight w:val="none"/>
              </w:rPr>
              <w:t>②施工机械、运输车辆排放的废气：在工程施工期间，</w:t>
            </w:r>
            <w:r>
              <w:rPr>
                <w:rFonts w:hint="eastAsia"/>
                <w:sz w:val="24"/>
                <w:highlight w:val="none"/>
                <w:lang w:val="en-US"/>
              </w:rPr>
              <w:t>施工</w:t>
            </w:r>
            <w:r>
              <w:rPr>
                <w:rFonts w:hint="eastAsia"/>
                <w:sz w:val="24"/>
                <w:highlight w:val="none"/>
              </w:rPr>
              <w:t>车辆的发动机排放的尾气中含有NO</w:t>
            </w:r>
            <w:r>
              <w:rPr>
                <w:rFonts w:hint="eastAsia"/>
                <w:sz w:val="24"/>
                <w:highlight w:val="none"/>
                <w:vertAlign w:val="subscript"/>
              </w:rPr>
              <w:t>2</w:t>
            </w:r>
            <w:r>
              <w:rPr>
                <w:rFonts w:hint="eastAsia"/>
                <w:sz w:val="24"/>
                <w:highlight w:val="none"/>
              </w:rPr>
              <w:t>，CO、NMHC等污染物，一般情况下，这类污染物的排放量较小。</w:t>
            </w:r>
          </w:p>
          <w:p w14:paraId="4D0ECD35">
            <w:pPr>
              <w:pStyle w:val="13"/>
              <w:spacing w:after="0" w:line="360" w:lineRule="auto"/>
              <w:ind w:left="0" w:leftChars="0" w:firstLine="480" w:firstLineChars="200"/>
              <w:rPr>
                <w:rFonts w:hint="eastAsia"/>
                <w:sz w:val="24"/>
                <w:highlight w:val="none"/>
              </w:rPr>
            </w:pPr>
            <w:r>
              <w:rPr>
                <w:rFonts w:hint="eastAsia"/>
                <w:sz w:val="24"/>
                <w:highlight w:val="none"/>
              </w:rPr>
              <w:t>③管道焊接：管道焊接会产生少量焊接</w:t>
            </w:r>
            <w:r>
              <w:rPr>
                <w:rFonts w:hint="eastAsia"/>
                <w:sz w:val="24"/>
                <w:highlight w:val="none"/>
                <w:lang w:val="en-US"/>
              </w:rPr>
              <w:t>废气</w:t>
            </w:r>
            <w:r>
              <w:rPr>
                <w:rFonts w:hint="eastAsia"/>
                <w:sz w:val="24"/>
                <w:highlight w:val="none"/>
              </w:rPr>
              <w:t>；项目管道已在工厂进行了防腐处理，现场进行补刷加强防腐处理</w:t>
            </w:r>
            <w:r>
              <w:rPr>
                <w:rFonts w:hint="eastAsia"/>
                <w:sz w:val="24"/>
                <w:highlight w:val="none"/>
                <w:lang w:val="en-US" w:eastAsia="zh-CN"/>
              </w:rPr>
              <w:t>时</w:t>
            </w:r>
            <w:r>
              <w:rPr>
                <w:rFonts w:hint="eastAsia"/>
                <w:sz w:val="24"/>
                <w:highlight w:val="none"/>
              </w:rPr>
              <w:t>会产生少量有机废气，主要为挥发性有机物，项目油漆用量较小，挥发性有机物产生量及排放量较小。</w:t>
            </w:r>
          </w:p>
          <w:p w14:paraId="5B585665">
            <w:pPr>
              <w:spacing w:line="360" w:lineRule="auto"/>
              <w:ind w:firstLine="480" w:firstLineChars="200"/>
              <w:rPr>
                <w:rFonts w:hint="eastAsia"/>
                <w:sz w:val="24"/>
                <w:highlight w:val="none"/>
                <w:lang w:val="zh-CN"/>
              </w:rPr>
            </w:pPr>
            <w:r>
              <w:rPr>
                <w:rFonts w:hint="eastAsia"/>
                <w:sz w:val="24"/>
                <w:highlight w:val="none"/>
                <w:lang w:val="zh-CN"/>
              </w:rPr>
              <w:t>（</w:t>
            </w:r>
            <w:r>
              <w:rPr>
                <w:rFonts w:hint="eastAsia"/>
                <w:sz w:val="24"/>
                <w:highlight w:val="none"/>
              </w:rPr>
              <w:t>3</w:t>
            </w:r>
            <w:r>
              <w:rPr>
                <w:rFonts w:hint="eastAsia"/>
                <w:sz w:val="24"/>
                <w:highlight w:val="none"/>
                <w:lang w:val="zh-CN"/>
              </w:rPr>
              <w:t>）噪声</w:t>
            </w:r>
          </w:p>
          <w:p w14:paraId="011FB921">
            <w:pPr>
              <w:spacing w:line="360" w:lineRule="auto"/>
              <w:ind w:firstLine="480" w:firstLineChars="200"/>
              <w:rPr>
                <w:rFonts w:hint="eastAsia"/>
                <w:sz w:val="24"/>
                <w:highlight w:val="none"/>
                <w:lang w:val="zh-CN"/>
              </w:rPr>
            </w:pPr>
            <w:r>
              <w:rPr>
                <w:rFonts w:hint="eastAsia"/>
                <w:sz w:val="24"/>
                <w:highlight w:val="none"/>
                <w:lang w:val="zh-CN"/>
              </w:rPr>
              <w:t>在施工作业过程中，主要噪声设备有汽车吊、焊机、切割机</w:t>
            </w:r>
            <w:r>
              <w:rPr>
                <w:rFonts w:hint="eastAsia"/>
                <w:sz w:val="24"/>
                <w:highlight w:val="none"/>
              </w:rPr>
              <w:t>等</w:t>
            </w:r>
            <w:r>
              <w:rPr>
                <w:rFonts w:hint="eastAsia"/>
                <w:sz w:val="24"/>
                <w:highlight w:val="none"/>
                <w:lang w:val="zh-CN"/>
              </w:rPr>
              <w:t>，另外有移动噪声源材料运输车辆等。运输噪声如自卸汽车、载重汽车等噪声，属流动噪声源；管线施工机械噪声均具有流动性和短期性，施工噪声影响时间相对较短。</w:t>
            </w:r>
          </w:p>
          <w:p w14:paraId="2A9A03DE">
            <w:pPr>
              <w:spacing w:line="360" w:lineRule="auto"/>
              <w:ind w:firstLine="480" w:firstLineChars="200"/>
              <w:rPr>
                <w:rFonts w:hint="eastAsia"/>
                <w:sz w:val="24"/>
                <w:highlight w:val="none"/>
                <w:lang w:val="zh-CN"/>
              </w:rPr>
            </w:pPr>
            <w:r>
              <w:rPr>
                <w:rFonts w:hint="eastAsia"/>
                <w:sz w:val="24"/>
                <w:highlight w:val="none"/>
                <w:lang w:val="zh-CN"/>
              </w:rPr>
              <w:t>（</w:t>
            </w:r>
            <w:r>
              <w:rPr>
                <w:rFonts w:hint="eastAsia"/>
                <w:sz w:val="24"/>
                <w:highlight w:val="none"/>
              </w:rPr>
              <w:t>4</w:t>
            </w:r>
            <w:r>
              <w:rPr>
                <w:rFonts w:hint="eastAsia"/>
                <w:sz w:val="24"/>
                <w:highlight w:val="none"/>
                <w:lang w:val="zh-CN"/>
              </w:rPr>
              <w:t>）固体废物</w:t>
            </w:r>
          </w:p>
          <w:p w14:paraId="1C7C2075">
            <w:pPr>
              <w:spacing w:line="360" w:lineRule="auto"/>
              <w:ind w:firstLine="480" w:firstLineChars="200"/>
              <w:rPr>
                <w:rFonts w:hint="eastAsia"/>
                <w:sz w:val="24"/>
                <w:highlight w:val="none"/>
                <w:lang w:val="zh-CN"/>
              </w:rPr>
            </w:pPr>
            <w:r>
              <w:rPr>
                <w:rFonts w:hint="eastAsia"/>
                <w:sz w:val="24"/>
                <w:highlight w:val="none"/>
                <w:lang w:val="zh-CN"/>
              </w:rPr>
              <w:t>施工期产生的固体废物主要为施工废料、废油漆桶及生活垃圾。</w:t>
            </w:r>
          </w:p>
          <w:p w14:paraId="61788BE3">
            <w:pPr>
              <w:spacing w:line="360" w:lineRule="auto"/>
              <w:ind w:firstLine="480" w:firstLineChars="200"/>
              <w:rPr>
                <w:rFonts w:hint="eastAsia"/>
                <w:sz w:val="24"/>
                <w:highlight w:val="none"/>
                <w:lang w:val="zh-CN"/>
              </w:rPr>
            </w:pPr>
            <w:r>
              <w:rPr>
                <w:rFonts w:hint="eastAsia"/>
                <w:sz w:val="24"/>
                <w:highlight w:val="none"/>
                <w:lang w:val="zh-CN"/>
              </w:rPr>
              <w:t>①施工废料</w:t>
            </w:r>
          </w:p>
          <w:p w14:paraId="4720DC08">
            <w:pPr>
              <w:spacing w:line="360" w:lineRule="auto"/>
              <w:ind w:firstLine="480" w:firstLineChars="200"/>
              <w:rPr>
                <w:bCs/>
                <w:sz w:val="24"/>
                <w:highlight w:val="none"/>
              </w:rPr>
            </w:pPr>
            <w:r>
              <w:rPr>
                <w:rFonts w:hint="eastAsia"/>
                <w:sz w:val="24"/>
                <w:highlight w:val="none"/>
                <w:lang w:val="zh-CN"/>
              </w:rPr>
              <w:t>施工废料主要包括管道焊接作业中产生的废焊条（</w:t>
            </w:r>
            <w:r>
              <w:rPr>
                <w:rFonts w:hint="eastAsia"/>
                <w:sz w:val="24"/>
                <w:highlight w:val="none"/>
                <w:lang w:val="en-US" w:eastAsia="zh-CN"/>
              </w:rPr>
              <w:t>不含重金属，为普通碳钢和不锈钢等一般工业固废</w:t>
            </w:r>
            <w:r>
              <w:rPr>
                <w:rFonts w:hint="eastAsia"/>
                <w:sz w:val="24"/>
                <w:highlight w:val="none"/>
                <w:lang w:val="zh-CN"/>
              </w:rPr>
              <w:t>）、焊渣（</w:t>
            </w:r>
            <w:r>
              <w:rPr>
                <w:rFonts w:hint="eastAsia"/>
                <w:sz w:val="24"/>
                <w:highlight w:val="none"/>
                <w:lang w:val="en-US" w:eastAsia="zh-CN"/>
              </w:rPr>
              <w:t>氧化铁等一般工业固废</w:t>
            </w:r>
            <w:r>
              <w:rPr>
                <w:rFonts w:hint="eastAsia"/>
                <w:sz w:val="24"/>
                <w:highlight w:val="none"/>
                <w:lang w:val="zh-CN"/>
              </w:rPr>
              <w:t>）、防腐、保温作业中产生的废防腐材料、废保温材料等。本项目施工过程产生的施工废料量约为</w:t>
            </w:r>
            <w:r>
              <w:rPr>
                <w:rFonts w:hint="eastAsia"/>
                <w:sz w:val="24"/>
                <w:highlight w:val="none"/>
                <w:lang w:val="en-US" w:eastAsia="zh-CN"/>
              </w:rPr>
              <w:t>0.5</w:t>
            </w:r>
            <w:r>
              <w:rPr>
                <w:rFonts w:hint="eastAsia"/>
                <w:sz w:val="24"/>
                <w:highlight w:val="none"/>
                <w:lang w:val="zh-CN"/>
              </w:rPr>
              <w:t>t。</w:t>
            </w:r>
            <w:r>
              <w:rPr>
                <w:bCs/>
                <w:sz w:val="24"/>
                <w:highlight w:val="none"/>
              </w:rPr>
              <w:t>收集后</w:t>
            </w:r>
            <w:r>
              <w:rPr>
                <w:rFonts w:hint="eastAsia"/>
                <w:bCs/>
                <w:sz w:val="24"/>
                <w:highlight w:val="none"/>
              </w:rPr>
              <w:t>由施工单位清运，可以进行回收利用的外售</w:t>
            </w:r>
            <w:r>
              <w:rPr>
                <w:rFonts w:hint="eastAsia"/>
                <w:bCs/>
                <w:sz w:val="24"/>
                <w:highlight w:val="none"/>
                <w:lang w:eastAsia="zh-CN"/>
              </w:rPr>
              <w:t>并</w:t>
            </w:r>
            <w:r>
              <w:rPr>
                <w:rFonts w:hint="eastAsia"/>
                <w:bCs/>
                <w:sz w:val="24"/>
                <w:highlight w:val="none"/>
              </w:rPr>
              <w:t>综合利用，对不能回收利用的</w:t>
            </w:r>
            <w:r>
              <w:rPr>
                <w:rFonts w:hint="eastAsia"/>
                <w:bCs/>
                <w:sz w:val="24"/>
                <w:highlight w:val="none"/>
                <w:lang w:eastAsia="zh-CN"/>
              </w:rPr>
              <w:t>垃圾</w:t>
            </w:r>
            <w:r>
              <w:rPr>
                <w:rFonts w:hint="eastAsia"/>
                <w:bCs/>
                <w:sz w:val="24"/>
                <w:highlight w:val="none"/>
              </w:rPr>
              <w:t>运送至就近的建筑垃圾处理厂统一处理</w:t>
            </w:r>
            <w:r>
              <w:rPr>
                <w:bCs/>
                <w:sz w:val="24"/>
                <w:highlight w:val="none"/>
              </w:rPr>
              <w:t>。</w:t>
            </w:r>
          </w:p>
          <w:p w14:paraId="4A547665">
            <w:pPr>
              <w:spacing w:line="360" w:lineRule="auto"/>
              <w:ind w:firstLine="480" w:firstLineChars="200"/>
              <w:rPr>
                <w:rFonts w:hint="eastAsia"/>
                <w:sz w:val="24"/>
                <w:highlight w:val="none"/>
                <w:lang w:val="zh-CN"/>
              </w:rPr>
            </w:pPr>
            <w:r>
              <w:rPr>
                <w:rFonts w:hint="eastAsia"/>
                <w:sz w:val="24"/>
                <w:highlight w:val="none"/>
                <w:lang w:val="zh-CN"/>
              </w:rPr>
              <w:t>②废油漆桶</w:t>
            </w:r>
          </w:p>
          <w:p w14:paraId="0562AD86">
            <w:pPr>
              <w:spacing w:line="360" w:lineRule="auto"/>
              <w:ind w:firstLine="480" w:firstLineChars="200"/>
              <w:rPr>
                <w:rFonts w:hint="eastAsia"/>
                <w:sz w:val="24"/>
                <w:highlight w:val="none"/>
                <w:lang w:val="zh-CN"/>
              </w:rPr>
            </w:pPr>
            <w:r>
              <w:rPr>
                <w:rFonts w:hint="eastAsia"/>
                <w:sz w:val="24"/>
                <w:highlight w:val="none"/>
                <w:lang w:val="zh-CN"/>
              </w:rPr>
              <w:t>废油漆桶属于《国家危险废物名录》（2025年版）中HW49其他废物，废物代码为900-041-49“含有或沾染毒性、感染性危险废物的废弃包装物、容器、过滤吸附介质”，应分类收集。</w:t>
            </w:r>
            <w:r>
              <w:rPr>
                <w:rFonts w:hint="eastAsia"/>
                <w:sz w:val="24"/>
                <w:highlight w:val="none"/>
                <w:lang w:val="en-US" w:eastAsia="zh-CN"/>
              </w:rPr>
              <w:t>本项目施工期废油桶产生共计5kg，依托内蒙古伊泰化工有限责任公司</w:t>
            </w:r>
            <w:r>
              <w:rPr>
                <w:rFonts w:hint="eastAsia"/>
                <w:sz w:val="24"/>
                <w:highlight w:val="none"/>
                <w:lang w:val="zh-CN" w:eastAsia="zh-CN"/>
              </w:rPr>
              <w:t>危废暂存库</w:t>
            </w:r>
            <w:r>
              <w:rPr>
                <w:rFonts w:hint="eastAsia"/>
                <w:sz w:val="24"/>
                <w:highlight w:val="none"/>
                <w:lang w:val="zh-CN"/>
              </w:rPr>
              <w:t>，</w:t>
            </w:r>
            <w:r>
              <w:rPr>
                <w:rFonts w:hint="eastAsia"/>
                <w:sz w:val="24"/>
                <w:highlight w:val="none"/>
                <w:lang w:val="en-US" w:eastAsia="zh-CN"/>
              </w:rPr>
              <w:t>后委托有资质单位处理</w:t>
            </w:r>
            <w:r>
              <w:rPr>
                <w:rFonts w:hint="eastAsia"/>
                <w:sz w:val="24"/>
                <w:highlight w:val="none"/>
                <w:lang w:val="zh-CN"/>
              </w:rPr>
              <w:t>。</w:t>
            </w:r>
          </w:p>
          <w:p w14:paraId="68EE7C73">
            <w:pPr>
              <w:spacing w:line="360" w:lineRule="auto"/>
              <w:ind w:firstLine="480" w:firstLineChars="200"/>
              <w:rPr>
                <w:rFonts w:hint="eastAsia"/>
                <w:sz w:val="24"/>
                <w:highlight w:val="none"/>
                <w:lang w:val="zh-CN"/>
              </w:rPr>
            </w:pPr>
            <w:r>
              <w:rPr>
                <w:rFonts w:hint="eastAsia"/>
                <w:sz w:val="24"/>
                <w:highlight w:val="none"/>
                <w:lang w:val="zh-CN"/>
              </w:rPr>
              <w:t>③生活垃圾</w:t>
            </w:r>
          </w:p>
          <w:p w14:paraId="5FCE9EF7">
            <w:pPr>
              <w:spacing w:line="360" w:lineRule="auto"/>
              <w:ind w:firstLine="480" w:firstLineChars="200"/>
              <w:rPr>
                <w:rFonts w:hint="eastAsia"/>
                <w:sz w:val="24"/>
                <w:highlight w:val="none"/>
                <w:lang w:val="zh-CN"/>
              </w:rPr>
            </w:pPr>
            <w:r>
              <w:rPr>
                <w:rFonts w:hint="eastAsia"/>
                <w:b w:val="0"/>
                <w:bCs/>
                <w:sz w:val="24"/>
                <w:szCs w:val="32"/>
                <w:highlight w:val="none"/>
                <w:lang w:val="en-US" w:eastAsia="zh-CN"/>
              </w:rPr>
              <w:t>施工</w:t>
            </w:r>
            <w:r>
              <w:rPr>
                <w:rFonts w:hint="eastAsia"/>
                <w:b w:val="0"/>
                <w:bCs/>
                <w:sz w:val="24"/>
                <w:szCs w:val="32"/>
                <w:highlight w:val="none"/>
              </w:rPr>
              <w:t>人员</w:t>
            </w:r>
            <w:r>
              <w:rPr>
                <w:rFonts w:hint="eastAsia"/>
                <w:b w:val="0"/>
                <w:bCs/>
                <w:sz w:val="24"/>
                <w:szCs w:val="32"/>
                <w:highlight w:val="none"/>
                <w:lang w:val="en-US" w:eastAsia="zh-CN"/>
              </w:rPr>
              <w:t>全部为内蒙古伊泰化工有限责任公司现有人员</w:t>
            </w:r>
            <w:r>
              <w:rPr>
                <w:rFonts w:hint="eastAsia"/>
                <w:sz w:val="24"/>
                <w:highlight w:val="none"/>
                <w:lang w:val="zh-CN"/>
              </w:rPr>
              <w:t>。</w:t>
            </w:r>
            <w:r>
              <w:rPr>
                <w:rFonts w:hint="eastAsia"/>
                <w:sz w:val="24"/>
                <w:highlight w:val="none"/>
                <w:lang w:val="en-US" w:eastAsia="zh-CN"/>
              </w:rPr>
              <w:t>所产生的</w:t>
            </w:r>
            <w:r>
              <w:rPr>
                <w:bCs/>
                <w:sz w:val="24"/>
                <w:highlight w:val="none"/>
              </w:rPr>
              <w:t>生活垃圾经</w:t>
            </w:r>
            <w:r>
              <w:rPr>
                <w:rFonts w:hint="eastAsia"/>
                <w:bCs/>
                <w:sz w:val="24"/>
                <w:highlight w:val="none"/>
                <w:lang w:val="en-US" w:eastAsia="zh-CN"/>
              </w:rPr>
              <w:t>厂区垃圾桶</w:t>
            </w:r>
            <w:r>
              <w:rPr>
                <w:bCs/>
                <w:sz w:val="24"/>
                <w:highlight w:val="none"/>
              </w:rPr>
              <w:t>收集后</w:t>
            </w:r>
            <w:r>
              <w:rPr>
                <w:rFonts w:hint="eastAsia"/>
                <w:bCs/>
                <w:sz w:val="24"/>
                <w:highlight w:val="none"/>
                <w:lang w:val="en-US" w:eastAsia="zh-CN"/>
              </w:rPr>
              <w:t>统一由环卫部门处置</w:t>
            </w:r>
            <w:r>
              <w:rPr>
                <w:bCs/>
                <w:sz w:val="24"/>
                <w:highlight w:val="none"/>
              </w:rPr>
              <w:t>。</w:t>
            </w:r>
          </w:p>
          <w:p w14:paraId="350CA8B8">
            <w:pPr>
              <w:spacing w:line="360" w:lineRule="auto"/>
              <w:ind w:firstLine="480" w:firstLineChars="200"/>
              <w:rPr>
                <w:rFonts w:hint="eastAsia"/>
                <w:sz w:val="24"/>
                <w:highlight w:val="none"/>
                <w:lang w:val="zh-CN"/>
              </w:rPr>
            </w:pPr>
            <w:r>
              <w:rPr>
                <w:rFonts w:hint="eastAsia"/>
                <w:sz w:val="24"/>
                <w:highlight w:val="none"/>
                <w:lang w:val="zh-CN"/>
              </w:rPr>
              <w:t>（</w:t>
            </w:r>
            <w:r>
              <w:rPr>
                <w:rFonts w:hint="eastAsia"/>
                <w:sz w:val="24"/>
                <w:highlight w:val="none"/>
              </w:rPr>
              <w:t>5</w:t>
            </w:r>
            <w:r>
              <w:rPr>
                <w:rFonts w:hint="eastAsia"/>
                <w:sz w:val="24"/>
                <w:highlight w:val="none"/>
                <w:lang w:val="zh-CN"/>
              </w:rPr>
              <w:t>）生态环境影响</w:t>
            </w:r>
          </w:p>
          <w:p w14:paraId="69E85F52">
            <w:pPr>
              <w:spacing w:line="360" w:lineRule="auto"/>
              <w:ind w:firstLine="480" w:firstLineChars="200"/>
              <w:rPr>
                <w:rFonts w:ascii="宋体" w:hAnsi="宋体" w:cs="宋体"/>
                <w:color w:val="0000FF"/>
                <w:kern w:val="0"/>
                <w:szCs w:val="21"/>
                <w:highlight w:val="none"/>
              </w:rPr>
            </w:pPr>
            <w:r>
              <w:rPr>
                <w:rFonts w:hint="eastAsia" w:ascii="Times New Roman" w:hAnsi="Times New Roman" w:eastAsia="宋体" w:cs="Times New Roman"/>
                <w:bCs/>
                <w:sz w:val="24"/>
                <w:highlight w:val="none"/>
                <w:lang w:val="zh-CN"/>
              </w:rPr>
              <w:t>项</w:t>
            </w:r>
            <w:r>
              <w:rPr>
                <w:rFonts w:hint="eastAsia" w:ascii="Times New Roman" w:hAnsi="Times New Roman" w:eastAsia="宋体" w:cs="Times New Roman"/>
                <w:bCs/>
                <w:sz w:val="24"/>
                <w:highlight w:val="none"/>
                <w:lang w:val="zh-CN" w:eastAsia="zh-CN"/>
              </w:rPr>
              <w:t>目管道施工内容主要</w:t>
            </w:r>
            <w:r>
              <w:rPr>
                <w:rFonts w:hint="eastAsia" w:ascii="Times New Roman" w:hAnsi="Times New Roman" w:eastAsia="宋体" w:cs="Times New Roman"/>
                <w:bCs/>
                <w:sz w:val="24"/>
                <w:highlight w:val="none"/>
                <w:lang w:val="en-US" w:eastAsia="zh-CN"/>
              </w:rPr>
              <w:t>为安装管道、</w:t>
            </w:r>
            <w:r>
              <w:rPr>
                <w:rFonts w:hint="eastAsia" w:ascii="Times New Roman" w:hAnsi="Times New Roman" w:eastAsia="宋体" w:cs="Times New Roman"/>
                <w:bCs/>
                <w:sz w:val="24"/>
                <w:highlight w:val="none"/>
                <w:lang w:val="zh-CN" w:eastAsia="zh-CN"/>
              </w:rPr>
              <w:t>管道焊接、管道保温等。项目</w:t>
            </w:r>
            <w:r>
              <w:rPr>
                <w:rFonts w:hint="eastAsia" w:cs="Times New Roman"/>
                <w:bCs/>
                <w:sz w:val="24"/>
                <w:highlight w:val="none"/>
                <w:lang w:val="en-US" w:eastAsia="zh-CN"/>
              </w:rPr>
              <w:t>厂区内</w:t>
            </w:r>
            <w:r>
              <w:rPr>
                <w:rFonts w:hint="eastAsia" w:ascii="Times New Roman" w:hAnsi="Times New Roman" w:eastAsia="宋体" w:cs="Times New Roman"/>
                <w:bCs/>
                <w:sz w:val="24"/>
                <w:highlight w:val="none"/>
                <w:lang w:val="en-US" w:eastAsia="zh-CN"/>
              </w:rPr>
              <w:t>占地为工业场地，在原有</w:t>
            </w:r>
            <w:r>
              <w:rPr>
                <w:rFonts w:hint="eastAsia" w:cs="Times New Roman"/>
                <w:bCs/>
                <w:sz w:val="24"/>
                <w:highlight w:val="none"/>
                <w:lang w:val="en-US" w:eastAsia="zh-CN"/>
              </w:rPr>
              <w:t>联博</w:t>
            </w:r>
            <w:r>
              <w:rPr>
                <w:rFonts w:hint="eastAsia" w:ascii="Times New Roman" w:hAnsi="Times New Roman" w:eastAsia="宋体" w:cs="Times New Roman"/>
                <w:bCs/>
                <w:sz w:val="24"/>
                <w:highlight w:val="none"/>
                <w:lang w:val="en-US" w:eastAsia="zh-CN"/>
              </w:rPr>
              <w:t>管廊基础上改造，</w:t>
            </w:r>
            <w:r>
              <w:rPr>
                <w:rFonts w:hint="eastAsia" w:cs="Times New Roman"/>
                <w:bCs/>
                <w:sz w:val="24"/>
                <w:highlight w:val="none"/>
                <w:lang w:val="en-US" w:eastAsia="zh-CN"/>
              </w:rPr>
              <w:t>并新建部分架空管线</w:t>
            </w:r>
            <w:r>
              <w:rPr>
                <w:rFonts w:hint="eastAsia" w:ascii="Times New Roman" w:hAnsi="Times New Roman" w:eastAsia="宋体" w:cs="Times New Roman"/>
                <w:bCs/>
                <w:sz w:val="24"/>
                <w:highlight w:val="none"/>
                <w:lang w:val="zh-CN" w:eastAsia="zh-CN"/>
              </w:rPr>
              <w:t>将物料输送至鹏泰生物装置界区。</w:t>
            </w:r>
            <w:r>
              <w:rPr>
                <w:rFonts w:hint="eastAsia" w:cs="Times New Roman"/>
                <w:bCs/>
                <w:sz w:val="24"/>
                <w:highlight w:val="none"/>
                <w:lang w:val="en-US" w:eastAsia="zh-CN"/>
              </w:rPr>
              <w:t>项目黄河水管道伊泰厂区外取水点已经预留接口，本项目建设直接接入，黄河水管道为架空管道，不涉及地面土方工程。本项目建设</w:t>
            </w:r>
            <w:r>
              <w:rPr>
                <w:rFonts w:hint="eastAsia" w:ascii="Times New Roman" w:hAnsi="Times New Roman" w:eastAsia="宋体" w:cs="Times New Roman"/>
                <w:bCs/>
                <w:sz w:val="24"/>
                <w:highlight w:val="none"/>
                <w:lang w:val="zh-CN" w:eastAsia="zh-CN"/>
              </w:rPr>
              <w:t>未涉及占用基本农田、生态公益林等保护目标，项目厂区内现状为</w:t>
            </w:r>
            <w:r>
              <w:rPr>
                <w:rFonts w:hint="eastAsia" w:cs="Times New Roman"/>
                <w:bCs/>
                <w:sz w:val="24"/>
                <w:highlight w:val="none"/>
                <w:lang w:val="en-US" w:eastAsia="zh-CN"/>
              </w:rPr>
              <w:t>碎石地面、硬化道路</w:t>
            </w:r>
            <w:r>
              <w:rPr>
                <w:rFonts w:hint="eastAsia" w:ascii="Times New Roman" w:hAnsi="Times New Roman" w:eastAsia="宋体" w:cs="Times New Roman"/>
                <w:bCs/>
                <w:sz w:val="24"/>
                <w:highlight w:val="none"/>
                <w:lang w:val="zh-CN" w:eastAsia="zh-CN"/>
              </w:rPr>
              <w:t>、空地、厂区外为裸露土壤，无保护植被等</w:t>
            </w:r>
            <w:r>
              <w:rPr>
                <w:rFonts w:hint="eastAsia" w:cs="Times New Roman"/>
                <w:bCs/>
                <w:sz w:val="24"/>
                <w:highlight w:val="none"/>
                <w:lang w:val="zh-CN" w:eastAsia="zh-CN"/>
              </w:rPr>
              <w:t>。</w:t>
            </w:r>
            <w:r>
              <w:rPr>
                <w:rFonts w:hint="eastAsia" w:cs="Times New Roman"/>
                <w:sz w:val="24"/>
                <w:highlight w:val="none"/>
                <w:lang w:val="en-US" w:eastAsia="zh-CN"/>
              </w:rPr>
              <w:t>本项目WRT甲烷气、清净废水管道位于厂区外，部分管道跨越厂区之间天然牧草地。如果</w:t>
            </w:r>
            <w:r>
              <w:rPr>
                <w:rFonts w:ascii="Segoe UI" w:hAnsi="Segoe UI" w:eastAsia="Segoe UI" w:cs="Segoe UI"/>
                <w:i w:val="0"/>
                <w:iCs w:val="0"/>
                <w:caps w:val="0"/>
                <w:color w:val="0F1115"/>
                <w:spacing w:val="0"/>
                <w:sz w:val="24"/>
                <w:szCs w:val="24"/>
                <w:highlight w:val="none"/>
                <w:shd w:val="clear" w:fill="FFFFFF"/>
              </w:rPr>
              <w:t>施工过程中对牧草造成局部损伤，应在施工结束后及时采取植被恢复措施，必要时进行草籽补播，</w:t>
            </w:r>
            <w:r>
              <w:rPr>
                <w:rFonts w:hint="eastAsia" w:ascii="Segoe UI" w:hAnsi="Segoe UI" w:eastAsia="宋体" w:cs="Segoe UI"/>
                <w:i w:val="0"/>
                <w:iCs w:val="0"/>
                <w:caps w:val="0"/>
                <w:color w:val="0F1115"/>
                <w:spacing w:val="0"/>
                <w:sz w:val="24"/>
                <w:szCs w:val="24"/>
                <w:highlight w:val="none"/>
                <w:shd w:val="clear" w:fill="FFFFFF"/>
                <w:lang w:eastAsia="zh-CN"/>
              </w:rPr>
              <w:t>以</w:t>
            </w:r>
            <w:r>
              <w:rPr>
                <w:rFonts w:ascii="Segoe UI" w:hAnsi="Segoe UI" w:eastAsia="Segoe UI" w:cs="Segoe UI"/>
                <w:i w:val="0"/>
                <w:iCs w:val="0"/>
                <w:caps w:val="0"/>
                <w:color w:val="0F1115"/>
                <w:spacing w:val="0"/>
                <w:sz w:val="24"/>
                <w:szCs w:val="24"/>
                <w:highlight w:val="none"/>
                <w:shd w:val="clear" w:fill="FFFFFF"/>
              </w:rPr>
              <w:t>促进植被自然恢复</w:t>
            </w:r>
            <w:r>
              <w:rPr>
                <w:rFonts w:hint="eastAsia" w:ascii="Segoe UI" w:hAnsi="Segoe UI" w:eastAsia="宋体" w:cs="Segoe UI"/>
                <w:i w:val="0"/>
                <w:iCs w:val="0"/>
                <w:caps w:val="0"/>
                <w:color w:val="0F1115"/>
                <w:spacing w:val="0"/>
                <w:sz w:val="24"/>
                <w:szCs w:val="24"/>
                <w:highlight w:val="none"/>
                <w:shd w:val="clear" w:fill="FFFFFF"/>
                <w:lang w:eastAsia="zh-CN"/>
              </w:rPr>
              <w:t>。</w:t>
            </w:r>
            <w:r>
              <w:rPr>
                <w:rFonts w:hint="eastAsia" w:ascii="Segoe UI" w:hAnsi="Segoe UI" w:eastAsia="宋体" w:cs="Segoe UI"/>
                <w:i w:val="0"/>
                <w:iCs w:val="0"/>
                <w:caps w:val="0"/>
                <w:color w:val="0F1115"/>
                <w:spacing w:val="0"/>
                <w:sz w:val="24"/>
                <w:szCs w:val="24"/>
                <w:highlight w:val="none"/>
                <w:shd w:val="clear" w:fill="FFFFFF"/>
                <w:lang w:val="en-US" w:eastAsia="zh-CN"/>
              </w:rPr>
              <w:t>总体来看周边</w:t>
            </w:r>
            <w:r>
              <w:rPr>
                <w:rFonts w:hint="eastAsia" w:ascii="Times New Roman" w:hAnsi="Times New Roman" w:eastAsia="宋体" w:cs="Times New Roman"/>
                <w:bCs/>
                <w:sz w:val="24"/>
                <w:highlight w:val="none"/>
                <w:lang w:val="zh-CN" w:eastAsia="zh-CN"/>
              </w:rPr>
              <w:t>环境不敏感</w:t>
            </w:r>
            <w:r>
              <w:rPr>
                <w:rFonts w:hint="eastAsia" w:cs="Times New Roman"/>
                <w:bCs/>
                <w:sz w:val="24"/>
                <w:highlight w:val="none"/>
                <w:lang w:val="zh-CN" w:eastAsia="zh-CN"/>
              </w:rPr>
              <w:t>，</w:t>
            </w:r>
            <w:r>
              <w:rPr>
                <w:rFonts w:hint="eastAsia" w:ascii="Times New Roman" w:hAnsi="Times New Roman" w:eastAsia="宋体" w:cs="Times New Roman"/>
                <w:bCs/>
                <w:sz w:val="24"/>
                <w:highlight w:val="none"/>
                <w:lang w:val="zh-CN" w:eastAsia="zh-CN"/>
              </w:rPr>
              <w:t>占地及施工对区域生态环境的影响很小。</w:t>
            </w:r>
          </w:p>
        </w:tc>
      </w:tr>
      <w:tr w14:paraId="351CA3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456" w:type="dxa"/>
            <w:noWrap w:val="0"/>
            <w:vAlign w:val="center"/>
          </w:tcPr>
          <w:p w14:paraId="4C5C8CF1">
            <w:pPr>
              <w:adjustRightInd w:val="0"/>
              <w:snapToGrid w:val="0"/>
              <w:jc w:val="center"/>
              <w:rPr>
                <w:rFonts w:ascii="宋体" w:hAnsi="宋体" w:cs="宋体"/>
                <w:kern w:val="0"/>
                <w:sz w:val="24"/>
                <w:highlight w:val="none"/>
              </w:rPr>
            </w:pPr>
            <w:r>
              <w:rPr>
                <w:rFonts w:hint="eastAsia" w:ascii="宋体" w:hAnsi="宋体" w:cs="宋体"/>
                <w:kern w:val="0"/>
                <w:sz w:val="24"/>
                <w:highlight w:val="none"/>
              </w:rPr>
              <w:t>其他</w:t>
            </w:r>
          </w:p>
        </w:tc>
        <w:tc>
          <w:tcPr>
            <w:tcW w:w="8732" w:type="dxa"/>
            <w:noWrap w:val="0"/>
            <w:vAlign w:val="center"/>
          </w:tcPr>
          <w:p w14:paraId="632983F5">
            <w:pPr>
              <w:adjustRightInd w:val="0"/>
              <w:snapToGrid w:val="0"/>
              <w:ind w:firstLine="480" w:firstLineChars="200"/>
              <w:jc w:val="left"/>
              <w:rPr>
                <w:rFonts w:hint="default" w:ascii="宋体" w:hAnsi="宋体" w:eastAsia="宋体" w:cs="宋体"/>
                <w:color w:val="0000FF"/>
                <w:kern w:val="0"/>
                <w:szCs w:val="21"/>
                <w:highlight w:val="none"/>
                <w:lang w:val="en-US" w:eastAsia="zh-CN"/>
              </w:rPr>
            </w:pPr>
            <w:r>
              <w:rPr>
                <w:rFonts w:hint="eastAsia" w:ascii="宋体" w:hAnsi="宋体" w:cs="宋体"/>
                <w:kern w:val="0"/>
                <w:sz w:val="24"/>
                <w:highlight w:val="none"/>
                <w:lang w:val="en-US" w:eastAsia="zh-CN"/>
              </w:rPr>
              <w:t>本项目管线均位于现有厂区内或两厂区之间，无比选方案。</w:t>
            </w:r>
          </w:p>
        </w:tc>
      </w:tr>
    </w:tbl>
    <w:p w14:paraId="6871CC4D">
      <w:pPr>
        <w:pStyle w:val="18"/>
        <w:jc w:val="center"/>
        <w:outlineLvl w:val="0"/>
        <w:rPr>
          <w:rFonts w:ascii="黑体" w:hAnsi="黑体" w:eastAsia="黑体"/>
          <w:snapToGrid w:val="0"/>
          <w:sz w:val="30"/>
          <w:szCs w:val="30"/>
          <w:highlight w:val="none"/>
        </w:rPr>
      </w:pPr>
      <w:r>
        <w:rPr>
          <w:rFonts w:eastAsia="仿宋_GB2312"/>
          <w:b/>
          <w:bCs/>
          <w:highlight w:val="none"/>
        </w:rPr>
        <w:br w:type="page"/>
      </w:r>
      <w:r>
        <w:rPr>
          <w:rFonts w:hint="eastAsia" w:ascii="黑体" w:hAnsi="黑体" w:eastAsia="黑体"/>
          <w:snapToGrid w:val="0"/>
          <w:sz w:val="30"/>
          <w:szCs w:val="30"/>
          <w:highlight w:val="none"/>
        </w:rPr>
        <w:t>三、生态环境现状、保护目标及评价标准</w:t>
      </w:r>
    </w:p>
    <w:tbl>
      <w:tblPr>
        <w:tblStyle w:val="19"/>
        <w:tblW w:w="904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56"/>
        <w:gridCol w:w="8591"/>
      </w:tblGrid>
      <w:tr w14:paraId="438DF2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456" w:type="dxa"/>
            <w:noWrap w:val="0"/>
            <w:vAlign w:val="center"/>
          </w:tcPr>
          <w:p w14:paraId="7C2CF81D">
            <w:pPr>
              <w:adjustRightInd w:val="0"/>
              <w:snapToGrid w:val="0"/>
              <w:jc w:val="center"/>
              <w:rPr>
                <w:rFonts w:ascii="宋体" w:hAnsi="宋体" w:cs="宋体"/>
                <w:kern w:val="0"/>
                <w:szCs w:val="21"/>
                <w:highlight w:val="none"/>
              </w:rPr>
            </w:pPr>
            <w:r>
              <w:rPr>
                <w:rFonts w:hint="eastAsia" w:ascii="宋体" w:hAnsi="宋体" w:cs="宋体"/>
                <w:kern w:val="0"/>
                <w:sz w:val="24"/>
                <w:highlight w:val="none"/>
              </w:rPr>
              <w:t>生态环境现状</w:t>
            </w:r>
          </w:p>
        </w:tc>
        <w:tc>
          <w:tcPr>
            <w:tcW w:w="8591" w:type="dxa"/>
            <w:noWrap w:val="0"/>
            <w:vAlign w:val="center"/>
          </w:tcPr>
          <w:p w14:paraId="2A32FAD0">
            <w:pPr>
              <w:pStyle w:val="30"/>
              <w:ind w:firstLine="480"/>
              <w:rPr>
                <w:rFonts w:hint="default"/>
                <w:b/>
                <w:bCs/>
                <w:kern w:val="2"/>
                <w:sz w:val="24"/>
                <w:szCs w:val="24"/>
                <w:highlight w:val="none"/>
                <w:lang w:val="en-US" w:eastAsia="zh-CN"/>
              </w:rPr>
            </w:pPr>
            <w:r>
              <w:rPr>
                <w:rFonts w:hint="eastAsia"/>
                <w:b/>
                <w:bCs/>
                <w:kern w:val="2"/>
                <w:sz w:val="24"/>
                <w:szCs w:val="24"/>
                <w:highlight w:val="none"/>
                <w:lang w:val="en-US" w:eastAsia="zh-CN"/>
              </w:rPr>
              <w:t>1.地理位置</w:t>
            </w:r>
          </w:p>
          <w:p w14:paraId="0ED65D03">
            <w:pPr>
              <w:pStyle w:val="30"/>
              <w:ind w:firstLine="480" w:firstLineChars="200"/>
              <w:rPr>
                <w:rFonts w:hint="eastAsia"/>
                <w:b w:val="0"/>
                <w:bCs w:val="0"/>
                <w:kern w:val="2"/>
                <w:sz w:val="24"/>
                <w:szCs w:val="24"/>
                <w:highlight w:val="none"/>
                <w:lang w:val="en-US" w:eastAsia="zh-CN"/>
              </w:rPr>
            </w:pPr>
            <w:r>
              <w:rPr>
                <w:rFonts w:hint="eastAsia"/>
                <w:b w:val="0"/>
                <w:bCs w:val="0"/>
                <w:kern w:val="2"/>
                <w:sz w:val="24"/>
                <w:szCs w:val="24"/>
                <w:highlight w:val="none"/>
                <w:lang w:val="en-US" w:eastAsia="zh-CN"/>
              </w:rPr>
              <w:t>本项目位于内蒙古鄂尔多斯市鄂尔多斯杭锦经济开发区独贵塔拉产业园（南区）。</w:t>
            </w:r>
          </w:p>
          <w:p w14:paraId="6393B5D9">
            <w:pPr>
              <w:pStyle w:val="30"/>
              <w:wordWrap w:val="0"/>
              <w:ind w:firstLine="480" w:firstLineChars="200"/>
              <w:rPr>
                <w:rFonts w:hint="default" w:ascii="Times New Roman" w:hAnsi="Times New Roman" w:cs="Times New Roman"/>
                <w:b w:val="0"/>
                <w:bCs w:val="0"/>
                <w:kern w:val="2"/>
                <w:sz w:val="24"/>
                <w:szCs w:val="24"/>
                <w:highlight w:val="none"/>
                <w:lang w:val="en-US" w:eastAsia="zh-CN"/>
              </w:rPr>
            </w:pPr>
            <w:r>
              <w:rPr>
                <w:rFonts w:hint="default" w:ascii="Times New Roman" w:hAnsi="Times New Roman" w:cs="Times New Roman"/>
                <w:b w:val="0"/>
                <w:bCs w:val="0"/>
                <w:kern w:val="2"/>
                <w:sz w:val="24"/>
                <w:szCs w:val="24"/>
                <w:highlight w:val="none"/>
                <w:lang w:val="en-US" w:eastAsia="zh-CN"/>
              </w:rPr>
              <w:t>杭锦旗位于鄂尔多斯高原西北部，属内蒙古自治区鄂尔多斯市管辖，东与达拉特旗、东胜区接壤，南与伊金霍洛旗、乌审旗为邻，西与鄂托克旗毗连，北与巴彦淖尔市隔黄河相望。地跨鄂尔多斯高原与河套平原，地理坐标为东经106</w:t>
            </w:r>
            <w:r>
              <w:rPr>
                <w:rFonts w:hint="eastAsia" w:cs="Times New Roman"/>
                <w:b w:val="0"/>
                <w:bCs w:val="0"/>
                <w:kern w:val="2"/>
                <w:sz w:val="24"/>
                <w:szCs w:val="24"/>
                <w:highlight w:val="none"/>
                <w:lang w:val="en-US" w:eastAsia="zh-CN"/>
              </w:rPr>
              <w:t>°</w:t>
            </w:r>
            <w:r>
              <w:rPr>
                <w:rFonts w:hint="default" w:ascii="Times New Roman" w:hAnsi="Times New Roman" w:cs="Times New Roman"/>
                <w:b w:val="0"/>
                <w:bCs w:val="0"/>
                <w:kern w:val="2"/>
                <w:sz w:val="24"/>
                <w:szCs w:val="24"/>
                <w:highlight w:val="none"/>
                <w:lang w:val="en-US" w:eastAsia="zh-CN"/>
              </w:rPr>
              <w:t>55</w:t>
            </w:r>
            <w:r>
              <w:rPr>
                <w:rFonts w:hint="eastAsia" w:cs="Times New Roman"/>
                <w:b w:val="0"/>
                <w:bCs w:val="0"/>
                <w:kern w:val="2"/>
                <w:sz w:val="24"/>
                <w:szCs w:val="24"/>
                <w:highlight w:val="none"/>
                <w:lang w:val="en-US" w:eastAsia="zh-CN"/>
              </w:rPr>
              <w:t>′</w:t>
            </w:r>
            <w:r>
              <w:rPr>
                <w:rFonts w:hint="default" w:ascii="Times New Roman" w:hAnsi="Times New Roman" w:cs="Times New Roman"/>
                <w:b w:val="0"/>
                <w:bCs w:val="0"/>
                <w:kern w:val="2"/>
                <w:sz w:val="24"/>
                <w:szCs w:val="24"/>
                <w:highlight w:val="none"/>
                <w:lang w:val="en-US" w:eastAsia="zh-CN"/>
              </w:rPr>
              <w:t>16</w:t>
            </w:r>
            <w:r>
              <w:rPr>
                <w:rFonts w:hint="eastAsia" w:cs="Times New Roman"/>
                <w:b w:val="0"/>
                <w:bCs w:val="0"/>
                <w:kern w:val="2"/>
                <w:sz w:val="24"/>
                <w:szCs w:val="24"/>
                <w:highlight w:val="none"/>
                <w:lang w:val="en-US" w:eastAsia="zh-CN"/>
              </w:rPr>
              <w:t>″</w:t>
            </w:r>
            <w:r>
              <w:rPr>
                <w:rFonts w:hint="default" w:ascii="Times New Roman" w:hAnsi="Times New Roman" w:cs="Times New Roman"/>
                <w:b w:val="0"/>
                <w:bCs w:val="0"/>
                <w:kern w:val="2"/>
                <w:sz w:val="24"/>
                <w:szCs w:val="24"/>
                <w:highlight w:val="none"/>
                <w:lang w:val="en-US" w:eastAsia="zh-CN"/>
              </w:rPr>
              <w:t>~109</w:t>
            </w:r>
            <w:r>
              <w:rPr>
                <w:rFonts w:hint="eastAsia" w:cs="Times New Roman"/>
                <w:b w:val="0"/>
                <w:bCs w:val="0"/>
                <w:kern w:val="2"/>
                <w:sz w:val="24"/>
                <w:szCs w:val="24"/>
                <w:highlight w:val="none"/>
                <w:lang w:val="en-US" w:eastAsia="zh-CN"/>
              </w:rPr>
              <w:t>°</w:t>
            </w:r>
            <w:r>
              <w:rPr>
                <w:rFonts w:hint="default" w:ascii="Times New Roman" w:hAnsi="Times New Roman" w:cs="Times New Roman"/>
                <w:b w:val="0"/>
                <w:bCs w:val="0"/>
                <w:kern w:val="2"/>
                <w:sz w:val="24"/>
                <w:szCs w:val="24"/>
                <w:highlight w:val="none"/>
                <w:lang w:val="en-US" w:eastAsia="zh-CN"/>
              </w:rPr>
              <w:t>16</w:t>
            </w:r>
            <w:r>
              <w:rPr>
                <w:rFonts w:hint="eastAsia" w:cs="Times New Roman"/>
                <w:b w:val="0"/>
                <w:bCs w:val="0"/>
                <w:kern w:val="2"/>
                <w:sz w:val="24"/>
                <w:szCs w:val="24"/>
                <w:highlight w:val="none"/>
                <w:lang w:val="en-US" w:eastAsia="zh-CN"/>
              </w:rPr>
              <w:t>′</w:t>
            </w:r>
            <w:r>
              <w:rPr>
                <w:rFonts w:hint="default" w:ascii="Times New Roman" w:hAnsi="Times New Roman" w:cs="Times New Roman"/>
                <w:b w:val="0"/>
                <w:bCs w:val="0"/>
                <w:kern w:val="2"/>
                <w:sz w:val="24"/>
                <w:szCs w:val="24"/>
                <w:highlight w:val="none"/>
                <w:lang w:val="en-US" w:eastAsia="zh-CN"/>
              </w:rPr>
              <w:t>02</w:t>
            </w:r>
            <w:r>
              <w:rPr>
                <w:rFonts w:hint="eastAsia" w:cs="Times New Roman"/>
                <w:b w:val="0"/>
                <w:bCs w:val="0"/>
                <w:kern w:val="2"/>
                <w:sz w:val="24"/>
                <w:szCs w:val="24"/>
                <w:highlight w:val="none"/>
                <w:lang w:val="en-US" w:eastAsia="zh-CN"/>
              </w:rPr>
              <w:t>″</w:t>
            </w:r>
            <w:r>
              <w:rPr>
                <w:rFonts w:hint="default" w:ascii="Times New Roman" w:hAnsi="Times New Roman" w:cs="Times New Roman"/>
                <w:b w:val="0"/>
                <w:bCs w:val="0"/>
                <w:kern w:val="2"/>
                <w:sz w:val="24"/>
                <w:szCs w:val="24"/>
                <w:highlight w:val="none"/>
                <w:lang w:val="en-US" w:eastAsia="zh-CN"/>
              </w:rPr>
              <w:t>，北纬39</w:t>
            </w:r>
            <w:r>
              <w:rPr>
                <w:rFonts w:hint="eastAsia" w:cs="Times New Roman"/>
                <w:b w:val="0"/>
                <w:bCs w:val="0"/>
                <w:kern w:val="2"/>
                <w:sz w:val="24"/>
                <w:szCs w:val="24"/>
                <w:highlight w:val="none"/>
                <w:lang w:val="en-US" w:eastAsia="zh-CN"/>
              </w:rPr>
              <w:t>°</w:t>
            </w:r>
            <w:r>
              <w:rPr>
                <w:rFonts w:hint="default" w:ascii="Times New Roman" w:hAnsi="Times New Roman" w:cs="Times New Roman"/>
                <w:b w:val="0"/>
                <w:bCs w:val="0"/>
                <w:kern w:val="2"/>
                <w:sz w:val="24"/>
                <w:szCs w:val="24"/>
                <w:highlight w:val="none"/>
                <w:lang w:val="en-US" w:eastAsia="zh-CN"/>
              </w:rPr>
              <w:t>22</w:t>
            </w:r>
            <w:r>
              <w:rPr>
                <w:rFonts w:hint="eastAsia" w:cs="Times New Roman"/>
                <w:b w:val="0"/>
                <w:bCs w:val="0"/>
                <w:kern w:val="2"/>
                <w:sz w:val="24"/>
                <w:szCs w:val="24"/>
                <w:highlight w:val="none"/>
                <w:lang w:val="en-US" w:eastAsia="zh-CN"/>
              </w:rPr>
              <w:t>′</w:t>
            </w:r>
            <w:r>
              <w:rPr>
                <w:rFonts w:hint="default" w:ascii="Times New Roman" w:hAnsi="Times New Roman" w:cs="Times New Roman"/>
                <w:b w:val="0"/>
                <w:bCs w:val="0"/>
                <w:kern w:val="2"/>
                <w:sz w:val="24"/>
                <w:szCs w:val="24"/>
                <w:highlight w:val="none"/>
                <w:lang w:val="en-US" w:eastAsia="zh-CN"/>
              </w:rPr>
              <w:t>33</w:t>
            </w:r>
            <w:r>
              <w:rPr>
                <w:rFonts w:hint="eastAsia" w:cs="Times New Roman"/>
                <w:b w:val="0"/>
                <w:bCs w:val="0"/>
                <w:kern w:val="2"/>
                <w:sz w:val="24"/>
                <w:szCs w:val="24"/>
                <w:highlight w:val="none"/>
                <w:lang w:val="en-US" w:eastAsia="zh-CN"/>
              </w:rPr>
              <w:t>″</w:t>
            </w:r>
            <w:r>
              <w:rPr>
                <w:rFonts w:hint="default" w:ascii="Times New Roman" w:hAnsi="Times New Roman" w:cs="Times New Roman"/>
                <w:b w:val="0"/>
                <w:bCs w:val="0"/>
                <w:kern w:val="2"/>
                <w:sz w:val="24"/>
                <w:szCs w:val="24"/>
                <w:highlight w:val="none"/>
                <w:lang w:val="en-US" w:eastAsia="zh-CN"/>
              </w:rPr>
              <w:t>~40</w:t>
            </w:r>
            <w:r>
              <w:rPr>
                <w:rFonts w:hint="eastAsia" w:cs="Times New Roman"/>
                <w:b w:val="0"/>
                <w:bCs w:val="0"/>
                <w:kern w:val="2"/>
                <w:sz w:val="24"/>
                <w:szCs w:val="24"/>
                <w:highlight w:val="none"/>
                <w:lang w:val="en-US" w:eastAsia="zh-CN"/>
              </w:rPr>
              <w:t>°</w:t>
            </w:r>
            <w:r>
              <w:rPr>
                <w:rFonts w:hint="default" w:ascii="Times New Roman" w:hAnsi="Times New Roman" w:cs="Times New Roman"/>
                <w:b w:val="0"/>
                <w:bCs w:val="0"/>
                <w:kern w:val="2"/>
                <w:sz w:val="24"/>
                <w:szCs w:val="24"/>
                <w:highlight w:val="none"/>
                <w:lang w:val="en-US" w:eastAsia="zh-CN"/>
              </w:rPr>
              <w:t>52</w:t>
            </w:r>
            <w:r>
              <w:rPr>
                <w:rFonts w:hint="eastAsia" w:cs="Times New Roman"/>
                <w:b w:val="0"/>
                <w:bCs w:val="0"/>
                <w:kern w:val="2"/>
                <w:sz w:val="24"/>
                <w:szCs w:val="24"/>
                <w:highlight w:val="none"/>
                <w:lang w:val="en-US" w:eastAsia="zh-CN"/>
              </w:rPr>
              <w:t>′</w:t>
            </w:r>
            <w:r>
              <w:rPr>
                <w:rFonts w:hint="default" w:ascii="Times New Roman" w:hAnsi="Times New Roman" w:cs="Times New Roman"/>
                <w:b w:val="0"/>
                <w:bCs w:val="0"/>
                <w:kern w:val="2"/>
                <w:sz w:val="24"/>
                <w:szCs w:val="24"/>
                <w:highlight w:val="none"/>
                <w:lang w:val="en-US" w:eastAsia="zh-CN"/>
              </w:rPr>
              <w:t>14</w:t>
            </w:r>
            <w:r>
              <w:rPr>
                <w:rFonts w:hint="eastAsia" w:cs="Times New Roman"/>
                <w:b w:val="0"/>
                <w:bCs w:val="0"/>
                <w:kern w:val="2"/>
                <w:sz w:val="24"/>
                <w:szCs w:val="24"/>
                <w:highlight w:val="none"/>
                <w:lang w:val="en-US" w:eastAsia="zh-CN"/>
              </w:rPr>
              <w:t>″</w:t>
            </w:r>
            <w:r>
              <w:rPr>
                <w:rFonts w:hint="default" w:ascii="Times New Roman" w:hAnsi="Times New Roman" w:cs="Times New Roman"/>
                <w:b w:val="0"/>
                <w:bCs w:val="0"/>
                <w:kern w:val="2"/>
                <w:sz w:val="24"/>
                <w:szCs w:val="24"/>
                <w:highlight w:val="none"/>
                <w:lang w:val="en-US" w:eastAsia="zh-CN"/>
              </w:rPr>
              <w:t>。</w:t>
            </w:r>
          </w:p>
          <w:p w14:paraId="47391962">
            <w:pPr>
              <w:pStyle w:val="30"/>
              <w:wordWrap w:val="0"/>
              <w:ind w:firstLine="480" w:firstLineChars="200"/>
              <w:rPr>
                <w:rFonts w:hint="eastAsia"/>
                <w:b w:val="0"/>
                <w:bCs w:val="0"/>
                <w:kern w:val="2"/>
                <w:sz w:val="24"/>
                <w:szCs w:val="24"/>
                <w:highlight w:val="none"/>
                <w:lang w:val="en-US" w:eastAsia="zh-CN"/>
              </w:rPr>
            </w:pPr>
            <w:r>
              <w:rPr>
                <w:rFonts w:hint="default" w:ascii="Times New Roman" w:hAnsi="Times New Roman" w:cs="Times New Roman"/>
                <w:b w:val="0"/>
                <w:bCs w:val="0"/>
                <w:kern w:val="2"/>
                <w:sz w:val="24"/>
                <w:szCs w:val="24"/>
                <w:highlight w:val="none"/>
                <w:lang w:val="en-US" w:eastAsia="zh-CN"/>
              </w:rPr>
              <w:t>独贵塔拉镇位于杭锦旗东北部，东经108</w:t>
            </w:r>
            <w:r>
              <w:rPr>
                <w:rFonts w:hint="eastAsia" w:cs="Times New Roman"/>
                <w:b w:val="0"/>
                <w:bCs w:val="0"/>
                <w:kern w:val="2"/>
                <w:sz w:val="24"/>
                <w:szCs w:val="24"/>
                <w:highlight w:val="none"/>
                <w:lang w:val="en-US" w:eastAsia="zh-CN"/>
              </w:rPr>
              <w:t>°</w:t>
            </w:r>
            <w:r>
              <w:rPr>
                <w:rFonts w:hint="default" w:ascii="Times New Roman" w:hAnsi="Times New Roman" w:cs="Times New Roman"/>
                <w:b w:val="0"/>
                <w:bCs w:val="0"/>
                <w:kern w:val="2"/>
                <w:sz w:val="24"/>
                <w:szCs w:val="24"/>
                <w:highlight w:val="none"/>
                <w:lang w:val="en-US" w:eastAsia="zh-CN"/>
              </w:rPr>
              <w:t>32</w:t>
            </w:r>
            <w:r>
              <w:rPr>
                <w:rFonts w:hint="eastAsia" w:cs="Times New Roman"/>
                <w:b w:val="0"/>
                <w:bCs w:val="0"/>
                <w:kern w:val="2"/>
                <w:sz w:val="24"/>
                <w:szCs w:val="24"/>
                <w:highlight w:val="none"/>
                <w:lang w:val="en-US" w:eastAsia="zh-CN"/>
              </w:rPr>
              <w:t>′</w:t>
            </w:r>
            <w:r>
              <w:rPr>
                <w:rFonts w:hint="default" w:ascii="Times New Roman" w:hAnsi="Times New Roman" w:cs="Times New Roman"/>
                <w:b w:val="0"/>
                <w:bCs w:val="0"/>
                <w:kern w:val="2"/>
                <w:sz w:val="24"/>
                <w:szCs w:val="24"/>
                <w:highlight w:val="none"/>
                <w:lang w:val="en-US" w:eastAsia="zh-CN"/>
              </w:rPr>
              <w:t>41</w:t>
            </w:r>
            <w:r>
              <w:rPr>
                <w:rFonts w:hint="eastAsia" w:cs="Times New Roman"/>
                <w:b w:val="0"/>
                <w:bCs w:val="0"/>
                <w:kern w:val="2"/>
                <w:sz w:val="24"/>
                <w:szCs w:val="24"/>
                <w:highlight w:val="none"/>
                <w:lang w:val="en-US" w:eastAsia="zh-CN"/>
              </w:rPr>
              <w:t>″</w:t>
            </w:r>
            <w:r>
              <w:rPr>
                <w:rFonts w:hint="default" w:ascii="Times New Roman" w:hAnsi="Times New Roman" w:cs="Times New Roman"/>
                <w:b w:val="0"/>
                <w:bCs w:val="0"/>
                <w:kern w:val="2"/>
                <w:sz w:val="24"/>
                <w:szCs w:val="24"/>
                <w:highlight w:val="none"/>
                <w:lang w:val="en-US" w:eastAsia="zh-CN"/>
              </w:rPr>
              <w:t>~108</w:t>
            </w:r>
            <w:r>
              <w:rPr>
                <w:rFonts w:hint="eastAsia" w:cs="Times New Roman"/>
                <w:b w:val="0"/>
                <w:bCs w:val="0"/>
                <w:kern w:val="2"/>
                <w:sz w:val="24"/>
                <w:szCs w:val="24"/>
                <w:highlight w:val="none"/>
                <w:lang w:val="en-US" w:eastAsia="zh-CN"/>
              </w:rPr>
              <w:t>°</w:t>
            </w:r>
            <w:r>
              <w:rPr>
                <w:rFonts w:hint="default" w:ascii="Times New Roman" w:hAnsi="Times New Roman" w:cs="Times New Roman"/>
                <w:b w:val="0"/>
                <w:bCs w:val="0"/>
                <w:kern w:val="2"/>
                <w:sz w:val="24"/>
                <w:szCs w:val="24"/>
                <w:highlight w:val="none"/>
                <w:lang w:val="en-US" w:eastAsia="zh-CN"/>
              </w:rPr>
              <w:t>46</w:t>
            </w:r>
            <w:r>
              <w:rPr>
                <w:rFonts w:hint="eastAsia" w:cs="Times New Roman"/>
                <w:b w:val="0"/>
                <w:bCs w:val="0"/>
                <w:kern w:val="2"/>
                <w:sz w:val="24"/>
                <w:szCs w:val="24"/>
                <w:highlight w:val="none"/>
                <w:lang w:val="en-US" w:eastAsia="zh-CN"/>
              </w:rPr>
              <w:t>′</w:t>
            </w:r>
            <w:r>
              <w:rPr>
                <w:rFonts w:hint="default" w:ascii="Times New Roman" w:hAnsi="Times New Roman" w:cs="Times New Roman"/>
                <w:b w:val="0"/>
                <w:bCs w:val="0"/>
                <w:kern w:val="2"/>
                <w:sz w:val="24"/>
                <w:szCs w:val="24"/>
                <w:highlight w:val="none"/>
                <w:lang w:val="en-US" w:eastAsia="zh-CN"/>
              </w:rPr>
              <w:t>45</w:t>
            </w:r>
            <w:r>
              <w:rPr>
                <w:rFonts w:hint="eastAsia" w:cs="Times New Roman"/>
                <w:b w:val="0"/>
                <w:bCs w:val="0"/>
                <w:kern w:val="2"/>
                <w:sz w:val="24"/>
                <w:szCs w:val="24"/>
                <w:highlight w:val="none"/>
                <w:lang w:val="en-US" w:eastAsia="zh-CN"/>
              </w:rPr>
              <w:t>″</w:t>
            </w:r>
            <w:r>
              <w:rPr>
                <w:rFonts w:hint="default" w:ascii="Times New Roman" w:hAnsi="Times New Roman" w:cs="Times New Roman"/>
                <w:b w:val="0"/>
                <w:bCs w:val="0"/>
                <w:kern w:val="2"/>
                <w:sz w:val="24"/>
                <w:szCs w:val="24"/>
                <w:highlight w:val="none"/>
                <w:lang w:val="en-US" w:eastAsia="zh-CN"/>
              </w:rPr>
              <w:t>，北纬40</w:t>
            </w:r>
            <w:r>
              <w:rPr>
                <w:rFonts w:hint="eastAsia" w:cs="Times New Roman"/>
                <w:b w:val="0"/>
                <w:bCs w:val="0"/>
                <w:kern w:val="2"/>
                <w:sz w:val="24"/>
                <w:szCs w:val="24"/>
                <w:highlight w:val="none"/>
                <w:lang w:val="en-US" w:eastAsia="zh-CN"/>
              </w:rPr>
              <w:t>°</w:t>
            </w:r>
            <w:r>
              <w:rPr>
                <w:rFonts w:hint="default" w:ascii="Times New Roman" w:hAnsi="Times New Roman" w:cs="Times New Roman"/>
                <w:b w:val="0"/>
                <w:bCs w:val="0"/>
                <w:kern w:val="2"/>
                <w:sz w:val="24"/>
                <w:szCs w:val="24"/>
                <w:highlight w:val="none"/>
                <w:lang w:val="en-US" w:eastAsia="zh-CN"/>
              </w:rPr>
              <w:t>31</w:t>
            </w:r>
            <w:r>
              <w:rPr>
                <w:rFonts w:hint="eastAsia" w:cs="Times New Roman"/>
                <w:b w:val="0"/>
                <w:bCs w:val="0"/>
                <w:kern w:val="2"/>
                <w:sz w:val="24"/>
                <w:szCs w:val="24"/>
                <w:highlight w:val="none"/>
                <w:lang w:val="en-US" w:eastAsia="zh-CN"/>
              </w:rPr>
              <w:t>′</w:t>
            </w:r>
            <w:r>
              <w:rPr>
                <w:rFonts w:hint="default" w:ascii="Times New Roman" w:hAnsi="Times New Roman" w:cs="Times New Roman"/>
                <w:b w:val="0"/>
                <w:bCs w:val="0"/>
                <w:kern w:val="2"/>
                <w:sz w:val="24"/>
                <w:szCs w:val="24"/>
                <w:highlight w:val="none"/>
                <w:lang w:val="en-US" w:eastAsia="zh-CN"/>
              </w:rPr>
              <w:t>52</w:t>
            </w:r>
            <w:r>
              <w:rPr>
                <w:rFonts w:hint="eastAsia" w:cs="Times New Roman"/>
                <w:b w:val="0"/>
                <w:bCs w:val="0"/>
                <w:kern w:val="2"/>
                <w:sz w:val="24"/>
                <w:szCs w:val="24"/>
                <w:highlight w:val="none"/>
                <w:lang w:val="en-US" w:eastAsia="zh-CN"/>
              </w:rPr>
              <w:t>″</w:t>
            </w:r>
            <w:r>
              <w:rPr>
                <w:rFonts w:hint="default" w:ascii="Times New Roman" w:hAnsi="Times New Roman" w:cs="Times New Roman"/>
                <w:b w:val="0"/>
                <w:bCs w:val="0"/>
                <w:kern w:val="2"/>
                <w:sz w:val="24"/>
                <w:szCs w:val="24"/>
                <w:highlight w:val="none"/>
                <w:lang w:val="en-US" w:eastAsia="zh-CN"/>
              </w:rPr>
              <w:t>~40</w:t>
            </w:r>
            <w:r>
              <w:rPr>
                <w:rFonts w:hint="eastAsia" w:cs="Times New Roman"/>
                <w:b w:val="0"/>
                <w:bCs w:val="0"/>
                <w:kern w:val="2"/>
                <w:sz w:val="24"/>
                <w:szCs w:val="24"/>
                <w:highlight w:val="none"/>
                <w:lang w:val="en-US" w:eastAsia="zh-CN"/>
              </w:rPr>
              <w:t>°</w:t>
            </w:r>
            <w:r>
              <w:rPr>
                <w:rFonts w:hint="default" w:ascii="Times New Roman" w:hAnsi="Times New Roman" w:cs="Times New Roman"/>
                <w:b w:val="0"/>
                <w:bCs w:val="0"/>
                <w:kern w:val="2"/>
                <w:sz w:val="24"/>
                <w:szCs w:val="24"/>
                <w:highlight w:val="none"/>
                <w:lang w:val="en-US" w:eastAsia="zh-CN"/>
              </w:rPr>
              <w:t>41</w:t>
            </w:r>
            <w:r>
              <w:rPr>
                <w:rFonts w:hint="eastAsia" w:cs="Times New Roman"/>
                <w:b w:val="0"/>
                <w:bCs w:val="0"/>
                <w:kern w:val="2"/>
                <w:sz w:val="24"/>
                <w:szCs w:val="24"/>
                <w:highlight w:val="none"/>
                <w:lang w:val="en-US" w:eastAsia="zh-CN"/>
              </w:rPr>
              <w:t>′</w:t>
            </w:r>
            <w:r>
              <w:rPr>
                <w:rFonts w:hint="default" w:ascii="Times New Roman" w:hAnsi="Times New Roman" w:cs="Times New Roman"/>
                <w:b w:val="0"/>
                <w:bCs w:val="0"/>
                <w:kern w:val="2"/>
                <w:sz w:val="24"/>
                <w:szCs w:val="24"/>
                <w:highlight w:val="none"/>
                <w:lang w:val="en-US" w:eastAsia="zh-CN"/>
              </w:rPr>
              <w:t>53</w:t>
            </w:r>
            <w:r>
              <w:rPr>
                <w:rFonts w:hint="eastAsia" w:cs="Times New Roman"/>
                <w:b w:val="0"/>
                <w:bCs w:val="0"/>
                <w:kern w:val="2"/>
                <w:sz w:val="24"/>
                <w:szCs w:val="24"/>
                <w:highlight w:val="none"/>
                <w:lang w:val="en-US" w:eastAsia="zh-CN"/>
              </w:rPr>
              <w:t>″</w:t>
            </w:r>
            <w:r>
              <w:rPr>
                <w:rFonts w:hint="default" w:ascii="Times New Roman" w:hAnsi="Times New Roman" w:cs="Times New Roman"/>
                <w:b w:val="0"/>
                <w:bCs w:val="0"/>
                <w:kern w:val="2"/>
                <w:sz w:val="24"/>
                <w:szCs w:val="24"/>
                <w:highlight w:val="none"/>
                <w:lang w:val="en-US" w:eastAsia="zh-CN"/>
              </w:rPr>
              <w:t>。与树林召镇相距约113公里，与锡尼镇相距约80公里，总面积为2068.71平方公里。东与杭锦淖尔乡接壤，西与吉日嘎朗图镇相连，南临伊和乌素镇，北靠黄河，与巴彦淖尔市乌</w:t>
            </w:r>
            <w:r>
              <w:rPr>
                <w:rFonts w:hint="eastAsia"/>
                <w:b w:val="0"/>
                <w:bCs w:val="0"/>
                <w:kern w:val="2"/>
                <w:sz w:val="24"/>
                <w:szCs w:val="24"/>
                <w:highlight w:val="none"/>
                <w:lang w:val="en-US" w:eastAsia="zh-CN"/>
              </w:rPr>
              <w:t>拉特前旗隔河相对，是东部沿河地区，文化、经济中心，也是沿河地区交通、电讯、供电的枢纽。</w:t>
            </w:r>
          </w:p>
          <w:p w14:paraId="017F9526">
            <w:pPr>
              <w:pStyle w:val="30"/>
              <w:ind w:firstLine="480" w:firstLineChars="200"/>
              <w:rPr>
                <w:rFonts w:hint="eastAsia"/>
                <w:b w:val="0"/>
                <w:bCs w:val="0"/>
                <w:kern w:val="2"/>
                <w:sz w:val="24"/>
                <w:szCs w:val="24"/>
                <w:highlight w:val="none"/>
                <w:lang w:val="en-US" w:eastAsia="zh-CN"/>
              </w:rPr>
            </w:pPr>
            <w:r>
              <w:rPr>
                <w:rFonts w:hint="eastAsia"/>
                <w:b w:val="0"/>
                <w:bCs w:val="0"/>
                <w:kern w:val="2"/>
                <w:sz w:val="24"/>
                <w:szCs w:val="24"/>
                <w:highlight w:val="none"/>
                <w:lang w:val="en-US" w:eastAsia="zh-CN"/>
              </w:rPr>
              <w:t>鄂尔多斯杭锦经济开发区独贵塔拉产业园东起沙拉沟，南至新熙末站，西至泰五路，北至锦四路，地处呼包银经济带、呼包鄂经济圈。</w:t>
            </w:r>
          </w:p>
          <w:p w14:paraId="30098343">
            <w:pPr>
              <w:pStyle w:val="30"/>
              <w:ind w:firstLine="476" w:firstLineChars="200"/>
              <w:rPr>
                <w:rFonts w:hint="default" w:eastAsia="宋体"/>
                <w:b w:val="0"/>
                <w:bCs w:val="0"/>
                <w:kern w:val="2"/>
                <w:sz w:val="24"/>
                <w:szCs w:val="24"/>
                <w:highlight w:val="none"/>
                <w:lang w:val="en-US" w:eastAsia="zh-CN"/>
              </w:rPr>
            </w:pPr>
            <w:r>
              <w:rPr>
                <w:rFonts w:cs="Times New Roman"/>
                <w:spacing w:val="-1"/>
                <w:highlight w:val="none"/>
              </w:rPr>
              <w:t>本项目位于</w:t>
            </w:r>
            <w:r>
              <w:rPr>
                <w:rFonts w:cs="Times New Roman"/>
                <w:highlight w:val="none"/>
              </w:rPr>
              <w:t>鄂尔多斯杭锦经济开发区独贵塔拉产业园</w:t>
            </w:r>
            <w:r>
              <w:rPr>
                <w:rFonts w:cs="Times New Roman"/>
                <w:spacing w:val="-1"/>
                <w:highlight w:val="none"/>
              </w:rPr>
              <w:t>（南区），</w:t>
            </w:r>
            <w:r>
              <w:rPr>
                <w:rFonts w:hint="eastAsia" w:cs="Times New Roman"/>
                <w:spacing w:val="-1"/>
                <w:highlight w:val="none"/>
                <w:lang w:val="en-US" w:eastAsia="zh-CN"/>
              </w:rPr>
              <w:t>输送管线除WRT甲烷气管道、清净废水管道位于伊泰厂界外，其他管线均位于</w:t>
            </w:r>
            <w:bookmarkStart w:id="2" w:name="OLE_LINK57"/>
            <w:bookmarkStart w:id="3" w:name="OLE_LINK58"/>
            <w:r>
              <w:rPr>
                <w:rFonts w:cs="Times New Roman"/>
                <w:spacing w:val="-1"/>
                <w:highlight w:val="none"/>
              </w:rPr>
              <w:t>内蒙古伊泰化工有限责任公司</w:t>
            </w:r>
            <w:bookmarkEnd w:id="2"/>
            <w:bookmarkEnd w:id="3"/>
            <w:r>
              <w:rPr>
                <w:rFonts w:hint="eastAsia" w:cs="Times New Roman"/>
                <w:spacing w:val="-1"/>
                <w:highlight w:val="none"/>
                <w:lang w:val="en-US" w:eastAsia="zh-CN"/>
              </w:rPr>
              <w:t>现有厂区内，伊泰化工与鹏泰生物之间通过独立柱连接。伊泰化工北侧为空地，南侧为内蒙古鹏泰生物科技有限公司、内蒙古伊诺新材料有限公司、联博厂，东侧为公路。</w:t>
            </w:r>
          </w:p>
          <w:p w14:paraId="0346CB92">
            <w:pPr>
              <w:pStyle w:val="30"/>
              <w:ind w:firstLine="480"/>
              <w:rPr>
                <w:rFonts w:hint="eastAsia"/>
                <w:b/>
                <w:bCs/>
                <w:kern w:val="2"/>
                <w:sz w:val="24"/>
                <w:szCs w:val="24"/>
                <w:highlight w:val="none"/>
              </w:rPr>
            </w:pPr>
            <w:r>
              <w:rPr>
                <w:rFonts w:hint="eastAsia"/>
                <w:b/>
                <w:bCs/>
                <w:kern w:val="2"/>
                <w:sz w:val="24"/>
                <w:szCs w:val="24"/>
                <w:highlight w:val="none"/>
                <w:lang w:val="en-US" w:eastAsia="zh-CN"/>
              </w:rPr>
              <w:t xml:space="preserve">2.主体功能区规划和生态功能区划 </w:t>
            </w:r>
          </w:p>
          <w:p w14:paraId="0FE0D8F4">
            <w:pPr>
              <w:pStyle w:val="30"/>
              <w:keepNext/>
              <w:ind w:firstLineChars="200"/>
              <w:rPr>
                <w:rFonts w:hint="eastAsia"/>
                <w:sz w:val="24"/>
                <w:highlight w:val="none"/>
              </w:rPr>
            </w:pPr>
            <w:r>
              <w:rPr>
                <w:rFonts w:hint="eastAsia"/>
                <w:sz w:val="24"/>
                <w:highlight w:val="none"/>
              </w:rPr>
              <w:t>（1）主体功能区划</w:t>
            </w:r>
          </w:p>
          <w:p w14:paraId="23FF8251">
            <w:pPr>
              <w:pStyle w:val="30"/>
              <w:keepNext/>
              <w:ind w:firstLineChars="200"/>
              <w:rPr>
                <w:rFonts w:hint="eastAsia"/>
                <w:sz w:val="24"/>
                <w:highlight w:val="none"/>
              </w:rPr>
            </w:pPr>
            <w:r>
              <w:rPr>
                <w:rFonts w:hint="eastAsia"/>
                <w:sz w:val="24"/>
                <w:highlight w:val="none"/>
              </w:rPr>
              <w:t>依据《内蒙古自治区主体功能区划》，</w:t>
            </w:r>
            <w:r>
              <w:rPr>
                <w:rFonts w:hint="eastAsia"/>
                <w:sz w:val="24"/>
                <w:highlight w:val="none"/>
                <w:lang w:val="en-US" w:eastAsia="zh-CN"/>
              </w:rPr>
              <w:t>杭锦旗</w:t>
            </w:r>
            <w:r>
              <w:rPr>
                <w:rFonts w:hint="eastAsia"/>
                <w:sz w:val="24"/>
                <w:highlight w:val="none"/>
              </w:rPr>
              <w:t>属于呼包鄂地区国家级重点开发区域，本项目在内蒙古自治区主体功能区划图</w:t>
            </w:r>
            <w:r>
              <w:rPr>
                <w:rFonts w:hint="eastAsia"/>
                <w:sz w:val="24"/>
                <w:highlight w:val="none"/>
                <w:lang w:eastAsia="zh-CN"/>
              </w:rPr>
              <w:t>中</w:t>
            </w:r>
            <w:r>
              <w:rPr>
                <w:rFonts w:hint="eastAsia"/>
                <w:sz w:val="24"/>
                <w:highlight w:val="none"/>
              </w:rPr>
              <w:t>的位置见图3-1。</w:t>
            </w:r>
          </w:p>
          <w:p w14:paraId="77A99673">
            <w:pPr>
              <w:pStyle w:val="30"/>
              <w:keepNext/>
              <w:ind w:firstLine="0" w:firstLineChars="0"/>
              <w:jc w:val="center"/>
              <w:rPr>
                <w:rFonts w:hint="eastAsia" w:eastAsia="宋体"/>
                <w:sz w:val="24"/>
                <w:highlight w:val="none"/>
                <w:lang w:eastAsia="zh-CN"/>
              </w:rPr>
            </w:pPr>
            <w:r>
              <w:rPr>
                <w:highlight w:val="none"/>
              </w:rPr>
              <w:drawing>
                <wp:inline distT="0" distB="0" distL="114300" distR="114300">
                  <wp:extent cx="5220335" cy="4124325"/>
                  <wp:effectExtent l="0" t="0" r="1841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7"/>
                          <a:stretch>
                            <a:fillRect/>
                          </a:stretch>
                        </pic:blipFill>
                        <pic:spPr>
                          <a:xfrm>
                            <a:off x="0" y="0"/>
                            <a:ext cx="5220335" cy="4124325"/>
                          </a:xfrm>
                          <a:prstGeom prst="rect">
                            <a:avLst/>
                          </a:prstGeom>
                          <a:noFill/>
                          <a:ln>
                            <a:noFill/>
                          </a:ln>
                        </pic:spPr>
                      </pic:pic>
                    </a:graphicData>
                  </a:graphic>
                </wp:inline>
              </w:drawing>
            </w:r>
          </w:p>
          <w:p w14:paraId="5A499F7E">
            <w:pPr>
              <w:pStyle w:val="30"/>
              <w:keepNext/>
              <w:ind w:firstLine="422" w:firstLineChars="200"/>
              <w:jc w:val="center"/>
              <w:rPr>
                <w:rFonts w:hint="eastAsia"/>
                <w:b/>
                <w:bCs/>
                <w:sz w:val="21"/>
                <w:szCs w:val="21"/>
                <w:highlight w:val="none"/>
              </w:rPr>
            </w:pPr>
            <w:r>
              <w:rPr>
                <w:rFonts w:hint="eastAsia"/>
                <w:b/>
                <w:bCs/>
                <w:sz w:val="21"/>
                <w:szCs w:val="21"/>
                <w:highlight w:val="none"/>
              </w:rPr>
              <w:t xml:space="preserve">图3-1 </w:t>
            </w:r>
            <w:r>
              <w:rPr>
                <w:rFonts w:hint="eastAsia"/>
                <w:b/>
                <w:bCs/>
                <w:sz w:val="21"/>
                <w:szCs w:val="21"/>
                <w:highlight w:val="none"/>
                <w:lang w:val="en-US" w:eastAsia="zh-CN"/>
              </w:rPr>
              <w:t xml:space="preserve"> </w:t>
            </w:r>
            <w:r>
              <w:rPr>
                <w:rFonts w:hint="eastAsia"/>
                <w:b/>
                <w:bCs/>
                <w:sz w:val="21"/>
                <w:szCs w:val="21"/>
                <w:highlight w:val="none"/>
              </w:rPr>
              <w:t xml:space="preserve"> 内蒙古自治区主体功能区划图</w:t>
            </w:r>
          </w:p>
          <w:p w14:paraId="0C3CE9AA">
            <w:pPr>
              <w:pStyle w:val="30"/>
              <w:keepNext/>
              <w:ind w:firstLineChars="200"/>
              <w:rPr>
                <w:rFonts w:hint="eastAsia"/>
                <w:sz w:val="24"/>
                <w:highlight w:val="none"/>
              </w:rPr>
            </w:pPr>
            <w:r>
              <w:rPr>
                <w:rFonts w:hint="eastAsia"/>
                <w:sz w:val="24"/>
                <w:highlight w:val="none"/>
              </w:rPr>
              <w:t>（2）生态功能区划</w:t>
            </w:r>
          </w:p>
          <w:p w14:paraId="54F28A62">
            <w:pPr>
              <w:pStyle w:val="30"/>
              <w:keepNext/>
              <w:ind w:firstLineChars="200"/>
              <w:rPr>
                <w:rFonts w:hint="eastAsia"/>
                <w:sz w:val="24"/>
                <w:highlight w:val="none"/>
              </w:rPr>
            </w:pPr>
            <w:r>
              <w:rPr>
                <w:rFonts w:hint="eastAsia"/>
                <w:sz w:val="24"/>
                <w:highlight w:val="none"/>
              </w:rPr>
              <w:t>本项目建设地点位于</w:t>
            </w:r>
            <w:r>
              <w:rPr>
                <w:sz w:val="24"/>
                <w:szCs w:val="24"/>
                <w:highlight w:val="none"/>
              </w:rPr>
              <w:t>内蒙古自治区鄂尔多斯市杭锦旗独贵塔拉工业园区</w:t>
            </w:r>
            <w:r>
              <w:rPr>
                <w:rFonts w:hint="eastAsia"/>
                <w:sz w:val="24"/>
                <w:highlight w:val="none"/>
              </w:rPr>
              <w:t>内，根据《内蒙古自治区生态功能区划图》，项目区位于西鄂尔多斯高原荒漠草原沙漠化控制</w:t>
            </w:r>
            <w:r>
              <w:rPr>
                <w:rFonts w:hint="eastAsia"/>
                <w:sz w:val="24"/>
                <w:highlight w:val="none"/>
                <w:lang w:val="en-US" w:eastAsia="zh-CN"/>
              </w:rPr>
              <w:t>生态功能区</w:t>
            </w:r>
            <w:r>
              <w:rPr>
                <w:rFonts w:hint="default" w:ascii="Times New Roman" w:hAnsi="Times New Roman" w:cs="Times New Roman"/>
                <w:sz w:val="24"/>
                <w:highlight w:val="none"/>
              </w:rPr>
              <w:t>（Ⅰ</w:t>
            </w:r>
            <w:r>
              <w:rPr>
                <w:rFonts w:hint="default" w:ascii="Times New Roman" w:hAnsi="Times New Roman" w:cs="Times New Roman"/>
                <w:sz w:val="24"/>
                <w:highlight w:val="none"/>
                <w:lang w:val="en-US" w:eastAsia="zh-CN"/>
              </w:rPr>
              <w:t>V</w:t>
            </w:r>
            <w:r>
              <w:rPr>
                <w:rFonts w:hint="default" w:ascii="Times New Roman" w:hAnsi="Times New Roman" w:cs="Times New Roman"/>
                <w:sz w:val="24"/>
                <w:highlight w:val="none"/>
              </w:rPr>
              <w:t>-</w:t>
            </w:r>
            <w:r>
              <w:rPr>
                <w:rFonts w:hint="default" w:ascii="Times New Roman" w:hAnsi="Times New Roman" w:cs="Times New Roman"/>
                <w:sz w:val="24"/>
                <w:highlight w:val="none"/>
                <w:lang w:val="en-US" w:eastAsia="zh-CN"/>
              </w:rPr>
              <w:t>3</w:t>
            </w:r>
            <w:r>
              <w:rPr>
                <w:rFonts w:hint="default" w:ascii="Times New Roman" w:hAnsi="Times New Roman" w:cs="Times New Roman"/>
                <w:sz w:val="24"/>
                <w:highlight w:val="none"/>
              </w:rPr>
              <w:t>-1），</w:t>
            </w:r>
            <w:r>
              <w:rPr>
                <w:rFonts w:hint="eastAsia"/>
                <w:sz w:val="24"/>
                <w:highlight w:val="none"/>
              </w:rPr>
              <w:t>项目在内蒙古自治区生态功能区划图的位置见图3-2。</w:t>
            </w:r>
          </w:p>
          <w:p w14:paraId="038F2833">
            <w:pPr>
              <w:pStyle w:val="30"/>
              <w:keepNext/>
              <w:ind w:firstLine="0" w:firstLineChars="0"/>
              <w:jc w:val="center"/>
              <w:rPr>
                <w:rFonts w:hint="eastAsia"/>
                <w:sz w:val="24"/>
                <w:highlight w:val="none"/>
              </w:rPr>
            </w:pPr>
            <w:r>
              <w:rPr>
                <w:highlight w:val="none"/>
              </w:rPr>
              <w:drawing>
                <wp:inline distT="0" distB="0" distL="114300" distR="114300">
                  <wp:extent cx="5048250" cy="4128135"/>
                  <wp:effectExtent l="0" t="0" r="0" b="5715"/>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18"/>
                          <a:stretch>
                            <a:fillRect/>
                          </a:stretch>
                        </pic:blipFill>
                        <pic:spPr>
                          <a:xfrm>
                            <a:off x="0" y="0"/>
                            <a:ext cx="5048250" cy="4128135"/>
                          </a:xfrm>
                          <a:prstGeom prst="rect">
                            <a:avLst/>
                          </a:prstGeom>
                          <a:noFill/>
                          <a:ln>
                            <a:noFill/>
                          </a:ln>
                        </pic:spPr>
                      </pic:pic>
                    </a:graphicData>
                  </a:graphic>
                </wp:inline>
              </w:drawing>
            </w:r>
          </w:p>
          <w:p w14:paraId="577B6357">
            <w:pPr>
              <w:pStyle w:val="30"/>
              <w:keepNext/>
              <w:ind w:firstLine="422" w:firstLineChars="200"/>
              <w:jc w:val="center"/>
              <w:rPr>
                <w:rFonts w:hint="eastAsia"/>
                <w:b/>
                <w:bCs/>
                <w:sz w:val="21"/>
                <w:szCs w:val="21"/>
                <w:highlight w:val="none"/>
              </w:rPr>
            </w:pPr>
            <w:r>
              <w:rPr>
                <w:rFonts w:hint="eastAsia"/>
                <w:b/>
                <w:bCs/>
                <w:sz w:val="21"/>
                <w:szCs w:val="21"/>
                <w:highlight w:val="none"/>
              </w:rPr>
              <w:t xml:space="preserve">图3-2  </w:t>
            </w:r>
            <w:r>
              <w:rPr>
                <w:rFonts w:hint="eastAsia"/>
                <w:b/>
                <w:bCs/>
                <w:sz w:val="21"/>
                <w:szCs w:val="21"/>
                <w:highlight w:val="none"/>
                <w:lang w:val="en-US" w:eastAsia="zh-CN"/>
              </w:rPr>
              <w:t xml:space="preserve"> </w:t>
            </w:r>
            <w:r>
              <w:rPr>
                <w:rFonts w:hint="eastAsia"/>
                <w:b/>
                <w:bCs/>
                <w:sz w:val="21"/>
                <w:szCs w:val="21"/>
                <w:highlight w:val="none"/>
              </w:rPr>
              <w:t>内蒙古生态功能区划图</w:t>
            </w:r>
          </w:p>
          <w:p w14:paraId="17DA3861">
            <w:pPr>
              <w:pStyle w:val="30"/>
              <w:keepNext/>
              <w:ind w:firstLineChars="200"/>
              <w:rPr>
                <w:rFonts w:hint="eastAsia"/>
                <w:sz w:val="24"/>
                <w:highlight w:val="none"/>
              </w:rPr>
            </w:pPr>
            <w:r>
              <w:rPr>
                <w:rFonts w:hint="eastAsia"/>
                <w:sz w:val="24"/>
                <w:highlight w:val="none"/>
              </w:rPr>
              <w:t>根据内蒙古自治区生态环境分区管控公众端应用平台查询结果，</w:t>
            </w:r>
            <w:r>
              <w:rPr>
                <w:rFonts w:ascii="Times New Roman" w:hAnsi="Times New Roman" w:eastAsia="宋体" w:cs="Times New Roman"/>
                <w:bCs/>
                <w:color w:val="000000"/>
                <w:sz w:val="24"/>
                <w:highlight w:val="none"/>
              </w:rPr>
              <w:t>本项目位于杭锦经济开发区，属于重点管控单元</w:t>
            </w:r>
            <w:r>
              <w:rPr>
                <w:rFonts w:hint="eastAsia" w:ascii="Times New Roman" w:hAnsi="Times New Roman" w:eastAsia="宋体" w:cs="Times New Roman"/>
                <w:bCs/>
                <w:color w:val="000000"/>
                <w:sz w:val="24"/>
                <w:highlight w:val="none"/>
                <w:lang w:val="en-US" w:eastAsia="zh-CN"/>
              </w:rPr>
              <w:t>-</w:t>
            </w:r>
            <w:r>
              <w:rPr>
                <w:rFonts w:ascii="Times New Roman" w:hAnsi="Times New Roman" w:eastAsia="宋体" w:cs="Times New Roman"/>
                <w:color w:val="000000"/>
                <w:kern w:val="0"/>
                <w:sz w:val="24"/>
                <w:highlight w:val="none"/>
              </w:rPr>
              <w:t>鄂尔多斯独贵塔拉工业园区</w:t>
            </w:r>
            <w:r>
              <w:rPr>
                <w:rFonts w:hint="eastAsia" w:ascii="Times New Roman" w:hAnsi="Times New Roman" w:eastAsia="宋体" w:cs="Times New Roman"/>
                <w:color w:val="000000"/>
                <w:kern w:val="0"/>
                <w:sz w:val="24"/>
                <w:highlight w:val="none"/>
                <w:lang w:eastAsia="zh-CN"/>
              </w:rPr>
              <w:t>（</w:t>
            </w:r>
            <w:r>
              <w:rPr>
                <w:rFonts w:ascii="Times New Roman" w:hAnsi="Times New Roman" w:eastAsia="宋体" w:cs="Times New Roman"/>
                <w:bCs/>
                <w:color w:val="000000"/>
                <w:sz w:val="24"/>
                <w:highlight w:val="none"/>
              </w:rPr>
              <w:t>单元编码</w:t>
            </w:r>
            <w:r>
              <w:rPr>
                <w:rFonts w:hint="eastAsia" w:cs="Times New Roman"/>
                <w:bCs/>
                <w:color w:val="000000"/>
                <w:sz w:val="24"/>
                <w:highlight w:val="none"/>
                <w:lang w:eastAsia="zh-CN"/>
              </w:rPr>
              <w:t>为</w:t>
            </w:r>
            <w:r>
              <w:rPr>
                <w:rFonts w:ascii="Times New Roman" w:hAnsi="Times New Roman" w:eastAsia="宋体" w:cs="Times New Roman"/>
                <w:bCs/>
                <w:color w:val="000000"/>
                <w:sz w:val="24"/>
                <w:highlight w:val="none"/>
              </w:rPr>
              <w:t>ZH15062520001</w:t>
            </w:r>
            <w:r>
              <w:rPr>
                <w:rFonts w:hint="eastAsia" w:ascii="Times New Roman" w:hAnsi="Times New Roman" w:eastAsia="宋体" w:cs="Times New Roman"/>
                <w:color w:val="000000"/>
                <w:kern w:val="0"/>
                <w:sz w:val="24"/>
                <w:highlight w:val="none"/>
                <w:lang w:eastAsia="zh-CN"/>
              </w:rPr>
              <w:t>）</w:t>
            </w:r>
            <w:r>
              <w:rPr>
                <w:rFonts w:hint="eastAsia"/>
                <w:sz w:val="24"/>
                <w:highlight w:val="none"/>
              </w:rPr>
              <w:t>。</w:t>
            </w:r>
          </w:p>
          <w:p w14:paraId="06C41FDE">
            <w:pPr>
              <w:pStyle w:val="30"/>
              <w:ind w:firstLine="480"/>
              <w:rPr>
                <w:b/>
                <w:bCs/>
                <w:kern w:val="2"/>
                <w:sz w:val="24"/>
                <w:szCs w:val="24"/>
                <w:highlight w:val="none"/>
              </w:rPr>
            </w:pPr>
            <w:r>
              <w:rPr>
                <w:rFonts w:hint="eastAsia"/>
                <w:b/>
                <w:bCs/>
                <w:kern w:val="2"/>
                <w:sz w:val="24"/>
                <w:szCs w:val="24"/>
                <w:highlight w:val="none"/>
                <w:lang w:val="en-US" w:eastAsia="zh-CN"/>
              </w:rPr>
              <w:t>3.</w:t>
            </w:r>
            <w:r>
              <w:rPr>
                <w:rFonts w:hint="eastAsia"/>
                <w:b/>
                <w:bCs/>
                <w:kern w:val="2"/>
                <w:sz w:val="24"/>
                <w:szCs w:val="24"/>
                <w:highlight w:val="none"/>
              </w:rPr>
              <w:t>生态环境现状</w:t>
            </w:r>
          </w:p>
          <w:p w14:paraId="259D61D1">
            <w:pPr>
              <w:pStyle w:val="30"/>
              <w:keepNext/>
              <w:ind w:firstLineChars="200"/>
              <w:rPr>
                <w:rFonts w:hint="eastAsia" w:ascii="Times New Roman" w:hAnsi="Times New Roman" w:eastAsia="宋体" w:cs="Times New Roman"/>
                <w:sz w:val="24"/>
                <w:highlight w:val="none"/>
              </w:rPr>
            </w:pPr>
            <w:r>
              <w:rPr>
                <w:rFonts w:hint="eastAsia" w:ascii="Times New Roman" w:hAnsi="Times New Roman" w:eastAsia="宋体" w:cs="Times New Roman"/>
                <w:bCs/>
                <w:sz w:val="24"/>
                <w:highlight w:val="none"/>
                <w:lang w:val="zh-CN" w:eastAsia="zh-CN"/>
              </w:rPr>
              <w:t>项目</w:t>
            </w:r>
            <w:r>
              <w:rPr>
                <w:rFonts w:hint="eastAsia" w:ascii="Times New Roman" w:hAnsi="Times New Roman" w:eastAsia="宋体" w:cs="Times New Roman"/>
                <w:bCs/>
                <w:sz w:val="24"/>
                <w:highlight w:val="none"/>
                <w:lang w:val="en-US" w:eastAsia="zh-CN"/>
              </w:rPr>
              <w:t>在原有</w:t>
            </w:r>
            <w:r>
              <w:rPr>
                <w:rFonts w:hint="eastAsia" w:cs="Times New Roman"/>
                <w:bCs/>
                <w:sz w:val="24"/>
                <w:highlight w:val="none"/>
                <w:lang w:val="en-US" w:eastAsia="zh-CN"/>
              </w:rPr>
              <w:t>联博</w:t>
            </w:r>
            <w:r>
              <w:rPr>
                <w:rFonts w:hint="eastAsia" w:ascii="Times New Roman" w:hAnsi="Times New Roman" w:eastAsia="宋体" w:cs="Times New Roman"/>
                <w:bCs/>
                <w:sz w:val="24"/>
                <w:highlight w:val="none"/>
                <w:lang w:val="en-US" w:eastAsia="zh-CN"/>
              </w:rPr>
              <w:t>管廊的基础上进行改造，</w:t>
            </w:r>
            <w:r>
              <w:rPr>
                <w:rFonts w:hint="eastAsia" w:ascii="Times New Roman" w:hAnsi="Times New Roman" w:eastAsia="宋体" w:cs="Times New Roman"/>
                <w:bCs/>
                <w:sz w:val="24"/>
                <w:highlight w:val="none"/>
                <w:lang w:val="zh-CN" w:eastAsia="zh-CN"/>
              </w:rPr>
              <w:t>并</w:t>
            </w:r>
            <w:r>
              <w:rPr>
                <w:rFonts w:hint="eastAsia" w:cs="Times New Roman"/>
                <w:bCs/>
                <w:sz w:val="24"/>
                <w:highlight w:val="none"/>
                <w:lang w:val="en-US" w:eastAsia="zh-CN"/>
              </w:rPr>
              <w:t>新增部分架空管线</w:t>
            </w:r>
            <w:r>
              <w:rPr>
                <w:rFonts w:hint="eastAsia" w:ascii="Times New Roman" w:hAnsi="Times New Roman" w:eastAsia="宋体" w:cs="Times New Roman"/>
                <w:bCs/>
                <w:sz w:val="24"/>
                <w:highlight w:val="none"/>
                <w:lang w:val="zh-CN" w:eastAsia="zh-CN"/>
              </w:rPr>
              <w:t>将物料输送至鹏泰生物装置界区外1m。</w:t>
            </w:r>
            <w:r>
              <w:rPr>
                <w:rFonts w:hint="eastAsia" w:cs="Times New Roman"/>
                <w:bCs/>
                <w:sz w:val="24"/>
                <w:highlight w:val="none"/>
                <w:lang w:val="en-US" w:eastAsia="zh-CN"/>
              </w:rPr>
              <w:t>联博</w:t>
            </w:r>
            <w:r>
              <w:rPr>
                <w:rFonts w:hint="eastAsia" w:ascii="Times New Roman" w:hAnsi="Times New Roman" w:eastAsia="宋体" w:cs="Times New Roman"/>
                <w:sz w:val="24"/>
                <w:highlight w:val="none"/>
              </w:rPr>
              <w:t>管廊</w:t>
            </w:r>
            <w:r>
              <w:rPr>
                <w:rFonts w:hint="eastAsia" w:cs="Times New Roman"/>
                <w:sz w:val="24"/>
                <w:highlight w:val="none"/>
                <w:lang w:val="en-US" w:eastAsia="zh-CN"/>
              </w:rPr>
              <w:t>均</w:t>
            </w:r>
            <w:r>
              <w:rPr>
                <w:rFonts w:hint="eastAsia" w:ascii="Times New Roman" w:hAnsi="Times New Roman" w:eastAsia="宋体" w:cs="Times New Roman"/>
                <w:sz w:val="24"/>
                <w:highlight w:val="none"/>
              </w:rPr>
              <w:t>位于</w:t>
            </w:r>
            <w:r>
              <w:rPr>
                <w:rFonts w:hint="eastAsia" w:ascii="Times New Roman" w:hAnsi="Times New Roman" w:eastAsia="宋体" w:cs="Times New Roman"/>
                <w:sz w:val="24"/>
                <w:highlight w:val="none"/>
                <w:lang w:val="en-US" w:eastAsia="zh-CN"/>
              </w:rPr>
              <w:t>内蒙古伊泰化工有限责任公司内</w:t>
            </w:r>
            <w:r>
              <w:rPr>
                <w:rFonts w:hint="eastAsia" w:ascii="Times New Roman" w:hAnsi="Times New Roman" w:eastAsia="宋体" w:cs="Times New Roman"/>
                <w:sz w:val="24"/>
                <w:highlight w:val="none"/>
                <w:lang w:eastAsia="zh-CN"/>
              </w:rPr>
              <w:t>。</w:t>
            </w:r>
          </w:p>
          <w:p w14:paraId="1EA5A255">
            <w:pPr>
              <w:pStyle w:val="30"/>
              <w:rPr>
                <w:rFonts w:hint="default" w:ascii="Times New Roman" w:hAnsi="Times New Roman" w:eastAsia="宋体" w:cs="Times New Roman"/>
                <w:color w:val="000000"/>
                <w:sz w:val="24"/>
                <w:szCs w:val="24"/>
                <w:highlight w:val="none"/>
                <w:lang w:val="en-US" w:eastAsia="zh-CN"/>
              </w:rPr>
            </w:pPr>
            <w:r>
              <w:rPr>
                <w:color w:val="000000"/>
                <w:spacing w:val="-1"/>
                <w:sz w:val="24"/>
                <w:szCs w:val="24"/>
                <w:highlight w:val="none"/>
              </w:rPr>
              <w:t>本项目为</w:t>
            </w:r>
            <w:r>
              <w:rPr>
                <w:rFonts w:hint="eastAsia"/>
                <w:color w:val="000000"/>
                <w:spacing w:val="-1"/>
                <w:sz w:val="24"/>
                <w:szCs w:val="24"/>
                <w:highlight w:val="none"/>
                <w:lang w:val="en-US" w:eastAsia="zh-CN"/>
              </w:rPr>
              <w:t>架空管线</w:t>
            </w:r>
            <w:r>
              <w:rPr>
                <w:color w:val="000000"/>
                <w:spacing w:val="-1"/>
                <w:sz w:val="24"/>
                <w:szCs w:val="24"/>
                <w:highlight w:val="none"/>
              </w:rPr>
              <w:t>项目，</w:t>
            </w:r>
            <w:r>
              <w:rPr>
                <w:rFonts w:hint="eastAsia"/>
                <w:color w:val="000000"/>
                <w:spacing w:val="-1"/>
                <w:sz w:val="24"/>
                <w:szCs w:val="24"/>
                <w:highlight w:val="none"/>
                <w:lang w:val="en-US" w:eastAsia="zh-CN"/>
              </w:rPr>
              <w:t>架空管线工程本身主体结构不直接接触地下水，且本项目管线不涉及管线支架、塔基基础建设，均在原有基础上直接建设，本次建设内容均为空中管线，不涉及地面工程，管线支撑结构（如杆塔基础、支架底座）检修、维护均不属于本次评价内容，均依托现有工程。本项目黄河水管道已经预留接口，本项目直接从接口接入。项目厂区内管廊管道占地均为无植被区，厂区外WRT甲烷气管道、清净废水管道部分涉及天然牧草地，但均为架空铺设因此对地下影响较小，不涉及</w:t>
            </w:r>
            <w:r>
              <w:rPr>
                <w:rFonts w:hint="eastAsia" w:cs="Times New Roman"/>
                <w:color w:val="000000"/>
                <w:sz w:val="24"/>
                <w:szCs w:val="24"/>
                <w:highlight w:val="none"/>
                <w:lang w:val="en-US" w:eastAsia="zh-CN"/>
              </w:rPr>
              <w:t>敏感区域，不设置评价等级</w:t>
            </w:r>
            <w:r>
              <w:rPr>
                <w:rFonts w:hint="eastAsia" w:ascii="Times New Roman" w:hAnsi="Times New Roman" w:cs="Times New Roman"/>
                <w:color w:val="000000"/>
                <w:sz w:val="24"/>
                <w:szCs w:val="24"/>
                <w:highlight w:val="none"/>
                <w:lang w:val="en-US" w:eastAsia="zh-CN"/>
              </w:rPr>
              <w:t>，</w:t>
            </w:r>
            <w:r>
              <w:rPr>
                <w:rFonts w:hint="eastAsia" w:cs="Times New Roman"/>
                <w:color w:val="000000"/>
                <w:sz w:val="24"/>
                <w:szCs w:val="24"/>
                <w:highlight w:val="none"/>
                <w:lang w:val="en-US" w:eastAsia="zh-CN"/>
              </w:rPr>
              <w:t>进行生态影响简单分析。</w:t>
            </w:r>
            <w:r>
              <w:rPr>
                <w:rFonts w:hint="eastAsia" w:ascii="Times New Roman" w:hAnsi="Times New Roman" w:cs="Times New Roman"/>
                <w:color w:val="000000"/>
                <w:sz w:val="24"/>
                <w:szCs w:val="24"/>
                <w:highlight w:val="none"/>
                <w:lang w:val="en-US" w:eastAsia="zh-CN"/>
              </w:rPr>
              <w:t>参照导则</w:t>
            </w:r>
            <w:r>
              <w:rPr>
                <w:rFonts w:hint="eastAsia" w:cs="Times New Roman"/>
                <w:color w:val="000000"/>
                <w:sz w:val="24"/>
                <w:szCs w:val="24"/>
                <w:highlight w:val="none"/>
                <w:lang w:val="en-US" w:eastAsia="zh-CN"/>
              </w:rPr>
              <w:t>“</w:t>
            </w:r>
            <w:r>
              <w:rPr>
                <w:rFonts w:hint="eastAsia" w:ascii="Times New Roman" w:hAnsi="Times New Roman" w:cs="Times New Roman"/>
                <w:color w:val="000000"/>
                <w:sz w:val="24"/>
                <w:szCs w:val="24"/>
                <w:highlight w:val="none"/>
                <w:lang w:val="en-US" w:eastAsia="zh-CN"/>
              </w:rPr>
              <w:t>6.2.5 穿越非生态敏感区时，以线路中心线向两侧外延300m为</w:t>
            </w:r>
            <w:r>
              <w:rPr>
                <w:rFonts w:hint="eastAsia" w:cs="Times New Roman"/>
                <w:color w:val="000000"/>
                <w:sz w:val="24"/>
                <w:szCs w:val="24"/>
                <w:highlight w:val="none"/>
                <w:lang w:val="en-US" w:eastAsia="zh-CN"/>
              </w:rPr>
              <w:t>分析</w:t>
            </w:r>
            <w:r>
              <w:rPr>
                <w:rFonts w:hint="eastAsia" w:ascii="Times New Roman" w:hAnsi="Times New Roman" w:cs="Times New Roman"/>
                <w:color w:val="000000"/>
                <w:sz w:val="24"/>
                <w:szCs w:val="24"/>
                <w:highlight w:val="none"/>
                <w:lang w:val="en-US" w:eastAsia="zh-CN"/>
              </w:rPr>
              <w:t>范围</w:t>
            </w:r>
            <w:r>
              <w:rPr>
                <w:rFonts w:hint="eastAsia" w:cs="Times New Roman"/>
                <w:color w:val="000000"/>
                <w:sz w:val="24"/>
                <w:szCs w:val="24"/>
                <w:highlight w:val="none"/>
                <w:lang w:val="en-US" w:eastAsia="zh-CN"/>
              </w:rPr>
              <w:t>”</w:t>
            </w:r>
            <w:r>
              <w:rPr>
                <w:rFonts w:hint="eastAsia" w:ascii="Times New Roman" w:hAnsi="Times New Roman" w:cs="Times New Roman"/>
                <w:color w:val="000000"/>
                <w:sz w:val="24"/>
                <w:szCs w:val="24"/>
                <w:highlight w:val="none"/>
                <w:lang w:val="en-US" w:eastAsia="zh-CN"/>
              </w:rPr>
              <w:t>。</w:t>
            </w:r>
          </w:p>
          <w:p w14:paraId="2DA4C7DA">
            <w:pPr>
              <w:pStyle w:val="11"/>
              <w:numPr>
                <w:ilvl w:val="-1"/>
                <w:numId w:val="0"/>
              </w:numPr>
              <w:spacing w:line="360" w:lineRule="auto"/>
              <w:ind w:firstLine="482" w:firstLineChars="200"/>
              <w:rPr>
                <w:rFonts w:hint="default" w:ascii="Times New Roman" w:hAnsi="Times New Roman" w:cs="Times New Roman"/>
                <w:b/>
                <w:bCs/>
                <w:kern w:val="2"/>
                <w:sz w:val="24"/>
                <w:szCs w:val="24"/>
                <w:highlight w:val="none"/>
                <w:lang w:val="en-US" w:eastAsia="zh-CN"/>
              </w:rPr>
            </w:pPr>
            <w:r>
              <w:rPr>
                <w:rFonts w:hint="default" w:ascii="Times New Roman" w:hAnsi="Times New Roman" w:cs="Times New Roman"/>
                <w:b/>
                <w:bCs/>
                <w:kern w:val="2"/>
                <w:sz w:val="24"/>
                <w:szCs w:val="24"/>
                <w:highlight w:val="none"/>
                <w:lang w:val="en-US" w:eastAsia="zh-CN"/>
              </w:rPr>
              <w:t>3.1现状调查与评价方法</w:t>
            </w:r>
          </w:p>
          <w:p w14:paraId="3C4EB547">
            <w:pPr>
              <w:spacing w:line="360" w:lineRule="auto"/>
              <w:ind w:firstLine="480" w:firstLineChars="200"/>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根据《环境影响评价技术导则 生态影响》（HJ19-2022）的要求，结合工程特点采用附录B中的资料收集法、现场调查法、遥感调查法、陆生动植物调查法相结合的方法，进行定性或定量的分析评价。</w:t>
            </w:r>
          </w:p>
          <w:p w14:paraId="40F3570D">
            <w:pPr>
              <w:spacing w:line="360" w:lineRule="auto"/>
              <w:ind w:firstLine="480" w:firstLineChars="200"/>
              <w:outlineLvl w:val="9"/>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1.调查</w:t>
            </w:r>
          </w:p>
          <w:p w14:paraId="6DA77E98">
            <w:pPr>
              <w:spacing w:line="360" w:lineRule="auto"/>
              <w:ind w:firstLine="480" w:firstLineChars="200"/>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通过对评价区开展</w:t>
            </w:r>
            <w:r>
              <w:rPr>
                <w:rFonts w:hint="eastAsia" w:cs="Times New Roman"/>
                <w:color w:val="auto"/>
                <w:kern w:val="0"/>
                <w:sz w:val="24"/>
                <w:szCs w:val="20"/>
                <w:highlight w:val="none"/>
                <w:lang w:eastAsia="zh-CN"/>
              </w:rPr>
              <w:t>野生</w:t>
            </w:r>
            <w:r>
              <w:rPr>
                <w:rFonts w:hint="default" w:ascii="Times New Roman" w:hAnsi="Times New Roman" w:eastAsia="宋体" w:cs="Times New Roman"/>
                <w:color w:val="auto"/>
                <w:kern w:val="0"/>
                <w:sz w:val="24"/>
                <w:szCs w:val="20"/>
                <w:highlight w:val="none"/>
              </w:rPr>
              <w:t>动植物相关资料收集</w:t>
            </w:r>
            <w:r>
              <w:rPr>
                <w:rFonts w:hint="eastAsia" w:ascii="Times New Roman" w:hAnsi="Times New Roman" w:eastAsia="宋体" w:cs="Times New Roman"/>
                <w:color w:val="auto"/>
                <w:kern w:val="0"/>
                <w:sz w:val="24"/>
                <w:szCs w:val="20"/>
                <w:highlight w:val="none"/>
                <w:lang w:eastAsia="zh-CN"/>
              </w:rPr>
              <w:t>，</w:t>
            </w:r>
            <w:r>
              <w:rPr>
                <w:rFonts w:hint="default" w:ascii="Times New Roman" w:hAnsi="Times New Roman" w:eastAsia="宋体" w:cs="Times New Roman"/>
                <w:color w:val="auto"/>
                <w:kern w:val="0"/>
                <w:sz w:val="24"/>
                <w:szCs w:val="20"/>
                <w:highlight w:val="none"/>
              </w:rPr>
              <w:t>了解评价区野生动植物的分布状况。</w:t>
            </w:r>
          </w:p>
          <w:p w14:paraId="0A6C4509">
            <w:pPr>
              <w:spacing w:line="360" w:lineRule="auto"/>
              <w:ind w:firstLine="480" w:firstLineChars="200"/>
              <w:outlineLvl w:val="9"/>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2.资料收集</w:t>
            </w:r>
          </w:p>
          <w:p w14:paraId="0CFEE712">
            <w:pPr>
              <w:spacing w:line="360" w:lineRule="auto"/>
              <w:ind w:firstLine="480" w:firstLineChars="200"/>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收集了评价区相关调查报告生态资料、《内蒙古植物志》以及《内蒙古植被》等资料。</w:t>
            </w:r>
          </w:p>
          <w:p w14:paraId="1FAF76F2">
            <w:pPr>
              <w:spacing w:line="360" w:lineRule="auto"/>
              <w:ind w:firstLine="480" w:firstLineChars="200"/>
              <w:outlineLvl w:val="9"/>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3.卫星遥感影像解译</w:t>
            </w:r>
          </w:p>
          <w:p w14:paraId="3BCFEC24">
            <w:pPr>
              <w:keepNext/>
              <w:spacing w:line="360" w:lineRule="auto"/>
              <w:ind w:firstLine="480" w:firstLineChars="200"/>
              <w:rPr>
                <w:rFonts w:hint="default" w:ascii="Times New Roman" w:hAnsi="Times New Roman" w:eastAsia="宋体" w:cs="Times New Roman"/>
                <w:bCs/>
                <w:sz w:val="24"/>
                <w:highlight w:val="none"/>
                <w:lang w:val="zh-CN" w:eastAsia="zh-CN"/>
              </w:rPr>
            </w:pPr>
            <w:r>
              <w:rPr>
                <w:rFonts w:hint="default" w:ascii="Times New Roman" w:hAnsi="Times New Roman" w:eastAsia="宋体" w:cs="Times New Roman"/>
                <w:bCs/>
                <w:sz w:val="24"/>
                <w:highlight w:val="none"/>
                <w:lang w:val="zh-CN" w:eastAsia="zh-CN"/>
              </w:rPr>
              <w:t>采用遥感（RS）、地理信息系统（GIS）和全球定位系统（GPS）等高新技术结合的方法进行环境影响评价区生态环境信息的获取。生态现状以202</w:t>
            </w:r>
            <w:r>
              <w:rPr>
                <w:rFonts w:hint="eastAsia" w:ascii="Times New Roman" w:hAnsi="Times New Roman" w:eastAsia="宋体" w:cs="Times New Roman"/>
                <w:bCs/>
                <w:sz w:val="24"/>
                <w:highlight w:val="none"/>
                <w:lang w:val="en-US" w:eastAsia="zh-CN"/>
              </w:rPr>
              <w:t>1</w:t>
            </w:r>
            <w:r>
              <w:rPr>
                <w:rFonts w:hint="default" w:ascii="Times New Roman" w:hAnsi="Times New Roman" w:eastAsia="宋体" w:cs="Times New Roman"/>
                <w:bCs/>
                <w:sz w:val="24"/>
                <w:highlight w:val="none"/>
                <w:lang w:val="zh-CN" w:eastAsia="zh-CN"/>
              </w:rPr>
              <w:t>年8月</w:t>
            </w:r>
            <w:r>
              <w:rPr>
                <w:rFonts w:hint="eastAsia" w:ascii="Times New Roman" w:hAnsi="Times New Roman" w:eastAsia="宋体" w:cs="Times New Roman"/>
                <w:bCs/>
                <w:sz w:val="24"/>
                <w:highlight w:val="none"/>
                <w:lang w:val="en-US" w:eastAsia="zh-CN"/>
              </w:rPr>
              <w:t>9日</w:t>
            </w:r>
            <w:r>
              <w:rPr>
                <w:rFonts w:hint="default" w:ascii="Times New Roman" w:hAnsi="Times New Roman" w:eastAsia="宋体" w:cs="Times New Roman"/>
                <w:bCs/>
                <w:sz w:val="24"/>
                <w:highlight w:val="none"/>
                <w:lang w:val="zh-CN" w:eastAsia="zh-CN"/>
              </w:rPr>
              <w:t>Landsat 8 OLI遥感影像数据为数据源，结合Bigmap、奥维地图等网络平台中的高分辨率影像数据，依托ENVI、PCI、ArcGIS等作为生态环境专题因子分布现状和变化信息遥感解译提取的软件平台，采用人机交互解译方法进行生态环境信息提取，遥感解译范围为项目边界外延</w:t>
            </w:r>
            <w:r>
              <w:rPr>
                <w:rFonts w:hint="eastAsia" w:ascii="Times New Roman" w:hAnsi="Times New Roman" w:eastAsia="宋体" w:cs="Times New Roman"/>
                <w:bCs/>
                <w:sz w:val="24"/>
                <w:highlight w:val="none"/>
                <w:lang w:val="en-US" w:eastAsia="zh-CN"/>
              </w:rPr>
              <w:t>300</w:t>
            </w:r>
            <w:r>
              <w:rPr>
                <w:rFonts w:hint="default" w:ascii="Times New Roman" w:hAnsi="Times New Roman" w:eastAsia="宋体" w:cs="Times New Roman"/>
                <w:bCs/>
                <w:sz w:val="24"/>
                <w:highlight w:val="none"/>
                <w:lang w:val="zh-CN" w:eastAsia="zh-CN"/>
              </w:rPr>
              <w:t>m。</w:t>
            </w:r>
          </w:p>
          <w:p w14:paraId="407558CA">
            <w:pPr>
              <w:ind w:firstLine="0" w:firstLineChars="0"/>
              <w:jc w:val="center"/>
              <w:rPr>
                <w:rFonts w:hint="eastAsia" w:eastAsia="宋体"/>
                <w:highlight w:val="none"/>
                <w:lang w:eastAsia="zh-CN"/>
              </w:rPr>
            </w:pPr>
            <w:r>
              <w:rPr>
                <w:rFonts w:hint="eastAsia" w:eastAsia="宋体"/>
                <w:highlight w:val="none"/>
                <w:lang w:eastAsia="zh-CN"/>
              </w:rPr>
              <w:drawing>
                <wp:inline distT="0" distB="0" distL="114300" distR="114300">
                  <wp:extent cx="5101590" cy="3607435"/>
                  <wp:effectExtent l="0" t="0" r="3810" b="12065"/>
                  <wp:docPr id="38" name="图片 38" descr="遥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遥感"/>
                          <pic:cNvPicPr>
                            <a:picLocks noChangeAspect="1"/>
                          </pic:cNvPicPr>
                        </pic:nvPicPr>
                        <pic:blipFill>
                          <a:blip r:embed="rId19"/>
                          <a:stretch>
                            <a:fillRect/>
                          </a:stretch>
                        </pic:blipFill>
                        <pic:spPr>
                          <a:xfrm>
                            <a:off x="0" y="0"/>
                            <a:ext cx="5101590" cy="3607435"/>
                          </a:xfrm>
                          <a:prstGeom prst="rect">
                            <a:avLst/>
                          </a:prstGeom>
                        </pic:spPr>
                      </pic:pic>
                    </a:graphicData>
                  </a:graphic>
                </wp:inline>
              </w:drawing>
            </w:r>
          </w:p>
          <w:p w14:paraId="4370025E">
            <w:pPr>
              <w:keepNext/>
              <w:spacing w:line="360" w:lineRule="auto"/>
              <w:ind w:firstLine="422" w:firstLineChars="200"/>
              <w:jc w:val="center"/>
              <w:rPr>
                <w:rFonts w:hint="eastAsia" w:ascii="Times New Roman" w:hAnsi="Times New Roman" w:eastAsia="宋体" w:cs="Times New Roman"/>
                <w:b/>
                <w:bCs/>
                <w:sz w:val="21"/>
                <w:szCs w:val="21"/>
                <w:highlight w:val="none"/>
              </w:rPr>
            </w:pPr>
            <w:r>
              <w:rPr>
                <w:rFonts w:hint="eastAsia" w:ascii="Times New Roman" w:hAnsi="Times New Roman" w:eastAsia="宋体" w:cs="Times New Roman"/>
                <w:b/>
                <w:bCs/>
                <w:sz w:val="21"/>
                <w:szCs w:val="21"/>
                <w:highlight w:val="none"/>
              </w:rPr>
              <w:t xml:space="preserve">图3-3  </w:t>
            </w:r>
            <w:r>
              <w:rPr>
                <w:rFonts w:hint="eastAsia" w:ascii="Times New Roman" w:hAnsi="Times New Roman" w:eastAsia="宋体" w:cs="Times New Roman"/>
                <w:b/>
                <w:bCs/>
                <w:sz w:val="21"/>
                <w:szCs w:val="21"/>
                <w:highlight w:val="none"/>
                <w:lang w:val="en-US" w:eastAsia="zh-CN"/>
              </w:rPr>
              <w:t xml:space="preserve"> </w:t>
            </w:r>
            <w:r>
              <w:rPr>
                <w:rFonts w:hint="eastAsia" w:ascii="Times New Roman" w:hAnsi="Times New Roman" w:eastAsia="宋体" w:cs="Times New Roman"/>
                <w:b/>
                <w:bCs/>
                <w:sz w:val="21"/>
                <w:szCs w:val="21"/>
                <w:highlight w:val="none"/>
              </w:rPr>
              <w:t>遥感影像图</w:t>
            </w:r>
          </w:p>
          <w:p w14:paraId="138276B1">
            <w:pPr>
              <w:pStyle w:val="11"/>
              <w:numPr>
                <w:ilvl w:val="-1"/>
                <w:numId w:val="0"/>
              </w:numPr>
              <w:spacing w:line="360" w:lineRule="auto"/>
              <w:ind w:firstLine="482" w:firstLineChars="200"/>
              <w:rPr>
                <w:rFonts w:hint="default" w:ascii="Times New Roman" w:hAnsi="Times New Roman" w:eastAsia="宋体" w:cs="Times New Roman"/>
                <w:b/>
                <w:bCs/>
                <w:kern w:val="2"/>
                <w:sz w:val="24"/>
                <w:szCs w:val="24"/>
                <w:highlight w:val="none"/>
                <w:lang w:val="en-US" w:eastAsia="zh-CN"/>
              </w:rPr>
            </w:pPr>
            <w:r>
              <w:rPr>
                <w:rFonts w:hint="eastAsia" w:ascii="Times New Roman" w:hAnsi="Times New Roman" w:eastAsia="宋体" w:cs="Times New Roman"/>
                <w:b/>
                <w:bCs/>
                <w:kern w:val="2"/>
                <w:sz w:val="24"/>
                <w:szCs w:val="24"/>
                <w:highlight w:val="none"/>
                <w:lang w:val="en-US" w:eastAsia="zh-CN"/>
              </w:rPr>
              <w:t>3.2植被分布现状</w:t>
            </w:r>
          </w:p>
          <w:p w14:paraId="1B5B151F">
            <w:pPr>
              <w:spacing w:line="360" w:lineRule="auto"/>
              <w:ind w:firstLine="480" w:firstLineChars="200"/>
              <w:rPr>
                <w:rFonts w:hint="default" w:ascii="Times New Roman" w:hAnsi="Times New Roman" w:eastAsia="宋体" w:cs="Times New Roman"/>
                <w:color w:val="auto"/>
                <w:kern w:val="0"/>
                <w:sz w:val="24"/>
                <w:szCs w:val="20"/>
                <w:highlight w:val="none"/>
                <w:lang w:val="zh-CN" w:eastAsia="zh-CN"/>
              </w:rPr>
            </w:pPr>
            <w:r>
              <w:rPr>
                <w:rFonts w:hint="default" w:ascii="Times New Roman" w:hAnsi="Times New Roman" w:eastAsia="宋体" w:cs="Times New Roman"/>
                <w:color w:val="auto"/>
                <w:kern w:val="0"/>
                <w:sz w:val="24"/>
                <w:szCs w:val="20"/>
                <w:highlight w:val="none"/>
                <w:lang w:val="zh-CN" w:eastAsia="zh-CN"/>
              </w:rPr>
              <w:t>利用卫星遥感及地理信息系统技术并结合地面实际调查，对</w:t>
            </w:r>
            <w:r>
              <w:rPr>
                <w:rFonts w:hint="eastAsia" w:ascii="Times New Roman" w:hAnsi="Times New Roman" w:eastAsia="宋体" w:cs="Times New Roman"/>
                <w:color w:val="auto"/>
                <w:kern w:val="0"/>
                <w:sz w:val="24"/>
                <w:szCs w:val="20"/>
                <w:highlight w:val="none"/>
                <w:lang w:val="zh-CN" w:eastAsia="zh-CN"/>
              </w:rPr>
              <w:t>管道</w:t>
            </w:r>
            <w:r>
              <w:rPr>
                <w:rFonts w:hint="eastAsia" w:ascii="Times New Roman" w:hAnsi="Times New Roman" w:eastAsia="宋体" w:cs="Times New Roman"/>
                <w:color w:val="auto"/>
                <w:kern w:val="0"/>
                <w:sz w:val="24"/>
                <w:szCs w:val="20"/>
                <w:highlight w:val="none"/>
                <w:lang w:val="en-US" w:eastAsia="zh-CN"/>
              </w:rPr>
              <w:t>3</w:t>
            </w:r>
            <w:r>
              <w:rPr>
                <w:rFonts w:hint="default" w:ascii="Times New Roman" w:hAnsi="Times New Roman" w:eastAsia="宋体" w:cs="Times New Roman"/>
                <w:color w:val="auto"/>
                <w:kern w:val="0"/>
                <w:sz w:val="24"/>
                <w:szCs w:val="20"/>
                <w:highlight w:val="none"/>
                <w:lang w:val="zh-CN" w:eastAsia="zh-CN"/>
              </w:rPr>
              <w:t>00m范围内的植被分布现状进行调查。评价区内植被类型特征见表3-</w:t>
            </w:r>
            <w:r>
              <w:rPr>
                <w:rFonts w:hint="eastAsia" w:cs="Times New Roman"/>
                <w:color w:val="auto"/>
                <w:kern w:val="0"/>
                <w:sz w:val="24"/>
                <w:szCs w:val="20"/>
                <w:highlight w:val="none"/>
                <w:lang w:val="en-US" w:eastAsia="zh-CN"/>
              </w:rPr>
              <w:t>1</w:t>
            </w:r>
            <w:r>
              <w:rPr>
                <w:rFonts w:hint="default" w:ascii="Times New Roman" w:hAnsi="Times New Roman" w:eastAsia="宋体" w:cs="Times New Roman"/>
                <w:color w:val="auto"/>
                <w:kern w:val="0"/>
                <w:sz w:val="24"/>
                <w:szCs w:val="20"/>
                <w:highlight w:val="none"/>
                <w:lang w:val="zh-CN" w:eastAsia="zh-CN"/>
              </w:rPr>
              <w:t>。评价区域的植被类型见图</w:t>
            </w:r>
            <w:r>
              <w:rPr>
                <w:rFonts w:hint="eastAsia" w:ascii="Times New Roman" w:hAnsi="Times New Roman" w:eastAsia="宋体" w:cs="Times New Roman"/>
                <w:color w:val="auto"/>
                <w:kern w:val="0"/>
                <w:sz w:val="24"/>
                <w:szCs w:val="20"/>
                <w:highlight w:val="none"/>
                <w:lang w:val="zh-CN" w:eastAsia="zh-CN"/>
              </w:rPr>
              <w:t>3-</w:t>
            </w:r>
            <w:r>
              <w:rPr>
                <w:rFonts w:hint="eastAsia" w:cs="Times New Roman"/>
                <w:color w:val="auto"/>
                <w:kern w:val="0"/>
                <w:sz w:val="24"/>
                <w:szCs w:val="20"/>
                <w:highlight w:val="none"/>
                <w:lang w:val="en-US" w:eastAsia="zh-CN"/>
              </w:rPr>
              <w:t>4</w:t>
            </w:r>
            <w:r>
              <w:rPr>
                <w:rFonts w:hint="default" w:ascii="Times New Roman" w:hAnsi="Times New Roman" w:eastAsia="宋体" w:cs="Times New Roman"/>
                <w:color w:val="auto"/>
                <w:kern w:val="0"/>
                <w:sz w:val="24"/>
                <w:szCs w:val="20"/>
                <w:highlight w:val="none"/>
                <w:lang w:val="zh-CN" w:eastAsia="zh-CN"/>
              </w:rPr>
              <w:t>。</w:t>
            </w:r>
          </w:p>
          <w:p w14:paraId="6E97C08A">
            <w:pPr>
              <w:keepNext/>
              <w:spacing w:line="360" w:lineRule="auto"/>
              <w:ind w:firstLine="422" w:firstLineChars="200"/>
              <w:jc w:val="center"/>
              <w:rPr>
                <w:rFonts w:hint="eastAsia" w:ascii="Times New Roman" w:hAnsi="Times New Roman" w:eastAsia="宋体" w:cs="Times New Roman"/>
                <w:b/>
                <w:bCs/>
                <w:sz w:val="21"/>
                <w:szCs w:val="21"/>
                <w:highlight w:val="none"/>
                <w:lang w:val="en-US"/>
              </w:rPr>
            </w:pPr>
            <w:r>
              <w:rPr>
                <w:rFonts w:hint="eastAsia" w:ascii="Times New Roman" w:hAnsi="Times New Roman" w:eastAsia="宋体" w:cs="Times New Roman"/>
                <w:b/>
                <w:bCs/>
                <w:sz w:val="21"/>
                <w:szCs w:val="21"/>
                <w:highlight w:val="none"/>
                <w:lang w:val="en-US"/>
              </w:rPr>
              <w:t>表3-</w:t>
            </w:r>
            <w:r>
              <w:rPr>
                <w:rFonts w:hint="eastAsia" w:cs="Times New Roman"/>
                <w:b/>
                <w:bCs/>
                <w:sz w:val="21"/>
                <w:szCs w:val="21"/>
                <w:highlight w:val="none"/>
                <w:lang w:val="en-US" w:eastAsia="zh-CN"/>
              </w:rPr>
              <w:t>1</w:t>
            </w:r>
            <w:r>
              <w:rPr>
                <w:rFonts w:hint="eastAsia" w:ascii="Times New Roman" w:hAnsi="Times New Roman" w:eastAsia="宋体" w:cs="Times New Roman"/>
                <w:b/>
                <w:bCs/>
                <w:sz w:val="21"/>
                <w:szCs w:val="21"/>
                <w:highlight w:val="none"/>
                <w:lang w:val="en-US"/>
              </w:rPr>
              <w:t xml:space="preserve"> </w:t>
            </w:r>
            <w:r>
              <w:rPr>
                <w:rFonts w:hint="eastAsia" w:cs="Times New Roman"/>
                <w:b/>
                <w:bCs/>
                <w:sz w:val="21"/>
                <w:szCs w:val="21"/>
                <w:highlight w:val="none"/>
                <w:lang w:val="en-US" w:eastAsia="zh-CN"/>
              </w:rPr>
              <w:t xml:space="preserve"> </w:t>
            </w:r>
            <w:r>
              <w:rPr>
                <w:rFonts w:hint="eastAsia" w:ascii="Times New Roman" w:hAnsi="Times New Roman" w:eastAsia="宋体" w:cs="Times New Roman"/>
                <w:b/>
                <w:bCs/>
                <w:sz w:val="21"/>
                <w:szCs w:val="21"/>
                <w:highlight w:val="none"/>
                <w:lang w:val="en-US"/>
              </w:rPr>
              <w:t xml:space="preserve"> 本工程评价范围内植被类型调查表</w:t>
            </w:r>
          </w:p>
          <w:tbl>
            <w:tblPr>
              <w:tblStyle w:val="19"/>
              <w:tblW w:w="4997" w:type="pct"/>
              <w:tblInd w:w="10" w:type="dxa"/>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108" w:type="dxa"/>
                <w:bottom w:w="0" w:type="dxa"/>
                <w:right w:w="108" w:type="dxa"/>
              </w:tblCellMar>
            </w:tblPr>
            <w:tblGrid>
              <w:gridCol w:w="1267"/>
              <w:gridCol w:w="3807"/>
              <w:gridCol w:w="1827"/>
              <w:gridCol w:w="1459"/>
            </w:tblGrid>
            <w:tr w14:paraId="3310FFA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70" w:hRule="atLeast"/>
              </w:trPr>
              <w:tc>
                <w:tcPr>
                  <w:tcW w:w="757" w:type="pct"/>
                  <w:tcBorders>
                    <w:bottom w:val="single" w:color="auto" w:sz="4" w:space="0"/>
                    <w:right w:val="single" w:color="auto" w:sz="4" w:space="0"/>
                  </w:tcBorders>
                  <w:shd w:val="clear" w:color="auto" w:fill="auto"/>
                  <w:noWrap/>
                  <w:vAlign w:val="center"/>
                </w:tcPr>
                <w:p w14:paraId="1A078219">
                  <w:pPr>
                    <w:pStyle w:val="38"/>
                    <w:rPr>
                      <w:color w:val="auto"/>
                      <w:highlight w:val="none"/>
                    </w:rPr>
                  </w:pPr>
                  <w:r>
                    <w:rPr>
                      <w:rFonts w:hint="eastAsia"/>
                      <w:color w:val="auto"/>
                      <w:highlight w:val="none"/>
                    </w:rPr>
                    <w:t>位置</w:t>
                  </w:r>
                </w:p>
              </w:tc>
              <w:tc>
                <w:tcPr>
                  <w:tcW w:w="2276" w:type="pct"/>
                  <w:tcBorders>
                    <w:left w:val="single" w:color="auto" w:sz="4" w:space="0"/>
                    <w:bottom w:val="single" w:color="auto" w:sz="4" w:space="0"/>
                    <w:right w:val="single" w:color="000000" w:sz="4" w:space="0"/>
                  </w:tcBorders>
                  <w:shd w:val="clear" w:color="auto" w:fill="auto"/>
                  <w:noWrap/>
                  <w:vAlign w:val="center"/>
                </w:tcPr>
                <w:p w14:paraId="69FAA240">
                  <w:pPr>
                    <w:pStyle w:val="38"/>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val="en-US" w:eastAsia="zh-CN"/>
                    </w:rPr>
                    <w:t>名称</w:t>
                  </w:r>
                </w:p>
              </w:tc>
              <w:tc>
                <w:tcPr>
                  <w:tcW w:w="1092" w:type="pct"/>
                  <w:tcBorders>
                    <w:left w:val="nil"/>
                    <w:bottom w:val="single" w:color="auto" w:sz="4" w:space="0"/>
                    <w:right w:val="single" w:color="auto" w:sz="4" w:space="0"/>
                  </w:tcBorders>
                  <w:shd w:val="clear" w:color="auto" w:fill="auto"/>
                  <w:noWrap/>
                  <w:vAlign w:val="center"/>
                </w:tcPr>
                <w:p w14:paraId="394CF58A">
                  <w:pPr>
                    <w:pStyle w:val="38"/>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rPr>
                    <w:t>面积</w:t>
                  </w:r>
                  <w:r>
                    <w:rPr>
                      <w:rFonts w:hint="eastAsia" w:cs="Times New Roman"/>
                      <w:color w:val="auto"/>
                      <w:highlight w:val="none"/>
                      <w:lang w:val="en-US" w:eastAsia="zh-CN"/>
                    </w:rPr>
                    <w:t>（</w:t>
                  </w:r>
                  <w:r>
                    <w:rPr>
                      <w:rFonts w:hint="eastAsia" w:ascii="Times New Roman" w:hAnsi="Times New Roman" w:eastAsia="宋体" w:cs="Times New Roman"/>
                      <w:color w:val="auto"/>
                      <w:highlight w:val="none"/>
                      <w:lang w:val="en-US"/>
                    </w:rPr>
                    <w:t>hm</w:t>
                  </w:r>
                  <w:r>
                    <w:rPr>
                      <w:rFonts w:hint="eastAsia" w:ascii="Times New Roman" w:hAnsi="Times New Roman" w:eastAsia="宋体" w:cs="Times New Roman"/>
                      <w:color w:val="auto"/>
                      <w:highlight w:val="none"/>
                      <w:vertAlign w:val="superscript"/>
                      <w:lang w:val="en-US"/>
                    </w:rPr>
                    <w:t>2</w:t>
                  </w:r>
                  <w:r>
                    <w:rPr>
                      <w:rFonts w:hint="eastAsia" w:cs="Times New Roman"/>
                      <w:color w:val="auto"/>
                      <w:highlight w:val="none"/>
                      <w:lang w:val="en-US" w:eastAsia="zh-CN"/>
                    </w:rPr>
                    <w:t>）</w:t>
                  </w:r>
                </w:p>
              </w:tc>
              <w:tc>
                <w:tcPr>
                  <w:tcW w:w="872" w:type="pct"/>
                  <w:tcBorders>
                    <w:left w:val="single" w:color="auto" w:sz="4" w:space="0"/>
                    <w:bottom w:val="single" w:color="auto" w:sz="4" w:space="0"/>
                  </w:tcBorders>
                  <w:shd w:val="clear" w:color="auto" w:fill="auto"/>
                  <w:noWrap/>
                  <w:vAlign w:val="center"/>
                </w:tcPr>
                <w:p w14:paraId="2D53C50C">
                  <w:pPr>
                    <w:pStyle w:val="38"/>
                    <w:rPr>
                      <w:rFonts w:hint="eastAsia" w:eastAsia="宋体"/>
                      <w:color w:val="auto"/>
                      <w:highlight w:val="none"/>
                      <w:lang w:val="en-US" w:eastAsia="zh-CN"/>
                    </w:rPr>
                  </w:pPr>
                  <w:r>
                    <w:rPr>
                      <w:rFonts w:hint="eastAsia"/>
                      <w:color w:val="auto"/>
                      <w:highlight w:val="none"/>
                    </w:rPr>
                    <w:t>比例</w:t>
                  </w:r>
                  <w:r>
                    <w:rPr>
                      <w:rFonts w:hint="eastAsia"/>
                      <w:color w:val="auto"/>
                      <w:highlight w:val="none"/>
                      <w:lang w:val="en-US" w:eastAsia="zh-CN"/>
                    </w:rPr>
                    <w:t>%</w:t>
                  </w:r>
                </w:p>
              </w:tc>
            </w:tr>
            <w:tr w14:paraId="3D10432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90" w:hRule="atLeast"/>
              </w:trPr>
              <w:tc>
                <w:tcPr>
                  <w:tcW w:w="757" w:type="pct"/>
                  <w:vMerge w:val="restart"/>
                  <w:tcBorders>
                    <w:top w:val="single" w:color="auto" w:sz="4" w:space="0"/>
                    <w:bottom w:val="single" w:color="auto" w:sz="4" w:space="0"/>
                    <w:right w:val="single" w:color="auto" w:sz="4" w:space="0"/>
                  </w:tcBorders>
                  <w:shd w:val="clear" w:color="auto" w:fill="auto"/>
                  <w:noWrap/>
                  <w:vAlign w:val="center"/>
                </w:tcPr>
                <w:p w14:paraId="61477B80">
                  <w:pPr>
                    <w:pStyle w:val="38"/>
                    <w:rPr>
                      <w:color w:val="auto"/>
                      <w:highlight w:val="none"/>
                    </w:rPr>
                  </w:pPr>
                  <w:r>
                    <w:rPr>
                      <w:rFonts w:hint="eastAsia"/>
                      <w:color w:val="auto"/>
                      <w:highlight w:val="none"/>
                    </w:rPr>
                    <w:t>评价区</w:t>
                  </w:r>
                </w:p>
              </w:tc>
              <w:tc>
                <w:tcPr>
                  <w:tcW w:w="227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B50E3C">
                  <w:pPr>
                    <w:pStyle w:val="38"/>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无植被区</w:t>
                  </w:r>
                </w:p>
              </w:tc>
              <w:tc>
                <w:tcPr>
                  <w:tcW w:w="10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699A3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150.41</w:t>
                  </w:r>
                </w:p>
              </w:tc>
              <w:tc>
                <w:tcPr>
                  <w:tcW w:w="872" w:type="pct"/>
                  <w:tcBorders>
                    <w:top w:val="single" w:color="auto" w:sz="4" w:space="0"/>
                    <w:left w:val="single" w:color="auto" w:sz="4" w:space="0"/>
                    <w:bottom w:val="single" w:color="auto" w:sz="4" w:space="0"/>
                  </w:tcBorders>
                  <w:shd w:val="clear" w:color="auto" w:fill="auto"/>
                  <w:noWrap/>
                  <w:vAlign w:val="center"/>
                </w:tcPr>
                <w:p w14:paraId="553CBE59">
                  <w:pPr>
                    <w:keepNext w:val="0"/>
                    <w:keepLines w:val="0"/>
                    <w:widowControl/>
                    <w:suppressLineNumbers w:val="0"/>
                    <w:jc w:val="center"/>
                    <w:textAlignment w:val="center"/>
                    <w:rPr>
                      <w:rFonts w:hint="default" w:eastAsia="宋体" w:cs="Times New Roman"/>
                      <w:sz w:val="21"/>
                      <w:highlight w:val="none"/>
                      <w:lang w:val="en-US" w:eastAsia="zh-CN"/>
                    </w:rPr>
                  </w:pPr>
                  <w:r>
                    <w:rPr>
                      <w:rFonts w:hint="eastAsia" w:cs="Times New Roman"/>
                      <w:i w:val="0"/>
                      <w:iCs w:val="0"/>
                      <w:color w:val="000000"/>
                      <w:kern w:val="0"/>
                      <w:sz w:val="21"/>
                      <w:szCs w:val="21"/>
                      <w:highlight w:val="none"/>
                      <w:u w:val="none"/>
                      <w:lang w:val="en-US" w:eastAsia="zh-CN" w:bidi="ar"/>
                    </w:rPr>
                    <w:t>87.47</w:t>
                  </w:r>
                </w:p>
              </w:tc>
            </w:tr>
            <w:tr w14:paraId="23C8988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70" w:hRule="atLeast"/>
              </w:trPr>
              <w:tc>
                <w:tcPr>
                  <w:tcW w:w="757" w:type="pct"/>
                  <w:vMerge w:val="continue"/>
                  <w:tcBorders>
                    <w:top w:val="single" w:color="auto" w:sz="4" w:space="0"/>
                    <w:bottom w:val="single" w:color="auto" w:sz="4" w:space="0"/>
                    <w:right w:val="single" w:color="auto" w:sz="4" w:space="0"/>
                  </w:tcBorders>
                  <w:shd w:val="clear" w:color="auto" w:fill="auto"/>
                  <w:vAlign w:val="center"/>
                </w:tcPr>
                <w:p w14:paraId="7D14AA0A">
                  <w:pPr>
                    <w:pStyle w:val="38"/>
                    <w:rPr>
                      <w:color w:val="auto"/>
                      <w:highlight w:val="none"/>
                    </w:rPr>
                  </w:pPr>
                </w:p>
              </w:tc>
              <w:tc>
                <w:tcPr>
                  <w:tcW w:w="227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BAA690">
                  <w:pPr>
                    <w:pStyle w:val="38"/>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百里香、冷蒿群落</w:t>
                  </w:r>
                </w:p>
              </w:tc>
              <w:tc>
                <w:tcPr>
                  <w:tcW w:w="10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1BEDE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zh-CN"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6.05</w:t>
                  </w:r>
                </w:p>
              </w:tc>
              <w:tc>
                <w:tcPr>
                  <w:tcW w:w="872" w:type="pct"/>
                  <w:tcBorders>
                    <w:top w:val="single" w:color="auto" w:sz="4" w:space="0"/>
                    <w:left w:val="single" w:color="auto" w:sz="4" w:space="0"/>
                    <w:bottom w:val="single" w:color="auto" w:sz="4" w:space="0"/>
                  </w:tcBorders>
                  <w:shd w:val="clear" w:color="auto" w:fill="auto"/>
                  <w:noWrap/>
                  <w:vAlign w:val="center"/>
                </w:tcPr>
                <w:p w14:paraId="57D1DA6B">
                  <w:pPr>
                    <w:keepNext w:val="0"/>
                    <w:keepLines w:val="0"/>
                    <w:widowControl/>
                    <w:suppressLineNumbers w:val="0"/>
                    <w:jc w:val="center"/>
                    <w:textAlignment w:val="center"/>
                    <w:rPr>
                      <w:rFonts w:hint="default" w:eastAsia="宋体" w:cs="Times New Roman"/>
                      <w:sz w:val="21"/>
                      <w:highlight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3.52</w:t>
                  </w:r>
                </w:p>
              </w:tc>
            </w:tr>
            <w:tr w14:paraId="1C22FB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70" w:hRule="atLeast"/>
              </w:trPr>
              <w:tc>
                <w:tcPr>
                  <w:tcW w:w="757" w:type="pct"/>
                  <w:vMerge w:val="continue"/>
                  <w:tcBorders>
                    <w:top w:val="single" w:color="auto" w:sz="4" w:space="0"/>
                    <w:bottom w:val="single" w:color="auto" w:sz="4" w:space="0"/>
                    <w:right w:val="single" w:color="auto" w:sz="4" w:space="0"/>
                  </w:tcBorders>
                  <w:shd w:val="clear" w:color="auto" w:fill="auto"/>
                  <w:vAlign w:val="center"/>
                </w:tcPr>
                <w:p w14:paraId="0FB3F2FC">
                  <w:pPr>
                    <w:pStyle w:val="38"/>
                    <w:rPr>
                      <w:color w:val="auto"/>
                      <w:highlight w:val="none"/>
                    </w:rPr>
                  </w:pPr>
                </w:p>
              </w:tc>
              <w:tc>
                <w:tcPr>
                  <w:tcW w:w="227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E2C4DF">
                  <w:pPr>
                    <w:pStyle w:val="38"/>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中生杂草类，禾草群落</w:t>
                  </w:r>
                </w:p>
              </w:tc>
              <w:tc>
                <w:tcPr>
                  <w:tcW w:w="10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E9FC7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zh-CN"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15.5</w:t>
                  </w:r>
                </w:p>
              </w:tc>
              <w:tc>
                <w:tcPr>
                  <w:tcW w:w="872" w:type="pct"/>
                  <w:tcBorders>
                    <w:top w:val="single" w:color="auto" w:sz="4" w:space="0"/>
                    <w:left w:val="single" w:color="auto" w:sz="4" w:space="0"/>
                    <w:bottom w:val="single" w:color="auto" w:sz="4" w:space="0"/>
                  </w:tcBorders>
                  <w:shd w:val="clear" w:color="auto" w:fill="auto"/>
                  <w:noWrap/>
                  <w:vAlign w:val="center"/>
                </w:tcPr>
                <w:p w14:paraId="268D0C55">
                  <w:pPr>
                    <w:keepNext w:val="0"/>
                    <w:keepLines w:val="0"/>
                    <w:widowControl/>
                    <w:suppressLineNumbers w:val="0"/>
                    <w:jc w:val="center"/>
                    <w:textAlignment w:val="center"/>
                    <w:rPr>
                      <w:rFonts w:hint="default" w:eastAsia="宋体" w:cs="Times New Roman"/>
                      <w:sz w:val="21"/>
                      <w:highlight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9.01</w:t>
                  </w:r>
                </w:p>
              </w:tc>
            </w:tr>
            <w:tr w14:paraId="3653218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70" w:hRule="atLeast"/>
              </w:trPr>
              <w:tc>
                <w:tcPr>
                  <w:tcW w:w="757" w:type="pct"/>
                  <w:vMerge w:val="continue"/>
                  <w:tcBorders>
                    <w:top w:val="single" w:color="auto" w:sz="4" w:space="0"/>
                    <w:right w:val="single" w:color="000000" w:sz="4" w:space="0"/>
                  </w:tcBorders>
                  <w:shd w:val="clear" w:color="auto" w:fill="auto"/>
                  <w:vAlign w:val="center"/>
                </w:tcPr>
                <w:p w14:paraId="755EB019">
                  <w:pPr>
                    <w:pStyle w:val="38"/>
                    <w:rPr>
                      <w:color w:val="auto"/>
                      <w:highlight w:val="none"/>
                    </w:rPr>
                  </w:pPr>
                </w:p>
              </w:tc>
              <w:tc>
                <w:tcPr>
                  <w:tcW w:w="2276" w:type="pct"/>
                  <w:tcBorders>
                    <w:top w:val="single" w:color="auto" w:sz="4" w:space="0"/>
                    <w:left w:val="nil"/>
                    <w:right w:val="single" w:color="000000" w:sz="4" w:space="0"/>
                  </w:tcBorders>
                  <w:shd w:val="clear" w:color="auto" w:fill="auto"/>
                  <w:noWrap/>
                  <w:vAlign w:val="center"/>
                </w:tcPr>
                <w:p w14:paraId="31C51750">
                  <w:pPr>
                    <w:pStyle w:val="38"/>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合计</w:t>
                  </w:r>
                </w:p>
              </w:tc>
              <w:tc>
                <w:tcPr>
                  <w:tcW w:w="1092" w:type="pct"/>
                  <w:tcBorders>
                    <w:top w:val="single" w:color="auto" w:sz="4" w:space="0"/>
                    <w:left w:val="nil"/>
                    <w:right w:val="single" w:color="auto" w:sz="4" w:space="0"/>
                  </w:tcBorders>
                  <w:shd w:val="clear" w:color="auto" w:fill="auto"/>
                  <w:noWrap/>
                  <w:vAlign w:val="center"/>
                </w:tcPr>
                <w:p w14:paraId="6B0DDAE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171.96</w:t>
                  </w:r>
                </w:p>
              </w:tc>
              <w:tc>
                <w:tcPr>
                  <w:tcW w:w="872" w:type="pct"/>
                  <w:tcBorders>
                    <w:top w:val="single" w:color="auto" w:sz="4" w:space="0"/>
                    <w:left w:val="single" w:color="auto" w:sz="4" w:space="0"/>
                  </w:tcBorders>
                  <w:shd w:val="clear" w:color="auto" w:fill="auto"/>
                  <w:noWrap/>
                  <w:vAlign w:val="center"/>
                </w:tcPr>
                <w:p w14:paraId="7B28D047">
                  <w:pPr>
                    <w:pStyle w:val="38"/>
                    <w:rPr>
                      <w:color w:val="auto"/>
                      <w:highlight w:val="none"/>
                    </w:rPr>
                  </w:pPr>
                  <w:r>
                    <w:rPr>
                      <w:rFonts w:hint="eastAsia"/>
                      <w:color w:val="auto"/>
                      <w:highlight w:val="none"/>
                    </w:rPr>
                    <w:t>100.00</w:t>
                  </w:r>
                </w:p>
              </w:tc>
            </w:tr>
          </w:tbl>
          <w:p w14:paraId="2FC7BF87">
            <w:pPr>
              <w:spacing w:line="360" w:lineRule="auto"/>
              <w:ind w:firstLine="480" w:firstLineChars="200"/>
              <w:rPr>
                <w:rFonts w:hint="default" w:ascii="Times New Roman" w:hAnsi="Times New Roman" w:eastAsia="宋体" w:cs="Times New Roman"/>
                <w:color w:val="auto"/>
                <w:kern w:val="0"/>
                <w:sz w:val="24"/>
                <w:szCs w:val="20"/>
                <w:highlight w:val="none"/>
                <w:lang w:val="zh-CN" w:eastAsia="zh-CN"/>
              </w:rPr>
            </w:pPr>
            <w:r>
              <w:rPr>
                <w:rFonts w:hint="default" w:ascii="Times New Roman" w:hAnsi="Times New Roman" w:eastAsia="宋体" w:cs="Times New Roman"/>
                <w:color w:val="auto"/>
                <w:kern w:val="0"/>
                <w:sz w:val="24"/>
                <w:szCs w:val="20"/>
                <w:highlight w:val="none"/>
                <w:lang w:val="zh-CN" w:eastAsia="zh-CN"/>
              </w:rPr>
              <w:t>从上表可以看出，评价区范围内各植被类型生态调查总面积</w:t>
            </w:r>
            <w:r>
              <w:rPr>
                <w:rFonts w:hint="eastAsia" w:ascii="Times New Roman" w:hAnsi="Times New Roman" w:eastAsia="宋体" w:cs="Times New Roman"/>
                <w:color w:val="auto"/>
                <w:kern w:val="0"/>
                <w:sz w:val="24"/>
                <w:szCs w:val="20"/>
                <w:highlight w:val="none"/>
                <w:lang w:val="en-US" w:eastAsia="zh-CN"/>
              </w:rPr>
              <w:t>171.96</w:t>
            </w:r>
            <w:r>
              <w:rPr>
                <w:rFonts w:hint="default" w:ascii="Times New Roman" w:hAnsi="Times New Roman" w:eastAsia="宋体" w:cs="Times New Roman"/>
                <w:color w:val="auto"/>
                <w:kern w:val="0"/>
                <w:sz w:val="24"/>
                <w:szCs w:val="20"/>
                <w:highlight w:val="none"/>
                <w:lang w:val="zh-CN" w:eastAsia="zh-CN"/>
              </w:rPr>
              <w:t>hm</w:t>
            </w:r>
            <w:r>
              <w:rPr>
                <w:rFonts w:hint="default" w:ascii="Times New Roman" w:hAnsi="Times New Roman" w:eastAsia="宋体" w:cs="Times New Roman"/>
                <w:color w:val="auto"/>
                <w:kern w:val="0"/>
                <w:sz w:val="24"/>
                <w:szCs w:val="20"/>
                <w:highlight w:val="none"/>
                <w:vertAlign w:val="superscript"/>
                <w:lang w:val="zh-CN" w:eastAsia="zh-CN"/>
              </w:rPr>
              <w:t>2</w:t>
            </w:r>
            <w:r>
              <w:rPr>
                <w:rFonts w:hint="default" w:ascii="Times New Roman" w:hAnsi="Times New Roman" w:eastAsia="宋体" w:cs="Times New Roman"/>
                <w:color w:val="auto"/>
                <w:kern w:val="0"/>
                <w:sz w:val="24"/>
                <w:szCs w:val="20"/>
                <w:highlight w:val="none"/>
                <w:lang w:val="zh-CN" w:eastAsia="zh-CN"/>
              </w:rPr>
              <w:t>，植被类型包括</w:t>
            </w:r>
            <w:r>
              <w:rPr>
                <w:rFonts w:hint="eastAsia" w:ascii="Times New Roman" w:hAnsi="Times New Roman" w:eastAsia="宋体" w:cs="Times New Roman"/>
                <w:color w:val="auto"/>
                <w:kern w:val="0"/>
                <w:sz w:val="24"/>
                <w:szCs w:val="20"/>
                <w:highlight w:val="none"/>
                <w:lang w:val="en-US" w:eastAsia="zh-CN"/>
              </w:rPr>
              <w:t>百里香、冷蒿群落；中生杂草类、禾草群落；</w:t>
            </w:r>
            <w:r>
              <w:rPr>
                <w:rFonts w:hint="eastAsia" w:cs="Times New Roman"/>
                <w:color w:val="auto"/>
                <w:kern w:val="0"/>
                <w:sz w:val="24"/>
                <w:szCs w:val="20"/>
                <w:highlight w:val="none"/>
                <w:lang w:val="en-US" w:eastAsia="zh-CN"/>
              </w:rPr>
              <w:t>无植被区</w:t>
            </w:r>
            <w:r>
              <w:rPr>
                <w:rFonts w:hint="eastAsia" w:ascii="Times New Roman" w:hAnsi="Times New Roman" w:eastAsia="宋体" w:cs="Times New Roman"/>
                <w:color w:val="auto"/>
                <w:kern w:val="0"/>
                <w:sz w:val="24"/>
                <w:szCs w:val="20"/>
                <w:highlight w:val="none"/>
                <w:lang w:val="en-US" w:eastAsia="zh-CN"/>
              </w:rPr>
              <w:t>。</w:t>
            </w:r>
            <w:r>
              <w:rPr>
                <w:rFonts w:hint="default" w:ascii="Times New Roman" w:hAnsi="Times New Roman" w:eastAsia="宋体" w:cs="Times New Roman"/>
                <w:color w:val="auto"/>
                <w:kern w:val="0"/>
                <w:sz w:val="24"/>
                <w:szCs w:val="20"/>
                <w:highlight w:val="none"/>
                <w:lang w:val="zh-CN" w:eastAsia="zh-CN"/>
              </w:rPr>
              <w:t>其中</w:t>
            </w:r>
            <w:r>
              <w:rPr>
                <w:rFonts w:hint="eastAsia" w:ascii="Times New Roman" w:hAnsi="Times New Roman" w:eastAsia="宋体" w:cs="Times New Roman"/>
                <w:color w:val="auto"/>
                <w:kern w:val="0"/>
                <w:sz w:val="24"/>
                <w:szCs w:val="20"/>
                <w:highlight w:val="none"/>
                <w:lang w:val="en-US" w:eastAsia="zh-CN"/>
              </w:rPr>
              <w:t>百里香、冷蒿群落</w:t>
            </w:r>
            <w:r>
              <w:rPr>
                <w:rFonts w:hint="default" w:ascii="Times New Roman" w:hAnsi="Times New Roman" w:eastAsia="宋体" w:cs="Times New Roman"/>
                <w:color w:val="auto"/>
                <w:kern w:val="0"/>
                <w:sz w:val="24"/>
                <w:szCs w:val="20"/>
                <w:highlight w:val="none"/>
                <w:lang w:val="zh-CN" w:eastAsia="zh-CN"/>
              </w:rPr>
              <w:t>分布面积为</w:t>
            </w:r>
            <w:r>
              <w:rPr>
                <w:rFonts w:hint="eastAsia" w:ascii="Times New Roman" w:hAnsi="Times New Roman" w:eastAsia="宋体" w:cs="Times New Roman"/>
                <w:color w:val="auto"/>
                <w:kern w:val="0"/>
                <w:sz w:val="24"/>
                <w:szCs w:val="20"/>
                <w:highlight w:val="none"/>
                <w:lang w:val="en-US" w:eastAsia="zh-CN"/>
              </w:rPr>
              <w:t>6.05</w:t>
            </w:r>
            <w:r>
              <w:rPr>
                <w:rFonts w:hint="default" w:ascii="Times New Roman" w:hAnsi="Times New Roman" w:eastAsia="宋体" w:cs="Times New Roman"/>
                <w:color w:val="auto"/>
                <w:kern w:val="0"/>
                <w:sz w:val="24"/>
                <w:szCs w:val="20"/>
                <w:highlight w:val="none"/>
                <w:lang w:val="zh-CN" w:eastAsia="zh-CN"/>
              </w:rPr>
              <w:t>hm</w:t>
            </w:r>
            <w:r>
              <w:rPr>
                <w:rFonts w:hint="default" w:ascii="Times New Roman" w:hAnsi="Times New Roman" w:eastAsia="宋体" w:cs="Times New Roman"/>
                <w:color w:val="auto"/>
                <w:kern w:val="0"/>
                <w:sz w:val="24"/>
                <w:szCs w:val="20"/>
                <w:highlight w:val="none"/>
                <w:vertAlign w:val="superscript"/>
                <w:lang w:val="zh-CN" w:eastAsia="zh-CN"/>
              </w:rPr>
              <w:t>2</w:t>
            </w:r>
            <w:r>
              <w:rPr>
                <w:rFonts w:hint="default" w:ascii="Times New Roman" w:hAnsi="Times New Roman" w:eastAsia="宋体" w:cs="Times New Roman"/>
                <w:color w:val="auto"/>
                <w:kern w:val="0"/>
                <w:sz w:val="24"/>
                <w:szCs w:val="20"/>
                <w:highlight w:val="none"/>
                <w:lang w:val="zh-CN" w:eastAsia="zh-CN"/>
              </w:rPr>
              <w:t>，占评价区总面积的</w:t>
            </w:r>
            <w:r>
              <w:rPr>
                <w:rFonts w:hint="eastAsia" w:ascii="Times New Roman" w:hAnsi="Times New Roman" w:eastAsia="宋体" w:cs="Times New Roman"/>
                <w:color w:val="auto"/>
                <w:kern w:val="0"/>
                <w:sz w:val="24"/>
                <w:szCs w:val="20"/>
                <w:highlight w:val="none"/>
                <w:lang w:val="en-US" w:eastAsia="zh-CN"/>
              </w:rPr>
              <w:t>3.52</w:t>
            </w:r>
            <w:r>
              <w:rPr>
                <w:rFonts w:hint="default" w:ascii="Times New Roman" w:hAnsi="Times New Roman" w:eastAsia="宋体" w:cs="Times New Roman"/>
                <w:color w:val="auto"/>
                <w:kern w:val="0"/>
                <w:sz w:val="24"/>
                <w:szCs w:val="20"/>
                <w:highlight w:val="none"/>
                <w:lang w:val="zh-CN" w:eastAsia="zh-CN"/>
              </w:rPr>
              <w:t>%；</w:t>
            </w:r>
            <w:r>
              <w:rPr>
                <w:rFonts w:hint="eastAsia" w:ascii="Times New Roman" w:hAnsi="Times New Roman" w:eastAsia="宋体" w:cs="Times New Roman"/>
                <w:color w:val="auto"/>
                <w:kern w:val="0"/>
                <w:sz w:val="24"/>
                <w:szCs w:val="20"/>
                <w:highlight w:val="none"/>
                <w:lang w:val="en-US" w:eastAsia="zh-CN"/>
              </w:rPr>
              <w:t>中生杂类草、禾草群落</w:t>
            </w:r>
            <w:r>
              <w:rPr>
                <w:rFonts w:hint="default" w:ascii="Times New Roman" w:hAnsi="Times New Roman" w:eastAsia="宋体" w:cs="Times New Roman"/>
                <w:color w:val="auto"/>
                <w:kern w:val="0"/>
                <w:sz w:val="24"/>
                <w:szCs w:val="20"/>
                <w:highlight w:val="none"/>
                <w:lang w:val="zh-CN" w:eastAsia="zh-CN"/>
              </w:rPr>
              <w:t>分布面积为</w:t>
            </w:r>
            <w:r>
              <w:rPr>
                <w:rFonts w:hint="eastAsia" w:ascii="Times New Roman" w:hAnsi="Times New Roman" w:eastAsia="宋体" w:cs="Times New Roman"/>
                <w:color w:val="auto"/>
                <w:kern w:val="0"/>
                <w:sz w:val="24"/>
                <w:szCs w:val="20"/>
                <w:highlight w:val="none"/>
                <w:lang w:val="en-US" w:eastAsia="zh-CN"/>
              </w:rPr>
              <w:t>15.5</w:t>
            </w:r>
            <w:r>
              <w:rPr>
                <w:rFonts w:hint="default" w:ascii="Times New Roman" w:hAnsi="Times New Roman" w:eastAsia="宋体" w:cs="Times New Roman"/>
                <w:color w:val="auto"/>
                <w:kern w:val="0"/>
                <w:sz w:val="24"/>
                <w:szCs w:val="20"/>
                <w:highlight w:val="none"/>
                <w:lang w:val="zh-CN" w:eastAsia="zh-CN"/>
              </w:rPr>
              <w:t>hm</w:t>
            </w:r>
            <w:r>
              <w:rPr>
                <w:rFonts w:hint="default" w:ascii="Times New Roman" w:hAnsi="Times New Roman" w:eastAsia="宋体" w:cs="Times New Roman"/>
                <w:color w:val="auto"/>
                <w:kern w:val="0"/>
                <w:sz w:val="24"/>
                <w:szCs w:val="20"/>
                <w:highlight w:val="none"/>
                <w:vertAlign w:val="superscript"/>
                <w:lang w:val="zh-CN" w:eastAsia="zh-CN"/>
              </w:rPr>
              <w:t>2</w:t>
            </w:r>
            <w:r>
              <w:rPr>
                <w:rFonts w:hint="default" w:ascii="Times New Roman" w:hAnsi="Times New Roman" w:eastAsia="宋体" w:cs="Times New Roman"/>
                <w:color w:val="auto"/>
                <w:kern w:val="0"/>
                <w:sz w:val="24"/>
                <w:szCs w:val="20"/>
                <w:highlight w:val="none"/>
                <w:lang w:val="zh-CN" w:eastAsia="zh-CN"/>
              </w:rPr>
              <w:t>，占评价区总面积的</w:t>
            </w:r>
            <w:r>
              <w:rPr>
                <w:rFonts w:hint="eastAsia" w:ascii="Times New Roman" w:hAnsi="Times New Roman" w:eastAsia="宋体" w:cs="Times New Roman"/>
                <w:color w:val="auto"/>
                <w:kern w:val="0"/>
                <w:sz w:val="24"/>
                <w:szCs w:val="20"/>
                <w:highlight w:val="none"/>
                <w:lang w:val="en-US" w:eastAsia="zh-CN"/>
              </w:rPr>
              <w:t>9.01</w:t>
            </w:r>
            <w:r>
              <w:rPr>
                <w:rFonts w:hint="default" w:ascii="Times New Roman" w:hAnsi="Times New Roman" w:eastAsia="宋体" w:cs="Times New Roman"/>
                <w:color w:val="auto"/>
                <w:kern w:val="0"/>
                <w:sz w:val="24"/>
                <w:szCs w:val="20"/>
                <w:highlight w:val="none"/>
                <w:lang w:val="zh-CN" w:eastAsia="zh-CN"/>
              </w:rPr>
              <w:t>%；</w:t>
            </w:r>
            <w:r>
              <w:rPr>
                <w:rFonts w:hint="eastAsia" w:cs="Times New Roman"/>
                <w:color w:val="auto"/>
                <w:kern w:val="0"/>
                <w:sz w:val="24"/>
                <w:szCs w:val="20"/>
                <w:highlight w:val="none"/>
                <w:lang w:val="en-US" w:eastAsia="zh-CN"/>
              </w:rPr>
              <w:t>无植被区</w:t>
            </w:r>
            <w:r>
              <w:rPr>
                <w:rFonts w:hint="default" w:ascii="Times New Roman" w:hAnsi="Times New Roman" w:eastAsia="宋体" w:cs="Times New Roman"/>
                <w:color w:val="auto"/>
                <w:kern w:val="0"/>
                <w:sz w:val="24"/>
                <w:szCs w:val="20"/>
                <w:highlight w:val="none"/>
                <w:lang w:val="zh-CN" w:eastAsia="zh-CN"/>
              </w:rPr>
              <w:t>面积为</w:t>
            </w:r>
            <w:r>
              <w:rPr>
                <w:rFonts w:hint="eastAsia" w:cs="Times New Roman"/>
                <w:color w:val="auto"/>
                <w:kern w:val="0"/>
                <w:sz w:val="24"/>
                <w:szCs w:val="20"/>
                <w:highlight w:val="none"/>
                <w:lang w:val="en-US" w:eastAsia="zh-CN"/>
              </w:rPr>
              <w:t>150.41</w:t>
            </w:r>
            <w:r>
              <w:rPr>
                <w:rFonts w:hint="default" w:ascii="Times New Roman" w:hAnsi="Times New Roman" w:eastAsia="宋体" w:cs="Times New Roman"/>
                <w:color w:val="auto"/>
                <w:kern w:val="0"/>
                <w:sz w:val="24"/>
                <w:szCs w:val="20"/>
                <w:highlight w:val="none"/>
                <w:lang w:val="zh-CN" w:eastAsia="zh-CN"/>
              </w:rPr>
              <w:t>hm</w:t>
            </w:r>
            <w:r>
              <w:rPr>
                <w:rFonts w:hint="default" w:ascii="Times New Roman" w:hAnsi="Times New Roman" w:eastAsia="宋体" w:cs="Times New Roman"/>
                <w:color w:val="auto"/>
                <w:kern w:val="0"/>
                <w:sz w:val="24"/>
                <w:szCs w:val="20"/>
                <w:highlight w:val="none"/>
                <w:vertAlign w:val="superscript"/>
                <w:lang w:val="zh-CN" w:eastAsia="zh-CN"/>
              </w:rPr>
              <w:t>2</w:t>
            </w:r>
            <w:r>
              <w:rPr>
                <w:rFonts w:hint="default" w:ascii="Times New Roman" w:hAnsi="Times New Roman" w:eastAsia="宋体" w:cs="Times New Roman"/>
                <w:color w:val="auto"/>
                <w:kern w:val="0"/>
                <w:sz w:val="24"/>
                <w:szCs w:val="20"/>
                <w:highlight w:val="none"/>
                <w:lang w:val="zh-CN" w:eastAsia="zh-CN"/>
              </w:rPr>
              <w:t>，占评价区总面积的</w:t>
            </w:r>
            <w:r>
              <w:rPr>
                <w:rFonts w:hint="eastAsia" w:cs="Times New Roman"/>
                <w:color w:val="auto"/>
                <w:kern w:val="0"/>
                <w:sz w:val="24"/>
                <w:szCs w:val="20"/>
                <w:highlight w:val="none"/>
                <w:lang w:val="en-US" w:eastAsia="zh-CN"/>
              </w:rPr>
              <w:t>87.47</w:t>
            </w:r>
            <w:r>
              <w:rPr>
                <w:rFonts w:hint="default" w:ascii="Times New Roman" w:hAnsi="Times New Roman" w:eastAsia="宋体" w:cs="Times New Roman"/>
                <w:color w:val="auto"/>
                <w:kern w:val="0"/>
                <w:sz w:val="24"/>
                <w:szCs w:val="20"/>
                <w:highlight w:val="none"/>
                <w:lang w:val="zh-CN" w:eastAsia="zh-CN"/>
              </w:rPr>
              <w:t>%</w:t>
            </w:r>
            <w:r>
              <w:rPr>
                <w:rFonts w:hint="eastAsia" w:cs="Times New Roman"/>
                <w:color w:val="auto"/>
                <w:kern w:val="0"/>
                <w:sz w:val="24"/>
                <w:szCs w:val="20"/>
                <w:highlight w:val="none"/>
                <w:lang w:val="zh-CN" w:eastAsia="zh-CN"/>
              </w:rPr>
              <w:t>。</w:t>
            </w:r>
          </w:p>
          <w:p w14:paraId="6E8158A4">
            <w:pPr>
              <w:pStyle w:val="36"/>
              <w:ind w:left="0" w:leftChars="0" w:right="19" w:firstLine="0" w:firstLineChars="0"/>
              <w:jc w:val="center"/>
              <w:rPr>
                <w:rFonts w:hint="eastAsia" w:eastAsia="宋体"/>
                <w:color w:val="auto"/>
                <w:highlight w:val="none"/>
                <w:lang w:eastAsia="zh-CN"/>
              </w:rPr>
            </w:pPr>
            <w:r>
              <w:rPr>
                <w:rFonts w:hint="eastAsia" w:eastAsia="宋体"/>
                <w:color w:val="auto"/>
                <w:highlight w:val="none"/>
                <w:lang w:eastAsia="zh-CN"/>
              </w:rPr>
              <w:drawing>
                <wp:inline distT="0" distB="0" distL="114300" distR="114300">
                  <wp:extent cx="5101590" cy="3607435"/>
                  <wp:effectExtent l="0" t="0" r="3810" b="12065"/>
                  <wp:docPr id="39" name="图片 39" descr="植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植被"/>
                          <pic:cNvPicPr>
                            <a:picLocks noChangeAspect="1"/>
                          </pic:cNvPicPr>
                        </pic:nvPicPr>
                        <pic:blipFill>
                          <a:blip r:embed="rId20"/>
                          <a:stretch>
                            <a:fillRect/>
                          </a:stretch>
                        </pic:blipFill>
                        <pic:spPr>
                          <a:xfrm>
                            <a:off x="0" y="0"/>
                            <a:ext cx="5101590" cy="3607435"/>
                          </a:xfrm>
                          <a:prstGeom prst="rect">
                            <a:avLst/>
                          </a:prstGeom>
                        </pic:spPr>
                      </pic:pic>
                    </a:graphicData>
                  </a:graphic>
                </wp:inline>
              </w:drawing>
            </w:r>
          </w:p>
          <w:p w14:paraId="65A3DAF3">
            <w:pPr>
              <w:keepNext/>
              <w:spacing w:line="360" w:lineRule="auto"/>
              <w:ind w:firstLine="422" w:firstLineChars="200"/>
              <w:jc w:val="center"/>
              <w:rPr>
                <w:rFonts w:hint="eastAsia" w:ascii="Times New Roman" w:hAnsi="Times New Roman" w:eastAsia="宋体" w:cs="Times New Roman"/>
                <w:b/>
                <w:bCs/>
                <w:sz w:val="21"/>
                <w:szCs w:val="21"/>
                <w:highlight w:val="none"/>
                <w:lang w:val="en-US"/>
              </w:rPr>
            </w:pPr>
            <w:r>
              <w:rPr>
                <w:rFonts w:hint="eastAsia" w:ascii="Times New Roman" w:hAnsi="Times New Roman" w:eastAsia="宋体" w:cs="Times New Roman"/>
                <w:b/>
                <w:bCs/>
                <w:sz w:val="21"/>
                <w:szCs w:val="21"/>
                <w:highlight w:val="none"/>
                <w:lang w:val="en-US"/>
              </w:rPr>
              <w:t>图3-</w:t>
            </w:r>
            <w:r>
              <w:rPr>
                <w:rFonts w:hint="eastAsia" w:cs="Times New Roman"/>
                <w:b/>
                <w:bCs/>
                <w:sz w:val="21"/>
                <w:szCs w:val="21"/>
                <w:highlight w:val="none"/>
                <w:lang w:val="en-US" w:eastAsia="zh-CN"/>
              </w:rPr>
              <w:t>4</w:t>
            </w:r>
            <w:r>
              <w:rPr>
                <w:rFonts w:hint="eastAsia" w:ascii="Times New Roman" w:hAnsi="Times New Roman" w:eastAsia="宋体" w:cs="Times New Roman"/>
                <w:b/>
                <w:bCs/>
                <w:sz w:val="21"/>
                <w:szCs w:val="21"/>
                <w:highlight w:val="none"/>
                <w:lang w:val="en-US"/>
              </w:rPr>
              <w:t xml:space="preserve"> </w:t>
            </w:r>
            <w:r>
              <w:rPr>
                <w:rFonts w:hint="eastAsia" w:ascii="Times New Roman" w:hAnsi="Times New Roman" w:eastAsia="宋体" w:cs="Times New Roman"/>
                <w:b/>
                <w:bCs/>
                <w:sz w:val="21"/>
                <w:szCs w:val="21"/>
                <w:highlight w:val="none"/>
                <w:lang w:val="en-US" w:eastAsia="zh-CN"/>
              </w:rPr>
              <w:t xml:space="preserve"> </w:t>
            </w:r>
            <w:r>
              <w:rPr>
                <w:rFonts w:hint="eastAsia" w:ascii="Times New Roman" w:hAnsi="Times New Roman" w:eastAsia="宋体" w:cs="Times New Roman"/>
                <w:b/>
                <w:bCs/>
                <w:sz w:val="21"/>
                <w:szCs w:val="21"/>
                <w:highlight w:val="none"/>
                <w:lang w:val="en-US"/>
              </w:rPr>
              <w:t xml:space="preserve"> 植被类型图</w:t>
            </w:r>
          </w:p>
          <w:p w14:paraId="54BF9D6A">
            <w:pPr>
              <w:pStyle w:val="11"/>
              <w:numPr>
                <w:ilvl w:val="-1"/>
                <w:numId w:val="0"/>
              </w:numPr>
              <w:spacing w:line="360" w:lineRule="auto"/>
              <w:ind w:firstLine="482" w:firstLineChars="200"/>
              <w:rPr>
                <w:rFonts w:hint="eastAsia" w:ascii="Times New Roman" w:hAnsi="Times New Roman" w:eastAsia="宋体" w:cs="Times New Roman"/>
                <w:b/>
                <w:bCs/>
                <w:kern w:val="2"/>
                <w:sz w:val="24"/>
                <w:szCs w:val="24"/>
                <w:highlight w:val="none"/>
                <w:lang w:val="en-US" w:eastAsia="zh-CN"/>
              </w:rPr>
            </w:pPr>
            <w:r>
              <w:rPr>
                <w:rFonts w:hint="eastAsia" w:ascii="Times New Roman" w:hAnsi="Times New Roman" w:eastAsia="宋体" w:cs="Times New Roman"/>
                <w:b/>
                <w:bCs/>
                <w:kern w:val="2"/>
                <w:sz w:val="24"/>
                <w:szCs w:val="24"/>
                <w:highlight w:val="none"/>
                <w:lang w:val="en-US" w:eastAsia="zh-CN"/>
              </w:rPr>
              <w:t>3.3动物资源现状调查</w:t>
            </w:r>
          </w:p>
          <w:p w14:paraId="20932CF9">
            <w:pPr>
              <w:keepNext/>
              <w:spacing w:line="360" w:lineRule="auto"/>
              <w:ind w:firstLine="480" w:firstLineChars="200"/>
              <w:rPr>
                <w:rFonts w:hint="eastAsia" w:ascii="Times New Roman" w:hAnsi="Times New Roman" w:eastAsia="宋体" w:cs="Times New Roman"/>
                <w:sz w:val="24"/>
                <w:highlight w:val="none"/>
                <w:lang w:val="zh-CN"/>
              </w:rPr>
            </w:pPr>
            <w:r>
              <w:rPr>
                <w:rFonts w:hint="eastAsia" w:ascii="Times New Roman" w:hAnsi="Times New Roman" w:eastAsia="宋体" w:cs="Times New Roman"/>
                <w:sz w:val="24"/>
                <w:highlight w:val="none"/>
                <w:lang w:val="zh-CN"/>
              </w:rPr>
              <w:t>根据调查了解未在</w:t>
            </w:r>
            <w:r>
              <w:rPr>
                <w:rFonts w:hint="eastAsia" w:ascii="Times New Roman" w:hAnsi="Times New Roman" w:eastAsia="宋体" w:cs="Times New Roman"/>
                <w:sz w:val="24"/>
                <w:highlight w:val="none"/>
                <w:lang w:val="en-US" w:eastAsia="zh-CN"/>
              </w:rPr>
              <w:t>管线周围</w:t>
            </w:r>
            <w:r>
              <w:rPr>
                <w:rFonts w:hint="eastAsia" w:ascii="Times New Roman" w:hAnsi="Times New Roman" w:eastAsia="宋体" w:cs="Times New Roman"/>
                <w:sz w:val="24"/>
                <w:highlight w:val="none"/>
                <w:lang w:val="zh-CN"/>
              </w:rPr>
              <w:t>发现其</w:t>
            </w:r>
            <w:r>
              <w:rPr>
                <w:rFonts w:hint="eastAsia" w:cs="Times New Roman"/>
                <w:sz w:val="24"/>
                <w:highlight w:val="none"/>
                <w:lang w:val="zh-CN"/>
              </w:rPr>
              <w:t>他</w:t>
            </w:r>
            <w:r>
              <w:rPr>
                <w:rFonts w:hint="eastAsia" w:ascii="Times New Roman" w:hAnsi="Times New Roman" w:eastAsia="宋体" w:cs="Times New Roman"/>
                <w:sz w:val="24"/>
                <w:highlight w:val="none"/>
                <w:lang w:val="zh-CN"/>
              </w:rPr>
              <w:t>国家珍稀鸟类，野生动物均为广布种，评价区内没有自然保护区。根据国家林业和草原局</w:t>
            </w:r>
            <w:r>
              <w:rPr>
                <w:rFonts w:hint="eastAsia" w:cs="Times New Roman"/>
                <w:sz w:val="24"/>
                <w:highlight w:val="none"/>
                <w:lang w:val="zh-CN"/>
              </w:rPr>
              <w:t>和</w:t>
            </w:r>
            <w:r>
              <w:rPr>
                <w:rFonts w:hint="eastAsia" w:ascii="Times New Roman" w:hAnsi="Times New Roman" w:eastAsia="宋体" w:cs="Times New Roman"/>
                <w:sz w:val="24"/>
                <w:highlight w:val="none"/>
                <w:lang w:val="zh-CN"/>
              </w:rPr>
              <w:t>农业农村部公告（2021年第3号）《国家重点保护野生动物名录》，未发现国家重点保护野生动物、珍稀濒危野生动物。</w:t>
            </w:r>
          </w:p>
          <w:p w14:paraId="5BC22832">
            <w:pPr>
              <w:pStyle w:val="11"/>
              <w:numPr>
                <w:ilvl w:val="-1"/>
                <w:numId w:val="0"/>
              </w:numPr>
              <w:spacing w:line="360" w:lineRule="auto"/>
              <w:ind w:firstLine="482" w:firstLineChars="200"/>
              <w:rPr>
                <w:rFonts w:hint="default" w:ascii="Times New Roman" w:hAnsi="Times New Roman" w:eastAsia="宋体" w:cs="Times New Roman"/>
                <w:b/>
                <w:bCs/>
                <w:kern w:val="2"/>
                <w:sz w:val="24"/>
                <w:szCs w:val="24"/>
                <w:highlight w:val="none"/>
                <w:lang w:val="en-US" w:eastAsia="zh-CN"/>
              </w:rPr>
            </w:pPr>
            <w:r>
              <w:rPr>
                <w:rFonts w:hint="eastAsia" w:ascii="Times New Roman" w:hAnsi="Times New Roman" w:eastAsia="宋体" w:cs="Times New Roman"/>
                <w:b/>
                <w:bCs/>
                <w:kern w:val="2"/>
                <w:sz w:val="24"/>
                <w:szCs w:val="24"/>
                <w:highlight w:val="none"/>
                <w:lang w:val="en-US" w:eastAsia="zh-CN"/>
              </w:rPr>
              <w:t>3.4土地利用类型</w:t>
            </w:r>
          </w:p>
          <w:p w14:paraId="687B9246">
            <w:pPr>
              <w:keepNext/>
              <w:spacing w:line="360" w:lineRule="auto"/>
              <w:ind w:firstLine="480" w:firstLineChars="200"/>
              <w:rPr>
                <w:rFonts w:hint="eastAsia" w:ascii="Times New Roman" w:hAnsi="Times New Roman" w:eastAsia="宋体" w:cs="Times New Roman"/>
                <w:sz w:val="24"/>
                <w:highlight w:val="none"/>
              </w:rPr>
            </w:pPr>
            <w:r>
              <w:rPr>
                <w:rFonts w:hint="eastAsia" w:ascii="Times New Roman" w:hAnsi="Times New Roman" w:eastAsia="宋体" w:cs="Times New Roman"/>
                <w:sz w:val="24"/>
                <w:highlight w:val="none"/>
              </w:rPr>
              <w:t>利用卫星遥感及地理信息系统技术并结合地面实际调查，对管道和整体管道</w:t>
            </w:r>
            <w:r>
              <w:rPr>
                <w:rFonts w:hint="eastAsia" w:ascii="Times New Roman" w:hAnsi="Times New Roman" w:eastAsia="宋体" w:cs="Times New Roman"/>
                <w:sz w:val="24"/>
                <w:highlight w:val="none"/>
                <w:lang w:val="en-US" w:eastAsia="zh-CN"/>
              </w:rPr>
              <w:t>3</w:t>
            </w:r>
            <w:r>
              <w:rPr>
                <w:rFonts w:hint="eastAsia" w:ascii="Times New Roman" w:hAnsi="Times New Roman" w:eastAsia="宋体" w:cs="Times New Roman"/>
                <w:sz w:val="24"/>
                <w:highlight w:val="none"/>
              </w:rPr>
              <w:t>00m范围内的土地利用类型进行了调查，详见表3-</w:t>
            </w:r>
            <w:r>
              <w:rPr>
                <w:rFonts w:hint="eastAsia" w:cs="Times New Roman"/>
                <w:sz w:val="24"/>
                <w:highlight w:val="none"/>
                <w:lang w:val="en-US" w:eastAsia="zh-CN"/>
              </w:rPr>
              <w:t>2</w:t>
            </w:r>
            <w:r>
              <w:rPr>
                <w:rFonts w:hint="eastAsia" w:ascii="Times New Roman" w:hAnsi="Times New Roman" w:eastAsia="宋体" w:cs="Times New Roman"/>
                <w:sz w:val="24"/>
                <w:highlight w:val="none"/>
              </w:rPr>
              <w:t>及图3-</w:t>
            </w:r>
            <w:r>
              <w:rPr>
                <w:rFonts w:hint="eastAsia" w:cs="Times New Roman"/>
                <w:sz w:val="24"/>
                <w:highlight w:val="none"/>
                <w:lang w:val="en-US" w:eastAsia="zh-CN"/>
              </w:rPr>
              <w:t>5</w:t>
            </w:r>
            <w:r>
              <w:rPr>
                <w:rFonts w:hint="eastAsia" w:ascii="Times New Roman" w:hAnsi="Times New Roman" w:eastAsia="宋体" w:cs="Times New Roman"/>
                <w:sz w:val="24"/>
                <w:highlight w:val="none"/>
              </w:rPr>
              <w:t>。</w:t>
            </w:r>
          </w:p>
          <w:p w14:paraId="7D613F4D">
            <w:pPr>
              <w:keepNext/>
              <w:spacing w:line="360" w:lineRule="auto"/>
              <w:ind w:firstLine="422" w:firstLineChars="200"/>
              <w:jc w:val="center"/>
              <w:rPr>
                <w:rFonts w:hint="eastAsia" w:ascii="Times New Roman" w:hAnsi="Times New Roman" w:eastAsia="宋体" w:cs="Times New Roman"/>
                <w:b/>
                <w:bCs/>
                <w:sz w:val="21"/>
                <w:szCs w:val="21"/>
                <w:highlight w:val="none"/>
                <w:lang w:val="en-US" w:eastAsia="zh-CN"/>
              </w:rPr>
            </w:pPr>
            <w:r>
              <w:rPr>
                <w:rFonts w:hint="eastAsia" w:ascii="Times New Roman" w:hAnsi="Times New Roman" w:eastAsia="宋体" w:cs="Times New Roman"/>
                <w:b/>
                <w:bCs/>
                <w:sz w:val="21"/>
                <w:szCs w:val="21"/>
                <w:highlight w:val="none"/>
                <w:lang w:val="en-US" w:eastAsia="zh-CN"/>
              </w:rPr>
              <w:t>表3-</w:t>
            </w:r>
            <w:r>
              <w:rPr>
                <w:rFonts w:hint="eastAsia" w:cs="Times New Roman"/>
                <w:b/>
                <w:bCs/>
                <w:sz w:val="21"/>
                <w:szCs w:val="21"/>
                <w:highlight w:val="none"/>
                <w:lang w:val="en-US" w:eastAsia="zh-CN"/>
              </w:rPr>
              <w:t>2</w:t>
            </w:r>
            <w:r>
              <w:rPr>
                <w:rFonts w:hint="eastAsia" w:ascii="Times New Roman" w:hAnsi="Times New Roman" w:eastAsia="宋体" w:cs="Times New Roman"/>
                <w:b/>
                <w:bCs/>
                <w:sz w:val="21"/>
                <w:szCs w:val="21"/>
                <w:highlight w:val="none"/>
                <w:lang w:val="en-US" w:eastAsia="zh-CN"/>
              </w:rPr>
              <w:t xml:space="preserve">   本工程评价范围内土地利用现状调查表</w:t>
            </w:r>
          </w:p>
          <w:tbl>
            <w:tblPr>
              <w:tblStyle w:val="19"/>
              <w:tblW w:w="472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5"/>
              <w:gridCol w:w="3403"/>
              <w:gridCol w:w="1798"/>
              <w:gridCol w:w="1342"/>
            </w:tblGrid>
            <w:tr w14:paraId="4287E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863" w:type="pct"/>
                  <w:shd w:val="clear" w:color="auto" w:fill="auto"/>
                  <w:noWrap/>
                  <w:vAlign w:val="center"/>
                </w:tcPr>
                <w:p w14:paraId="67DD615E">
                  <w:pPr>
                    <w:pStyle w:val="38"/>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位置</w:t>
                  </w:r>
                </w:p>
              </w:tc>
              <w:tc>
                <w:tcPr>
                  <w:tcW w:w="2151" w:type="pct"/>
                  <w:shd w:val="clear" w:color="auto" w:fill="auto"/>
                  <w:noWrap/>
                  <w:vAlign w:val="center"/>
                </w:tcPr>
                <w:p w14:paraId="1A0647EB">
                  <w:pPr>
                    <w:pStyle w:val="38"/>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val="en-US" w:eastAsia="zh-CN"/>
                    </w:rPr>
                    <w:t>名称</w:t>
                  </w:r>
                </w:p>
              </w:tc>
              <w:tc>
                <w:tcPr>
                  <w:tcW w:w="1136" w:type="pct"/>
                  <w:shd w:val="clear" w:color="auto" w:fill="auto"/>
                  <w:noWrap/>
                  <w:vAlign w:val="center"/>
                </w:tcPr>
                <w:p w14:paraId="59E92B9F">
                  <w:pPr>
                    <w:pStyle w:val="38"/>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rPr>
                    <w:t>面积</w:t>
                  </w:r>
                  <w:r>
                    <w:rPr>
                      <w:rFonts w:hint="eastAsia" w:cs="Times New Roman"/>
                      <w:color w:val="auto"/>
                      <w:highlight w:val="none"/>
                      <w:lang w:eastAsia="zh-CN"/>
                    </w:rPr>
                    <w:t>（</w:t>
                  </w:r>
                  <w:r>
                    <w:rPr>
                      <w:rFonts w:hint="eastAsia" w:ascii="Times New Roman" w:hAnsi="Times New Roman" w:eastAsia="宋体" w:cs="Times New Roman"/>
                      <w:color w:val="auto"/>
                      <w:highlight w:val="none"/>
                      <w:lang w:val="en-US"/>
                    </w:rPr>
                    <w:t>h</w:t>
                  </w:r>
                  <w:r>
                    <w:rPr>
                      <w:rFonts w:hint="eastAsia" w:ascii="Times New Roman" w:hAnsi="Times New Roman" w:eastAsia="宋体" w:cs="Times New Roman"/>
                      <w:color w:val="auto"/>
                      <w:highlight w:val="none"/>
                    </w:rPr>
                    <w:t>m</w:t>
                  </w:r>
                  <w:r>
                    <w:rPr>
                      <w:rFonts w:hint="eastAsia" w:ascii="Times New Roman" w:hAnsi="Times New Roman" w:eastAsia="宋体" w:cs="Times New Roman"/>
                      <w:color w:val="auto"/>
                      <w:highlight w:val="none"/>
                      <w:vertAlign w:val="superscript"/>
                      <w:lang w:val="en-US"/>
                    </w:rPr>
                    <w:t>2</w:t>
                  </w:r>
                  <w:r>
                    <w:rPr>
                      <w:rFonts w:hint="eastAsia" w:cs="Times New Roman"/>
                      <w:color w:val="auto"/>
                      <w:highlight w:val="none"/>
                      <w:lang w:eastAsia="zh-CN"/>
                    </w:rPr>
                    <w:t>）</w:t>
                  </w:r>
                </w:p>
              </w:tc>
              <w:tc>
                <w:tcPr>
                  <w:tcW w:w="848" w:type="pct"/>
                  <w:shd w:val="clear" w:color="auto" w:fill="auto"/>
                  <w:noWrap/>
                  <w:vAlign w:val="center"/>
                </w:tcPr>
                <w:p w14:paraId="4D761862">
                  <w:pPr>
                    <w:pStyle w:val="38"/>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比例</w:t>
                  </w:r>
                  <w:r>
                    <w:rPr>
                      <w:rFonts w:hint="eastAsia" w:ascii="Times New Roman" w:hAnsi="Times New Roman" w:eastAsia="宋体" w:cs="Times New Roman"/>
                      <w:color w:val="auto"/>
                      <w:highlight w:val="none"/>
                      <w:lang w:val="en-US"/>
                    </w:rPr>
                    <w:t>%</w:t>
                  </w:r>
                </w:p>
              </w:tc>
            </w:tr>
            <w:tr w14:paraId="067B5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863" w:type="pct"/>
                  <w:vMerge w:val="restart"/>
                  <w:shd w:val="clear" w:color="auto" w:fill="auto"/>
                  <w:vAlign w:val="center"/>
                </w:tcPr>
                <w:p w14:paraId="4CB2613E">
                  <w:pPr>
                    <w:pStyle w:val="38"/>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评价区</w:t>
                  </w:r>
                </w:p>
              </w:tc>
              <w:tc>
                <w:tcPr>
                  <w:tcW w:w="2151" w:type="pct"/>
                  <w:shd w:val="clear" w:color="auto" w:fill="auto"/>
                  <w:vAlign w:val="center"/>
                </w:tcPr>
                <w:p w14:paraId="54E1D4A4">
                  <w:pPr>
                    <w:pStyle w:val="38"/>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工业用地</w:t>
                  </w:r>
                </w:p>
              </w:tc>
              <w:tc>
                <w:tcPr>
                  <w:tcW w:w="1136" w:type="pct"/>
                  <w:shd w:val="clear" w:color="auto" w:fill="auto"/>
                  <w:noWrap/>
                  <w:vAlign w:val="center"/>
                </w:tcPr>
                <w:p w14:paraId="7FC6E80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zh-CN"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148.04</w:t>
                  </w:r>
                </w:p>
              </w:tc>
              <w:tc>
                <w:tcPr>
                  <w:tcW w:w="848" w:type="pct"/>
                  <w:shd w:val="clear" w:color="auto" w:fill="auto"/>
                  <w:noWrap/>
                  <w:vAlign w:val="center"/>
                </w:tcPr>
                <w:p w14:paraId="44D627E3">
                  <w:pPr>
                    <w:keepNext w:val="0"/>
                    <w:keepLines w:val="0"/>
                    <w:widowControl/>
                    <w:suppressLineNumbers w:val="0"/>
                    <w:jc w:val="center"/>
                    <w:textAlignment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86.09</w:t>
                  </w:r>
                </w:p>
              </w:tc>
            </w:tr>
            <w:tr w14:paraId="2567D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863" w:type="pct"/>
                  <w:vMerge w:val="continue"/>
                  <w:shd w:val="clear" w:color="auto" w:fill="auto"/>
                  <w:vAlign w:val="center"/>
                </w:tcPr>
                <w:p w14:paraId="6561F01B">
                  <w:pPr>
                    <w:pStyle w:val="38"/>
                    <w:rPr>
                      <w:rFonts w:ascii="Times New Roman" w:hAnsi="Times New Roman" w:eastAsia="宋体" w:cs="Times New Roman"/>
                      <w:color w:val="auto"/>
                      <w:highlight w:val="none"/>
                    </w:rPr>
                  </w:pPr>
                </w:p>
              </w:tc>
              <w:tc>
                <w:tcPr>
                  <w:tcW w:w="2151" w:type="pct"/>
                  <w:shd w:val="clear" w:color="auto" w:fill="auto"/>
                  <w:noWrap/>
                  <w:vAlign w:val="center"/>
                </w:tcPr>
                <w:p w14:paraId="0E55A99A">
                  <w:pPr>
                    <w:pStyle w:val="38"/>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道路用地</w:t>
                  </w:r>
                </w:p>
              </w:tc>
              <w:tc>
                <w:tcPr>
                  <w:tcW w:w="1136" w:type="pct"/>
                  <w:shd w:val="clear" w:color="auto" w:fill="auto"/>
                  <w:noWrap/>
                  <w:vAlign w:val="center"/>
                </w:tcPr>
                <w:p w14:paraId="32E384C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zh-CN"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2.37</w:t>
                  </w:r>
                </w:p>
              </w:tc>
              <w:tc>
                <w:tcPr>
                  <w:tcW w:w="848" w:type="pct"/>
                  <w:shd w:val="clear" w:color="auto" w:fill="auto"/>
                  <w:noWrap/>
                  <w:vAlign w:val="center"/>
                </w:tcPr>
                <w:p w14:paraId="4947E848">
                  <w:pPr>
                    <w:keepNext w:val="0"/>
                    <w:keepLines w:val="0"/>
                    <w:widowControl/>
                    <w:suppressLineNumbers w:val="0"/>
                    <w:jc w:val="center"/>
                    <w:textAlignment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1.38</w:t>
                  </w:r>
                </w:p>
              </w:tc>
            </w:tr>
            <w:tr w14:paraId="5BE6B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863" w:type="pct"/>
                  <w:vMerge w:val="continue"/>
                  <w:shd w:val="clear" w:color="auto" w:fill="auto"/>
                  <w:vAlign w:val="center"/>
                </w:tcPr>
                <w:p w14:paraId="05461FA5">
                  <w:pPr>
                    <w:pStyle w:val="38"/>
                    <w:rPr>
                      <w:rFonts w:ascii="Times New Roman" w:hAnsi="Times New Roman" w:eastAsia="宋体" w:cs="Times New Roman"/>
                      <w:color w:val="auto"/>
                      <w:highlight w:val="none"/>
                    </w:rPr>
                  </w:pPr>
                </w:p>
              </w:tc>
              <w:tc>
                <w:tcPr>
                  <w:tcW w:w="2151" w:type="pct"/>
                  <w:shd w:val="clear" w:color="auto" w:fill="auto"/>
                  <w:vAlign w:val="center"/>
                </w:tcPr>
                <w:p w14:paraId="597A0CA9">
                  <w:pPr>
                    <w:pStyle w:val="38"/>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天然牧草地</w:t>
                  </w:r>
                </w:p>
              </w:tc>
              <w:tc>
                <w:tcPr>
                  <w:tcW w:w="1136" w:type="pct"/>
                  <w:shd w:val="clear" w:color="auto" w:fill="auto"/>
                  <w:noWrap/>
                  <w:vAlign w:val="center"/>
                </w:tcPr>
                <w:p w14:paraId="48A4A66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zh-CN"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21.55</w:t>
                  </w:r>
                </w:p>
              </w:tc>
              <w:tc>
                <w:tcPr>
                  <w:tcW w:w="848" w:type="pct"/>
                  <w:shd w:val="clear" w:color="auto" w:fill="auto"/>
                  <w:noWrap/>
                  <w:vAlign w:val="center"/>
                </w:tcPr>
                <w:p w14:paraId="0B89F1BF">
                  <w:pPr>
                    <w:keepNext w:val="0"/>
                    <w:keepLines w:val="0"/>
                    <w:widowControl/>
                    <w:suppressLineNumbers w:val="0"/>
                    <w:jc w:val="center"/>
                    <w:textAlignment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12.53</w:t>
                  </w:r>
                </w:p>
              </w:tc>
            </w:tr>
            <w:tr w14:paraId="2D756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863" w:type="pct"/>
                  <w:vMerge w:val="continue"/>
                  <w:shd w:val="clear" w:color="auto" w:fill="auto"/>
                  <w:vAlign w:val="center"/>
                </w:tcPr>
                <w:p w14:paraId="3CB01C99">
                  <w:pPr>
                    <w:pStyle w:val="38"/>
                    <w:rPr>
                      <w:rFonts w:ascii="Times New Roman" w:hAnsi="Times New Roman" w:eastAsia="宋体" w:cs="Times New Roman"/>
                      <w:color w:val="auto"/>
                      <w:highlight w:val="none"/>
                    </w:rPr>
                  </w:pPr>
                </w:p>
              </w:tc>
              <w:tc>
                <w:tcPr>
                  <w:tcW w:w="2151" w:type="pct"/>
                  <w:shd w:val="clear" w:color="auto" w:fill="auto"/>
                  <w:noWrap/>
                  <w:vAlign w:val="center"/>
                </w:tcPr>
                <w:p w14:paraId="1A39E1E8">
                  <w:pPr>
                    <w:pStyle w:val="38"/>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合计</w:t>
                  </w:r>
                </w:p>
              </w:tc>
              <w:tc>
                <w:tcPr>
                  <w:tcW w:w="1136" w:type="pct"/>
                  <w:shd w:val="clear" w:color="auto" w:fill="auto"/>
                  <w:noWrap/>
                  <w:vAlign w:val="center"/>
                </w:tcPr>
                <w:p w14:paraId="4EAF942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171.96</w:t>
                  </w:r>
                </w:p>
              </w:tc>
              <w:tc>
                <w:tcPr>
                  <w:tcW w:w="848" w:type="pct"/>
                  <w:shd w:val="clear" w:color="auto" w:fill="auto"/>
                  <w:noWrap/>
                  <w:vAlign w:val="center"/>
                </w:tcPr>
                <w:p w14:paraId="0DD46639">
                  <w:pPr>
                    <w:pStyle w:val="38"/>
                    <w:rPr>
                      <w:rFonts w:ascii="Times New Roman" w:hAnsi="Times New Roman" w:eastAsia="宋体" w:cs="Times New Roman"/>
                      <w:color w:val="auto"/>
                      <w:highlight w:val="none"/>
                      <w:lang w:val="en-US"/>
                    </w:rPr>
                  </w:pPr>
                  <w:r>
                    <w:rPr>
                      <w:rFonts w:hint="eastAsia" w:ascii="Times New Roman" w:hAnsi="Times New Roman" w:eastAsia="宋体" w:cs="Times New Roman"/>
                      <w:color w:val="auto"/>
                      <w:highlight w:val="none"/>
                      <w:lang w:val="en-US"/>
                    </w:rPr>
                    <w:t>100%</w:t>
                  </w:r>
                </w:p>
              </w:tc>
            </w:tr>
          </w:tbl>
          <w:p w14:paraId="06FA3B55">
            <w:pPr>
              <w:keepNext/>
              <w:spacing w:line="360" w:lineRule="auto"/>
              <w:ind w:firstLine="480" w:firstLineChars="200"/>
              <w:rPr>
                <w:rFonts w:hint="eastAsia" w:ascii="Times New Roman" w:hAnsi="Times New Roman" w:eastAsia="宋体" w:cs="Times New Roman"/>
                <w:sz w:val="24"/>
                <w:highlight w:val="none"/>
                <w:lang w:eastAsia="zh-CN"/>
              </w:rPr>
            </w:pPr>
            <w:r>
              <w:rPr>
                <w:rFonts w:hint="eastAsia" w:ascii="Times New Roman" w:hAnsi="Times New Roman" w:eastAsia="宋体" w:cs="Times New Roman"/>
                <w:sz w:val="24"/>
                <w:highlight w:val="none"/>
              </w:rPr>
              <w:t>从上表可以看出，评价区范围内各土地利用生态调查总面积</w:t>
            </w:r>
            <w:r>
              <w:rPr>
                <w:rFonts w:hint="eastAsia" w:cs="Times New Roman"/>
                <w:sz w:val="24"/>
                <w:highlight w:val="none"/>
                <w:lang w:eastAsia="zh-CN"/>
              </w:rPr>
              <w:t>为</w:t>
            </w:r>
            <w:r>
              <w:rPr>
                <w:rFonts w:hint="eastAsia" w:ascii="Times New Roman" w:hAnsi="Times New Roman" w:eastAsia="宋体" w:cs="Times New Roman"/>
                <w:sz w:val="24"/>
                <w:highlight w:val="none"/>
                <w:lang w:val="en-US" w:eastAsia="zh-CN"/>
              </w:rPr>
              <w:t>171.96</w:t>
            </w:r>
            <w:r>
              <w:rPr>
                <w:rFonts w:hint="eastAsia" w:ascii="Times New Roman" w:hAnsi="Times New Roman" w:eastAsia="宋体" w:cs="Times New Roman"/>
                <w:sz w:val="24"/>
                <w:highlight w:val="none"/>
              </w:rPr>
              <w:t>hm</w:t>
            </w:r>
            <w:r>
              <w:rPr>
                <w:rFonts w:hint="eastAsia" w:ascii="Times New Roman" w:hAnsi="Times New Roman" w:eastAsia="宋体" w:cs="Times New Roman"/>
                <w:sz w:val="24"/>
                <w:highlight w:val="none"/>
                <w:vertAlign w:val="superscript"/>
              </w:rPr>
              <w:t>2</w:t>
            </w:r>
            <w:r>
              <w:rPr>
                <w:rFonts w:hint="eastAsia" w:ascii="Times New Roman" w:hAnsi="Times New Roman" w:eastAsia="宋体" w:cs="Times New Roman"/>
                <w:sz w:val="24"/>
                <w:highlight w:val="none"/>
              </w:rPr>
              <w:t>，土地利用类型主要为</w:t>
            </w:r>
            <w:r>
              <w:rPr>
                <w:rFonts w:hint="eastAsia" w:ascii="Times New Roman" w:hAnsi="Times New Roman" w:eastAsia="宋体" w:cs="Times New Roman"/>
                <w:sz w:val="24"/>
                <w:highlight w:val="none"/>
                <w:lang w:val="en-US" w:eastAsia="zh-CN"/>
              </w:rPr>
              <w:t>工业用地</w:t>
            </w:r>
            <w:r>
              <w:rPr>
                <w:rFonts w:hint="eastAsia" w:ascii="Times New Roman" w:hAnsi="Times New Roman" w:eastAsia="宋体" w:cs="Times New Roman"/>
                <w:sz w:val="24"/>
                <w:highlight w:val="none"/>
              </w:rPr>
              <w:t>、</w:t>
            </w:r>
            <w:r>
              <w:rPr>
                <w:rFonts w:hint="eastAsia" w:ascii="Times New Roman" w:hAnsi="Times New Roman" w:eastAsia="宋体" w:cs="Times New Roman"/>
                <w:sz w:val="24"/>
                <w:highlight w:val="none"/>
                <w:lang w:val="en-US" w:eastAsia="zh-CN"/>
              </w:rPr>
              <w:t>道路用地</w:t>
            </w:r>
            <w:r>
              <w:rPr>
                <w:rFonts w:hint="eastAsia" w:ascii="Times New Roman" w:hAnsi="Times New Roman" w:eastAsia="宋体" w:cs="Times New Roman"/>
                <w:sz w:val="24"/>
                <w:highlight w:val="none"/>
              </w:rPr>
              <w:t>、</w:t>
            </w:r>
            <w:r>
              <w:rPr>
                <w:rFonts w:hint="eastAsia" w:ascii="Times New Roman" w:hAnsi="Times New Roman" w:eastAsia="宋体" w:cs="Times New Roman"/>
                <w:sz w:val="24"/>
                <w:highlight w:val="none"/>
                <w:lang w:val="en-US" w:eastAsia="zh-CN"/>
              </w:rPr>
              <w:t>天然牧草地</w:t>
            </w:r>
            <w:r>
              <w:rPr>
                <w:rFonts w:hint="eastAsia" w:cs="Times New Roman"/>
                <w:sz w:val="24"/>
                <w:highlight w:val="none"/>
                <w:lang w:val="en-US" w:eastAsia="zh-CN"/>
              </w:rPr>
              <w:t>等</w:t>
            </w:r>
            <w:r>
              <w:rPr>
                <w:rFonts w:hint="eastAsia" w:ascii="Times New Roman" w:hAnsi="Times New Roman" w:eastAsia="宋体" w:cs="Times New Roman"/>
                <w:sz w:val="24"/>
                <w:highlight w:val="none"/>
                <w:lang w:val="en-US" w:eastAsia="zh-CN"/>
              </w:rPr>
              <w:t>。</w:t>
            </w:r>
            <w:r>
              <w:rPr>
                <w:rFonts w:hint="eastAsia" w:ascii="Times New Roman" w:hAnsi="Times New Roman" w:eastAsia="宋体" w:cs="Times New Roman"/>
                <w:sz w:val="24"/>
                <w:highlight w:val="none"/>
                <w:lang w:val="en-US"/>
              </w:rPr>
              <w:t>其中</w:t>
            </w:r>
            <w:r>
              <w:rPr>
                <w:rFonts w:hint="eastAsia" w:ascii="Times New Roman" w:hAnsi="Times New Roman" w:eastAsia="宋体" w:cs="Times New Roman"/>
                <w:sz w:val="24"/>
                <w:highlight w:val="none"/>
                <w:lang w:val="en-US" w:eastAsia="zh-CN"/>
              </w:rPr>
              <w:t>工业用地</w:t>
            </w:r>
            <w:r>
              <w:rPr>
                <w:rFonts w:hint="eastAsia" w:ascii="Times New Roman" w:hAnsi="Times New Roman" w:eastAsia="宋体" w:cs="Times New Roman"/>
                <w:sz w:val="24"/>
                <w:highlight w:val="none"/>
              </w:rPr>
              <w:t>面积为</w:t>
            </w:r>
            <w:r>
              <w:rPr>
                <w:rFonts w:hint="eastAsia" w:ascii="Times New Roman" w:hAnsi="Times New Roman" w:eastAsia="宋体" w:cs="Times New Roman"/>
                <w:sz w:val="24"/>
                <w:highlight w:val="none"/>
                <w:lang w:val="en-US" w:eastAsia="zh-CN"/>
              </w:rPr>
              <w:t>148.04</w:t>
            </w:r>
            <w:r>
              <w:rPr>
                <w:rFonts w:hint="eastAsia" w:ascii="Times New Roman" w:hAnsi="Times New Roman" w:eastAsia="宋体" w:cs="Times New Roman"/>
                <w:sz w:val="24"/>
                <w:highlight w:val="none"/>
              </w:rPr>
              <w:t>hm</w:t>
            </w:r>
            <w:r>
              <w:rPr>
                <w:rFonts w:hint="eastAsia" w:ascii="Times New Roman" w:hAnsi="Times New Roman" w:eastAsia="宋体" w:cs="Times New Roman"/>
                <w:sz w:val="24"/>
                <w:highlight w:val="none"/>
                <w:vertAlign w:val="superscript"/>
              </w:rPr>
              <w:t>2</w:t>
            </w:r>
            <w:r>
              <w:rPr>
                <w:rFonts w:hint="eastAsia" w:ascii="Times New Roman" w:hAnsi="Times New Roman" w:eastAsia="宋体" w:cs="Times New Roman"/>
                <w:sz w:val="24"/>
                <w:highlight w:val="none"/>
              </w:rPr>
              <w:t>，占评价区总面积的</w:t>
            </w:r>
            <w:r>
              <w:rPr>
                <w:rFonts w:hint="eastAsia" w:ascii="Times New Roman" w:hAnsi="Times New Roman" w:eastAsia="宋体" w:cs="Times New Roman"/>
                <w:sz w:val="24"/>
                <w:highlight w:val="none"/>
                <w:lang w:val="en-US" w:eastAsia="zh-CN"/>
              </w:rPr>
              <w:t>86.09</w:t>
            </w:r>
            <w:r>
              <w:rPr>
                <w:rFonts w:hint="eastAsia" w:ascii="Times New Roman" w:hAnsi="Times New Roman" w:eastAsia="宋体" w:cs="Times New Roman"/>
                <w:sz w:val="24"/>
                <w:highlight w:val="none"/>
              </w:rPr>
              <w:t>%；</w:t>
            </w:r>
            <w:r>
              <w:rPr>
                <w:rFonts w:hint="eastAsia" w:ascii="Times New Roman" w:hAnsi="Times New Roman" w:eastAsia="宋体" w:cs="Times New Roman"/>
                <w:sz w:val="24"/>
                <w:highlight w:val="none"/>
                <w:lang w:val="en-US" w:eastAsia="zh-CN"/>
              </w:rPr>
              <w:t>道路用地</w:t>
            </w:r>
            <w:r>
              <w:rPr>
                <w:rFonts w:hint="eastAsia" w:ascii="Times New Roman" w:hAnsi="Times New Roman" w:eastAsia="宋体" w:cs="Times New Roman"/>
                <w:sz w:val="24"/>
                <w:highlight w:val="none"/>
              </w:rPr>
              <w:t>为</w:t>
            </w:r>
            <w:r>
              <w:rPr>
                <w:rFonts w:hint="eastAsia" w:ascii="Times New Roman" w:hAnsi="Times New Roman" w:eastAsia="宋体" w:cs="Times New Roman"/>
                <w:sz w:val="24"/>
                <w:highlight w:val="none"/>
                <w:lang w:val="en-US" w:eastAsia="zh-CN"/>
              </w:rPr>
              <w:t>2.37</w:t>
            </w:r>
            <w:r>
              <w:rPr>
                <w:rFonts w:hint="eastAsia" w:ascii="Times New Roman" w:hAnsi="Times New Roman" w:eastAsia="宋体" w:cs="Times New Roman"/>
                <w:sz w:val="24"/>
                <w:highlight w:val="none"/>
              </w:rPr>
              <w:t>hm</w:t>
            </w:r>
            <w:r>
              <w:rPr>
                <w:rFonts w:hint="eastAsia" w:ascii="Times New Roman" w:hAnsi="Times New Roman" w:eastAsia="宋体" w:cs="Times New Roman"/>
                <w:sz w:val="24"/>
                <w:highlight w:val="none"/>
                <w:vertAlign w:val="superscript"/>
              </w:rPr>
              <w:t>2</w:t>
            </w:r>
            <w:r>
              <w:rPr>
                <w:rFonts w:hint="eastAsia" w:ascii="Times New Roman" w:hAnsi="Times New Roman" w:eastAsia="宋体" w:cs="Times New Roman"/>
                <w:sz w:val="24"/>
                <w:highlight w:val="none"/>
              </w:rPr>
              <w:t>，占评价区总面积的</w:t>
            </w:r>
            <w:r>
              <w:rPr>
                <w:rFonts w:hint="eastAsia" w:ascii="Times New Roman" w:hAnsi="Times New Roman" w:eastAsia="宋体" w:cs="Times New Roman"/>
                <w:sz w:val="24"/>
                <w:highlight w:val="none"/>
                <w:lang w:val="en-US" w:eastAsia="zh-CN"/>
              </w:rPr>
              <w:t>1.38</w:t>
            </w:r>
            <w:r>
              <w:rPr>
                <w:rFonts w:hint="eastAsia" w:ascii="Times New Roman" w:hAnsi="Times New Roman" w:eastAsia="宋体" w:cs="Times New Roman"/>
                <w:sz w:val="24"/>
                <w:highlight w:val="none"/>
              </w:rPr>
              <w:t>%；</w:t>
            </w:r>
            <w:r>
              <w:rPr>
                <w:rFonts w:hint="eastAsia" w:ascii="Times New Roman" w:hAnsi="Times New Roman" w:eastAsia="宋体" w:cs="Times New Roman"/>
                <w:sz w:val="24"/>
                <w:highlight w:val="none"/>
                <w:lang w:val="en-US" w:eastAsia="zh-CN"/>
              </w:rPr>
              <w:t>天然牧草地</w:t>
            </w:r>
            <w:r>
              <w:rPr>
                <w:rFonts w:hint="eastAsia" w:ascii="Times New Roman" w:hAnsi="Times New Roman" w:eastAsia="宋体" w:cs="Times New Roman"/>
                <w:sz w:val="24"/>
                <w:highlight w:val="none"/>
              </w:rPr>
              <w:t>面积为</w:t>
            </w:r>
            <w:r>
              <w:rPr>
                <w:rFonts w:hint="eastAsia" w:ascii="Times New Roman" w:hAnsi="Times New Roman" w:eastAsia="宋体" w:cs="Times New Roman"/>
                <w:sz w:val="24"/>
                <w:highlight w:val="none"/>
                <w:lang w:val="en-US" w:eastAsia="zh-CN"/>
              </w:rPr>
              <w:t>21.55</w:t>
            </w:r>
            <w:r>
              <w:rPr>
                <w:rFonts w:hint="eastAsia" w:ascii="Times New Roman" w:hAnsi="Times New Roman" w:eastAsia="宋体" w:cs="Times New Roman"/>
                <w:sz w:val="24"/>
                <w:highlight w:val="none"/>
              </w:rPr>
              <w:t>hm</w:t>
            </w:r>
            <w:r>
              <w:rPr>
                <w:rFonts w:hint="eastAsia" w:ascii="Times New Roman" w:hAnsi="Times New Roman" w:eastAsia="宋体" w:cs="Times New Roman"/>
                <w:sz w:val="24"/>
                <w:highlight w:val="none"/>
                <w:vertAlign w:val="superscript"/>
              </w:rPr>
              <w:t>2</w:t>
            </w:r>
            <w:r>
              <w:rPr>
                <w:rFonts w:hint="eastAsia" w:ascii="Times New Roman" w:hAnsi="Times New Roman" w:eastAsia="宋体" w:cs="Times New Roman"/>
                <w:sz w:val="24"/>
                <w:highlight w:val="none"/>
              </w:rPr>
              <w:t>，占评价区总面积的</w:t>
            </w:r>
            <w:r>
              <w:rPr>
                <w:rFonts w:hint="eastAsia" w:ascii="Times New Roman" w:hAnsi="Times New Roman" w:eastAsia="宋体" w:cs="Times New Roman"/>
                <w:sz w:val="24"/>
                <w:highlight w:val="none"/>
                <w:lang w:val="en-US" w:eastAsia="zh-CN"/>
              </w:rPr>
              <w:t>12.53</w:t>
            </w:r>
            <w:r>
              <w:rPr>
                <w:rFonts w:hint="eastAsia" w:ascii="Times New Roman" w:hAnsi="Times New Roman" w:eastAsia="宋体" w:cs="Times New Roman"/>
                <w:sz w:val="24"/>
                <w:highlight w:val="none"/>
              </w:rPr>
              <w:t>%</w:t>
            </w:r>
            <w:r>
              <w:rPr>
                <w:rFonts w:hint="eastAsia" w:ascii="Times New Roman" w:hAnsi="Times New Roman" w:eastAsia="宋体" w:cs="Times New Roman"/>
                <w:sz w:val="24"/>
                <w:highlight w:val="none"/>
                <w:lang w:eastAsia="zh-CN"/>
              </w:rPr>
              <w:t>。</w:t>
            </w:r>
          </w:p>
          <w:p w14:paraId="0653D641">
            <w:pPr>
              <w:pStyle w:val="39"/>
              <w:ind w:left="19" w:right="19"/>
              <w:jc w:val="center"/>
              <w:rPr>
                <w:rFonts w:hint="eastAsia" w:eastAsia="宋体"/>
                <w:highlight w:val="none"/>
                <w:lang w:eastAsia="zh-CN"/>
              </w:rPr>
            </w:pPr>
            <w:r>
              <w:rPr>
                <w:rFonts w:hint="eastAsia" w:eastAsia="宋体"/>
                <w:highlight w:val="none"/>
                <w:lang w:eastAsia="zh-CN"/>
              </w:rPr>
              <w:drawing>
                <wp:inline distT="0" distB="0" distL="114300" distR="114300">
                  <wp:extent cx="4903470" cy="3467100"/>
                  <wp:effectExtent l="0" t="0" r="11430" b="0"/>
                  <wp:docPr id="40" name="图片 40" descr="土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土地"/>
                          <pic:cNvPicPr>
                            <a:picLocks noChangeAspect="1"/>
                          </pic:cNvPicPr>
                        </pic:nvPicPr>
                        <pic:blipFill>
                          <a:blip r:embed="rId21"/>
                          <a:stretch>
                            <a:fillRect/>
                          </a:stretch>
                        </pic:blipFill>
                        <pic:spPr>
                          <a:xfrm>
                            <a:off x="0" y="0"/>
                            <a:ext cx="4903470" cy="3467100"/>
                          </a:xfrm>
                          <a:prstGeom prst="rect">
                            <a:avLst/>
                          </a:prstGeom>
                        </pic:spPr>
                      </pic:pic>
                    </a:graphicData>
                  </a:graphic>
                </wp:inline>
              </w:drawing>
            </w:r>
          </w:p>
          <w:p w14:paraId="03F37786">
            <w:pPr>
              <w:pStyle w:val="34"/>
              <w:rPr>
                <w:highlight w:val="none"/>
              </w:rPr>
            </w:pPr>
            <w:r>
              <w:rPr>
                <w:rFonts w:hint="eastAsia"/>
                <w:highlight w:val="none"/>
              </w:rPr>
              <w:t>图3-</w:t>
            </w:r>
            <w:r>
              <w:rPr>
                <w:rFonts w:hint="eastAsia"/>
                <w:highlight w:val="none"/>
                <w:lang w:val="en-US" w:eastAsia="zh-CN"/>
              </w:rPr>
              <w:t>5</w:t>
            </w:r>
            <w:r>
              <w:rPr>
                <w:rFonts w:hint="eastAsia"/>
                <w:highlight w:val="none"/>
              </w:rPr>
              <w:t xml:space="preserve"> </w:t>
            </w:r>
            <w:r>
              <w:rPr>
                <w:rFonts w:hint="eastAsia"/>
                <w:highlight w:val="none"/>
                <w:lang w:val="en-US" w:eastAsia="zh-CN"/>
              </w:rPr>
              <w:t xml:space="preserve"> </w:t>
            </w:r>
            <w:r>
              <w:rPr>
                <w:rFonts w:hint="eastAsia"/>
                <w:highlight w:val="none"/>
              </w:rPr>
              <w:t xml:space="preserve"> 土地利用类型图</w:t>
            </w:r>
          </w:p>
          <w:p w14:paraId="077A0BE8">
            <w:pPr>
              <w:pStyle w:val="30"/>
              <w:ind w:firstLine="480"/>
              <w:rPr>
                <w:b/>
                <w:bCs/>
                <w:kern w:val="2"/>
                <w:sz w:val="24"/>
                <w:szCs w:val="24"/>
                <w:highlight w:val="none"/>
              </w:rPr>
            </w:pPr>
            <w:r>
              <w:rPr>
                <w:rFonts w:hint="eastAsia"/>
                <w:b/>
                <w:bCs/>
                <w:kern w:val="2"/>
                <w:sz w:val="24"/>
                <w:szCs w:val="24"/>
                <w:highlight w:val="none"/>
                <w:lang w:val="en-US" w:eastAsia="zh-CN"/>
              </w:rPr>
              <w:t>4.</w:t>
            </w:r>
            <w:r>
              <w:rPr>
                <w:rFonts w:hint="eastAsia"/>
                <w:b/>
                <w:bCs/>
                <w:kern w:val="2"/>
                <w:sz w:val="24"/>
                <w:szCs w:val="24"/>
                <w:highlight w:val="none"/>
              </w:rPr>
              <w:t>区域</w:t>
            </w:r>
            <w:r>
              <w:rPr>
                <w:b/>
                <w:bCs/>
                <w:kern w:val="2"/>
                <w:sz w:val="24"/>
                <w:szCs w:val="24"/>
                <w:highlight w:val="none"/>
              </w:rPr>
              <w:t>环境质量现状</w:t>
            </w:r>
            <w:bookmarkStart w:id="4" w:name="_Toc68774027"/>
            <w:bookmarkEnd w:id="4"/>
            <w:bookmarkStart w:id="5" w:name="_Toc59851101"/>
            <w:bookmarkEnd w:id="5"/>
            <w:bookmarkStart w:id="6" w:name="_Toc59266590"/>
            <w:bookmarkEnd w:id="6"/>
            <w:bookmarkStart w:id="7" w:name="_Toc58810542"/>
            <w:bookmarkEnd w:id="7"/>
            <w:bookmarkStart w:id="8" w:name="_Toc100071049"/>
            <w:bookmarkEnd w:id="8"/>
            <w:bookmarkStart w:id="9" w:name="_Toc68507198"/>
            <w:bookmarkEnd w:id="9"/>
            <w:bookmarkStart w:id="10" w:name="_Toc58646773"/>
            <w:bookmarkEnd w:id="10"/>
            <w:bookmarkStart w:id="11" w:name="_Toc58229306"/>
            <w:bookmarkEnd w:id="11"/>
            <w:bookmarkStart w:id="12" w:name="_Toc60024601"/>
            <w:bookmarkEnd w:id="12"/>
            <w:bookmarkStart w:id="13" w:name="_Toc68348238"/>
            <w:bookmarkEnd w:id="13"/>
            <w:bookmarkStart w:id="14" w:name="_Toc68749951"/>
            <w:bookmarkEnd w:id="14"/>
            <w:bookmarkStart w:id="15" w:name="_Toc68766602"/>
            <w:bookmarkEnd w:id="15"/>
            <w:bookmarkStart w:id="16" w:name="_Toc59965649"/>
            <w:bookmarkEnd w:id="16"/>
            <w:bookmarkStart w:id="17" w:name="_Toc59682789"/>
            <w:bookmarkEnd w:id="17"/>
            <w:bookmarkStart w:id="18" w:name="_Toc68686395"/>
            <w:bookmarkEnd w:id="18"/>
            <w:bookmarkStart w:id="19" w:name="_Toc58491014"/>
            <w:bookmarkEnd w:id="19"/>
            <w:bookmarkStart w:id="20" w:name="_Toc58121777"/>
            <w:bookmarkEnd w:id="20"/>
            <w:bookmarkStart w:id="21" w:name="_Toc58638882"/>
            <w:bookmarkEnd w:id="21"/>
            <w:bookmarkStart w:id="22" w:name="_Toc68582481"/>
            <w:bookmarkEnd w:id="22"/>
            <w:bookmarkStart w:id="23" w:name="_Toc58041094"/>
            <w:bookmarkEnd w:id="23"/>
            <w:bookmarkStart w:id="24" w:name="_Toc58643194"/>
            <w:bookmarkEnd w:id="24"/>
            <w:bookmarkStart w:id="25" w:name="_Toc58641493"/>
            <w:bookmarkEnd w:id="25"/>
            <w:bookmarkStart w:id="26" w:name="_Toc58314442"/>
            <w:bookmarkEnd w:id="26"/>
            <w:bookmarkStart w:id="27" w:name="_Toc58816645"/>
            <w:bookmarkEnd w:id="27"/>
            <w:bookmarkStart w:id="28" w:name="_Toc61861954"/>
            <w:bookmarkEnd w:id="28"/>
            <w:bookmarkStart w:id="29" w:name="_Toc58810455"/>
            <w:bookmarkEnd w:id="29"/>
            <w:bookmarkStart w:id="30" w:name="_Toc58731260"/>
            <w:bookmarkEnd w:id="30"/>
            <w:bookmarkStart w:id="31" w:name="_Toc68684089"/>
            <w:bookmarkEnd w:id="31"/>
            <w:bookmarkStart w:id="32" w:name="_Toc58124711"/>
            <w:bookmarkEnd w:id="32"/>
            <w:bookmarkStart w:id="33" w:name="_Toc68847870"/>
            <w:bookmarkEnd w:id="33"/>
            <w:bookmarkStart w:id="34" w:name="_Toc57868326"/>
            <w:bookmarkEnd w:id="34"/>
            <w:bookmarkStart w:id="35" w:name="_Toc68676526"/>
            <w:bookmarkEnd w:id="35"/>
            <w:bookmarkStart w:id="36" w:name="_Toc60035525"/>
            <w:bookmarkEnd w:id="36"/>
          </w:p>
          <w:p w14:paraId="6569819F">
            <w:pPr>
              <w:pStyle w:val="30"/>
              <w:rPr>
                <w:sz w:val="24"/>
                <w:highlight w:val="none"/>
              </w:rPr>
            </w:pPr>
            <w:r>
              <w:rPr>
                <w:rFonts w:hint="eastAsia"/>
                <w:sz w:val="24"/>
                <w:highlight w:val="none"/>
              </w:rPr>
              <w:t>（1）大气</w:t>
            </w:r>
            <w:r>
              <w:rPr>
                <w:sz w:val="24"/>
                <w:highlight w:val="none"/>
              </w:rPr>
              <w:t>环境质量现状</w:t>
            </w:r>
          </w:p>
          <w:p w14:paraId="32C5D065">
            <w:pPr>
              <w:pStyle w:val="30"/>
              <w:rPr>
                <w:sz w:val="24"/>
                <w:highlight w:val="none"/>
              </w:rPr>
            </w:pPr>
            <w:r>
              <w:rPr>
                <w:sz w:val="24"/>
                <w:highlight w:val="none"/>
              </w:rPr>
              <w:t>根据《环境影响评价技术导则-大气环境》（HJ2.2-2018）中城市环境空气质量达标情况评价指标为SO</w:t>
            </w:r>
            <w:r>
              <w:rPr>
                <w:sz w:val="24"/>
                <w:highlight w:val="none"/>
                <w:vertAlign w:val="subscript"/>
              </w:rPr>
              <w:t>2</w:t>
            </w:r>
            <w:r>
              <w:rPr>
                <w:sz w:val="24"/>
                <w:highlight w:val="none"/>
              </w:rPr>
              <w:t>、NO</w:t>
            </w:r>
            <w:r>
              <w:rPr>
                <w:sz w:val="24"/>
                <w:highlight w:val="none"/>
                <w:vertAlign w:val="subscript"/>
              </w:rPr>
              <w:t>2</w:t>
            </w:r>
            <w:r>
              <w:rPr>
                <w:sz w:val="24"/>
                <w:highlight w:val="none"/>
              </w:rPr>
              <w:t>、PM</w:t>
            </w:r>
            <w:r>
              <w:rPr>
                <w:sz w:val="24"/>
                <w:highlight w:val="none"/>
                <w:vertAlign w:val="subscript"/>
              </w:rPr>
              <w:t>10</w:t>
            </w:r>
            <w:r>
              <w:rPr>
                <w:sz w:val="24"/>
                <w:highlight w:val="none"/>
              </w:rPr>
              <w:t>、PM</w:t>
            </w:r>
            <w:r>
              <w:rPr>
                <w:sz w:val="24"/>
                <w:highlight w:val="none"/>
                <w:vertAlign w:val="subscript"/>
              </w:rPr>
              <w:t>2.5</w:t>
            </w:r>
            <w:r>
              <w:rPr>
                <w:sz w:val="24"/>
                <w:highlight w:val="none"/>
              </w:rPr>
              <w:t>、CO和O</w:t>
            </w:r>
            <w:r>
              <w:rPr>
                <w:sz w:val="24"/>
                <w:highlight w:val="none"/>
                <w:vertAlign w:val="subscript"/>
              </w:rPr>
              <w:t>3</w:t>
            </w:r>
            <w:r>
              <w:rPr>
                <w:sz w:val="24"/>
                <w:highlight w:val="none"/>
              </w:rPr>
              <w:t>，六项污染物全部达标即为城市环境空气质量达标。</w:t>
            </w:r>
          </w:p>
          <w:p w14:paraId="43B990C4">
            <w:pPr>
              <w:pStyle w:val="30"/>
              <w:rPr>
                <w:rFonts w:hint="eastAsia"/>
                <w:kern w:val="0"/>
                <w:sz w:val="24"/>
                <w:highlight w:val="none"/>
              </w:rPr>
            </w:pPr>
            <w:r>
              <w:rPr>
                <w:rFonts w:hint="eastAsia"/>
                <w:kern w:val="0"/>
                <w:sz w:val="24"/>
                <w:highlight w:val="none"/>
              </w:rPr>
              <w:t>根据《建设项目环境影响报告表编制技术指南（生态影响类）（试行）》，</w:t>
            </w:r>
            <w:r>
              <w:rPr>
                <w:rFonts w:hint="eastAsia"/>
                <w:kern w:val="0"/>
                <w:sz w:val="24"/>
                <w:highlight w:val="none"/>
                <w:lang w:eastAsia="zh-CN"/>
              </w:rPr>
              <w:t>“</w:t>
            </w:r>
            <w:r>
              <w:rPr>
                <w:rFonts w:hint="eastAsia"/>
                <w:kern w:val="0"/>
                <w:sz w:val="24"/>
                <w:highlight w:val="none"/>
                <w:lang w:val="en-US" w:eastAsia="zh-CN"/>
              </w:rPr>
              <w:t>不开展专项评价的环境要素，引用与项目距离近的有效数据和调查资料，包括符合时限要求的规划环境影响评价监测数据和调查资料，国家、地方环境质量监测网数据或生态环境主管部门公开发布的生态环境质量数据等；无相关数据的，大气、固定声源环境质量现状监测参照《建设项目环境影响报告表编制技术指南（污染影响类）》（试行）相关规定开展补充监测</w:t>
            </w:r>
            <w:r>
              <w:rPr>
                <w:rFonts w:hint="eastAsia"/>
                <w:kern w:val="0"/>
                <w:sz w:val="24"/>
                <w:highlight w:val="none"/>
                <w:lang w:eastAsia="zh-CN"/>
              </w:rPr>
              <w:t>”</w:t>
            </w:r>
            <w:r>
              <w:rPr>
                <w:rFonts w:hint="eastAsia"/>
                <w:kern w:val="0"/>
                <w:sz w:val="24"/>
                <w:highlight w:val="none"/>
                <w:lang w:val="en-US" w:eastAsia="zh-CN"/>
              </w:rPr>
              <w:t>。</w:t>
            </w:r>
          </w:p>
          <w:p w14:paraId="3618E49F">
            <w:pPr>
              <w:pStyle w:val="30"/>
              <w:rPr>
                <w:rFonts w:hint="eastAsia"/>
                <w:sz w:val="24"/>
                <w:highlight w:val="none"/>
              </w:rPr>
            </w:pPr>
            <w:r>
              <w:rPr>
                <w:rFonts w:ascii="Times New Roman" w:hAnsi="Times New Roman" w:eastAsia="宋体" w:cs="Times New Roman"/>
                <w:sz w:val="24"/>
                <w:highlight w:val="none"/>
              </w:rPr>
              <w:t>根据《环境影响评价技术导则 大气环境》（HJ2.2-2018）的规定，项目所在区域环境空气质量达标判定，优先采用国家或</w:t>
            </w:r>
            <w:r>
              <w:rPr>
                <w:sz w:val="24"/>
                <w:highlight w:val="none"/>
              </w:rPr>
              <w:t>地方生态环境主管部门公开发布的评价基准年环境质量公告或环境质量报告中的数据或结论。</w:t>
            </w:r>
            <w:r>
              <w:rPr>
                <w:spacing w:val="-3"/>
                <w:sz w:val="24"/>
                <w:highlight w:val="none"/>
              </w:rPr>
              <w:t>根据内蒙古自治区生态环境厅202</w:t>
            </w:r>
            <w:r>
              <w:rPr>
                <w:rFonts w:hint="eastAsia"/>
                <w:spacing w:val="-3"/>
                <w:sz w:val="24"/>
                <w:highlight w:val="none"/>
              </w:rPr>
              <w:t>5</w:t>
            </w:r>
            <w:r>
              <w:rPr>
                <w:spacing w:val="-3"/>
                <w:sz w:val="24"/>
                <w:highlight w:val="none"/>
              </w:rPr>
              <w:t>年</w:t>
            </w:r>
            <w:r>
              <w:rPr>
                <w:rFonts w:hint="eastAsia"/>
                <w:spacing w:val="-3"/>
                <w:sz w:val="24"/>
                <w:highlight w:val="none"/>
              </w:rPr>
              <w:t>5</w:t>
            </w:r>
            <w:r>
              <w:rPr>
                <w:spacing w:val="-3"/>
                <w:sz w:val="24"/>
                <w:highlight w:val="none"/>
              </w:rPr>
              <w:t>月</w:t>
            </w:r>
            <w:r>
              <w:rPr>
                <w:rFonts w:hint="eastAsia"/>
                <w:spacing w:val="-3"/>
                <w:sz w:val="24"/>
                <w:highlight w:val="none"/>
              </w:rPr>
              <w:t>29</w:t>
            </w:r>
            <w:r>
              <w:rPr>
                <w:spacing w:val="-3"/>
                <w:sz w:val="24"/>
                <w:highlight w:val="none"/>
              </w:rPr>
              <w:t>日发布的《</w:t>
            </w:r>
            <w:bookmarkStart w:id="37" w:name="OLE_LINK11"/>
            <w:r>
              <w:rPr>
                <w:spacing w:val="-3"/>
                <w:sz w:val="24"/>
                <w:highlight w:val="none"/>
              </w:rPr>
              <w:t>202</w:t>
            </w:r>
            <w:r>
              <w:rPr>
                <w:rFonts w:hint="eastAsia"/>
                <w:spacing w:val="-3"/>
                <w:sz w:val="24"/>
                <w:highlight w:val="none"/>
              </w:rPr>
              <w:t>4</w:t>
            </w:r>
            <w:r>
              <w:rPr>
                <w:rFonts w:hint="eastAsia"/>
                <w:spacing w:val="-3"/>
                <w:sz w:val="24"/>
                <w:highlight w:val="none"/>
                <w:lang w:eastAsia="zh-CN"/>
              </w:rPr>
              <w:t>年</w:t>
            </w:r>
            <w:r>
              <w:rPr>
                <w:spacing w:val="-3"/>
                <w:sz w:val="24"/>
                <w:highlight w:val="none"/>
              </w:rPr>
              <w:t>内蒙古自治区生态环境状况公报</w:t>
            </w:r>
            <w:bookmarkEnd w:id="37"/>
            <w:r>
              <w:rPr>
                <w:spacing w:val="-3"/>
                <w:sz w:val="24"/>
                <w:highlight w:val="none"/>
              </w:rPr>
              <w:t>》，</w:t>
            </w:r>
            <w:r>
              <w:rPr>
                <w:rFonts w:hint="eastAsia"/>
                <w:spacing w:val="-3"/>
                <w:sz w:val="24"/>
                <w:highlight w:val="none"/>
              </w:rPr>
              <w:t>2024年全区环境空气六项污染物年均浓度均达标。</w:t>
            </w:r>
            <w:r>
              <w:rPr>
                <w:rFonts w:ascii="Times New Roman" w:hAnsi="Times New Roman" w:eastAsia="宋体" w:cs="Times New Roman"/>
                <w:sz w:val="24"/>
                <w:highlight w:val="none"/>
              </w:rPr>
              <w:t>本项目位于</w:t>
            </w:r>
            <w:r>
              <w:rPr>
                <w:rFonts w:ascii="Times New Roman" w:hAnsi="Times New Roman" w:eastAsia="宋体" w:cs="Times New Roman"/>
                <w:sz w:val="24"/>
                <w:highlight w:val="none"/>
                <w:lang w:val="en-US" w:eastAsia="zh-CN"/>
              </w:rPr>
              <w:t>内蒙古自治区鄂尔多斯</w:t>
            </w:r>
            <w:r>
              <w:rPr>
                <w:rFonts w:hint="eastAsia" w:cs="Times New Roman"/>
                <w:sz w:val="24"/>
                <w:highlight w:val="none"/>
                <w:lang w:val="en-US" w:eastAsia="zh-CN"/>
              </w:rPr>
              <w:t>市</w:t>
            </w:r>
            <w:r>
              <w:rPr>
                <w:rFonts w:ascii="Times New Roman" w:hAnsi="Times New Roman" w:eastAsia="宋体" w:cs="Times New Roman"/>
                <w:sz w:val="24"/>
                <w:highlight w:val="none"/>
                <w:lang w:val="en-US" w:eastAsia="zh-CN"/>
              </w:rPr>
              <w:t>杭锦旗独贵塔拉工业园区</w:t>
            </w:r>
            <w:r>
              <w:rPr>
                <w:rFonts w:hint="eastAsia" w:cs="Times New Roman"/>
                <w:sz w:val="24"/>
                <w:highlight w:val="none"/>
                <w:lang w:val="en-US" w:eastAsia="zh-CN"/>
              </w:rPr>
              <w:t>，</w:t>
            </w:r>
            <w:r>
              <w:rPr>
                <w:rFonts w:hint="eastAsia"/>
                <w:spacing w:val="-3"/>
                <w:sz w:val="24"/>
                <w:highlight w:val="none"/>
                <w:lang w:val="en-US" w:eastAsia="zh-CN"/>
              </w:rPr>
              <w:t>处于达标区域。</w:t>
            </w:r>
          </w:p>
          <w:p w14:paraId="682DB4A8">
            <w:pPr>
              <w:pStyle w:val="30"/>
              <w:rPr>
                <w:sz w:val="24"/>
                <w:highlight w:val="none"/>
              </w:rPr>
            </w:pPr>
            <w:r>
              <w:rPr>
                <w:rFonts w:hint="eastAsia"/>
                <w:sz w:val="24"/>
                <w:highlight w:val="none"/>
              </w:rPr>
              <w:t>其他污染物环境质量现状：本项目管道正常运行</w:t>
            </w:r>
            <w:r>
              <w:rPr>
                <w:rFonts w:hint="eastAsia"/>
                <w:sz w:val="24"/>
                <w:highlight w:val="none"/>
                <w:lang w:val="en-US" w:eastAsia="zh-CN"/>
              </w:rPr>
              <w:t>时</w:t>
            </w:r>
            <w:r>
              <w:rPr>
                <w:rFonts w:hint="eastAsia"/>
                <w:sz w:val="24"/>
                <w:highlight w:val="none"/>
              </w:rPr>
              <w:t>无废气排放，不开展特征污染物大气环境质量现状监测。</w:t>
            </w:r>
          </w:p>
          <w:p w14:paraId="2F82A076">
            <w:pPr>
              <w:pStyle w:val="30"/>
              <w:ind w:firstLine="480"/>
              <w:rPr>
                <w:kern w:val="2"/>
                <w:highlight w:val="none"/>
              </w:rPr>
            </w:pPr>
            <w:r>
              <w:rPr>
                <w:rFonts w:hint="eastAsia"/>
                <w:kern w:val="2"/>
                <w:highlight w:val="none"/>
              </w:rPr>
              <w:t>（2）声</w:t>
            </w:r>
            <w:r>
              <w:rPr>
                <w:kern w:val="2"/>
                <w:highlight w:val="none"/>
              </w:rPr>
              <w:t>环境质量现状</w:t>
            </w:r>
          </w:p>
          <w:p w14:paraId="2991BC36">
            <w:pPr>
              <w:pStyle w:val="30"/>
              <w:rPr>
                <w:rFonts w:hint="eastAsia"/>
                <w:kern w:val="0"/>
                <w:sz w:val="24"/>
                <w:highlight w:val="none"/>
              </w:rPr>
            </w:pPr>
            <w:r>
              <w:rPr>
                <w:rFonts w:hint="default" w:ascii="Times New Roman" w:hAnsi="Times New Roman" w:eastAsia="宋体" w:cs="Times New Roman"/>
                <w:b w:val="0"/>
                <w:bCs/>
                <w:color w:val="000000"/>
                <w:kern w:val="2"/>
                <w:sz w:val="24"/>
                <w:szCs w:val="24"/>
                <w:highlight w:val="none"/>
                <w:lang w:val="en-US" w:eastAsia="zh-CN"/>
              </w:rPr>
              <w:t>根据《建设项目环境影响报告</w:t>
            </w:r>
            <w:r>
              <w:rPr>
                <w:rFonts w:hint="eastAsia" w:cs="Times New Roman"/>
                <w:b w:val="0"/>
                <w:bCs/>
                <w:color w:val="000000"/>
                <w:kern w:val="2"/>
                <w:sz w:val="24"/>
                <w:szCs w:val="24"/>
                <w:highlight w:val="none"/>
                <w:lang w:val="en-US" w:eastAsia="zh-CN"/>
              </w:rPr>
              <w:t>表</w:t>
            </w:r>
            <w:r>
              <w:rPr>
                <w:rFonts w:hint="default" w:ascii="Times New Roman" w:hAnsi="Times New Roman" w:eastAsia="宋体" w:cs="Times New Roman"/>
                <w:b w:val="0"/>
                <w:bCs/>
                <w:color w:val="000000"/>
                <w:kern w:val="2"/>
                <w:sz w:val="24"/>
                <w:szCs w:val="24"/>
                <w:highlight w:val="none"/>
                <w:lang w:val="en-US" w:eastAsia="zh-CN"/>
              </w:rPr>
              <w:t>编制技术指南（生态影响类）》（试行），</w:t>
            </w:r>
            <w:r>
              <w:rPr>
                <w:rFonts w:hint="eastAsia" w:cs="Times New Roman"/>
                <w:b w:val="0"/>
                <w:bCs/>
                <w:color w:val="000000"/>
                <w:kern w:val="2"/>
                <w:sz w:val="24"/>
                <w:szCs w:val="24"/>
                <w:highlight w:val="none"/>
                <w:lang w:val="en-US" w:eastAsia="zh-CN"/>
              </w:rPr>
              <w:t>“</w:t>
            </w:r>
            <w:r>
              <w:rPr>
                <w:rFonts w:hint="default" w:ascii="Times New Roman" w:hAnsi="Times New Roman" w:eastAsia="宋体" w:cs="Times New Roman"/>
                <w:b w:val="0"/>
                <w:bCs/>
                <w:color w:val="000000"/>
                <w:kern w:val="2"/>
                <w:sz w:val="24"/>
                <w:szCs w:val="24"/>
                <w:highlight w:val="none"/>
                <w:lang w:val="en-US" w:eastAsia="zh-CN"/>
              </w:rPr>
              <w:t>不开展专项评价的环境要素，引用与项目距离近的有效数据和调查资料，无相关数据的，大气、固定声源环境质量现状监测参照《建设项目环境影响报告表编制技术指南（污染影响类）》（试行）</w:t>
            </w:r>
            <w:r>
              <w:rPr>
                <w:rFonts w:hint="eastAsia" w:cs="Times New Roman"/>
                <w:b w:val="0"/>
                <w:bCs/>
                <w:color w:val="000000"/>
                <w:kern w:val="2"/>
                <w:sz w:val="24"/>
                <w:szCs w:val="24"/>
                <w:highlight w:val="none"/>
                <w:lang w:val="en-US" w:eastAsia="zh-CN"/>
              </w:rPr>
              <w:t>”</w:t>
            </w:r>
            <w:r>
              <w:rPr>
                <w:rFonts w:hint="default" w:ascii="Times New Roman" w:hAnsi="Times New Roman" w:eastAsia="宋体" w:cs="Times New Roman"/>
                <w:b w:val="0"/>
                <w:bCs/>
                <w:color w:val="000000"/>
                <w:kern w:val="2"/>
                <w:sz w:val="24"/>
                <w:szCs w:val="24"/>
                <w:highlight w:val="none"/>
                <w:lang w:val="en-US" w:eastAsia="zh-CN"/>
              </w:rPr>
              <w:t>。</w:t>
            </w:r>
          </w:p>
          <w:p w14:paraId="6C8C9E64">
            <w:pPr>
              <w:pStyle w:val="30"/>
              <w:rPr>
                <w:rFonts w:hint="eastAsia"/>
                <w:b/>
                <w:bCs/>
                <w:sz w:val="24"/>
                <w:highlight w:val="none"/>
              </w:rPr>
            </w:pPr>
            <w:r>
              <w:rPr>
                <w:rFonts w:hint="eastAsia"/>
                <w:kern w:val="0"/>
                <w:sz w:val="24"/>
                <w:highlight w:val="none"/>
              </w:rPr>
              <w:t>本项目</w:t>
            </w:r>
            <w:r>
              <w:rPr>
                <w:rFonts w:hint="eastAsia"/>
                <w:kern w:val="0"/>
                <w:sz w:val="24"/>
                <w:highlight w:val="none"/>
                <w:lang w:val="en-US" w:eastAsia="zh-CN"/>
              </w:rPr>
              <w:t>管线</w:t>
            </w:r>
            <w:r>
              <w:rPr>
                <w:rFonts w:hint="eastAsia"/>
                <w:kern w:val="0"/>
                <w:sz w:val="24"/>
                <w:highlight w:val="none"/>
              </w:rPr>
              <w:t>周围</w:t>
            </w:r>
            <w:r>
              <w:rPr>
                <w:rFonts w:hint="eastAsia"/>
                <w:kern w:val="0"/>
                <w:sz w:val="24"/>
                <w:highlight w:val="none"/>
                <w:lang w:val="en-US" w:eastAsia="zh-CN"/>
              </w:rPr>
              <w:t>50</w:t>
            </w:r>
            <w:r>
              <w:rPr>
                <w:rFonts w:hint="eastAsia"/>
                <w:kern w:val="0"/>
                <w:sz w:val="24"/>
                <w:highlight w:val="none"/>
              </w:rPr>
              <w:t>m</w:t>
            </w:r>
            <w:r>
              <w:rPr>
                <w:rFonts w:hint="eastAsia"/>
                <w:kern w:val="0"/>
                <w:sz w:val="24"/>
                <w:highlight w:val="none"/>
                <w:lang w:val="en-US" w:eastAsia="zh-CN"/>
              </w:rPr>
              <w:t>范围内</w:t>
            </w:r>
            <w:r>
              <w:rPr>
                <w:rFonts w:hint="eastAsia"/>
                <w:kern w:val="0"/>
                <w:sz w:val="24"/>
                <w:highlight w:val="none"/>
              </w:rPr>
              <w:t>无</w:t>
            </w:r>
            <w:r>
              <w:rPr>
                <w:rFonts w:hint="eastAsia"/>
                <w:kern w:val="0"/>
                <w:sz w:val="24"/>
                <w:highlight w:val="none"/>
                <w:lang w:val="en-US" w:eastAsia="zh-CN"/>
              </w:rPr>
              <w:t>声环境保护目标</w:t>
            </w:r>
            <w:r>
              <w:rPr>
                <w:rFonts w:hint="eastAsia"/>
                <w:kern w:val="0"/>
                <w:sz w:val="24"/>
                <w:highlight w:val="none"/>
              </w:rPr>
              <w:t>，根据《建设项目环境影响报告表编制技术指南（生态影响类）（试行）》《建设项目环境影响报告表编制技术指南（</w:t>
            </w:r>
            <w:r>
              <w:rPr>
                <w:rFonts w:hint="eastAsia"/>
                <w:kern w:val="0"/>
                <w:sz w:val="24"/>
                <w:highlight w:val="none"/>
                <w:lang w:val="en-US" w:eastAsia="zh-CN"/>
              </w:rPr>
              <w:t>污染</w:t>
            </w:r>
            <w:r>
              <w:rPr>
                <w:rFonts w:hint="eastAsia"/>
                <w:kern w:val="0"/>
                <w:sz w:val="24"/>
                <w:highlight w:val="none"/>
              </w:rPr>
              <w:t>影响类）（试行）</w:t>
            </w:r>
            <w:r>
              <w:rPr>
                <w:rFonts w:hint="eastAsia"/>
                <w:kern w:val="0"/>
                <w:sz w:val="24"/>
                <w:highlight w:val="none"/>
                <w:lang w:eastAsia="zh-CN"/>
              </w:rPr>
              <w:t>》</w:t>
            </w:r>
            <w:r>
              <w:rPr>
                <w:rFonts w:hint="eastAsia"/>
                <w:kern w:val="0"/>
                <w:sz w:val="24"/>
                <w:highlight w:val="none"/>
              </w:rPr>
              <w:t>，</w:t>
            </w:r>
            <w:r>
              <w:rPr>
                <w:rFonts w:hint="eastAsia"/>
                <w:kern w:val="0"/>
                <w:sz w:val="24"/>
                <w:highlight w:val="none"/>
                <w:lang w:val="en-US" w:eastAsia="zh-CN"/>
              </w:rPr>
              <w:t>本次评价不开展声环境质量现状监测</w:t>
            </w:r>
            <w:r>
              <w:rPr>
                <w:rFonts w:hint="eastAsia"/>
                <w:kern w:val="0"/>
                <w:sz w:val="24"/>
                <w:highlight w:val="none"/>
              </w:rPr>
              <w:t>。</w:t>
            </w:r>
          </w:p>
          <w:p w14:paraId="72F31D37">
            <w:pPr>
              <w:pStyle w:val="30"/>
              <w:ind w:firstLine="480"/>
              <w:rPr>
                <w:rFonts w:hint="eastAsia" w:ascii="Times New Roman" w:hAnsi="Times New Roman" w:eastAsia="宋体" w:cs="Times New Roman"/>
                <w:kern w:val="2"/>
                <w:highlight w:val="none"/>
              </w:rPr>
            </w:pPr>
            <w:r>
              <w:rPr>
                <w:rFonts w:hint="eastAsia" w:ascii="Times New Roman" w:hAnsi="Times New Roman" w:eastAsia="宋体" w:cs="Times New Roman"/>
                <w:kern w:val="2"/>
                <w:highlight w:val="none"/>
                <w:lang w:eastAsia="zh-CN"/>
              </w:rPr>
              <w:t>（</w:t>
            </w:r>
            <w:r>
              <w:rPr>
                <w:rFonts w:hint="eastAsia" w:ascii="Times New Roman" w:hAnsi="Times New Roman" w:eastAsia="宋体" w:cs="Times New Roman"/>
                <w:kern w:val="2"/>
                <w:highlight w:val="none"/>
                <w:lang w:val="en-US" w:eastAsia="zh-CN"/>
              </w:rPr>
              <w:t>3</w:t>
            </w:r>
            <w:r>
              <w:rPr>
                <w:rFonts w:hint="eastAsia" w:ascii="Times New Roman" w:hAnsi="Times New Roman" w:eastAsia="宋体" w:cs="Times New Roman"/>
                <w:kern w:val="2"/>
                <w:highlight w:val="none"/>
                <w:lang w:eastAsia="zh-CN"/>
              </w:rPr>
              <w:t>）</w:t>
            </w:r>
            <w:r>
              <w:rPr>
                <w:rFonts w:hint="eastAsia" w:cs="Times New Roman"/>
                <w:kern w:val="2"/>
                <w:highlight w:val="none"/>
                <w:lang w:val="en-US" w:eastAsia="zh-CN"/>
              </w:rPr>
              <w:t>地下</w:t>
            </w:r>
            <w:r>
              <w:rPr>
                <w:rFonts w:hint="eastAsia" w:ascii="Times New Roman" w:hAnsi="Times New Roman" w:eastAsia="宋体" w:cs="Times New Roman"/>
                <w:kern w:val="2"/>
                <w:highlight w:val="none"/>
              </w:rPr>
              <w:t>水环境</w:t>
            </w:r>
          </w:p>
          <w:p w14:paraId="2A103C6B">
            <w:pPr>
              <w:pStyle w:val="30"/>
              <w:adjustRightInd w:val="0"/>
              <w:snapToGrid w:val="0"/>
              <w:ind w:firstLineChars="200"/>
              <w:rPr>
                <w:rFonts w:hint="eastAsia"/>
                <w:kern w:val="0"/>
                <w:sz w:val="24"/>
                <w:highlight w:val="none"/>
              </w:rPr>
            </w:pPr>
            <w:r>
              <w:rPr>
                <w:rFonts w:hint="eastAsia"/>
                <w:kern w:val="0"/>
                <w:sz w:val="24"/>
                <w:highlight w:val="none"/>
              </w:rPr>
              <w:t>根据《建设项目环境影响报告表编制技术指南（生态影响类）（试行）》，</w:t>
            </w:r>
            <w:r>
              <w:rPr>
                <w:rFonts w:hint="eastAsia"/>
                <w:kern w:val="0"/>
                <w:sz w:val="24"/>
                <w:highlight w:val="none"/>
                <w:lang w:val="en-US" w:eastAsia="zh-CN"/>
              </w:rPr>
              <w:t>不开展专项评价的环境要素</w:t>
            </w:r>
            <w:r>
              <w:rPr>
                <w:rFonts w:hint="eastAsia"/>
                <w:kern w:val="0"/>
                <w:sz w:val="24"/>
                <w:highlight w:val="none"/>
                <w:lang w:eastAsia="zh-CN"/>
              </w:rPr>
              <w:t>“</w:t>
            </w:r>
            <w:r>
              <w:rPr>
                <w:rFonts w:hint="eastAsia"/>
                <w:kern w:val="0"/>
                <w:sz w:val="24"/>
                <w:highlight w:val="none"/>
                <w:lang w:val="en-US" w:eastAsia="zh-CN"/>
              </w:rPr>
              <w:t>水、生态、土壤等其他环境要素参照环境影响评价相关技术导则开展补充监测和调查</w:t>
            </w:r>
            <w:r>
              <w:rPr>
                <w:rFonts w:hint="eastAsia"/>
                <w:kern w:val="0"/>
                <w:sz w:val="24"/>
                <w:highlight w:val="none"/>
                <w:lang w:eastAsia="zh-CN"/>
              </w:rPr>
              <w:t>”</w:t>
            </w:r>
            <w:r>
              <w:rPr>
                <w:rFonts w:hint="eastAsia"/>
                <w:kern w:val="0"/>
                <w:sz w:val="24"/>
                <w:highlight w:val="none"/>
                <w:lang w:val="en-US" w:eastAsia="zh-CN"/>
              </w:rPr>
              <w:t>。</w:t>
            </w:r>
          </w:p>
          <w:p w14:paraId="701F30D4">
            <w:pPr>
              <w:pStyle w:val="30"/>
              <w:ind w:firstLine="480"/>
              <w:rPr>
                <w:rFonts w:hint="default" w:cs="Times New Roman"/>
                <w:kern w:val="2"/>
                <w:highlight w:val="none"/>
                <w:lang w:val="en-US" w:eastAsia="zh-CN"/>
              </w:rPr>
            </w:pPr>
            <w:r>
              <w:rPr>
                <w:rFonts w:hint="eastAsia" w:cs="Times New Roman"/>
                <w:kern w:val="2"/>
                <w:highlight w:val="none"/>
                <w:lang w:val="en-US" w:eastAsia="zh-CN"/>
              </w:rPr>
              <w:t>根据《环境影响评价技术导则 地下水环境》（HJ610-2016），项目属于“L石化、化工89.化学品输送管线”报告表编制类别，</w:t>
            </w:r>
            <w:r>
              <w:rPr>
                <w:rFonts w:hint="eastAsia"/>
                <w:kern w:val="0"/>
                <w:sz w:val="24"/>
                <w:highlight w:val="none"/>
                <w:lang w:val="en-US" w:eastAsia="zh-CN"/>
              </w:rPr>
              <w:t>本次评价不</w:t>
            </w:r>
            <w:r>
              <w:rPr>
                <w:rFonts w:hint="eastAsia" w:cs="Times New Roman"/>
                <w:kern w:val="2"/>
                <w:highlight w:val="none"/>
                <w:lang w:val="en-US" w:eastAsia="zh-CN"/>
              </w:rPr>
              <w:t>开展地下水评价。U城市基础设施及房地产147、管网建设，报告表编制类别属于Ⅳ类。</w:t>
            </w:r>
          </w:p>
          <w:p w14:paraId="45AB0180">
            <w:pPr>
              <w:pStyle w:val="30"/>
              <w:ind w:firstLine="480"/>
              <w:rPr>
                <w:rFonts w:hint="default" w:cs="Times New Roman"/>
                <w:kern w:val="2"/>
                <w:highlight w:val="none"/>
                <w:lang w:val="en-US" w:eastAsia="zh-CN"/>
              </w:rPr>
            </w:pPr>
            <w:r>
              <w:rPr>
                <w:rFonts w:hint="eastAsia" w:cs="Times New Roman"/>
                <w:kern w:val="2"/>
                <w:highlight w:val="none"/>
                <w:lang w:val="en-US" w:eastAsia="zh-CN"/>
              </w:rPr>
              <w:t>（4）土壤环境</w:t>
            </w:r>
          </w:p>
          <w:p w14:paraId="7D7C950B">
            <w:pPr>
              <w:pStyle w:val="30"/>
              <w:adjustRightInd w:val="0"/>
              <w:snapToGrid w:val="0"/>
              <w:ind w:firstLineChars="200"/>
              <w:rPr>
                <w:rFonts w:hint="eastAsia"/>
                <w:kern w:val="0"/>
                <w:sz w:val="24"/>
                <w:highlight w:val="none"/>
              </w:rPr>
            </w:pPr>
            <w:r>
              <w:rPr>
                <w:rFonts w:hint="eastAsia"/>
                <w:kern w:val="0"/>
                <w:sz w:val="24"/>
                <w:highlight w:val="none"/>
              </w:rPr>
              <w:t>根据《建设项目环境影响报告表编制技术指南（生态影响类）（试行）》，</w:t>
            </w:r>
            <w:r>
              <w:rPr>
                <w:rFonts w:hint="eastAsia"/>
                <w:kern w:val="0"/>
                <w:sz w:val="24"/>
                <w:highlight w:val="none"/>
                <w:lang w:val="en-US" w:eastAsia="zh-CN"/>
              </w:rPr>
              <w:t>不开展专项评价的环境要素</w:t>
            </w:r>
            <w:r>
              <w:rPr>
                <w:rFonts w:hint="eastAsia"/>
                <w:kern w:val="0"/>
                <w:sz w:val="24"/>
                <w:highlight w:val="none"/>
                <w:lang w:eastAsia="zh-CN"/>
              </w:rPr>
              <w:t>“</w:t>
            </w:r>
            <w:r>
              <w:rPr>
                <w:rFonts w:hint="eastAsia"/>
                <w:kern w:val="0"/>
                <w:sz w:val="24"/>
                <w:highlight w:val="none"/>
                <w:lang w:val="en-US" w:eastAsia="zh-CN"/>
              </w:rPr>
              <w:t>水、生态、土壤等其他环境要素参照环境影响评价相关技术导则开展补充监测和调查</w:t>
            </w:r>
            <w:r>
              <w:rPr>
                <w:rFonts w:hint="eastAsia"/>
                <w:kern w:val="0"/>
                <w:sz w:val="24"/>
                <w:highlight w:val="none"/>
                <w:lang w:eastAsia="zh-CN"/>
              </w:rPr>
              <w:t>”</w:t>
            </w:r>
            <w:r>
              <w:rPr>
                <w:rFonts w:hint="eastAsia"/>
                <w:kern w:val="0"/>
                <w:sz w:val="24"/>
                <w:highlight w:val="none"/>
                <w:lang w:val="en-US" w:eastAsia="zh-CN"/>
              </w:rPr>
              <w:t>。</w:t>
            </w:r>
          </w:p>
          <w:p w14:paraId="562B9543">
            <w:pPr>
              <w:pStyle w:val="30"/>
              <w:ind w:firstLine="480"/>
              <w:rPr>
                <w:rFonts w:hint="eastAsia" w:eastAsia="宋体"/>
                <w:highlight w:val="none"/>
                <w:lang w:val="en-US" w:eastAsia="zh-CN"/>
              </w:rPr>
            </w:pPr>
            <w:r>
              <w:rPr>
                <w:rFonts w:hint="eastAsia" w:cs="Times New Roman"/>
                <w:kern w:val="2"/>
                <w:highlight w:val="none"/>
                <w:lang w:val="en-US" w:eastAsia="zh-CN"/>
              </w:rPr>
              <w:t>根据《环境影响评价技术导则 土壤环境》（HJ964-2018），项目属于“交通运输仓储邮政业 其他”，</w:t>
            </w:r>
            <w:r>
              <w:rPr>
                <w:rFonts w:hint="eastAsia"/>
                <w:kern w:val="0"/>
                <w:sz w:val="24"/>
                <w:highlight w:val="none"/>
                <w:lang w:val="en-US" w:eastAsia="zh-CN"/>
              </w:rPr>
              <w:t>本次评价不</w:t>
            </w:r>
            <w:r>
              <w:rPr>
                <w:rFonts w:hint="eastAsia" w:cs="Times New Roman"/>
                <w:kern w:val="2"/>
                <w:highlight w:val="none"/>
                <w:lang w:val="en-US" w:eastAsia="zh-CN"/>
              </w:rPr>
              <w:t>开展土壤评价。</w:t>
            </w:r>
          </w:p>
        </w:tc>
      </w:tr>
    </w:tbl>
    <w:p w14:paraId="4D031977">
      <w:pPr>
        <w:adjustRightInd w:val="0"/>
        <w:snapToGrid w:val="0"/>
        <w:jc w:val="center"/>
        <w:rPr>
          <w:rFonts w:hint="eastAsia" w:ascii="宋体" w:hAnsi="宋体"/>
          <w:bCs/>
          <w:sz w:val="24"/>
          <w:highlight w:val="none"/>
        </w:rPr>
        <w:sectPr>
          <w:pgSz w:w="11906" w:h="16838"/>
          <w:pgMar w:top="1701" w:right="1701" w:bottom="1701" w:left="1701" w:header="851" w:footer="1077" w:gutter="0"/>
          <w:pgNumType w:fmt="decimal"/>
          <w:cols w:space="720" w:num="1"/>
          <w:docGrid w:linePitch="312" w:charSpace="0"/>
        </w:sectPr>
      </w:pPr>
    </w:p>
    <w:tbl>
      <w:tblPr>
        <w:tblStyle w:val="19"/>
        <w:tblW w:w="895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56"/>
        <w:gridCol w:w="8494"/>
      </w:tblGrid>
      <w:tr w14:paraId="020AED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26" w:hRule="atLeast"/>
          <w:jc w:val="center"/>
        </w:trPr>
        <w:tc>
          <w:tcPr>
            <w:tcW w:w="456" w:type="dxa"/>
            <w:noWrap w:val="0"/>
            <w:vAlign w:val="center"/>
          </w:tcPr>
          <w:p w14:paraId="73BB0F5E">
            <w:pPr>
              <w:adjustRightInd w:val="0"/>
              <w:snapToGrid w:val="0"/>
              <w:jc w:val="center"/>
              <w:rPr>
                <w:rFonts w:ascii="宋体" w:hAnsi="宋体" w:cs="宋体"/>
                <w:kern w:val="0"/>
                <w:szCs w:val="21"/>
                <w:highlight w:val="none"/>
              </w:rPr>
            </w:pPr>
            <w:r>
              <w:rPr>
                <w:rFonts w:hint="eastAsia" w:ascii="宋体" w:hAnsi="宋体"/>
                <w:bCs/>
                <w:sz w:val="24"/>
                <w:highlight w:val="none"/>
              </w:rPr>
              <w:t>与项目有关的原有环境污染和生态破坏问题</w:t>
            </w:r>
          </w:p>
        </w:tc>
        <w:tc>
          <w:tcPr>
            <w:tcW w:w="8494" w:type="dxa"/>
            <w:noWrap w:val="0"/>
            <w:vAlign w:val="center"/>
          </w:tcPr>
          <w:p w14:paraId="0FB420AF">
            <w:pPr>
              <w:spacing w:line="360" w:lineRule="auto"/>
              <w:rPr>
                <w:rFonts w:hint="eastAsia" w:eastAsia="宋体"/>
                <w:b/>
                <w:bCs/>
                <w:sz w:val="24"/>
                <w:highlight w:val="none"/>
                <w:lang w:val="en-US" w:eastAsia="zh-CN"/>
              </w:rPr>
            </w:pPr>
            <w:bookmarkStart w:id="38" w:name="_Toc71147190"/>
            <w:bookmarkStart w:id="39" w:name="_Toc55477239"/>
            <w:r>
              <w:rPr>
                <w:rFonts w:hint="eastAsia"/>
                <w:b/>
                <w:bCs/>
                <w:sz w:val="24"/>
                <w:highlight w:val="none"/>
                <w:lang w:val="en-US" w:eastAsia="zh-CN"/>
              </w:rPr>
              <w:t>一、</w:t>
            </w:r>
            <w:r>
              <w:rPr>
                <w:b/>
                <w:bCs/>
                <w:sz w:val="24"/>
                <w:highlight w:val="none"/>
              </w:rPr>
              <w:t>内蒙古伊泰化工有限责任公司120万吨/年精细化学品示范项目</w:t>
            </w:r>
            <w:r>
              <w:rPr>
                <w:rFonts w:hint="eastAsia"/>
                <w:b/>
                <w:bCs/>
                <w:sz w:val="24"/>
                <w:highlight w:val="none"/>
                <w:lang w:val="en-US" w:eastAsia="zh-CN"/>
              </w:rPr>
              <w:t>基本情况</w:t>
            </w:r>
          </w:p>
          <w:p w14:paraId="2D14A202">
            <w:pPr>
              <w:spacing w:line="360" w:lineRule="auto"/>
              <w:ind w:firstLine="480"/>
              <w:rPr>
                <w:rFonts w:hint="default" w:eastAsia="宋体"/>
                <w:sz w:val="24"/>
                <w:highlight w:val="none"/>
                <w:lang w:val="en-US" w:eastAsia="zh-CN"/>
              </w:rPr>
            </w:pPr>
            <w:r>
              <w:rPr>
                <w:rFonts w:hint="eastAsia"/>
                <w:sz w:val="24"/>
                <w:highlight w:val="none"/>
                <w:lang w:val="en-US" w:eastAsia="zh-CN"/>
              </w:rPr>
              <w:t>1.基本情况</w:t>
            </w:r>
          </w:p>
          <w:p w14:paraId="243D682E">
            <w:pPr>
              <w:spacing w:line="360" w:lineRule="auto"/>
              <w:ind w:firstLine="480"/>
              <w:rPr>
                <w:rFonts w:hint="default" w:ascii="Times New Roman" w:hAnsi="Times New Roman" w:cs="Times New Roman"/>
                <w:sz w:val="24"/>
                <w:highlight w:val="none"/>
              </w:rPr>
            </w:pPr>
            <w:r>
              <w:rPr>
                <w:rFonts w:hint="default" w:ascii="Times New Roman" w:hAnsi="Times New Roman" w:cs="Times New Roman"/>
                <w:sz w:val="24"/>
                <w:highlight w:val="none"/>
              </w:rPr>
              <w:t>建设地点：内蒙古鄂尔多斯杭锦经济开发区独贵塔拉产业园南项目区。</w:t>
            </w:r>
          </w:p>
          <w:p w14:paraId="55CCE402">
            <w:pPr>
              <w:spacing w:line="360" w:lineRule="auto"/>
              <w:ind w:firstLine="480"/>
              <w:rPr>
                <w:rFonts w:hint="default" w:ascii="Times New Roman" w:hAnsi="Times New Roman" w:cs="Times New Roman"/>
                <w:sz w:val="24"/>
                <w:highlight w:val="none"/>
              </w:rPr>
            </w:pPr>
            <w:r>
              <w:rPr>
                <w:rFonts w:hint="default" w:ascii="Times New Roman" w:hAnsi="Times New Roman" w:cs="Times New Roman"/>
                <w:sz w:val="24"/>
                <w:highlight w:val="none"/>
              </w:rPr>
              <w:t>建设单位：内蒙古伊泰化工有限责任公司。</w:t>
            </w:r>
          </w:p>
          <w:p w14:paraId="499A721F">
            <w:pPr>
              <w:spacing w:line="360" w:lineRule="auto"/>
              <w:ind w:firstLine="480"/>
              <w:rPr>
                <w:rFonts w:hint="default" w:ascii="Times New Roman" w:hAnsi="Times New Roman" w:cs="Times New Roman"/>
                <w:sz w:val="24"/>
                <w:highlight w:val="none"/>
              </w:rPr>
            </w:pPr>
            <w:r>
              <w:rPr>
                <w:rFonts w:hint="default" w:ascii="Times New Roman" w:hAnsi="Times New Roman" w:cs="Times New Roman"/>
                <w:sz w:val="24"/>
                <w:highlight w:val="none"/>
              </w:rPr>
              <w:t>总投资及环保投资：总投资为1673568万元，其中环保投资124555万元，约占总投资的7.44%。</w:t>
            </w:r>
          </w:p>
          <w:p w14:paraId="7325F1C5">
            <w:pPr>
              <w:spacing w:line="360" w:lineRule="auto"/>
              <w:ind w:firstLine="480"/>
              <w:rPr>
                <w:rFonts w:hint="default" w:ascii="Times New Roman" w:hAnsi="Times New Roman" w:cs="Times New Roman"/>
                <w:sz w:val="24"/>
                <w:highlight w:val="none"/>
              </w:rPr>
            </w:pPr>
            <w:r>
              <w:rPr>
                <w:rFonts w:hint="default" w:ascii="Times New Roman" w:hAnsi="Times New Roman" w:cs="Times New Roman"/>
                <w:sz w:val="24"/>
                <w:highlight w:val="none"/>
              </w:rPr>
              <w:t>劳动定员：1352人。</w:t>
            </w:r>
          </w:p>
          <w:p w14:paraId="0AC4D534">
            <w:pPr>
              <w:spacing w:line="360" w:lineRule="auto"/>
              <w:ind w:firstLine="480"/>
              <w:rPr>
                <w:rFonts w:hint="default" w:ascii="Times New Roman" w:hAnsi="Times New Roman" w:cs="Times New Roman"/>
                <w:sz w:val="24"/>
                <w:highlight w:val="none"/>
              </w:rPr>
            </w:pPr>
            <w:r>
              <w:rPr>
                <w:rFonts w:hint="default" w:ascii="Times New Roman" w:hAnsi="Times New Roman" w:cs="Times New Roman"/>
                <w:sz w:val="24"/>
                <w:highlight w:val="none"/>
              </w:rPr>
              <w:t>工作制度：年操作天数333天，年操作小时数8000h。</w:t>
            </w:r>
          </w:p>
          <w:p w14:paraId="1C7F9F9E">
            <w:pPr>
              <w:spacing w:line="360" w:lineRule="auto"/>
              <w:ind w:firstLine="480"/>
              <w:rPr>
                <w:rFonts w:hint="default" w:ascii="Times New Roman" w:hAnsi="Times New Roman" w:cs="Times New Roman"/>
                <w:sz w:val="24"/>
                <w:highlight w:val="none"/>
              </w:rPr>
            </w:pPr>
            <w:r>
              <w:rPr>
                <w:rFonts w:hint="default" w:ascii="Times New Roman" w:hAnsi="Times New Roman" w:cs="Times New Roman"/>
                <w:sz w:val="24"/>
                <w:highlight w:val="none"/>
              </w:rPr>
              <w:t>占地面积：196.35hm</w:t>
            </w:r>
            <w:r>
              <w:rPr>
                <w:rFonts w:hint="default" w:ascii="Times New Roman" w:hAnsi="Times New Roman" w:cs="Times New Roman"/>
                <w:sz w:val="24"/>
                <w:highlight w:val="none"/>
                <w:vertAlign w:val="superscript"/>
              </w:rPr>
              <w:t>2</w:t>
            </w:r>
            <w:r>
              <w:rPr>
                <w:rFonts w:hint="default" w:ascii="Times New Roman" w:hAnsi="Times New Roman" w:cs="Times New Roman"/>
                <w:sz w:val="24"/>
                <w:highlight w:val="none"/>
              </w:rPr>
              <w:t>。</w:t>
            </w:r>
          </w:p>
          <w:p w14:paraId="3702D853">
            <w:pPr>
              <w:spacing w:line="360" w:lineRule="auto"/>
              <w:ind w:firstLine="480"/>
              <w:rPr>
                <w:rFonts w:hint="default" w:ascii="Times New Roman" w:hAnsi="Times New Roman" w:cs="Times New Roman"/>
                <w:sz w:val="24"/>
                <w:highlight w:val="none"/>
              </w:rPr>
            </w:pPr>
            <w:r>
              <w:rPr>
                <w:rFonts w:hint="default" w:ascii="Times New Roman" w:hAnsi="Times New Roman" w:cs="Times New Roman"/>
                <w:sz w:val="24"/>
                <w:highlight w:val="none"/>
              </w:rPr>
              <w:t>2</w:t>
            </w:r>
            <w:r>
              <w:rPr>
                <w:rFonts w:hint="eastAsia" w:cs="Times New Roman"/>
                <w:sz w:val="24"/>
                <w:highlight w:val="none"/>
                <w:lang w:val="en-US" w:eastAsia="zh-CN"/>
              </w:rPr>
              <w:t>.</w:t>
            </w:r>
            <w:r>
              <w:rPr>
                <w:rFonts w:hint="default" w:ascii="Times New Roman" w:hAnsi="Times New Roman" w:cs="Times New Roman"/>
                <w:sz w:val="24"/>
                <w:highlight w:val="none"/>
              </w:rPr>
              <w:t>生产规模及产品方案</w:t>
            </w:r>
          </w:p>
          <w:p w14:paraId="225A5912">
            <w:pPr>
              <w:spacing w:line="360" w:lineRule="auto"/>
              <w:ind w:firstLine="480"/>
              <w:rPr>
                <w:rFonts w:hint="default" w:ascii="Times New Roman" w:hAnsi="Times New Roman" w:cs="Times New Roman"/>
                <w:sz w:val="24"/>
                <w:highlight w:val="none"/>
              </w:rPr>
            </w:pPr>
            <w:r>
              <w:rPr>
                <w:rFonts w:hint="default" w:ascii="Times New Roman" w:hAnsi="Times New Roman" w:cs="Times New Roman"/>
                <w:sz w:val="24"/>
                <w:highlight w:val="none"/>
              </w:rPr>
              <w:t>煤气化装置：有效合成气（H</w:t>
            </w:r>
            <w:r>
              <w:rPr>
                <w:rFonts w:hint="default" w:ascii="Times New Roman" w:hAnsi="Times New Roman" w:cs="Times New Roman"/>
                <w:sz w:val="24"/>
                <w:highlight w:val="none"/>
                <w:vertAlign w:val="subscript"/>
              </w:rPr>
              <w:t>2</w:t>
            </w:r>
            <w:r>
              <w:rPr>
                <w:rFonts w:hint="default" w:ascii="Times New Roman" w:hAnsi="Times New Roman" w:cs="Times New Roman"/>
                <w:sz w:val="24"/>
                <w:highlight w:val="none"/>
              </w:rPr>
              <w:t>+CO）71.40×l0</w:t>
            </w:r>
            <w:r>
              <w:rPr>
                <w:rFonts w:hint="default" w:ascii="Times New Roman" w:hAnsi="Times New Roman" w:cs="Times New Roman"/>
                <w:sz w:val="24"/>
                <w:highlight w:val="none"/>
                <w:vertAlign w:val="superscript"/>
              </w:rPr>
              <w:t>4</w:t>
            </w:r>
            <w:r>
              <w:rPr>
                <w:rFonts w:hint="default" w:ascii="Times New Roman" w:hAnsi="Times New Roman" w:cs="Times New Roman"/>
                <w:sz w:val="24"/>
                <w:highlight w:val="none"/>
              </w:rPr>
              <w:t>Nm</w:t>
            </w:r>
            <w:r>
              <w:rPr>
                <w:rFonts w:hint="default" w:ascii="Times New Roman" w:hAnsi="Times New Roman" w:cs="Times New Roman"/>
                <w:sz w:val="24"/>
                <w:highlight w:val="none"/>
                <w:vertAlign w:val="superscript"/>
              </w:rPr>
              <w:t>3</w:t>
            </w:r>
            <w:r>
              <w:rPr>
                <w:rFonts w:hint="default" w:ascii="Times New Roman" w:hAnsi="Times New Roman" w:cs="Times New Roman"/>
                <w:sz w:val="24"/>
                <w:highlight w:val="none"/>
              </w:rPr>
              <w:t>/h，其中HT-L粉煤加压气化提供61.20×l0</w:t>
            </w:r>
            <w:r>
              <w:rPr>
                <w:rFonts w:hint="default" w:ascii="Times New Roman" w:hAnsi="Times New Roman" w:cs="Times New Roman"/>
                <w:sz w:val="24"/>
                <w:highlight w:val="none"/>
                <w:vertAlign w:val="superscript"/>
              </w:rPr>
              <w:t>4</w:t>
            </w:r>
            <w:r>
              <w:rPr>
                <w:rFonts w:hint="default" w:ascii="Times New Roman" w:hAnsi="Times New Roman" w:cs="Times New Roman"/>
                <w:sz w:val="24"/>
                <w:highlight w:val="none"/>
              </w:rPr>
              <w:t>Nm</w:t>
            </w:r>
            <w:r>
              <w:rPr>
                <w:rFonts w:hint="default" w:ascii="Times New Roman" w:hAnsi="Times New Roman" w:cs="Times New Roman"/>
                <w:sz w:val="24"/>
                <w:highlight w:val="none"/>
                <w:vertAlign w:val="superscript"/>
              </w:rPr>
              <w:t>3</w:t>
            </w:r>
            <w:r>
              <w:rPr>
                <w:rFonts w:hint="default" w:ascii="Times New Roman" w:hAnsi="Times New Roman" w:cs="Times New Roman"/>
                <w:sz w:val="24"/>
                <w:highlight w:val="none"/>
              </w:rPr>
              <w:t>/h，水煤浆气化提供10.20×l0</w:t>
            </w:r>
            <w:r>
              <w:rPr>
                <w:rFonts w:hint="default" w:ascii="Times New Roman" w:hAnsi="Times New Roman" w:cs="Times New Roman"/>
                <w:sz w:val="24"/>
                <w:highlight w:val="none"/>
                <w:vertAlign w:val="superscript"/>
              </w:rPr>
              <w:t>4</w:t>
            </w:r>
            <w:r>
              <w:rPr>
                <w:rFonts w:hint="default" w:ascii="Times New Roman" w:hAnsi="Times New Roman" w:cs="Times New Roman"/>
                <w:sz w:val="24"/>
                <w:highlight w:val="none"/>
              </w:rPr>
              <w:t>Nm</w:t>
            </w:r>
            <w:r>
              <w:rPr>
                <w:rFonts w:hint="default" w:ascii="Times New Roman" w:hAnsi="Times New Roman" w:cs="Times New Roman"/>
                <w:sz w:val="24"/>
                <w:highlight w:val="none"/>
                <w:vertAlign w:val="superscript"/>
              </w:rPr>
              <w:t>3</w:t>
            </w:r>
            <w:r>
              <w:rPr>
                <w:rFonts w:hint="default" w:ascii="Times New Roman" w:hAnsi="Times New Roman" w:cs="Times New Roman"/>
                <w:sz w:val="24"/>
                <w:highlight w:val="none"/>
              </w:rPr>
              <w:t>/h。</w:t>
            </w:r>
          </w:p>
          <w:p w14:paraId="5172231A">
            <w:pPr>
              <w:spacing w:line="360" w:lineRule="auto"/>
              <w:ind w:firstLine="480"/>
              <w:rPr>
                <w:rFonts w:hint="default" w:ascii="Times New Roman" w:hAnsi="Times New Roman" w:cs="Times New Roman"/>
                <w:sz w:val="24"/>
                <w:highlight w:val="none"/>
              </w:rPr>
            </w:pPr>
            <w:r>
              <w:rPr>
                <w:rFonts w:hint="default" w:ascii="Times New Roman" w:hAnsi="Times New Roman" w:cs="Times New Roman"/>
                <w:sz w:val="24"/>
                <w:highlight w:val="none"/>
                <w:lang w:val="en-GB"/>
              </w:rPr>
              <w:t>化学品</w:t>
            </w:r>
            <w:r>
              <w:rPr>
                <w:rFonts w:hint="default" w:ascii="Times New Roman" w:hAnsi="Times New Roman" w:cs="Times New Roman"/>
                <w:sz w:val="24"/>
                <w:highlight w:val="none"/>
              </w:rPr>
              <w:t>合成装置：中间产品规模合计104.19万t/a，其中轻质中间产品17.05万t/a，重质中间产品10.11万t/a，合格蜡77.03万t/a。</w:t>
            </w:r>
          </w:p>
          <w:p w14:paraId="76841B1C">
            <w:pPr>
              <w:spacing w:line="360" w:lineRule="auto"/>
              <w:ind w:firstLine="480"/>
              <w:rPr>
                <w:rFonts w:hint="default" w:ascii="Times New Roman" w:hAnsi="Times New Roman" w:cs="Times New Roman"/>
                <w:sz w:val="24"/>
                <w:highlight w:val="none"/>
                <w:lang w:val="en-GB"/>
              </w:rPr>
            </w:pPr>
            <w:r>
              <w:rPr>
                <w:rFonts w:hint="default" w:ascii="Times New Roman" w:hAnsi="Times New Roman" w:cs="Times New Roman"/>
                <w:sz w:val="24"/>
                <w:highlight w:val="none"/>
                <w:lang w:val="en-GB"/>
              </w:rPr>
              <w:t>化学品加工装置：生产化学品107.46万t/a。</w:t>
            </w:r>
          </w:p>
          <w:p w14:paraId="6353644F">
            <w:pPr>
              <w:spacing w:line="360" w:lineRule="auto"/>
              <w:ind w:firstLine="480"/>
              <w:rPr>
                <w:rFonts w:hint="default" w:ascii="Times New Roman" w:hAnsi="Times New Roman" w:cs="Times New Roman"/>
                <w:sz w:val="24"/>
                <w:highlight w:val="none"/>
              </w:rPr>
            </w:pPr>
            <w:r>
              <w:rPr>
                <w:rFonts w:hint="default" w:ascii="Times New Roman" w:hAnsi="Times New Roman" w:cs="Times New Roman"/>
                <w:sz w:val="24"/>
                <w:highlight w:val="none"/>
              </w:rPr>
              <w:t>尾气制氢装置：高纯氢气产量为63000Nm</w:t>
            </w:r>
            <w:r>
              <w:rPr>
                <w:rFonts w:hint="default" w:ascii="Times New Roman" w:hAnsi="Times New Roman" w:cs="Times New Roman"/>
                <w:sz w:val="24"/>
                <w:highlight w:val="none"/>
                <w:vertAlign w:val="superscript"/>
              </w:rPr>
              <w:t>3</w:t>
            </w:r>
            <w:r>
              <w:rPr>
                <w:rFonts w:hint="default" w:ascii="Times New Roman" w:hAnsi="Times New Roman" w:cs="Times New Roman"/>
                <w:sz w:val="24"/>
                <w:highlight w:val="none"/>
              </w:rPr>
              <w:t>/h。</w:t>
            </w:r>
          </w:p>
          <w:p w14:paraId="4E264A97">
            <w:pPr>
              <w:spacing w:line="360" w:lineRule="auto"/>
              <w:ind w:firstLine="480"/>
              <w:rPr>
                <w:sz w:val="24"/>
                <w:highlight w:val="none"/>
              </w:rPr>
            </w:pPr>
            <w:r>
              <w:rPr>
                <w:sz w:val="24"/>
                <w:highlight w:val="none"/>
              </w:rPr>
              <w:t>空分装置：8.8×l0</w:t>
            </w:r>
            <w:r>
              <w:rPr>
                <w:sz w:val="24"/>
                <w:highlight w:val="none"/>
                <w:vertAlign w:val="superscript"/>
              </w:rPr>
              <w:t>4</w:t>
            </w:r>
            <w:r>
              <w:rPr>
                <w:sz w:val="24"/>
                <w:highlight w:val="none"/>
              </w:rPr>
              <w:t>Nm</w:t>
            </w:r>
            <w:r>
              <w:rPr>
                <w:sz w:val="24"/>
                <w:highlight w:val="none"/>
                <w:vertAlign w:val="superscript"/>
              </w:rPr>
              <w:t>3</w:t>
            </w:r>
            <w:r>
              <w:rPr>
                <w:sz w:val="24"/>
                <w:highlight w:val="none"/>
              </w:rPr>
              <w:t>/h的空分装置3套。</w:t>
            </w:r>
          </w:p>
          <w:p w14:paraId="31A98E41">
            <w:pPr>
              <w:adjustRightInd w:val="0"/>
              <w:snapToGrid w:val="0"/>
              <w:spacing w:line="360" w:lineRule="auto"/>
              <w:ind w:firstLine="480"/>
              <w:rPr>
                <w:rFonts w:hint="eastAsia"/>
                <w:b w:val="0"/>
                <w:bCs/>
                <w:sz w:val="24"/>
                <w:highlight w:val="none"/>
                <w:lang w:eastAsia="zh-CN"/>
              </w:rPr>
            </w:pPr>
            <w:r>
              <w:rPr>
                <w:rFonts w:hint="eastAsia"/>
                <w:b w:val="0"/>
                <w:bCs/>
                <w:sz w:val="24"/>
                <w:highlight w:val="none"/>
                <w:lang w:val="en-US" w:eastAsia="zh-CN"/>
              </w:rPr>
              <w:t>本项目</w:t>
            </w:r>
            <w:r>
              <w:rPr>
                <w:rFonts w:hint="eastAsia"/>
                <w:b w:val="0"/>
                <w:bCs/>
                <w:sz w:val="24"/>
                <w:highlight w:val="none"/>
              </w:rPr>
              <w:t>改造前按照精制100%负荷进料推算得出精制分馏塔底油年产量63万吨/年左右，精制分馏塔底油经分馏塔底泵P208A/B升压，一部分作为回流返回分馏塔，一部分送至精制减压塔进料加热炉F202升温后送至精制减压塔T204</w:t>
            </w:r>
            <w:r>
              <w:rPr>
                <w:rFonts w:hint="eastAsia"/>
                <w:b w:val="0"/>
                <w:bCs/>
                <w:sz w:val="24"/>
                <w:highlight w:val="none"/>
                <w:lang w:eastAsia="zh-CN"/>
              </w:rPr>
              <w:t>。</w:t>
            </w:r>
          </w:p>
          <w:p w14:paraId="5B985469">
            <w:pPr>
              <w:spacing w:line="360" w:lineRule="auto"/>
              <w:ind w:firstLine="480"/>
              <w:rPr>
                <w:snapToGrid w:val="0"/>
                <w:sz w:val="24"/>
                <w:szCs w:val="24"/>
                <w:highlight w:val="none"/>
              </w:rPr>
            </w:pPr>
            <w:r>
              <w:rPr>
                <w:sz w:val="24"/>
                <w:highlight w:val="none"/>
              </w:rPr>
              <w:t>内蒙古伊泰化工有限责任公司120万吨/年精细化学品示范项目</w:t>
            </w:r>
            <w:r>
              <w:rPr>
                <w:snapToGrid w:val="0"/>
                <w:sz w:val="24"/>
                <w:szCs w:val="24"/>
                <w:highlight w:val="none"/>
              </w:rPr>
              <w:t>产品方案见表</w:t>
            </w:r>
            <w:r>
              <w:rPr>
                <w:rFonts w:hint="eastAsia"/>
                <w:snapToGrid w:val="0"/>
                <w:sz w:val="24"/>
                <w:szCs w:val="24"/>
                <w:highlight w:val="none"/>
                <w:lang w:val="en-US" w:eastAsia="zh-CN"/>
              </w:rPr>
              <w:t>3-3</w:t>
            </w:r>
            <w:r>
              <w:rPr>
                <w:snapToGrid w:val="0"/>
                <w:sz w:val="24"/>
                <w:szCs w:val="24"/>
                <w:highlight w:val="none"/>
              </w:rPr>
              <w:t>。</w:t>
            </w:r>
          </w:p>
          <w:p w14:paraId="1FEA2B37">
            <w:pPr>
              <w:adjustRightInd w:val="0"/>
              <w:snapToGrid w:val="0"/>
              <w:spacing w:line="360" w:lineRule="auto"/>
              <w:jc w:val="center"/>
              <w:rPr>
                <w:rFonts w:hint="eastAsia"/>
                <w:b/>
                <w:bCs w:val="0"/>
                <w:sz w:val="21"/>
                <w:szCs w:val="21"/>
                <w:highlight w:val="none"/>
              </w:rPr>
            </w:pPr>
            <w:r>
              <w:rPr>
                <w:rFonts w:hint="eastAsia"/>
                <w:b/>
                <w:bCs w:val="0"/>
                <w:sz w:val="21"/>
                <w:szCs w:val="21"/>
                <w:highlight w:val="none"/>
              </w:rPr>
              <w:t>表</w:t>
            </w:r>
            <w:r>
              <w:rPr>
                <w:rFonts w:hint="eastAsia"/>
                <w:b/>
                <w:bCs w:val="0"/>
                <w:sz w:val="21"/>
                <w:szCs w:val="21"/>
                <w:highlight w:val="none"/>
                <w:lang w:val="en-US" w:eastAsia="zh-CN"/>
              </w:rPr>
              <w:t xml:space="preserve">3-3   </w:t>
            </w:r>
            <w:r>
              <w:rPr>
                <w:rFonts w:hint="eastAsia"/>
                <w:b/>
                <w:bCs w:val="0"/>
                <w:sz w:val="21"/>
                <w:szCs w:val="21"/>
                <w:highlight w:val="none"/>
              </w:rPr>
              <w:t>现有项目产品方案一览表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2612"/>
              <w:gridCol w:w="2240"/>
              <w:gridCol w:w="2066"/>
            </w:tblGrid>
            <w:tr w14:paraId="602CD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noWrap w:val="0"/>
                  <w:vAlign w:val="center"/>
                </w:tcPr>
                <w:p w14:paraId="5D815A5F">
                  <w:pPr>
                    <w:jc w:val="center"/>
                    <w:rPr>
                      <w:snapToGrid w:val="0"/>
                      <w:szCs w:val="21"/>
                      <w:highlight w:val="none"/>
                    </w:rPr>
                  </w:pPr>
                  <w:r>
                    <w:rPr>
                      <w:snapToGrid w:val="0"/>
                      <w:szCs w:val="21"/>
                      <w:highlight w:val="none"/>
                    </w:rPr>
                    <w:t>序号</w:t>
                  </w:r>
                </w:p>
              </w:tc>
              <w:tc>
                <w:tcPr>
                  <w:tcW w:w="2612" w:type="dxa"/>
                  <w:noWrap w:val="0"/>
                  <w:vAlign w:val="center"/>
                </w:tcPr>
                <w:p w14:paraId="4BC2C535">
                  <w:pPr>
                    <w:jc w:val="center"/>
                    <w:rPr>
                      <w:snapToGrid w:val="0"/>
                      <w:szCs w:val="21"/>
                      <w:highlight w:val="none"/>
                    </w:rPr>
                  </w:pPr>
                  <w:r>
                    <w:rPr>
                      <w:snapToGrid w:val="0"/>
                      <w:szCs w:val="21"/>
                      <w:highlight w:val="none"/>
                    </w:rPr>
                    <w:t>产品</w:t>
                  </w:r>
                </w:p>
              </w:tc>
              <w:tc>
                <w:tcPr>
                  <w:tcW w:w="2240" w:type="dxa"/>
                  <w:noWrap w:val="0"/>
                  <w:vAlign w:val="center"/>
                </w:tcPr>
                <w:p w14:paraId="777C2E34">
                  <w:pPr>
                    <w:jc w:val="center"/>
                    <w:rPr>
                      <w:snapToGrid w:val="0"/>
                      <w:szCs w:val="21"/>
                      <w:highlight w:val="none"/>
                    </w:rPr>
                  </w:pPr>
                  <w:r>
                    <w:rPr>
                      <w:snapToGrid w:val="0"/>
                      <w:szCs w:val="21"/>
                      <w:highlight w:val="none"/>
                    </w:rPr>
                    <w:t>产量（万t/a）</w:t>
                  </w:r>
                </w:p>
              </w:tc>
              <w:tc>
                <w:tcPr>
                  <w:tcW w:w="2066" w:type="dxa"/>
                  <w:noWrap w:val="0"/>
                  <w:vAlign w:val="center"/>
                </w:tcPr>
                <w:p w14:paraId="02399EEA">
                  <w:pPr>
                    <w:jc w:val="center"/>
                    <w:rPr>
                      <w:snapToGrid w:val="0"/>
                      <w:szCs w:val="21"/>
                      <w:highlight w:val="none"/>
                    </w:rPr>
                  </w:pPr>
                  <w:r>
                    <w:rPr>
                      <w:snapToGrid w:val="0"/>
                      <w:szCs w:val="21"/>
                      <w:highlight w:val="none"/>
                    </w:rPr>
                    <w:t>备注</w:t>
                  </w:r>
                </w:p>
              </w:tc>
            </w:tr>
            <w:tr w14:paraId="223C5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noWrap w:val="0"/>
                  <w:vAlign w:val="center"/>
                </w:tcPr>
                <w:p w14:paraId="6931A3B5">
                  <w:pPr>
                    <w:jc w:val="center"/>
                    <w:rPr>
                      <w:snapToGrid w:val="0"/>
                      <w:szCs w:val="21"/>
                      <w:highlight w:val="none"/>
                    </w:rPr>
                  </w:pPr>
                  <w:r>
                    <w:rPr>
                      <w:snapToGrid w:val="0"/>
                      <w:szCs w:val="21"/>
                      <w:highlight w:val="none"/>
                    </w:rPr>
                    <w:t>1</w:t>
                  </w:r>
                </w:p>
              </w:tc>
              <w:tc>
                <w:tcPr>
                  <w:tcW w:w="2612" w:type="dxa"/>
                  <w:noWrap w:val="0"/>
                  <w:vAlign w:val="center"/>
                </w:tcPr>
                <w:p w14:paraId="53C87441">
                  <w:pPr>
                    <w:jc w:val="center"/>
                    <w:rPr>
                      <w:snapToGrid w:val="0"/>
                      <w:szCs w:val="21"/>
                      <w:highlight w:val="none"/>
                    </w:rPr>
                  </w:pPr>
                  <w:r>
                    <w:rPr>
                      <w:snapToGrid w:val="0"/>
                      <w:szCs w:val="21"/>
                      <w:highlight w:val="none"/>
                    </w:rPr>
                    <w:t>1#低芳溶剂</w:t>
                  </w:r>
                </w:p>
              </w:tc>
              <w:tc>
                <w:tcPr>
                  <w:tcW w:w="2240" w:type="dxa"/>
                  <w:noWrap w:val="0"/>
                  <w:vAlign w:val="center"/>
                </w:tcPr>
                <w:p w14:paraId="158CD197">
                  <w:pPr>
                    <w:jc w:val="center"/>
                    <w:rPr>
                      <w:snapToGrid w:val="0"/>
                      <w:szCs w:val="21"/>
                      <w:highlight w:val="none"/>
                    </w:rPr>
                  </w:pPr>
                  <w:r>
                    <w:rPr>
                      <w:snapToGrid w:val="0"/>
                      <w:szCs w:val="21"/>
                      <w:highlight w:val="none"/>
                    </w:rPr>
                    <w:t>25.46</w:t>
                  </w:r>
                </w:p>
              </w:tc>
              <w:tc>
                <w:tcPr>
                  <w:tcW w:w="2066" w:type="dxa"/>
                  <w:noWrap w:val="0"/>
                  <w:vAlign w:val="center"/>
                </w:tcPr>
                <w:p w14:paraId="15ECB23B">
                  <w:pPr>
                    <w:jc w:val="center"/>
                    <w:rPr>
                      <w:rFonts w:hint="eastAsia" w:eastAsia="宋体"/>
                      <w:snapToGrid w:val="0"/>
                      <w:szCs w:val="21"/>
                      <w:highlight w:val="none"/>
                      <w:lang w:val="en-US" w:eastAsia="zh-CN"/>
                    </w:rPr>
                  </w:pPr>
                  <w:r>
                    <w:rPr>
                      <w:rFonts w:hint="eastAsia"/>
                      <w:snapToGrid w:val="0"/>
                      <w:szCs w:val="21"/>
                      <w:highlight w:val="none"/>
                      <w:lang w:val="en-US" w:eastAsia="zh-CN"/>
                    </w:rPr>
                    <w:t>/</w:t>
                  </w:r>
                </w:p>
              </w:tc>
            </w:tr>
            <w:tr w14:paraId="35955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noWrap w:val="0"/>
                  <w:vAlign w:val="center"/>
                </w:tcPr>
                <w:p w14:paraId="164D8E16">
                  <w:pPr>
                    <w:jc w:val="center"/>
                    <w:rPr>
                      <w:snapToGrid w:val="0"/>
                      <w:szCs w:val="21"/>
                      <w:highlight w:val="none"/>
                    </w:rPr>
                  </w:pPr>
                  <w:r>
                    <w:rPr>
                      <w:snapToGrid w:val="0"/>
                      <w:szCs w:val="21"/>
                      <w:highlight w:val="none"/>
                    </w:rPr>
                    <w:t>2</w:t>
                  </w:r>
                </w:p>
              </w:tc>
              <w:tc>
                <w:tcPr>
                  <w:tcW w:w="2612" w:type="dxa"/>
                  <w:noWrap w:val="0"/>
                  <w:vAlign w:val="center"/>
                </w:tcPr>
                <w:p w14:paraId="1EEE25DA">
                  <w:pPr>
                    <w:jc w:val="center"/>
                    <w:rPr>
                      <w:snapToGrid w:val="0"/>
                      <w:szCs w:val="21"/>
                      <w:highlight w:val="none"/>
                    </w:rPr>
                  </w:pPr>
                  <w:r>
                    <w:rPr>
                      <w:snapToGrid w:val="0"/>
                      <w:szCs w:val="21"/>
                      <w:highlight w:val="none"/>
                    </w:rPr>
                    <w:t>3#低芳溶剂</w:t>
                  </w:r>
                </w:p>
              </w:tc>
              <w:tc>
                <w:tcPr>
                  <w:tcW w:w="2240" w:type="dxa"/>
                  <w:noWrap w:val="0"/>
                  <w:vAlign w:val="center"/>
                </w:tcPr>
                <w:p w14:paraId="0EE943E0">
                  <w:pPr>
                    <w:jc w:val="center"/>
                    <w:rPr>
                      <w:snapToGrid w:val="0"/>
                      <w:szCs w:val="21"/>
                      <w:highlight w:val="none"/>
                    </w:rPr>
                  </w:pPr>
                  <w:r>
                    <w:rPr>
                      <w:snapToGrid w:val="0"/>
                      <w:szCs w:val="21"/>
                      <w:highlight w:val="none"/>
                    </w:rPr>
                    <w:t>17.29</w:t>
                  </w:r>
                </w:p>
              </w:tc>
              <w:tc>
                <w:tcPr>
                  <w:tcW w:w="2066" w:type="dxa"/>
                  <w:noWrap w:val="0"/>
                  <w:vAlign w:val="center"/>
                </w:tcPr>
                <w:p w14:paraId="23BC7F1A">
                  <w:pPr>
                    <w:jc w:val="center"/>
                    <w:rPr>
                      <w:rFonts w:hint="eastAsia" w:eastAsia="宋体"/>
                      <w:snapToGrid w:val="0"/>
                      <w:szCs w:val="21"/>
                      <w:highlight w:val="none"/>
                      <w:lang w:val="en-US" w:eastAsia="zh-CN"/>
                    </w:rPr>
                  </w:pPr>
                  <w:r>
                    <w:rPr>
                      <w:rFonts w:hint="eastAsia"/>
                      <w:snapToGrid w:val="0"/>
                      <w:szCs w:val="21"/>
                      <w:highlight w:val="none"/>
                      <w:lang w:val="en-US" w:eastAsia="zh-CN"/>
                    </w:rPr>
                    <w:t>/</w:t>
                  </w:r>
                </w:p>
              </w:tc>
            </w:tr>
            <w:tr w14:paraId="498C6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noWrap w:val="0"/>
                  <w:vAlign w:val="center"/>
                </w:tcPr>
                <w:p w14:paraId="656A4100">
                  <w:pPr>
                    <w:jc w:val="center"/>
                    <w:rPr>
                      <w:snapToGrid w:val="0"/>
                      <w:szCs w:val="21"/>
                      <w:highlight w:val="none"/>
                    </w:rPr>
                  </w:pPr>
                  <w:r>
                    <w:rPr>
                      <w:snapToGrid w:val="0"/>
                      <w:szCs w:val="21"/>
                      <w:highlight w:val="none"/>
                    </w:rPr>
                    <w:t>3</w:t>
                  </w:r>
                </w:p>
              </w:tc>
              <w:tc>
                <w:tcPr>
                  <w:tcW w:w="2612" w:type="dxa"/>
                  <w:noWrap w:val="0"/>
                  <w:vAlign w:val="center"/>
                </w:tcPr>
                <w:p w14:paraId="1571CC12">
                  <w:pPr>
                    <w:jc w:val="center"/>
                    <w:rPr>
                      <w:snapToGrid w:val="0"/>
                      <w:szCs w:val="21"/>
                      <w:highlight w:val="none"/>
                    </w:rPr>
                  </w:pPr>
                  <w:r>
                    <w:rPr>
                      <w:snapToGrid w:val="0"/>
                      <w:szCs w:val="21"/>
                      <w:highlight w:val="none"/>
                    </w:rPr>
                    <w:t>轻液体石蜡</w:t>
                  </w:r>
                </w:p>
              </w:tc>
              <w:tc>
                <w:tcPr>
                  <w:tcW w:w="2240" w:type="dxa"/>
                  <w:noWrap w:val="0"/>
                  <w:vAlign w:val="center"/>
                </w:tcPr>
                <w:p w14:paraId="78C87565">
                  <w:pPr>
                    <w:jc w:val="center"/>
                    <w:rPr>
                      <w:snapToGrid w:val="0"/>
                      <w:szCs w:val="21"/>
                      <w:highlight w:val="none"/>
                    </w:rPr>
                  </w:pPr>
                  <w:r>
                    <w:rPr>
                      <w:snapToGrid w:val="0"/>
                      <w:szCs w:val="21"/>
                      <w:highlight w:val="none"/>
                    </w:rPr>
                    <w:t>10.24</w:t>
                  </w:r>
                </w:p>
              </w:tc>
              <w:tc>
                <w:tcPr>
                  <w:tcW w:w="2066" w:type="dxa"/>
                  <w:noWrap w:val="0"/>
                  <w:vAlign w:val="center"/>
                </w:tcPr>
                <w:p w14:paraId="406E2206">
                  <w:pPr>
                    <w:jc w:val="center"/>
                    <w:rPr>
                      <w:rFonts w:hint="eastAsia" w:eastAsia="宋体"/>
                      <w:snapToGrid w:val="0"/>
                      <w:szCs w:val="21"/>
                      <w:highlight w:val="none"/>
                      <w:lang w:val="en-US" w:eastAsia="zh-CN"/>
                    </w:rPr>
                  </w:pPr>
                  <w:r>
                    <w:rPr>
                      <w:rFonts w:hint="eastAsia"/>
                      <w:snapToGrid w:val="0"/>
                      <w:szCs w:val="21"/>
                      <w:highlight w:val="none"/>
                      <w:lang w:val="en-US" w:eastAsia="zh-CN"/>
                    </w:rPr>
                    <w:t>/</w:t>
                  </w:r>
                </w:p>
              </w:tc>
            </w:tr>
            <w:tr w14:paraId="771C6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noWrap w:val="0"/>
                  <w:vAlign w:val="center"/>
                </w:tcPr>
                <w:p w14:paraId="5B7158BD">
                  <w:pPr>
                    <w:jc w:val="center"/>
                    <w:rPr>
                      <w:snapToGrid w:val="0"/>
                      <w:szCs w:val="21"/>
                      <w:highlight w:val="none"/>
                    </w:rPr>
                  </w:pPr>
                  <w:r>
                    <w:rPr>
                      <w:snapToGrid w:val="0"/>
                      <w:szCs w:val="21"/>
                      <w:highlight w:val="none"/>
                    </w:rPr>
                    <w:t>4</w:t>
                  </w:r>
                </w:p>
              </w:tc>
              <w:tc>
                <w:tcPr>
                  <w:tcW w:w="2612" w:type="dxa"/>
                  <w:noWrap w:val="0"/>
                  <w:vAlign w:val="center"/>
                </w:tcPr>
                <w:p w14:paraId="49073C7D">
                  <w:pPr>
                    <w:jc w:val="center"/>
                    <w:rPr>
                      <w:snapToGrid w:val="0"/>
                      <w:szCs w:val="21"/>
                      <w:highlight w:val="none"/>
                    </w:rPr>
                  </w:pPr>
                  <w:r>
                    <w:rPr>
                      <w:snapToGrid w:val="0"/>
                      <w:szCs w:val="21"/>
                      <w:highlight w:val="none"/>
                    </w:rPr>
                    <w:t>重液体石蜡</w:t>
                  </w:r>
                </w:p>
              </w:tc>
              <w:tc>
                <w:tcPr>
                  <w:tcW w:w="2240" w:type="dxa"/>
                  <w:noWrap w:val="0"/>
                  <w:vAlign w:val="center"/>
                </w:tcPr>
                <w:p w14:paraId="292530A3">
                  <w:pPr>
                    <w:jc w:val="center"/>
                    <w:rPr>
                      <w:snapToGrid w:val="0"/>
                      <w:szCs w:val="21"/>
                      <w:highlight w:val="none"/>
                    </w:rPr>
                  </w:pPr>
                  <w:r>
                    <w:rPr>
                      <w:snapToGrid w:val="0"/>
                      <w:szCs w:val="21"/>
                      <w:highlight w:val="none"/>
                    </w:rPr>
                    <w:t>24.67</w:t>
                  </w:r>
                </w:p>
              </w:tc>
              <w:tc>
                <w:tcPr>
                  <w:tcW w:w="2066" w:type="dxa"/>
                  <w:noWrap w:val="0"/>
                  <w:vAlign w:val="center"/>
                </w:tcPr>
                <w:p w14:paraId="62EB01C0">
                  <w:pPr>
                    <w:jc w:val="center"/>
                    <w:rPr>
                      <w:rFonts w:hint="eastAsia" w:eastAsia="宋体"/>
                      <w:snapToGrid w:val="0"/>
                      <w:szCs w:val="21"/>
                      <w:highlight w:val="none"/>
                      <w:lang w:val="en-US" w:eastAsia="zh-CN"/>
                    </w:rPr>
                  </w:pPr>
                  <w:r>
                    <w:rPr>
                      <w:rFonts w:hint="eastAsia"/>
                      <w:snapToGrid w:val="0"/>
                      <w:szCs w:val="21"/>
                      <w:highlight w:val="none"/>
                      <w:lang w:val="en-US" w:eastAsia="zh-CN"/>
                    </w:rPr>
                    <w:t>/</w:t>
                  </w:r>
                </w:p>
              </w:tc>
            </w:tr>
            <w:tr w14:paraId="25AE8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noWrap w:val="0"/>
                  <w:vAlign w:val="center"/>
                </w:tcPr>
                <w:p w14:paraId="1C2235EB">
                  <w:pPr>
                    <w:jc w:val="center"/>
                    <w:rPr>
                      <w:snapToGrid w:val="0"/>
                      <w:szCs w:val="21"/>
                      <w:highlight w:val="none"/>
                    </w:rPr>
                  </w:pPr>
                  <w:r>
                    <w:rPr>
                      <w:snapToGrid w:val="0"/>
                      <w:szCs w:val="21"/>
                      <w:highlight w:val="none"/>
                    </w:rPr>
                    <w:t>5</w:t>
                  </w:r>
                </w:p>
              </w:tc>
              <w:tc>
                <w:tcPr>
                  <w:tcW w:w="2612" w:type="dxa"/>
                  <w:noWrap w:val="0"/>
                  <w:vAlign w:val="center"/>
                </w:tcPr>
                <w:p w14:paraId="4DDE9900">
                  <w:pPr>
                    <w:jc w:val="center"/>
                    <w:rPr>
                      <w:snapToGrid w:val="0"/>
                      <w:szCs w:val="21"/>
                      <w:highlight w:val="none"/>
                    </w:rPr>
                  </w:pPr>
                  <w:r>
                    <w:rPr>
                      <w:snapToGrid w:val="0"/>
                      <w:szCs w:val="21"/>
                      <w:highlight w:val="none"/>
                    </w:rPr>
                    <w:t>十六烷值改性剂</w:t>
                  </w:r>
                </w:p>
              </w:tc>
              <w:tc>
                <w:tcPr>
                  <w:tcW w:w="2240" w:type="dxa"/>
                  <w:noWrap w:val="0"/>
                  <w:vAlign w:val="center"/>
                </w:tcPr>
                <w:p w14:paraId="28696E16">
                  <w:pPr>
                    <w:jc w:val="center"/>
                    <w:rPr>
                      <w:snapToGrid w:val="0"/>
                      <w:szCs w:val="21"/>
                      <w:highlight w:val="none"/>
                    </w:rPr>
                  </w:pPr>
                  <w:r>
                    <w:rPr>
                      <w:snapToGrid w:val="0"/>
                      <w:szCs w:val="21"/>
                      <w:highlight w:val="none"/>
                    </w:rPr>
                    <w:t>19.27</w:t>
                  </w:r>
                </w:p>
              </w:tc>
              <w:tc>
                <w:tcPr>
                  <w:tcW w:w="2066" w:type="dxa"/>
                  <w:noWrap w:val="0"/>
                  <w:vAlign w:val="center"/>
                </w:tcPr>
                <w:p w14:paraId="2E43766E">
                  <w:pPr>
                    <w:jc w:val="center"/>
                    <w:rPr>
                      <w:rFonts w:hint="eastAsia" w:eastAsia="宋体"/>
                      <w:snapToGrid w:val="0"/>
                      <w:szCs w:val="21"/>
                      <w:highlight w:val="none"/>
                      <w:lang w:val="en-US" w:eastAsia="zh-CN"/>
                    </w:rPr>
                  </w:pPr>
                  <w:r>
                    <w:rPr>
                      <w:rFonts w:hint="eastAsia"/>
                      <w:snapToGrid w:val="0"/>
                      <w:szCs w:val="21"/>
                      <w:highlight w:val="none"/>
                      <w:lang w:val="en-US" w:eastAsia="zh-CN"/>
                    </w:rPr>
                    <w:t>/</w:t>
                  </w:r>
                </w:p>
              </w:tc>
            </w:tr>
            <w:tr w14:paraId="3D2E1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noWrap w:val="0"/>
                  <w:vAlign w:val="center"/>
                </w:tcPr>
                <w:p w14:paraId="03D8F070">
                  <w:pPr>
                    <w:jc w:val="center"/>
                    <w:rPr>
                      <w:snapToGrid w:val="0"/>
                      <w:szCs w:val="21"/>
                      <w:highlight w:val="none"/>
                    </w:rPr>
                  </w:pPr>
                  <w:r>
                    <w:rPr>
                      <w:snapToGrid w:val="0"/>
                      <w:szCs w:val="21"/>
                      <w:highlight w:val="none"/>
                    </w:rPr>
                    <w:t>6</w:t>
                  </w:r>
                </w:p>
              </w:tc>
              <w:tc>
                <w:tcPr>
                  <w:tcW w:w="2612" w:type="dxa"/>
                  <w:noWrap w:val="0"/>
                  <w:vAlign w:val="center"/>
                </w:tcPr>
                <w:p w14:paraId="342A4123">
                  <w:pPr>
                    <w:jc w:val="center"/>
                    <w:rPr>
                      <w:snapToGrid w:val="0"/>
                      <w:szCs w:val="21"/>
                      <w:highlight w:val="none"/>
                    </w:rPr>
                  </w:pPr>
                  <w:r>
                    <w:rPr>
                      <w:snapToGrid w:val="0"/>
                      <w:szCs w:val="21"/>
                      <w:highlight w:val="none"/>
                    </w:rPr>
                    <w:t>LPG</w:t>
                  </w:r>
                </w:p>
              </w:tc>
              <w:tc>
                <w:tcPr>
                  <w:tcW w:w="2240" w:type="dxa"/>
                  <w:noWrap w:val="0"/>
                  <w:vAlign w:val="center"/>
                </w:tcPr>
                <w:p w14:paraId="47ED8341">
                  <w:pPr>
                    <w:jc w:val="center"/>
                    <w:rPr>
                      <w:snapToGrid w:val="0"/>
                      <w:szCs w:val="21"/>
                      <w:highlight w:val="none"/>
                    </w:rPr>
                  </w:pPr>
                  <w:r>
                    <w:rPr>
                      <w:snapToGrid w:val="0"/>
                      <w:szCs w:val="21"/>
                      <w:highlight w:val="none"/>
                    </w:rPr>
                    <w:t>8.23</w:t>
                  </w:r>
                </w:p>
              </w:tc>
              <w:tc>
                <w:tcPr>
                  <w:tcW w:w="2066" w:type="dxa"/>
                  <w:noWrap w:val="0"/>
                  <w:vAlign w:val="center"/>
                </w:tcPr>
                <w:p w14:paraId="0DAD2C12">
                  <w:pPr>
                    <w:jc w:val="center"/>
                    <w:rPr>
                      <w:rFonts w:hint="eastAsia" w:eastAsia="宋体"/>
                      <w:snapToGrid w:val="0"/>
                      <w:szCs w:val="21"/>
                      <w:highlight w:val="none"/>
                      <w:lang w:val="en-US" w:eastAsia="zh-CN"/>
                    </w:rPr>
                  </w:pPr>
                  <w:r>
                    <w:rPr>
                      <w:rFonts w:hint="eastAsia"/>
                      <w:snapToGrid w:val="0"/>
                      <w:szCs w:val="21"/>
                      <w:highlight w:val="none"/>
                      <w:lang w:val="en-US" w:eastAsia="zh-CN"/>
                    </w:rPr>
                    <w:t>/</w:t>
                  </w:r>
                </w:p>
              </w:tc>
            </w:tr>
            <w:tr w14:paraId="08312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noWrap w:val="0"/>
                  <w:vAlign w:val="center"/>
                </w:tcPr>
                <w:p w14:paraId="65FF77BF">
                  <w:pPr>
                    <w:jc w:val="center"/>
                    <w:rPr>
                      <w:snapToGrid w:val="0"/>
                      <w:szCs w:val="21"/>
                      <w:highlight w:val="none"/>
                    </w:rPr>
                  </w:pPr>
                  <w:r>
                    <w:rPr>
                      <w:snapToGrid w:val="0"/>
                      <w:szCs w:val="21"/>
                      <w:highlight w:val="none"/>
                    </w:rPr>
                    <w:t>7</w:t>
                  </w:r>
                </w:p>
              </w:tc>
              <w:tc>
                <w:tcPr>
                  <w:tcW w:w="2612" w:type="dxa"/>
                  <w:noWrap w:val="0"/>
                  <w:vAlign w:val="center"/>
                </w:tcPr>
                <w:p w14:paraId="69FD1295">
                  <w:pPr>
                    <w:jc w:val="center"/>
                    <w:rPr>
                      <w:snapToGrid w:val="0"/>
                      <w:szCs w:val="21"/>
                      <w:highlight w:val="none"/>
                    </w:rPr>
                  </w:pPr>
                  <w:r>
                    <w:rPr>
                      <w:snapToGrid w:val="0"/>
                      <w:szCs w:val="21"/>
                      <w:highlight w:val="none"/>
                    </w:rPr>
                    <w:t>硫磺</w:t>
                  </w:r>
                </w:p>
              </w:tc>
              <w:tc>
                <w:tcPr>
                  <w:tcW w:w="2240" w:type="dxa"/>
                  <w:noWrap w:val="0"/>
                  <w:vAlign w:val="center"/>
                </w:tcPr>
                <w:p w14:paraId="2F3FD6BF">
                  <w:pPr>
                    <w:jc w:val="center"/>
                    <w:rPr>
                      <w:snapToGrid w:val="0"/>
                      <w:szCs w:val="21"/>
                      <w:highlight w:val="none"/>
                    </w:rPr>
                  </w:pPr>
                  <w:r>
                    <w:rPr>
                      <w:snapToGrid w:val="0"/>
                      <w:szCs w:val="21"/>
                      <w:highlight w:val="none"/>
                    </w:rPr>
                    <w:t>3.70</w:t>
                  </w:r>
                </w:p>
              </w:tc>
              <w:tc>
                <w:tcPr>
                  <w:tcW w:w="2066" w:type="dxa"/>
                  <w:noWrap w:val="0"/>
                  <w:vAlign w:val="center"/>
                </w:tcPr>
                <w:p w14:paraId="16A19C65">
                  <w:pPr>
                    <w:jc w:val="center"/>
                    <w:rPr>
                      <w:rFonts w:hint="eastAsia" w:eastAsia="宋体"/>
                      <w:snapToGrid w:val="0"/>
                      <w:szCs w:val="21"/>
                      <w:highlight w:val="none"/>
                      <w:lang w:val="en-US" w:eastAsia="zh-CN"/>
                    </w:rPr>
                  </w:pPr>
                  <w:r>
                    <w:rPr>
                      <w:rFonts w:hint="eastAsia"/>
                      <w:snapToGrid w:val="0"/>
                      <w:szCs w:val="21"/>
                      <w:highlight w:val="none"/>
                      <w:lang w:val="en-US" w:eastAsia="zh-CN"/>
                    </w:rPr>
                    <w:t>/</w:t>
                  </w:r>
                </w:p>
              </w:tc>
            </w:tr>
            <w:tr w14:paraId="347C5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noWrap w:val="0"/>
                  <w:vAlign w:val="center"/>
                </w:tcPr>
                <w:p w14:paraId="74908C06">
                  <w:pPr>
                    <w:jc w:val="center"/>
                    <w:rPr>
                      <w:snapToGrid w:val="0"/>
                      <w:szCs w:val="21"/>
                      <w:highlight w:val="none"/>
                    </w:rPr>
                  </w:pPr>
                  <w:r>
                    <w:rPr>
                      <w:snapToGrid w:val="0"/>
                      <w:szCs w:val="21"/>
                      <w:highlight w:val="none"/>
                    </w:rPr>
                    <w:t>8</w:t>
                  </w:r>
                </w:p>
              </w:tc>
              <w:tc>
                <w:tcPr>
                  <w:tcW w:w="2612" w:type="dxa"/>
                  <w:noWrap w:val="0"/>
                  <w:vAlign w:val="center"/>
                </w:tcPr>
                <w:p w14:paraId="084F5520">
                  <w:pPr>
                    <w:jc w:val="center"/>
                    <w:rPr>
                      <w:snapToGrid w:val="0"/>
                      <w:szCs w:val="21"/>
                      <w:highlight w:val="none"/>
                    </w:rPr>
                  </w:pPr>
                  <w:r>
                    <w:rPr>
                      <w:snapToGrid w:val="0"/>
                      <w:szCs w:val="21"/>
                      <w:highlight w:val="none"/>
                    </w:rPr>
                    <w:t>硫酸铵</w:t>
                  </w:r>
                </w:p>
              </w:tc>
              <w:tc>
                <w:tcPr>
                  <w:tcW w:w="2240" w:type="dxa"/>
                  <w:noWrap w:val="0"/>
                  <w:vAlign w:val="center"/>
                </w:tcPr>
                <w:p w14:paraId="517B75B2">
                  <w:pPr>
                    <w:jc w:val="center"/>
                    <w:rPr>
                      <w:snapToGrid w:val="0"/>
                      <w:szCs w:val="21"/>
                      <w:highlight w:val="none"/>
                    </w:rPr>
                  </w:pPr>
                  <w:r>
                    <w:rPr>
                      <w:snapToGrid w:val="0"/>
                      <w:szCs w:val="21"/>
                      <w:highlight w:val="none"/>
                    </w:rPr>
                    <w:t>5.11</w:t>
                  </w:r>
                </w:p>
              </w:tc>
              <w:tc>
                <w:tcPr>
                  <w:tcW w:w="2066" w:type="dxa"/>
                  <w:noWrap w:val="0"/>
                  <w:vAlign w:val="center"/>
                </w:tcPr>
                <w:p w14:paraId="6AE0A6AE">
                  <w:pPr>
                    <w:jc w:val="center"/>
                    <w:rPr>
                      <w:rFonts w:hint="eastAsia" w:eastAsia="宋体"/>
                      <w:snapToGrid w:val="0"/>
                      <w:szCs w:val="21"/>
                      <w:highlight w:val="none"/>
                      <w:lang w:val="en-US" w:eastAsia="zh-CN"/>
                    </w:rPr>
                  </w:pPr>
                  <w:r>
                    <w:rPr>
                      <w:rFonts w:hint="eastAsia"/>
                      <w:snapToGrid w:val="0"/>
                      <w:szCs w:val="21"/>
                      <w:highlight w:val="none"/>
                      <w:lang w:val="en-US" w:eastAsia="zh-CN"/>
                    </w:rPr>
                    <w:t>/</w:t>
                  </w:r>
                </w:p>
              </w:tc>
            </w:tr>
            <w:tr w14:paraId="3D3BA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noWrap w:val="0"/>
                  <w:vAlign w:val="center"/>
                </w:tcPr>
                <w:p w14:paraId="756DC1EB">
                  <w:pPr>
                    <w:jc w:val="center"/>
                    <w:rPr>
                      <w:snapToGrid w:val="0"/>
                      <w:szCs w:val="21"/>
                      <w:highlight w:val="none"/>
                    </w:rPr>
                  </w:pPr>
                  <w:r>
                    <w:rPr>
                      <w:snapToGrid w:val="0"/>
                      <w:szCs w:val="21"/>
                      <w:highlight w:val="none"/>
                    </w:rPr>
                    <w:t>9</w:t>
                  </w:r>
                </w:p>
              </w:tc>
              <w:tc>
                <w:tcPr>
                  <w:tcW w:w="2612" w:type="dxa"/>
                  <w:noWrap w:val="0"/>
                  <w:vAlign w:val="center"/>
                </w:tcPr>
                <w:p w14:paraId="43C5AC56">
                  <w:pPr>
                    <w:jc w:val="center"/>
                    <w:rPr>
                      <w:snapToGrid w:val="0"/>
                      <w:szCs w:val="21"/>
                      <w:highlight w:val="none"/>
                    </w:rPr>
                  </w:pPr>
                  <w:r>
                    <w:rPr>
                      <w:snapToGrid w:val="0"/>
                      <w:szCs w:val="21"/>
                      <w:highlight w:val="none"/>
                    </w:rPr>
                    <w:t>混醇</w:t>
                  </w:r>
                </w:p>
              </w:tc>
              <w:tc>
                <w:tcPr>
                  <w:tcW w:w="2240" w:type="dxa"/>
                  <w:noWrap w:val="0"/>
                  <w:vAlign w:val="center"/>
                </w:tcPr>
                <w:p w14:paraId="0F6099EF">
                  <w:pPr>
                    <w:jc w:val="center"/>
                    <w:rPr>
                      <w:snapToGrid w:val="0"/>
                      <w:szCs w:val="21"/>
                      <w:highlight w:val="none"/>
                    </w:rPr>
                  </w:pPr>
                  <w:r>
                    <w:rPr>
                      <w:rFonts w:hint="eastAsia"/>
                      <w:snapToGrid w:val="0"/>
                      <w:szCs w:val="21"/>
                      <w:highlight w:val="none"/>
                    </w:rPr>
                    <w:t>2</w:t>
                  </w:r>
                  <w:r>
                    <w:rPr>
                      <w:snapToGrid w:val="0"/>
                      <w:szCs w:val="21"/>
                      <w:highlight w:val="none"/>
                    </w:rPr>
                    <w:t>.3</w:t>
                  </w:r>
                  <w:r>
                    <w:rPr>
                      <w:rFonts w:hint="eastAsia"/>
                      <w:snapToGrid w:val="0"/>
                      <w:szCs w:val="21"/>
                      <w:highlight w:val="none"/>
                    </w:rPr>
                    <w:t>0</w:t>
                  </w:r>
                </w:p>
              </w:tc>
              <w:tc>
                <w:tcPr>
                  <w:tcW w:w="2066" w:type="dxa"/>
                  <w:noWrap w:val="0"/>
                  <w:vAlign w:val="center"/>
                </w:tcPr>
                <w:p w14:paraId="25BDE6A6">
                  <w:pPr>
                    <w:jc w:val="center"/>
                    <w:rPr>
                      <w:rFonts w:hint="eastAsia" w:eastAsia="宋体"/>
                      <w:snapToGrid w:val="0"/>
                      <w:szCs w:val="21"/>
                      <w:highlight w:val="none"/>
                      <w:lang w:val="en-US" w:eastAsia="zh-CN"/>
                    </w:rPr>
                  </w:pPr>
                  <w:r>
                    <w:rPr>
                      <w:rFonts w:hint="eastAsia"/>
                      <w:snapToGrid w:val="0"/>
                      <w:szCs w:val="21"/>
                      <w:highlight w:val="none"/>
                      <w:lang w:val="en-US" w:eastAsia="zh-CN"/>
                    </w:rPr>
                    <w:t>/</w:t>
                  </w:r>
                </w:p>
              </w:tc>
            </w:tr>
            <w:bookmarkEnd w:id="38"/>
            <w:bookmarkEnd w:id="39"/>
          </w:tbl>
          <w:p w14:paraId="5981E587">
            <w:pPr>
              <w:adjustRightInd w:val="0"/>
              <w:snapToGrid w:val="0"/>
              <w:spacing w:line="360" w:lineRule="auto"/>
              <w:ind w:firstLine="480"/>
              <w:rPr>
                <w:rFonts w:hint="default" w:eastAsia="宋体"/>
                <w:sz w:val="24"/>
                <w:highlight w:val="none"/>
                <w:lang w:val="en-US" w:eastAsia="zh-CN"/>
              </w:rPr>
            </w:pPr>
            <w:r>
              <w:rPr>
                <w:rFonts w:hint="eastAsia"/>
                <w:highlight w:val="none"/>
                <w:lang w:val="en-US" w:eastAsia="zh-CN"/>
              </w:rPr>
              <w:t>3.</w:t>
            </w:r>
            <w:r>
              <w:rPr>
                <w:rFonts w:hint="eastAsia"/>
                <w:sz w:val="24"/>
                <w:highlight w:val="none"/>
                <w:lang w:val="en-US" w:eastAsia="zh-CN"/>
              </w:rPr>
              <w:t>伊泰环保手续</w:t>
            </w:r>
          </w:p>
          <w:p w14:paraId="58DA507B">
            <w:pPr>
              <w:spacing w:line="360" w:lineRule="auto"/>
              <w:ind w:firstLine="480"/>
              <w:rPr>
                <w:sz w:val="24"/>
                <w:highlight w:val="none"/>
              </w:rPr>
            </w:pPr>
            <w:r>
              <w:rPr>
                <w:sz w:val="24"/>
                <w:highlight w:val="none"/>
              </w:rPr>
              <w:t>2011年8月，原内蒙古自治区环境保护厅以内环审</w:t>
            </w:r>
            <w:r>
              <w:rPr>
                <w:rFonts w:hint="eastAsia"/>
                <w:sz w:val="24"/>
                <w:highlight w:val="none"/>
                <w:lang w:eastAsia="zh-CN"/>
              </w:rPr>
              <w:t>﹝</w:t>
            </w:r>
            <w:r>
              <w:rPr>
                <w:sz w:val="24"/>
                <w:highlight w:val="none"/>
              </w:rPr>
              <w:t>2011</w:t>
            </w:r>
            <w:r>
              <w:rPr>
                <w:rFonts w:hint="eastAsia"/>
                <w:sz w:val="24"/>
                <w:highlight w:val="none"/>
                <w:lang w:eastAsia="zh-CN"/>
              </w:rPr>
              <w:t>﹞</w:t>
            </w:r>
            <w:r>
              <w:rPr>
                <w:sz w:val="24"/>
                <w:highlight w:val="none"/>
              </w:rPr>
              <w:t>240号文件出具了《关于内蒙古伊泰化工有限责任公司120万吨/年精细化学品项目环境影响报告书的批复》。</w:t>
            </w:r>
          </w:p>
          <w:p w14:paraId="12925C0C">
            <w:pPr>
              <w:spacing w:line="360" w:lineRule="auto"/>
              <w:ind w:firstLine="480"/>
              <w:rPr>
                <w:sz w:val="24"/>
                <w:highlight w:val="none"/>
              </w:rPr>
            </w:pPr>
            <w:r>
              <w:rPr>
                <w:sz w:val="24"/>
                <w:highlight w:val="none"/>
              </w:rPr>
              <w:t>2014年6月开工建设。</w:t>
            </w:r>
          </w:p>
          <w:p w14:paraId="05AD3185">
            <w:pPr>
              <w:spacing w:line="360" w:lineRule="auto"/>
              <w:ind w:firstLine="480"/>
              <w:rPr>
                <w:sz w:val="24"/>
                <w:highlight w:val="none"/>
              </w:rPr>
            </w:pPr>
            <w:r>
              <w:rPr>
                <w:sz w:val="24"/>
                <w:highlight w:val="none"/>
              </w:rPr>
              <w:t>2016年12月，原鄂尔多斯市环境保护局以鄂环评字</w:t>
            </w:r>
            <w:r>
              <w:rPr>
                <w:rFonts w:hint="eastAsia"/>
                <w:sz w:val="24"/>
                <w:highlight w:val="none"/>
                <w:lang w:eastAsia="zh-CN"/>
              </w:rPr>
              <w:t>﹝</w:t>
            </w:r>
            <w:r>
              <w:rPr>
                <w:sz w:val="24"/>
                <w:highlight w:val="none"/>
              </w:rPr>
              <w:t>2016</w:t>
            </w:r>
            <w:r>
              <w:rPr>
                <w:rFonts w:hint="eastAsia"/>
                <w:sz w:val="24"/>
                <w:highlight w:val="none"/>
                <w:lang w:eastAsia="zh-CN"/>
              </w:rPr>
              <w:t>﹞</w:t>
            </w:r>
            <w:r>
              <w:rPr>
                <w:sz w:val="24"/>
                <w:highlight w:val="none"/>
              </w:rPr>
              <w:t>162号文件出具了《关于内蒙古伊泰化工有限责任公司120万吨/年精细化学品示范项目（变更）环境影响报告书的批复》。</w:t>
            </w:r>
          </w:p>
          <w:p w14:paraId="388ABF1B">
            <w:pPr>
              <w:spacing w:line="360" w:lineRule="auto"/>
              <w:ind w:firstLine="480"/>
              <w:rPr>
                <w:sz w:val="24"/>
                <w:highlight w:val="none"/>
              </w:rPr>
            </w:pPr>
            <w:r>
              <w:rPr>
                <w:sz w:val="24"/>
                <w:highlight w:val="none"/>
              </w:rPr>
              <w:t>2017年6月</w:t>
            </w:r>
            <w:r>
              <w:rPr>
                <w:rFonts w:hint="eastAsia"/>
                <w:sz w:val="24"/>
                <w:highlight w:val="none"/>
                <w:lang w:eastAsia="zh-CN"/>
              </w:rPr>
              <w:t>，</w:t>
            </w:r>
            <w:r>
              <w:rPr>
                <w:sz w:val="24"/>
                <w:highlight w:val="none"/>
              </w:rPr>
              <w:t>项目投料生产。</w:t>
            </w:r>
          </w:p>
          <w:p w14:paraId="6F7F20F6">
            <w:pPr>
              <w:spacing w:line="360" w:lineRule="auto"/>
              <w:ind w:firstLine="480"/>
              <w:rPr>
                <w:sz w:val="24"/>
                <w:highlight w:val="none"/>
              </w:rPr>
            </w:pPr>
            <w:r>
              <w:rPr>
                <w:sz w:val="24"/>
                <w:highlight w:val="none"/>
              </w:rPr>
              <w:t>2017年9月，原鄂尔多斯市环境保护局以鄂环监字</w:t>
            </w:r>
            <w:r>
              <w:rPr>
                <w:rFonts w:hint="eastAsia"/>
                <w:sz w:val="24"/>
                <w:highlight w:val="none"/>
                <w:lang w:eastAsia="zh-CN"/>
              </w:rPr>
              <w:t>﹝</w:t>
            </w:r>
            <w:r>
              <w:rPr>
                <w:sz w:val="24"/>
                <w:highlight w:val="none"/>
              </w:rPr>
              <w:t>2017</w:t>
            </w:r>
            <w:r>
              <w:rPr>
                <w:rFonts w:hint="eastAsia"/>
                <w:sz w:val="24"/>
                <w:highlight w:val="none"/>
                <w:lang w:eastAsia="zh-CN"/>
              </w:rPr>
              <w:t>﹞</w:t>
            </w:r>
            <w:r>
              <w:rPr>
                <w:sz w:val="24"/>
                <w:highlight w:val="none"/>
              </w:rPr>
              <w:t>190号文件出具了《关于内蒙古伊泰化工有限责任公司120万吨/年精细化学品示范项目竣工环境保护验收意见的通知》。</w:t>
            </w:r>
          </w:p>
          <w:p w14:paraId="03999973">
            <w:pPr>
              <w:spacing w:line="360" w:lineRule="auto"/>
              <w:ind w:firstLine="480"/>
              <w:rPr>
                <w:sz w:val="24"/>
                <w:highlight w:val="none"/>
              </w:rPr>
            </w:pPr>
            <w:r>
              <w:rPr>
                <w:sz w:val="24"/>
                <w:highlight w:val="none"/>
              </w:rPr>
              <w:t>2018年8月，原鄂尔多斯市环境保护局以鄂环评字</w:t>
            </w:r>
            <w:r>
              <w:rPr>
                <w:rFonts w:hint="eastAsia"/>
                <w:sz w:val="24"/>
                <w:highlight w:val="none"/>
                <w:lang w:eastAsia="zh-CN"/>
              </w:rPr>
              <w:t>﹝</w:t>
            </w:r>
            <w:r>
              <w:rPr>
                <w:sz w:val="24"/>
                <w:highlight w:val="none"/>
              </w:rPr>
              <w:t>2018</w:t>
            </w:r>
            <w:r>
              <w:rPr>
                <w:rFonts w:hint="eastAsia"/>
                <w:sz w:val="24"/>
                <w:highlight w:val="none"/>
                <w:lang w:eastAsia="zh-CN"/>
              </w:rPr>
              <w:t>﹞</w:t>
            </w:r>
            <w:r>
              <w:rPr>
                <w:sz w:val="24"/>
                <w:highlight w:val="none"/>
              </w:rPr>
              <w:t>173号文件出具了《关于内蒙古伊泰化工有限责任公司120万吨/年精细化学品项目水处理及零排放整体系统工艺优化改造工程环境影响报告表的批复》。主要建设内容包括：对气化废水高密沉淀系统优化、新增备用气化废水高密沉淀系统；对合成废水厌氧系统优化、新增备用厌氧系统；新增</w:t>
            </w:r>
            <w:r>
              <w:rPr>
                <w:rFonts w:hint="eastAsia"/>
                <w:sz w:val="24"/>
                <w:highlight w:val="none"/>
              </w:rPr>
              <w:t>渣蜡、废活性炭</w:t>
            </w:r>
            <w:r>
              <w:rPr>
                <w:sz w:val="24"/>
                <w:highlight w:val="none"/>
              </w:rPr>
              <w:t>脱水机设施；对回用工序2高密沉淀系统优化、考虑备用回用工序2高密沉淀系统；对回用工序1及2备用反渗透系统优化；原含醇及脱碳废水增加混凝沉淀设施；对浓盐水处理装置药剂系统扩容改造；新增备用结晶分盐</w:t>
            </w:r>
            <w:r>
              <w:rPr>
                <w:rFonts w:hint="eastAsia"/>
                <w:sz w:val="24"/>
                <w:highlight w:val="none"/>
                <w:lang w:eastAsia="zh-CN"/>
              </w:rPr>
              <w:t>系统</w:t>
            </w:r>
            <w:r>
              <w:rPr>
                <w:sz w:val="24"/>
                <w:highlight w:val="none"/>
              </w:rPr>
              <w:t>；对原回用工序1</w:t>
            </w:r>
            <w:r>
              <w:rPr>
                <w:rFonts w:hint="eastAsia"/>
                <w:sz w:val="24"/>
                <w:highlight w:val="none"/>
                <w:lang w:eastAsia="zh-CN"/>
              </w:rPr>
              <w:t>进行</w:t>
            </w:r>
            <w:r>
              <w:rPr>
                <w:sz w:val="24"/>
                <w:highlight w:val="none"/>
              </w:rPr>
              <w:t>过滤预处理优化；新增浓盐水备用膜系统；新增成品盐仓库。</w:t>
            </w:r>
          </w:p>
          <w:p w14:paraId="23ED7D24">
            <w:pPr>
              <w:spacing w:line="360" w:lineRule="auto"/>
              <w:ind w:firstLine="480"/>
              <w:rPr>
                <w:sz w:val="24"/>
                <w:highlight w:val="none"/>
              </w:rPr>
            </w:pPr>
            <w:r>
              <w:rPr>
                <w:sz w:val="24"/>
                <w:highlight w:val="none"/>
              </w:rPr>
              <w:t>2018年8月</w:t>
            </w:r>
            <w:r>
              <w:rPr>
                <w:rFonts w:hint="eastAsia"/>
                <w:sz w:val="24"/>
                <w:highlight w:val="none"/>
                <w:lang w:eastAsia="zh-CN"/>
              </w:rPr>
              <w:t>，</w:t>
            </w:r>
            <w:r>
              <w:rPr>
                <w:sz w:val="24"/>
                <w:highlight w:val="none"/>
              </w:rPr>
              <w:t>内蒙古伊泰化工有限责任公司120万吨/年精细化学品项目水处理及零排放整体系统工艺优化改造工程开工建设，2019年4月试运行。</w:t>
            </w:r>
          </w:p>
          <w:p w14:paraId="0812EF02">
            <w:pPr>
              <w:spacing w:line="360" w:lineRule="auto"/>
              <w:ind w:firstLine="480"/>
              <w:rPr>
                <w:sz w:val="24"/>
                <w:highlight w:val="none"/>
              </w:rPr>
            </w:pPr>
            <w:r>
              <w:rPr>
                <w:sz w:val="24"/>
                <w:highlight w:val="none"/>
              </w:rPr>
              <w:t>2020年11月，完成内蒙古伊泰化工有限责任公司120万吨/年精细化学品项目水处理及零排放整体系统工艺优化改造工程竣工环境保护自主验收。</w:t>
            </w:r>
          </w:p>
          <w:p w14:paraId="3BF7A422">
            <w:pPr>
              <w:spacing w:line="360" w:lineRule="auto"/>
              <w:ind w:firstLine="480"/>
              <w:rPr>
                <w:rFonts w:hint="eastAsia"/>
                <w:sz w:val="24"/>
                <w:highlight w:val="none"/>
                <w:lang w:eastAsia="zh-CN"/>
              </w:rPr>
            </w:pPr>
            <w:r>
              <w:rPr>
                <w:rFonts w:hint="eastAsia"/>
                <w:sz w:val="24"/>
                <w:highlight w:val="none"/>
              </w:rPr>
              <w:t>2021年5月</w:t>
            </w:r>
            <w:r>
              <w:rPr>
                <w:sz w:val="24"/>
                <w:highlight w:val="none"/>
              </w:rPr>
              <w:t>，鄂尔多斯市生态环境局</w:t>
            </w:r>
            <w:r>
              <w:rPr>
                <w:rFonts w:hint="eastAsia"/>
                <w:sz w:val="24"/>
                <w:highlight w:val="none"/>
                <w:lang w:eastAsia="zh-CN"/>
              </w:rPr>
              <w:t>以</w:t>
            </w:r>
            <w:r>
              <w:rPr>
                <w:sz w:val="24"/>
                <w:highlight w:val="none"/>
              </w:rPr>
              <w:t>鄂环审字〔2021〕482号文件出具了《关于内蒙古伊泰化工有限责任公司气化装置协同处置生化污泥项目环境影响报告表的批复》</w:t>
            </w:r>
            <w:r>
              <w:rPr>
                <w:rFonts w:hint="eastAsia"/>
                <w:sz w:val="24"/>
                <w:highlight w:val="none"/>
                <w:lang w:eastAsia="zh-CN"/>
              </w:rPr>
              <w:t>。</w:t>
            </w:r>
          </w:p>
          <w:p w14:paraId="18C88C2C">
            <w:pPr>
              <w:spacing w:line="360" w:lineRule="auto"/>
              <w:ind w:firstLine="480"/>
              <w:rPr>
                <w:rFonts w:hint="eastAsia"/>
                <w:sz w:val="24"/>
                <w:highlight w:val="none"/>
                <w:lang w:eastAsia="zh-CN"/>
              </w:rPr>
            </w:pPr>
            <w:r>
              <w:rPr>
                <w:rFonts w:hint="eastAsia"/>
                <w:sz w:val="24"/>
                <w:highlight w:val="none"/>
                <w:lang w:val="en-US" w:eastAsia="zh-CN"/>
              </w:rPr>
              <w:t>2022年3月，</w:t>
            </w:r>
            <w:r>
              <w:rPr>
                <w:sz w:val="24"/>
                <w:highlight w:val="none"/>
              </w:rPr>
              <w:t>完成内蒙古伊泰化工有限责任公司气化装置协同处置生化污泥项目竣工环境保护自主验收</w:t>
            </w:r>
            <w:r>
              <w:rPr>
                <w:rFonts w:hint="eastAsia"/>
                <w:sz w:val="24"/>
                <w:highlight w:val="none"/>
                <w:lang w:eastAsia="zh-CN"/>
              </w:rPr>
              <w:t>。</w:t>
            </w:r>
          </w:p>
          <w:p w14:paraId="1D8E964D">
            <w:pPr>
              <w:spacing w:line="360" w:lineRule="auto"/>
              <w:ind w:firstLine="480"/>
              <w:rPr>
                <w:rFonts w:hint="default"/>
                <w:sz w:val="24"/>
                <w:highlight w:val="none"/>
                <w:lang w:val="en-US" w:eastAsia="zh-CN"/>
              </w:rPr>
            </w:pPr>
            <w:r>
              <w:rPr>
                <w:rFonts w:hint="eastAsia"/>
                <w:sz w:val="24"/>
                <w:highlight w:val="none"/>
                <w:lang w:val="en-US" w:eastAsia="zh-CN"/>
              </w:rPr>
              <w:t>排污许可证编号：91150625695922289F002V，有效期限：自2024年11月11日起至2029年11月10日止。</w:t>
            </w:r>
          </w:p>
          <w:p w14:paraId="3275D242">
            <w:pPr>
              <w:numPr>
                <w:ilvl w:val="0"/>
                <w:numId w:val="0"/>
              </w:numPr>
              <w:spacing w:line="360" w:lineRule="auto"/>
              <w:rPr>
                <w:rFonts w:hint="eastAsia"/>
                <w:b/>
                <w:bCs/>
                <w:sz w:val="24"/>
                <w:highlight w:val="none"/>
                <w:lang w:val="en-US" w:eastAsia="zh-CN"/>
              </w:rPr>
            </w:pPr>
            <w:bookmarkStart w:id="40" w:name="OLE_LINK18"/>
            <w:bookmarkStart w:id="41" w:name="OLE_LINK17"/>
            <w:r>
              <w:rPr>
                <w:rFonts w:hint="eastAsia"/>
                <w:b/>
                <w:bCs/>
                <w:sz w:val="24"/>
                <w:highlight w:val="none"/>
                <w:lang w:val="en-US" w:eastAsia="zh-CN"/>
              </w:rPr>
              <w:t>二、伊泰-巨鹏CO</w:t>
            </w:r>
            <w:r>
              <w:rPr>
                <w:rFonts w:hint="eastAsia"/>
                <w:b/>
                <w:bCs/>
                <w:sz w:val="24"/>
                <w:highlight w:val="none"/>
                <w:vertAlign w:val="subscript"/>
                <w:lang w:val="en-US" w:eastAsia="zh-CN"/>
              </w:rPr>
              <w:t>2</w:t>
            </w:r>
            <w:r>
              <w:rPr>
                <w:rFonts w:hint="eastAsia"/>
                <w:b/>
                <w:bCs/>
                <w:sz w:val="24"/>
                <w:highlight w:val="none"/>
                <w:lang w:val="en-US" w:eastAsia="zh-CN"/>
              </w:rPr>
              <w:t>和工业尾气生物发酵法制10万吨乙醇联产2万吨菌体蛋白项目</w:t>
            </w:r>
            <w:bookmarkEnd w:id="40"/>
            <w:bookmarkEnd w:id="41"/>
            <w:r>
              <w:rPr>
                <w:rFonts w:hint="eastAsia"/>
                <w:b/>
                <w:bCs/>
                <w:sz w:val="24"/>
                <w:highlight w:val="none"/>
                <w:lang w:val="en-US" w:eastAsia="zh-CN"/>
              </w:rPr>
              <w:t>基本情况</w:t>
            </w:r>
          </w:p>
          <w:p w14:paraId="4A60D07B">
            <w:pPr>
              <w:spacing w:line="360" w:lineRule="auto"/>
              <w:ind w:firstLine="480"/>
              <w:rPr>
                <w:rFonts w:hint="default" w:cs="Times New Roman"/>
                <w:snapToGrid w:val="0"/>
                <w:sz w:val="24"/>
                <w:szCs w:val="24"/>
                <w:highlight w:val="none"/>
                <w:lang w:val="en-US" w:eastAsia="zh-CN"/>
              </w:rPr>
            </w:pPr>
            <w:r>
              <w:rPr>
                <w:rFonts w:hint="eastAsia" w:cs="Times New Roman"/>
                <w:snapToGrid w:val="0"/>
                <w:sz w:val="24"/>
                <w:szCs w:val="24"/>
                <w:highlight w:val="none"/>
                <w:lang w:val="en-US" w:eastAsia="zh-CN"/>
              </w:rPr>
              <w:t>1.基本情况</w:t>
            </w:r>
          </w:p>
          <w:p w14:paraId="6F2783E2">
            <w:pPr>
              <w:spacing w:line="360" w:lineRule="auto"/>
              <w:ind w:firstLine="480"/>
              <w:rPr>
                <w:rFonts w:hint="eastAsia" w:ascii="Times New Roman" w:hAnsi="Times New Roman" w:eastAsia="宋体" w:cs="Times New Roman"/>
                <w:snapToGrid w:val="0"/>
                <w:sz w:val="24"/>
                <w:szCs w:val="24"/>
                <w:highlight w:val="none"/>
                <w:lang w:val="en-US" w:eastAsia="zh-CN"/>
              </w:rPr>
            </w:pPr>
            <w:r>
              <w:rPr>
                <w:rFonts w:hint="eastAsia" w:ascii="Times New Roman" w:hAnsi="Times New Roman" w:eastAsia="宋体" w:cs="Times New Roman"/>
                <w:snapToGrid w:val="0"/>
                <w:sz w:val="24"/>
                <w:szCs w:val="24"/>
                <w:highlight w:val="none"/>
                <w:lang w:val="en-US" w:eastAsia="zh-CN"/>
              </w:rPr>
              <w:t>项目类别：根据《建设项目环境影响评价分类管理名录（2021年版）》，本项目属于</w:t>
            </w:r>
            <w:r>
              <w:rPr>
                <w:rFonts w:hint="eastAsia" w:cs="Times New Roman"/>
                <w:snapToGrid w:val="0"/>
                <w:sz w:val="24"/>
                <w:szCs w:val="24"/>
                <w:highlight w:val="none"/>
                <w:lang w:val="en-US" w:eastAsia="zh-CN"/>
              </w:rPr>
              <w:t>“</w:t>
            </w:r>
            <w:r>
              <w:rPr>
                <w:rFonts w:hint="eastAsia" w:ascii="Times New Roman" w:hAnsi="Times New Roman" w:eastAsia="宋体" w:cs="Times New Roman"/>
                <w:snapToGrid w:val="0"/>
                <w:sz w:val="24"/>
                <w:szCs w:val="24"/>
                <w:highlight w:val="none"/>
                <w:lang w:val="en-US" w:eastAsia="zh-CN"/>
              </w:rPr>
              <w:t>二十三、化学原料和化学制品制造业26</w:t>
            </w:r>
            <w:r>
              <w:rPr>
                <w:rFonts w:hint="eastAsia" w:cs="Times New Roman"/>
                <w:snapToGrid w:val="0"/>
                <w:sz w:val="24"/>
                <w:szCs w:val="24"/>
                <w:highlight w:val="none"/>
                <w:lang w:val="en-US" w:eastAsia="zh-CN"/>
              </w:rPr>
              <w:t>”</w:t>
            </w:r>
            <w:r>
              <w:rPr>
                <w:rFonts w:hint="eastAsia" w:ascii="Times New Roman" w:hAnsi="Times New Roman" w:eastAsia="宋体" w:cs="Times New Roman"/>
                <w:snapToGrid w:val="0"/>
                <w:sz w:val="24"/>
                <w:szCs w:val="24"/>
                <w:highlight w:val="none"/>
                <w:lang w:val="en-US" w:eastAsia="zh-CN"/>
              </w:rPr>
              <w:t>中</w:t>
            </w:r>
            <w:r>
              <w:rPr>
                <w:rFonts w:hint="eastAsia" w:cs="Times New Roman"/>
                <w:snapToGrid w:val="0"/>
                <w:sz w:val="24"/>
                <w:szCs w:val="24"/>
                <w:highlight w:val="none"/>
                <w:lang w:val="en-US" w:eastAsia="zh-CN"/>
              </w:rPr>
              <w:t>“</w:t>
            </w:r>
            <w:r>
              <w:rPr>
                <w:rFonts w:hint="eastAsia" w:ascii="Times New Roman" w:hAnsi="Times New Roman" w:eastAsia="宋体" w:cs="Times New Roman"/>
                <w:snapToGrid w:val="0"/>
                <w:sz w:val="24"/>
                <w:szCs w:val="24"/>
                <w:highlight w:val="none"/>
                <w:lang w:val="en-US" w:eastAsia="zh-CN"/>
              </w:rPr>
              <w:t>基础化学原料制造261</w:t>
            </w:r>
            <w:r>
              <w:rPr>
                <w:rFonts w:hint="eastAsia" w:cs="Times New Roman"/>
                <w:snapToGrid w:val="0"/>
                <w:sz w:val="24"/>
                <w:szCs w:val="24"/>
                <w:highlight w:val="none"/>
                <w:lang w:val="en-US" w:eastAsia="zh-CN"/>
              </w:rPr>
              <w:t>”</w:t>
            </w:r>
            <w:r>
              <w:rPr>
                <w:rFonts w:hint="eastAsia" w:ascii="Times New Roman" w:hAnsi="Times New Roman" w:eastAsia="宋体" w:cs="Times New Roman"/>
                <w:snapToGrid w:val="0"/>
                <w:sz w:val="24"/>
                <w:szCs w:val="24"/>
                <w:highlight w:val="none"/>
                <w:lang w:val="en-US" w:eastAsia="zh-CN"/>
              </w:rPr>
              <w:t>。</w:t>
            </w:r>
          </w:p>
          <w:p w14:paraId="39167CFA">
            <w:pPr>
              <w:spacing w:line="360" w:lineRule="auto"/>
              <w:ind w:firstLine="480"/>
              <w:rPr>
                <w:rFonts w:hint="eastAsia" w:ascii="Times New Roman" w:hAnsi="Times New Roman" w:eastAsia="宋体" w:cs="Times New Roman"/>
                <w:snapToGrid w:val="0"/>
                <w:sz w:val="24"/>
                <w:szCs w:val="24"/>
                <w:highlight w:val="none"/>
                <w:lang w:val="en-US" w:eastAsia="zh-CN"/>
              </w:rPr>
            </w:pPr>
            <w:r>
              <w:rPr>
                <w:rFonts w:hint="eastAsia" w:ascii="Times New Roman" w:hAnsi="Times New Roman" w:eastAsia="宋体" w:cs="Times New Roman"/>
                <w:snapToGrid w:val="0"/>
                <w:sz w:val="24"/>
                <w:szCs w:val="24"/>
                <w:highlight w:val="none"/>
                <w:lang w:val="en-US" w:eastAsia="zh-CN"/>
              </w:rPr>
              <w:t>建设单位：内蒙古鹏泰生物科技有限公司。</w:t>
            </w:r>
          </w:p>
          <w:p w14:paraId="0EDB16DE">
            <w:pPr>
              <w:spacing w:line="360" w:lineRule="auto"/>
              <w:ind w:firstLine="480"/>
              <w:rPr>
                <w:rFonts w:hint="eastAsia" w:ascii="Times New Roman" w:hAnsi="Times New Roman" w:eastAsia="宋体" w:cs="Times New Roman"/>
                <w:snapToGrid w:val="0"/>
                <w:sz w:val="24"/>
                <w:szCs w:val="24"/>
                <w:highlight w:val="none"/>
                <w:lang w:val="en-US" w:eastAsia="zh-CN"/>
              </w:rPr>
            </w:pPr>
            <w:r>
              <w:rPr>
                <w:rFonts w:hint="eastAsia" w:ascii="Times New Roman" w:hAnsi="Times New Roman" w:eastAsia="宋体" w:cs="Times New Roman"/>
                <w:snapToGrid w:val="0"/>
                <w:sz w:val="24"/>
                <w:szCs w:val="24"/>
                <w:highlight w:val="none"/>
                <w:lang w:val="en-US" w:eastAsia="zh-CN"/>
              </w:rPr>
              <w:t>建设性质：新建。</w:t>
            </w:r>
          </w:p>
          <w:p w14:paraId="3F067742">
            <w:pPr>
              <w:spacing w:line="360" w:lineRule="auto"/>
              <w:ind w:firstLine="480"/>
              <w:rPr>
                <w:rFonts w:hint="eastAsia" w:ascii="Times New Roman" w:hAnsi="Times New Roman" w:eastAsia="宋体" w:cs="Times New Roman"/>
                <w:snapToGrid w:val="0"/>
                <w:sz w:val="24"/>
                <w:szCs w:val="24"/>
                <w:highlight w:val="none"/>
                <w:lang w:val="en-US" w:eastAsia="zh-CN"/>
              </w:rPr>
            </w:pPr>
            <w:r>
              <w:rPr>
                <w:rFonts w:hint="eastAsia" w:ascii="Times New Roman" w:hAnsi="Times New Roman" w:eastAsia="宋体" w:cs="Times New Roman"/>
                <w:snapToGrid w:val="0"/>
                <w:sz w:val="24"/>
                <w:szCs w:val="24"/>
                <w:highlight w:val="none"/>
                <w:lang w:val="en-US" w:eastAsia="zh-CN"/>
              </w:rPr>
              <w:t>建设地点：</w:t>
            </w:r>
            <w:bookmarkStart w:id="42" w:name="OLE_LINK20"/>
            <w:r>
              <w:rPr>
                <w:rFonts w:hint="eastAsia" w:ascii="Times New Roman" w:hAnsi="Times New Roman" w:eastAsia="宋体" w:cs="Times New Roman"/>
                <w:snapToGrid w:val="0"/>
                <w:sz w:val="24"/>
                <w:szCs w:val="24"/>
                <w:highlight w:val="none"/>
                <w:lang w:val="en-US" w:eastAsia="zh-CN"/>
              </w:rPr>
              <w:t>内蒙古自治区</w:t>
            </w:r>
            <w:bookmarkStart w:id="43" w:name="OLE_LINK6"/>
            <w:r>
              <w:rPr>
                <w:rFonts w:hint="eastAsia" w:ascii="Times New Roman" w:hAnsi="Times New Roman" w:eastAsia="宋体" w:cs="Times New Roman"/>
                <w:snapToGrid w:val="0"/>
                <w:sz w:val="24"/>
                <w:szCs w:val="24"/>
                <w:highlight w:val="none"/>
                <w:lang w:val="en-US" w:eastAsia="zh-CN"/>
              </w:rPr>
              <w:t>鄂尔多斯</w:t>
            </w:r>
            <w:bookmarkEnd w:id="43"/>
            <w:r>
              <w:rPr>
                <w:rFonts w:hint="eastAsia" w:ascii="Times New Roman" w:hAnsi="Times New Roman" w:eastAsia="宋体" w:cs="Times New Roman"/>
                <w:snapToGrid w:val="0"/>
                <w:sz w:val="24"/>
                <w:szCs w:val="24"/>
                <w:highlight w:val="none"/>
                <w:lang w:val="en-US" w:eastAsia="zh-CN"/>
              </w:rPr>
              <w:t>市杭锦旗，鄂尔多斯杭锦经济开发区独贵塔拉</w:t>
            </w:r>
            <w:bookmarkEnd w:id="42"/>
            <w:r>
              <w:rPr>
                <w:rFonts w:hint="eastAsia" w:ascii="Times New Roman" w:hAnsi="Times New Roman" w:eastAsia="宋体" w:cs="Times New Roman"/>
                <w:snapToGrid w:val="0"/>
                <w:sz w:val="24"/>
                <w:szCs w:val="24"/>
                <w:highlight w:val="none"/>
                <w:lang w:val="en-US" w:eastAsia="zh-CN"/>
              </w:rPr>
              <w:t>产业园（南</w:t>
            </w:r>
            <w:r>
              <w:rPr>
                <w:rFonts w:hint="eastAsia" w:cs="Times New Roman"/>
                <w:snapToGrid w:val="0"/>
                <w:sz w:val="24"/>
                <w:szCs w:val="24"/>
                <w:highlight w:val="none"/>
                <w:lang w:val="en-US" w:eastAsia="zh-CN"/>
              </w:rPr>
              <w:t>项目</w:t>
            </w:r>
            <w:r>
              <w:rPr>
                <w:rFonts w:hint="eastAsia" w:ascii="Times New Roman" w:hAnsi="Times New Roman" w:eastAsia="宋体" w:cs="Times New Roman"/>
                <w:snapToGrid w:val="0"/>
                <w:sz w:val="24"/>
                <w:szCs w:val="24"/>
                <w:highlight w:val="none"/>
                <w:lang w:val="en-US" w:eastAsia="zh-CN"/>
              </w:rPr>
              <w:t>区）。</w:t>
            </w:r>
          </w:p>
          <w:p w14:paraId="48530CB3">
            <w:pPr>
              <w:spacing w:line="360" w:lineRule="auto"/>
              <w:ind w:firstLine="480"/>
              <w:rPr>
                <w:rFonts w:hint="eastAsia" w:ascii="Times New Roman" w:hAnsi="Times New Roman" w:eastAsia="宋体" w:cs="Times New Roman"/>
                <w:snapToGrid w:val="0"/>
                <w:sz w:val="24"/>
                <w:szCs w:val="24"/>
                <w:highlight w:val="none"/>
                <w:lang w:val="en-US" w:eastAsia="zh-CN"/>
              </w:rPr>
            </w:pPr>
            <w:r>
              <w:rPr>
                <w:rFonts w:hint="eastAsia" w:ascii="Times New Roman" w:hAnsi="Times New Roman" w:eastAsia="宋体" w:cs="Times New Roman"/>
                <w:snapToGrid w:val="0"/>
                <w:sz w:val="24"/>
                <w:szCs w:val="24"/>
                <w:highlight w:val="none"/>
                <w:lang w:val="en-US" w:eastAsia="zh-CN"/>
              </w:rPr>
              <w:t>总投资：73000万元。其中环保投资6210万元，占总投资的8.51%。</w:t>
            </w:r>
          </w:p>
          <w:p w14:paraId="4F26EC7C">
            <w:pPr>
              <w:spacing w:line="360" w:lineRule="auto"/>
              <w:ind w:firstLine="480"/>
              <w:rPr>
                <w:rFonts w:hint="eastAsia" w:ascii="Times New Roman" w:hAnsi="Times New Roman" w:eastAsia="宋体" w:cs="Times New Roman"/>
                <w:snapToGrid w:val="0"/>
                <w:sz w:val="24"/>
                <w:szCs w:val="24"/>
                <w:highlight w:val="none"/>
                <w:lang w:val="en-US" w:eastAsia="zh-CN"/>
              </w:rPr>
            </w:pPr>
            <w:r>
              <w:rPr>
                <w:rFonts w:hint="eastAsia" w:ascii="Times New Roman" w:hAnsi="Times New Roman" w:eastAsia="宋体" w:cs="Times New Roman"/>
                <w:snapToGrid w:val="0"/>
                <w:sz w:val="24"/>
                <w:szCs w:val="24"/>
                <w:highlight w:val="none"/>
                <w:lang w:val="en-US" w:eastAsia="zh-CN"/>
              </w:rPr>
              <w:t>占地面积：206712.91m</w:t>
            </w:r>
            <w:r>
              <w:rPr>
                <w:rFonts w:hint="eastAsia" w:ascii="Times New Roman" w:hAnsi="Times New Roman" w:eastAsia="宋体" w:cs="Times New Roman"/>
                <w:snapToGrid w:val="0"/>
                <w:sz w:val="24"/>
                <w:szCs w:val="24"/>
                <w:highlight w:val="none"/>
                <w:vertAlign w:val="superscript"/>
                <w:lang w:val="en-US" w:eastAsia="zh-CN"/>
              </w:rPr>
              <w:t>2</w:t>
            </w:r>
            <w:r>
              <w:rPr>
                <w:rFonts w:hint="eastAsia" w:ascii="Times New Roman" w:hAnsi="Times New Roman" w:eastAsia="宋体" w:cs="Times New Roman"/>
                <w:snapToGrid w:val="0"/>
                <w:sz w:val="24"/>
                <w:szCs w:val="24"/>
                <w:highlight w:val="none"/>
                <w:lang w:val="en-US" w:eastAsia="zh-CN"/>
              </w:rPr>
              <w:t>。</w:t>
            </w:r>
          </w:p>
          <w:p w14:paraId="2A6D6824">
            <w:pPr>
              <w:spacing w:line="360" w:lineRule="auto"/>
              <w:ind w:firstLine="480"/>
              <w:rPr>
                <w:rFonts w:hint="eastAsia" w:ascii="Times New Roman" w:hAnsi="Times New Roman" w:eastAsia="宋体" w:cs="Times New Roman"/>
                <w:snapToGrid w:val="0"/>
                <w:sz w:val="24"/>
                <w:szCs w:val="24"/>
                <w:highlight w:val="none"/>
                <w:lang w:val="en-US" w:eastAsia="zh-CN"/>
              </w:rPr>
            </w:pPr>
            <w:r>
              <w:rPr>
                <w:rFonts w:hint="eastAsia" w:ascii="Times New Roman" w:hAnsi="Times New Roman" w:eastAsia="宋体" w:cs="Times New Roman"/>
                <w:snapToGrid w:val="0"/>
                <w:sz w:val="24"/>
                <w:szCs w:val="24"/>
                <w:highlight w:val="none"/>
                <w:lang w:val="en-US" w:eastAsia="zh-CN"/>
              </w:rPr>
              <w:t>全厂定员：49人。</w:t>
            </w:r>
          </w:p>
          <w:p w14:paraId="1280AD28">
            <w:pPr>
              <w:spacing w:line="360" w:lineRule="auto"/>
              <w:ind w:firstLine="480"/>
              <w:rPr>
                <w:rFonts w:hint="eastAsia" w:ascii="Times New Roman" w:hAnsi="Times New Roman" w:eastAsia="宋体" w:cs="Times New Roman"/>
                <w:snapToGrid w:val="0"/>
                <w:sz w:val="24"/>
                <w:szCs w:val="24"/>
                <w:highlight w:val="none"/>
                <w:lang w:val="en-US" w:eastAsia="zh-CN"/>
              </w:rPr>
            </w:pPr>
            <w:r>
              <w:rPr>
                <w:rFonts w:hint="eastAsia" w:ascii="Times New Roman" w:hAnsi="Times New Roman" w:eastAsia="宋体" w:cs="Times New Roman"/>
                <w:snapToGrid w:val="0"/>
                <w:sz w:val="24"/>
                <w:szCs w:val="24"/>
                <w:highlight w:val="none"/>
                <w:lang w:val="en-US" w:eastAsia="zh-CN"/>
              </w:rPr>
              <w:t>运行时间：8000h。</w:t>
            </w:r>
          </w:p>
          <w:p w14:paraId="25A1590B">
            <w:pPr>
              <w:spacing w:line="360" w:lineRule="auto"/>
              <w:ind w:firstLine="480"/>
              <w:rPr>
                <w:rFonts w:hint="eastAsia" w:cs="Times New Roman"/>
                <w:snapToGrid w:val="0"/>
                <w:sz w:val="24"/>
                <w:szCs w:val="24"/>
                <w:highlight w:val="none"/>
                <w:lang w:val="en-US" w:eastAsia="zh-CN"/>
              </w:rPr>
            </w:pPr>
            <w:r>
              <w:rPr>
                <w:rFonts w:hint="eastAsia" w:cs="Times New Roman"/>
                <w:snapToGrid w:val="0"/>
                <w:sz w:val="24"/>
                <w:szCs w:val="24"/>
                <w:highlight w:val="none"/>
                <w:lang w:val="en-US" w:eastAsia="zh-CN"/>
              </w:rPr>
              <w:t>2.建设规模</w:t>
            </w:r>
          </w:p>
          <w:p w14:paraId="451055FE">
            <w:pPr>
              <w:spacing w:line="360" w:lineRule="auto"/>
              <w:ind w:firstLine="480"/>
              <w:rPr>
                <w:rFonts w:hint="eastAsia" w:ascii="Times New Roman" w:hAnsi="Times New Roman" w:eastAsia="宋体" w:cs="Times New Roman"/>
                <w:snapToGrid w:val="0"/>
                <w:sz w:val="24"/>
                <w:szCs w:val="24"/>
                <w:highlight w:val="none"/>
                <w:lang w:val="en-US" w:eastAsia="zh-CN"/>
              </w:rPr>
            </w:pPr>
            <w:r>
              <w:rPr>
                <w:rFonts w:hint="eastAsia" w:ascii="Times New Roman" w:hAnsi="Times New Roman" w:eastAsia="宋体" w:cs="Times New Roman"/>
                <w:snapToGrid w:val="0"/>
                <w:sz w:val="24"/>
                <w:szCs w:val="24"/>
                <w:highlight w:val="none"/>
                <w:lang w:val="en-US" w:eastAsia="zh-CN"/>
              </w:rPr>
              <w:t>本项目以内蒙古伊泰化工有限责任公司120万吨/年精细化学品示范项目净化装置未变换净化气、化学品合成装置合成脱碳尾气为原料，采用巨鹏生物科技有限公司发酵法原料气制乙醇技术，生产11.6万吨/年乙醇联产1.68万吨/年菌体蛋白。</w:t>
            </w:r>
          </w:p>
          <w:p w14:paraId="5083DB1C">
            <w:pPr>
              <w:adjustRightInd w:val="0"/>
              <w:snapToGrid w:val="0"/>
              <w:spacing w:line="360" w:lineRule="auto"/>
              <w:jc w:val="center"/>
              <w:rPr>
                <w:rFonts w:hint="eastAsia"/>
                <w:b/>
                <w:bCs w:val="0"/>
                <w:sz w:val="21"/>
                <w:szCs w:val="21"/>
                <w:highlight w:val="none"/>
                <w:lang w:val="en-US" w:eastAsia="zh-CN"/>
              </w:rPr>
            </w:pPr>
            <w:r>
              <w:rPr>
                <w:rFonts w:hint="eastAsia"/>
                <w:b/>
                <w:bCs w:val="0"/>
                <w:sz w:val="21"/>
                <w:szCs w:val="21"/>
                <w:highlight w:val="none"/>
                <w:lang w:val="en-US" w:eastAsia="zh-CN"/>
              </w:rPr>
              <w:t>表3.4   现有项目产品方案</w:t>
            </w:r>
          </w:p>
          <w:tbl>
            <w:tblPr>
              <w:tblStyle w:val="58"/>
              <w:tblW w:w="49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1097"/>
              <w:gridCol w:w="1185"/>
              <w:gridCol w:w="2611"/>
              <w:gridCol w:w="1649"/>
              <w:gridCol w:w="879"/>
            </w:tblGrid>
            <w:tr w14:paraId="37D71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5" w:type="pct"/>
                  <w:vAlign w:val="center"/>
                </w:tcPr>
                <w:p w14:paraId="7DE26704">
                  <w:pPr>
                    <w:pStyle w:val="56"/>
                    <w:rPr>
                      <w:rFonts w:cs="Times New Roman"/>
                      <w:highlight w:val="none"/>
                    </w:rPr>
                  </w:pPr>
                  <w:r>
                    <w:rPr>
                      <w:rFonts w:cs="Times New Roman"/>
                      <w:highlight w:val="none"/>
                    </w:rPr>
                    <w:t>序号</w:t>
                  </w:r>
                </w:p>
              </w:tc>
              <w:tc>
                <w:tcPr>
                  <w:tcW w:w="672" w:type="pct"/>
                  <w:vAlign w:val="center"/>
                </w:tcPr>
                <w:p w14:paraId="5FAEF91B">
                  <w:pPr>
                    <w:pStyle w:val="56"/>
                    <w:rPr>
                      <w:rFonts w:cs="Times New Roman"/>
                      <w:highlight w:val="none"/>
                    </w:rPr>
                  </w:pPr>
                  <w:r>
                    <w:rPr>
                      <w:rFonts w:cs="Times New Roman"/>
                      <w:highlight w:val="none"/>
                    </w:rPr>
                    <w:t>产品名称</w:t>
                  </w:r>
                </w:p>
              </w:tc>
              <w:tc>
                <w:tcPr>
                  <w:tcW w:w="726" w:type="pct"/>
                  <w:vAlign w:val="center"/>
                </w:tcPr>
                <w:p w14:paraId="3EDEA452">
                  <w:pPr>
                    <w:pStyle w:val="56"/>
                    <w:rPr>
                      <w:rFonts w:cs="Times New Roman"/>
                      <w:highlight w:val="none"/>
                    </w:rPr>
                  </w:pPr>
                  <w:r>
                    <w:rPr>
                      <w:rFonts w:cs="Times New Roman"/>
                      <w:highlight w:val="none"/>
                    </w:rPr>
                    <w:t>产量（t/a）</w:t>
                  </w:r>
                </w:p>
              </w:tc>
              <w:tc>
                <w:tcPr>
                  <w:tcW w:w="1599" w:type="pct"/>
                  <w:vAlign w:val="center"/>
                </w:tcPr>
                <w:p w14:paraId="7DB08EAE">
                  <w:pPr>
                    <w:pStyle w:val="56"/>
                    <w:rPr>
                      <w:rFonts w:cs="Times New Roman"/>
                      <w:highlight w:val="none"/>
                    </w:rPr>
                  </w:pPr>
                  <w:r>
                    <w:rPr>
                      <w:rFonts w:cs="Times New Roman"/>
                      <w:highlight w:val="none"/>
                    </w:rPr>
                    <w:t>执行标准</w:t>
                  </w:r>
                </w:p>
              </w:tc>
              <w:tc>
                <w:tcPr>
                  <w:tcW w:w="1010" w:type="pct"/>
                  <w:vAlign w:val="center"/>
                </w:tcPr>
                <w:p w14:paraId="12FB39F5">
                  <w:pPr>
                    <w:pStyle w:val="56"/>
                    <w:rPr>
                      <w:rFonts w:cs="Times New Roman"/>
                      <w:highlight w:val="none"/>
                    </w:rPr>
                  </w:pPr>
                  <w:r>
                    <w:rPr>
                      <w:rFonts w:cs="Times New Roman"/>
                      <w:highlight w:val="none"/>
                    </w:rPr>
                    <w:t>存储方式及位置</w:t>
                  </w:r>
                </w:p>
              </w:tc>
              <w:tc>
                <w:tcPr>
                  <w:tcW w:w="538" w:type="pct"/>
                  <w:vAlign w:val="center"/>
                </w:tcPr>
                <w:p w14:paraId="10DFD979">
                  <w:pPr>
                    <w:pStyle w:val="56"/>
                    <w:rPr>
                      <w:rFonts w:cs="Times New Roman"/>
                      <w:highlight w:val="none"/>
                    </w:rPr>
                  </w:pPr>
                  <w:r>
                    <w:rPr>
                      <w:rFonts w:cs="Times New Roman"/>
                      <w:highlight w:val="none"/>
                    </w:rPr>
                    <w:t>备注</w:t>
                  </w:r>
                </w:p>
              </w:tc>
            </w:tr>
            <w:tr w14:paraId="377B3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5" w:type="pct"/>
                  <w:vAlign w:val="center"/>
                </w:tcPr>
                <w:p w14:paraId="78A815DA">
                  <w:pPr>
                    <w:pStyle w:val="56"/>
                    <w:rPr>
                      <w:rFonts w:cs="Times New Roman"/>
                      <w:highlight w:val="none"/>
                    </w:rPr>
                  </w:pPr>
                  <w:r>
                    <w:rPr>
                      <w:rFonts w:cs="Times New Roman"/>
                      <w:highlight w:val="none"/>
                    </w:rPr>
                    <w:t>1</w:t>
                  </w:r>
                </w:p>
              </w:tc>
              <w:tc>
                <w:tcPr>
                  <w:tcW w:w="672" w:type="pct"/>
                  <w:vAlign w:val="center"/>
                </w:tcPr>
                <w:p w14:paraId="43B2B830">
                  <w:pPr>
                    <w:pStyle w:val="56"/>
                    <w:rPr>
                      <w:rFonts w:cs="Times New Roman"/>
                      <w:highlight w:val="none"/>
                    </w:rPr>
                  </w:pPr>
                  <w:r>
                    <w:rPr>
                      <w:rFonts w:cs="Times New Roman"/>
                      <w:highlight w:val="none"/>
                    </w:rPr>
                    <w:t>乙醇</w:t>
                  </w:r>
                </w:p>
              </w:tc>
              <w:tc>
                <w:tcPr>
                  <w:tcW w:w="726" w:type="pct"/>
                  <w:vAlign w:val="center"/>
                </w:tcPr>
                <w:p w14:paraId="01D223DC">
                  <w:pPr>
                    <w:widowControl/>
                    <w:adjustRightInd w:val="0"/>
                    <w:snapToGrid w:val="0"/>
                    <w:spacing w:line="240" w:lineRule="auto"/>
                    <w:ind w:firstLine="0" w:firstLineChars="0"/>
                    <w:jc w:val="center"/>
                    <w:rPr>
                      <w:rFonts w:cs="Times New Roman"/>
                      <w:kern w:val="0"/>
                      <w:sz w:val="21"/>
                      <w:szCs w:val="21"/>
                      <w:highlight w:val="none"/>
                    </w:rPr>
                  </w:pPr>
                  <w:r>
                    <w:rPr>
                      <w:rFonts w:cs="Times New Roman"/>
                      <w:kern w:val="0"/>
                      <w:sz w:val="21"/>
                      <w:szCs w:val="21"/>
                      <w:highlight w:val="none"/>
                    </w:rPr>
                    <w:t>116280.00</w:t>
                  </w:r>
                </w:p>
              </w:tc>
              <w:tc>
                <w:tcPr>
                  <w:tcW w:w="1599" w:type="pct"/>
                  <w:vAlign w:val="center"/>
                </w:tcPr>
                <w:p w14:paraId="556776DE">
                  <w:pPr>
                    <w:pStyle w:val="56"/>
                    <w:rPr>
                      <w:rFonts w:cs="Times New Roman"/>
                      <w:highlight w:val="none"/>
                    </w:rPr>
                  </w:pPr>
                  <w:r>
                    <w:rPr>
                      <w:rFonts w:cs="Times New Roman"/>
                      <w:highlight w:val="none"/>
                    </w:rPr>
                    <w:t>《工业用乙醇》（GB/T6820-2016）99.5%乙醇优等品</w:t>
                  </w:r>
                </w:p>
              </w:tc>
              <w:tc>
                <w:tcPr>
                  <w:tcW w:w="1010" w:type="pct"/>
                  <w:vAlign w:val="center"/>
                </w:tcPr>
                <w:p w14:paraId="611C4331">
                  <w:pPr>
                    <w:pStyle w:val="56"/>
                    <w:rPr>
                      <w:rFonts w:cs="Times New Roman"/>
                      <w:highlight w:val="none"/>
                    </w:rPr>
                  </w:pPr>
                  <w:r>
                    <w:rPr>
                      <w:rFonts w:cs="Times New Roman"/>
                      <w:highlight w:val="none"/>
                    </w:rPr>
                    <w:t>储罐/产品罐区</w:t>
                  </w:r>
                </w:p>
              </w:tc>
              <w:tc>
                <w:tcPr>
                  <w:tcW w:w="538" w:type="pct"/>
                  <w:vAlign w:val="center"/>
                </w:tcPr>
                <w:p w14:paraId="2F2DFB52">
                  <w:pPr>
                    <w:pStyle w:val="56"/>
                    <w:rPr>
                      <w:rFonts w:cs="Times New Roman"/>
                      <w:highlight w:val="none"/>
                    </w:rPr>
                  </w:pPr>
                  <w:r>
                    <w:rPr>
                      <w:rFonts w:cs="Times New Roman"/>
                      <w:highlight w:val="none"/>
                    </w:rPr>
                    <w:t>产品，外售</w:t>
                  </w:r>
                </w:p>
              </w:tc>
            </w:tr>
            <w:tr w14:paraId="6216A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5" w:type="pct"/>
                  <w:vAlign w:val="center"/>
                </w:tcPr>
                <w:p w14:paraId="710BAE61">
                  <w:pPr>
                    <w:pStyle w:val="56"/>
                    <w:rPr>
                      <w:rFonts w:cs="Times New Roman"/>
                      <w:highlight w:val="none"/>
                    </w:rPr>
                  </w:pPr>
                  <w:r>
                    <w:rPr>
                      <w:rFonts w:cs="Times New Roman"/>
                      <w:highlight w:val="none"/>
                    </w:rPr>
                    <w:t>2</w:t>
                  </w:r>
                </w:p>
              </w:tc>
              <w:tc>
                <w:tcPr>
                  <w:tcW w:w="672" w:type="pct"/>
                  <w:vAlign w:val="center"/>
                </w:tcPr>
                <w:p w14:paraId="2F60D3ED">
                  <w:pPr>
                    <w:pStyle w:val="56"/>
                    <w:rPr>
                      <w:rFonts w:cs="Times New Roman"/>
                      <w:highlight w:val="none"/>
                    </w:rPr>
                  </w:pPr>
                  <w:r>
                    <w:rPr>
                      <w:rFonts w:cs="Times New Roman"/>
                      <w:highlight w:val="none"/>
                    </w:rPr>
                    <w:t>菌体蛋白</w:t>
                  </w:r>
                </w:p>
              </w:tc>
              <w:tc>
                <w:tcPr>
                  <w:tcW w:w="726" w:type="pct"/>
                  <w:vAlign w:val="center"/>
                </w:tcPr>
                <w:p w14:paraId="01BA5D57">
                  <w:pPr>
                    <w:widowControl/>
                    <w:adjustRightInd w:val="0"/>
                    <w:snapToGrid w:val="0"/>
                    <w:spacing w:line="240" w:lineRule="auto"/>
                    <w:ind w:firstLine="0" w:firstLineChars="0"/>
                    <w:jc w:val="center"/>
                    <w:rPr>
                      <w:rFonts w:cs="Times New Roman"/>
                      <w:kern w:val="0"/>
                      <w:sz w:val="21"/>
                      <w:szCs w:val="21"/>
                      <w:highlight w:val="none"/>
                    </w:rPr>
                  </w:pPr>
                  <w:r>
                    <w:rPr>
                      <w:rFonts w:cs="Times New Roman"/>
                      <w:kern w:val="0"/>
                      <w:sz w:val="21"/>
                      <w:szCs w:val="21"/>
                      <w:highlight w:val="none"/>
                    </w:rPr>
                    <w:t>16864.00</w:t>
                  </w:r>
                </w:p>
              </w:tc>
              <w:tc>
                <w:tcPr>
                  <w:tcW w:w="1599" w:type="pct"/>
                  <w:vAlign w:val="center"/>
                </w:tcPr>
                <w:p w14:paraId="5ED4D0FB">
                  <w:pPr>
                    <w:pStyle w:val="56"/>
                    <w:rPr>
                      <w:rFonts w:cs="Times New Roman"/>
                      <w:highlight w:val="none"/>
                    </w:rPr>
                  </w:pPr>
                  <w:r>
                    <w:rPr>
                      <w:rFonts w:cs="Times New Roman"/>
                      <w:highlight w:val="none"/>
                    </w:rPr>
                    <w:t>参照执行《巨鹏生物科技有限公司企业标准》（Q/JP SCP01-2024）</w:t>
                  </w:r>
                </w:p>
              </w:tc>
              <w:tc>
                <w:tcPr>
                  <w:tcW w:w="1010" w:type="pct"/>
                  <w:vAlign w:val="center"/>
                </w:tcPr>
                <w:p w14:paraId="317B1979">
                  <w:pPr>
                    <w:pStyle w:val="56"/>
                    <w:rPr>
                      <w:rFonts w:cs="Times New Roman"/>
                      <w:highlight w:val="none"/>
                    </w:rPr>
                  </w:pPr>
                  <w:r>
                    <w:rPr>
                      <w:rFonts w:cs="Times New Roman"/>
                      <w:highlight w:val="none"/>
                    </w:rPr>
                    <w:t>袋装/菌体蛋白仓库</w:t>
                  </w:r>
                </w:p>
              </w:tc>
              <w:tc>
                <w:tcPr>
                  <w:tcW w:w="538" w:type="pct"/>
                  <w:vAlign w:val="center"/>
                </w:tcPr>
                <w:p w14:paraId="338A394A">
                  <w:pPr>
                    <w:pStyle w:val="56"/>
                    <w:rPr>
                      <w:rFonts w:cs="Times New Roman"/>
                      <w:highlight w:val="none"/>
                    </w:rPr>
                  </w:pPr>
                  <w:r>
                    <w:rPr>
                      <w:rFonts w:cs="Times New Roman"/>
                      <w:highlight w:val="none"/>
                    </w:rPr>
                    <w:t>产品，外售</w:t>
                  </w:r>
                </w:p>
              </w:tc>
            </w:tr>
            <w:tr w14:paraId="31D6F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5" w:type="pct"/>
                  <w:vAlign w:val="center"/>
                </w:tcPr>
                <w:p w14:paraId="7E30D565">
                  <w:pPr>
                    <w:pStyle w:val="56"/>
                    <w:rPr>
                      <w:rFonts w:cs="Times New Roman"/>
                      <w:highlight w:val="none"/>
                    </w:rPr>
                  </w:pPr>
                  <w:r>
                    <w:rPr>
                      <w:rFonts w:cs="Times New Roman"/>
                      <w:highlight w:val="none"/>
                    </w:rPr>
                    <w:t>3</w:t>
                  </w:r>
                </w:p>
              </w:tc>
              <w:tc>
                <w:tcPr>
                  <w:tcW w:w="672" w:type="pct"/>
                  <w:vAlign w:val="center"/>
                </w:tcPr>
                <w:p w14:paraId="79ED04CE">
                  <w:pPr>
                    <w:pStyle w:val="56"/>
                    <w:rPr>
                      <w:rFonts w:cs="Times New Roman"/>
                      <w:highlight w:val="none"/>
                    </w:rPr>
                  </w:pPr>
                  <w:r>
                    <w:rPr>
                      <w:rFonts w:cs="Times New Roman"/>
                      <w:highlight w:val="none"/>
                    </w:rPr>
                    <w:t>醇基液体燃料</w:t>
                  </w:r>
                </w:p>
              </w:tc>
              <w:tc>
                <w:tcPr>
                  <w:tcW w:w="726" w:type="pct"/>
                  <w:vAlign w:val="center"/>
                </w:tcPr>
                <w:p w14:paraId="17B20CEB">
                  <w:pPr>
                    <w:widowControl/>
                    <w:adjustRightInd w:val="0"/>
                    <w:snapToGrid w:val="0"/>
                    <w:spacing w:line="240" w:lineRule="auto"/>
                    <w:ind w:firstLine="0" w:firstLineChars="0"/>
                    <w:jc w:val="center"/>
                    <w:rPr>
                      <w:rFonts w:cs="Times New Roman"/>
                      <w:kern w:val="0"/>
                      <w:sz w:val="21"/>
                      <w:szCs w:val="21"/>
                      <w:highlight w:val="none"/>
                    </w:rPr>
                  </w:pPr>
                  <w:r>
                    <w:rPr>
                      <w:rFonts w:cs="Times New Roman"/>
                      <w:kern w:val="0"/>
                      <w:sz w:val="21"/>
                      <w:szCs w:val="21"/>
                      <w:highlight w:val="none"/>
                    </w:rPr>
                    <w:t>2608.00</w:t>
                  </w:r>
                </w:p>
              </w:tc>
              <w:tc>
                <w:tcPr>
                  <w:tcW w:w="1599" w:type="pct"/>
                  <w:vAlign w:val="center"/>
                </w:tcPr>
                <w:p w14:paraId="3445FD69">
                  <w:pPr>
                    <w:pStyle w:val="56"/>
                    <w:rPr>
                      <w:rFonts w:cs="Times New Roman"/>
                      <w:highlight w:val="none"/>
                    </w:rPr>
                  </w:pPr>
                  <w:r>
                    <w:rPr>
                      <w:rFonts w:cs="Times New Roman"/>
                      <w:highlight w:val="none"/>
                    </w:rPr>
                    <w:t>《醇基液体燃料》（GB16663-1996）二级标准</w:t>
                  </w:r>
                </w:p>
              </w:tc>
              <w:tc>
                <w:tcPr>
                  <w:tcW w:w="1010" w:type="pct"/>
                  <w:vAlign w:val="center"/>
                </w:tcPr>
                <w:p w14:paraId="27CB6423">
                  <w:pPr>
                    <w:pStyle w:val="56"/>
                    <w:rPr>
                      <w:rFonts w:cs="Times New Roman"/>
                      <w:highlight w:val="none"/>
                    </w:rPr>
                  </w:pPr>
                  <w:r>
                    <w:rPr>
                      <w:rFonts w:cs="Times New Roman"/>
                      <w:highlight w:val="none"/>
                    </w:rPr>
                    <w:t>储罐/产品罐区</w:t>
                  </w:r>
                </w:p>
              </w:tc>
              <w:tc>
                <w:tcPr>
                  <w:tcW w:w="538" w:type="pct"/>
                  <w:vAlign w:val="center"/>
                </w:tcPr>
                <w:p w14:paraId="0A4F1E73">
                  <w:pPr>
                    <w:pStyle w:val="56"/>
                    <w:rPr>
                      <w:rFonts w:hint="eastAsia" w:eastAsia="宋体" w:cs="Times New Roman"/>
                      <w:highlight w:val="none"/>
                      <w:lang w:eastAsia="zh-CN"/>
                    </w:rPr>
                  </w:pPr>
                  <w:r>
                    <w:rPr>
                      <w:rFonts w:cs="Times New Roman"/>
                      <w:highlight w:val="none"/>
                    </w:rPr>
                    <w:t>副产品，外售</w:t>
                  </w:r>
                  <w:r>
                    <w:rPr>
                      <w:rFonts w:hint="eastAsia" w:cs="Times New Roman"/>
                      <w:highlight w:val="none"/>
                      <w:lang w:eastAsia="zh-CN"/>
                    </w:rPr>
                    <w:t>。</w:t>
                  </w:r>
                </w:p>
              </w:tc>
            </w:tr>
          </w:tbl>
          <w:p w14:paraId="3BC4ACEB">
            <w:pPr>
              <w:numPr>
                <w:ilvl w:val="0"/>
                <w:numId w:val="0"/>
              </w:numPr>
              <w:spacing w:line="360" w:lineRule="auto"/>
              <w:ind w:firstLine="480" w:firstLineChars="200"/>
              <w:rPr>
                <w:rFonts w:hint="eastAsia"/>
                <w:sz w:val="24"/>
                <w:highlight w:val="none"/>
                <w:lang w:val="en-US" w:eastAsia="zh-CN"/>
              </w:rPr>
            </w:pPr>
            <w:r>
              <w:rPr>
                <w:rFonts w:hint="eastAsia"/>
                <w:sz w:val="24"/>
                <w:highlight w:val="none"/>
                <w:lang w:val="en-US" w:eastAsia="zh-CN"/>
              </w:rPr>
              <w:t>3.鹏泰环保手续</w:t>
            </w:r>
          </w:p>
          <w:p w14:paraId="11FEEC1B">
            <w:pPr>
              <w:spacing w:line="360" w:lineRule="auto"/>
              <w:ind w:firstLine="480"/>
              <w:rPr>
                <w:rFonts w:hint="eastAsia"/>
                <w:sz w:val="24"/>
                <w:highlight w:val="none"/>
                <w:lang w:val="en-US" w:eastAsia="zh-CN"/>
              </w:rPr>
            </w:pPr>
            <w:r>
              <w:rPr>
                <w:rFonts w:hint="eastAsia"/>
                <w:sz w:val="24"/>
                <w:highlight w:val="none"/>
                <w:lang w:val="en-US" w:eastAsia="zh-CN"/>
              </w:rPr>
              <w:t>2025年6月9日，鄂尔多斯生态环境局以内环审﹝2025﹞90号文件出具了《关于伊泰-巨鹏CO</w:t>
            </w:r>
            <w:r>
              <w:rPr>
                <w:rFonts w:hint="eastAsia"/>
                <w:sz w:val="24"/>
                <w:highlight w:val="none"/>
                <w:vertAlign w:val="subscript"/>
                <w:lang w:val="en-US" w:eastAsia="zh-CN"/>
              </w:rPr>
              <w:t>2</w:t>
            </w:r>
            <w:r>
              <w:rPr>
                <w:rFonts w:hint="eastAsia"/>
                <w:sz w:val="24"/>
                <w:highlight w:val="none"/>
                <w:lang w:val="en-US" w:eastAsia="zh-CN"/>
              </w:rPr>
              <w:t>和工业尾气生物发酵法制10万吨乙醇联产2万吨菌体蛋白项目环境影响报告书的批复》。</w:t>
            </w:r>
          </w:p>
          <w:p w14:paraId="70B84391">
            <w:pPr>
              <w:spacing w:line="360" w:lineRule="auto"/>
              <w:ind w:firstLine="480"/>
              <w:rPr>
                <w:rFonts w:hint="default"/>
                <w:sz w:val="24"/>
                <w:highlight w:val="none"/>
                <w:lang w:val="en-US" w:eastAsia="zh-CN"/>
              </w:rPr>
            </w:pPr>
            <w:r>
              <w:rPr>
                <w:rFonts w:hint="default" w:ascii="Times New Roman" w:hAnsi="Times New Roman" w:eastAsia="宋体" w:cs="Times New Roman"/>
                <w:snapToGrid w:val="0"/>
                <w:sz w:val="24"/>
                <w:szCs w:val="24"/>
                <w:highlight w:val="none"/>
                <w:lang w:val="en-US" w:eastAsia="zh-CN"/>
              </w:rPr>
              <w:t>正在建设中，还未投产、未进行验收工作</w:t>
            </w:r>
            <w:r>
              <w:rPr>
                <w:rFonts w:hint="eastAsia" w:cs="Times New Roman"/>
                <w:snapToGrid w:val="0"/>
                <w:sz w:val="24"/>
                <w:szCs w:val="24"/>
                <w:highlight w:val="none"/>
                <w:lang w:val="en-US" w:eastAsia="zh-CN"/>
              </w:rPr>
              <w:t>。无污染物产排情况。</w:t>
            </w:r>
          </w:p>
          <w:p w14:paraId="3A7970C6">
            <w:pPr>
              <w:numPr>
                <w:ilvl w:val="0"/>
                <w:numId w:val="0"/>
              </w:numPr>
              <w:adjustRightInd w:val="0"/>
              <w:snapToGrid w:val="0"/>
              <w:spacing w:line="360" w:lineRule="auto"/>
              <w:ind w:firstLine="0"/>
              <w:rPr>
                <w:b/>
                <w:sz w:val="24"/>
                <w:highlight w:val="none"/>
              </w:rPr>
            </w:pPr>
            <w:bookmarkStart w:id="44" w:name="_Toc71147195"/>
            <w:r>
              <w:rPr>
                <w:rFonts w:hint="eastAsia"/>
                <w:b/>
                <w:bCs/>
                <w:sz w:val="24"/>
                <w:highlight w:val="none"/>
                <w:lang w:val="en-US" w:eastAsia="zh-CN"/>
              </w:rPr>
              <w:t>三、</w:t>
            </w:r>
            <w:r>
              <w:rPr>
                <w:b/>
                <w:bCs/>
                <w:sz w:val="24"/>
                <w:highlight w:val="none"/>
              </w:rPr>
              <w:t>120万吨/年精细化学品示范</w:t>
            </w:r>
            <w:r>
              <w:rPr>
                <w:b/>
                <w:sz w:val="24"/>
                <w:highlight w:val="none"/>
              </w:rPr>
              <w:t>项目主要污染物排放</w:t>
            </w:r>
            <w:r>
              <w:rPr>
                <w:rFonts w:hint="eastAsia"/>
                <w:b/>
                <w:sz w:val="24"/>
                <w:highlight w:val="none"/>
                <w:lang w:eastAsia="zh-CN"/>
              </w:rPr>
              <w:t>情况</w:t>
            </w:r>
            <w:r>
              <w:rPr>
                <w:b/>
                <w:sz w:val="24"/>
                <w:highlight w:val="none"/>
              </w:rPr>
              <w:t>及采取的环保措施</w:t>
            </w:r>
            <w:r>
              <w:rPr>
                <w:rFonts w:hint="eastAsia"/>
                <w:b/>
                <w:sz w:val="24"/>
                <w:highlight w:val="none"/>
                <w:lang w:eastAsia="zh-CN"/>
              </w:rPr>
              <w:t>情</w:t>
            </w:r>
            <w:r>
              <w:rPr>
                <w:b/>
                <w:sz w:val="24"/>
                <w:highlight w:val="none"/>
              </w:rPr>
              <w:t>况</w:t>
            </w:r>
          </w:p>
          <w:p w14:paraId="2CD0FCF6">
            <w:pPr>
              <w:spacing w:line="360" w:lineRule="auto"/>
              <w:ind w:firstLine="480"/>
              <w:rPr>
                <w:sz w:val="24"/>
                <w:szCs w:val="24"/>
                <w:highlight w:val="none"/>
              </w:rPr>
            </w:pPr>
            <w:r>
              <w:rPr>
                <w:sz w:val="24"/>
                <w:szCs w:val="24"/>
                <w:highlight w:val="none"/>
              </w:rPr>
              <w:t>1</w:t>
            </w:r>
            <w:r>
              <w:rPr>
                <w:rFonts w:hint="eastAsia"/>
                <w:sz w:val="24"/>
                <w:szCs w:val="24"/>
                <w:highlight w:val="none"/>
                <w:lang w:val="en-US" w:eastAsia="zh-CN"/>
              </w:rPr>
              <w:t>.</w:t>
            </w:r>
            <w:r>
              <w:rPr>
                <w:sz w:val="24"/>
                <w:szCs w:val="24"/>
                <w:highlight w:val="none"/>
              </w:rPr>
              <w:t>废气</w:t>
            </w:r>
          </w:p>
          <w:p w14:paraId="7015085E">
            <w:pPr>
              <w:spacing w:line="360" w:lineRule="auto"/>
              <w:ind w:firstLine="480"/>
              <w:rPr>
                <w:sz w:val="24"/>
                <w:szCs w:val="24"/>
                <w:highlight w:val="none"/>
              </w:rPr>
            </w:pPr>
            <w:r>
              <w:rPr>
                <w:sz w:val="24"/>
                <w:szCs w:val="24"/>
                <w:highlight w:val="none"/>
              </w:rPr>
              <w:t>废气根据《内蒙古伊泰化工有限责任公司</w:t>
            </w:r>
            <w:r>
              <w:rPr>
                <w:rFonts w:hint="eastAsia"/>
                <w:sz w:val="24"/>
                <w:szCs w:val="24"/>
                <w:highlight w:val="none"/>
                <w:lang w:val="en-US" w:eastAsia="zh-CN"/>
              </w:rPr>
              <w:t>自行检测</w:t>
            </w:r>
            <w:r>
              <w:rPr>
                <w:sz w:val="24"/>
                <w:szCs w:val="24"/>
                <w:highlight w:val="none"/>
              </w:rPr>
              <w:t>报告</w:t>
            </w:r>
            <w:r>
              <w:rPr>
                <w:rFonts w:hint="eastAsia"/>
                <w:sz w:val="24"/>
                <w:szCs w:val="24"/>
                <w:highlight w:val="none"/>
                <w:lang w:eastAsia="zh-CN"/>
              </w:rPr>
              <w:t>（</w:t>
            </w:r>
            <w:r>
              <w:rPr>
                <w:rFonts w:hint="eastAsia"/>
                <w:sz w:val="24"/>
                <w:szCs w:val="24"/>
                <w:highlight w:val="none"/>
                <w:lang w:val="en-US" w:eastAsia="zh-CN"/>
              </w:rPr>
              <w:t>四季度</w:t>
            </w:r>
            <w:r>
              <w:rPr>
                <w:rFonts w:hint="eastAsia"/>
                <w:sz w:val="24"/>
                <w:szCs w:val="24"/>
                <w:highlight w:val="none"/>
                <w:lang w:eastAsia="zh-CN"/>
              </w:rPr>
              <w:t>）</w:t>
            </w:r>
            <w:r>
              <w:rPr>
                <w:sz w:val="24"/>
                <w:szCs w:val="24"/>
                <w:highlight w:val="none"/>
              </w:rPr>
              <w:t>》（</w:t>
            </w:r>
            <w:r>
              <w:rPr>
                <w:rFonts w:hint="eastAsia"/>
                <w:sz w:val="24"/>
                <w:szCs w:val="24"/>
                <w:highlight w:val="none"/>
              </w:rPr>
              <w:t>鄂尔多斯市环境监测检验有限公司</w:t>
            </w:r>
            <w:r>
              <w:rPr>
                <w:sz w:val="24"/>
                <w:szCs w:val="24"/>
                <w:highlight w:val="none"/>
              </w:rPr>
              <w:t>编制，20</w:t>
            </w:r>
            <w:r>
              <w:rPr>
                <w:rFonts w:hint="eastAsia"/>
                <w:sz w:val="24"/>
                <w:szCs w:val="24"/>
                <w:highlight w:val="none"/>
                <w:lang w:val="en-US" w:eastAsia="zh-CN"/>
              </w:rPr>
              <w:t>24</w:t>
            </w:r>
            <w:r>
              <w:rPr>
                <w:sz w:val="24"/>
                <w:szCs w:val="24"/>
                <w:highlight w:val="none"/>
              </w:rPr>
              <w:t>年</w:t>
            </w:r>
            <w:r>
              <w:rPr>
                <w:rFonts w:hint="eastAsia"/>
                <w:sz w:val="24"/>
                <w:szCs w:val="24"/>
                <w:highlight w:val="none"/>
                <w:lang w:val="en-US" w:eastAsia="zh-CN"/>
              </w:rPr>
              <w:t>11</w:t>
            </w:r>
            <w:r>
              <w:rPr>
                <w:sz w:val="24"/>
                <w:szCs w:val="24"/>
                <w:highlight w:val="none"/>
              </w:rPr>
              <w:t>月</w:t>
            </w:r>
            <w:r>
              <w:rPr>
                <w:rFonts w:hint="eastAsia"/>
                <w:sz w:val="24"/>
                <w:szCs w:val="24"/>
                <w:highlight w:val="none"/>
                <w:lang w:val="en-US" w:eastAsia="zh-CN"/>
              </w:rPr>
              <w:t>6日</w:t>
            </w:r>
            <w:r>
              <w:rPr>
                <w:sz w:val="24"/>
                <w:szCs w:val="24"/>
                <w:highlight w:val="none"/>
              </w:rPr>
              <w:t>），现有项目废气主要污染物排放见表</w:t>
            </w:r>
            <w:r>
              <w:rPr>
                <w:rFonts w:hint="eastAsia"/>
                <w:sz w:val="24"/>
                <w:szCs w:val="24"/>
                <w:highlight w:val="none"/>
                <w:lang w:val="en-US" w:eastAsia="zh-CN"/>
              </w:rPr>
              <w:t>3-5</w:t>
            </w:r>
            <w:r>
              <w:rPr>
                <w:sz w:val="24"/>
                <w:szCs w:val="24"/>
                <w:highlight w:val="none"/>
              </w:rPr>
              <w:t>（1），达标分析见表</w:t>
            </w:r>
            <w:r>
              <w:rPr>
                <w:rFonts w:hint="eastAsia"/>
                <w:sz w:val="24"/>
                <w:szCs w:val="24"/>
                <w:highlight w:val="none"/>
                <w:lang w:val="en-US" w:eastAsia="zh-CN"/>
              </w:rPr>
              <w:t>3-5</w:t>
            </w:r>
            <w:r>
              <w:rPr>
                <w:sz w:val="24"/>
                <w:szCs w:val="24"/>
                <w:highlight w:val="none"/>
              </w:rPr>
              <w:t>（2）。</w:t>
            </w:r>
          </w:p>
          <w:p w14:paraId="4BD7317D">
            <w:pPr>
              <w:spacing w:line="360" w:lineRule="auto"/>
              <w:ind w:firstLine="480"/>
              <w:outlineLvl w:val="3"/>
              <w:rPr>
                <w:sz w:val="24"/>
                <w:szCs w:val="24"/>
                <w:highlight w:val="none"/>
              </w:rPr>
            </w:pPr>
            <w:r>
              <w:rPr>
                <w:sz w:val="24"/>
                <w:szCs w:val="24"/>
                <w:highlight w:val="none"/>
              </w:rPr>
              <w:t>2</w:t>
            </w:r>
            <w:r>
              <w:rPr>
                <w:rFonts w:hint="eastAsia"/>
                <w:sz w:val="24"/>
                <w:szCs w:val="24"/>
                <w:highlight w:val="none"/>
                <w:lang w:val="en-US" w:eastAsia="zh-CN"/>
              </w:rPr>
              <w:t>.</w:t>
            </w:r>
            <w:r>
              <w:rPr>
                <w:sz w:val="24"/>
                <w:szCs w:val="24"/>
                <w:highlight w:val="none"/>
              </w:rPr>
              <w:t>废水</w:t>
            </w:r>
          </w:p>
          <w:p w14:paraId="365D3C77">
            <w:pPr>
              <w:spacing w:line="360" w:lineRule="auto"/>
              <w:ind w:firstLine="480"/>
              <w:rPr>
                <w:sz w:val="24"/>
                <w:szCs w:val="24"/>
                <w:highlight w:val="none"/>
              </w:rPr>
            </w:pPr>
            <w:r>
              <w:rPr>
                <w:sz w:val="24"/>
                <w:szCs w:val="24"/>
                <w:highlight w:val="none"/>
              </w:rPr>
              <w:t>依据环评报告，现有项目废水主要污染物排放及采取的环保措施见表</w:t>
            </w:r>
            <w:r>
              <w:rPr>
                <w:rFonts w:hint="eastAsia"/>
                <w:sz w:val="24"/>
                <w:szCs w:val="24"/>
                <w:highlight w:val="none"/>
                <w:lang w:val="en-US" w:eastAsia="zh-CN"/>
              </w:rPr>
              <w:t>3-5</w:t>
            </w:r>
            <w:r>
              <w:rPr>
                <w:sz w:val="24"/>
                <w:szCs w:val="24"/>
                <w:highlight w:val="none"/>
              </w:rPr>
              <w:t>。</w:t>
            </w:r>
          </w:p>
          <w:p w14:paraId="2D877DF8">
            <w:pPr>
              <w:spacing w:line="360" w:lineRule="auto"/>
              <w:ind w:firstLine="480"/>
              <w:rPr>
                <w:sz w:val="24"/>
                <w:szCs w:val="24"/>
                <w:highlight w:val="none"/>
              </w:rPr>
            </w:pPr>
            <w:r>
              <w:rPr>
                <w:sz w:val="24"/>
                <w:szCs w:val="24"/>
                <w:highlight w:val="none"/>
              </w:rPr>
              <w:t>现有项目污水处理设施分为</w:t>
            </w:r>
            <w:r>
              <w:rPr>
                <w:rFonts w:hint="eastAsia"/>
                <w:sz w:val="24"/>
                <w:szCs w:val="24"/>
                <w:highlight w:val="none"/>
                <w:lang w:eastAsia="zh-CN"/>
              </w:rPr>
              <w:t>污水处理厂</w:t>
            </w:r>
            <w:r>
              <w:rPr>
                <w:sz w:val="24"/>
                <w:szCs w:val="24"/>
                <w:highlight w:val="none"/>
              </w:rPr>
              <w:t>（预处理单元、污水生化处理单元、污泥处理单元、臭气处理单元）、废水处理及回用（包括生化合格出水处理单元、清净废水处理单元）、高含盐水蒸发及结晶（膜浓缩单元、蒸发预处理单元、蒸发结晶单元）。最终实现废水全部回用、结晶盐资源化利用。</w:t>
            </w:r>
          </w:p>
          <w:p w14:paraId="497F1822">
            <w:pPr>
              <w:spacing w:line="360" w:lineRule="auto"/>
              <w:ind w:firstLine="480"/>
              <w:rPr>
                <w:sz w:val="24"/>
                <w:szCs w:val="24"/>
                <w:highlight w:val="none"/>
              </w:rPr>
            </w:pPr>
            <w:r>
              <w:rPr>
                <w:sz w:val="24"/>
                <w:szCs w:val="24"/>
                <w:highlight w:val="none"/>
              </w:rPr>
              <w:t>根据《内蒙古伊泰化工有限责任公司120万吨/年精细化学品项目水处理及零排放整体系统工艺优化改造工程竣工环境保护验收监测报告表》（鄂尔多斯市环境监测检验有限公司编制，2019年10月），废水处理及回用出水回用水水质满足《污水综合排放标准》（GB8978-1996）一级标准要求。</w:t>
            </w:r>
          </w:p>
          <w:p w14:paraId="49BBE01B">
            <w:pPr>
              <w:spacing w:line="360" w:lineRule="auto"/>
              <w:ind w:firstLine="480"/>
              <w:rPr>
                <w:sz w:val="24"/>
                <w:szCs w:val="24"/>
                <w:highlight w:val="none"/>
              </w:rPr>
            </w:pPr>
            <w:r>
              <w:rPr>
                <w:sz w:val="24"/>
                <w:szCs w:val="24"/>
                <w:highlight w:val="none"/>
              </w:rPr>
              <w:t>废水处理及回用出口回用水水质见表</w:t>
            </w:r>
            <w:r>
              <w:rPr>
                <w:rFonts w:hint="eastAsia"/>
                <w:sz w:val="24"/>
                <w:szCs w:val="24"/>
                <w:highlight w:val="none"/>
                <w:lang w:val="en-US" w:eastAsia="zh-CN"/>
              </w:rPr>
              <w:t>3-6</w:t>
            </w:r>
            <w:r>
              <w:rPr>
                <w:sz w:val="24"/>
                <w:szCs w:val="24"/>
                <w:highlight w:val="none"/>
              </w:rPr>
              <w:t>和表</w:t>
            </w:r>
            <w:r>
              <w:rPr>
                <w:rFonts w:hint="eastAsia"/>
                <w:sz w:val="24"/>
                <w:szCs w:val="24"/>
                <w:highlight w:val="none"/>
                <w:lang w:val="en-US" w:eastAsia="zh-CN"/>
              </w:rPr>
              <w:t>3-7</w:t>
            </w:r>
            <w:r>
              <w:rPr>
                <w:sz w:val="24"/>
                <w:szCs w:val="24"/>
                <w:highlight w:val="none"/>
              </w:rPr>
              <w:t>。</w:t>
            </w:r>
          </w:p>
          <w:p w14:paraId="321380F9">
            <w:pPr>
              <w:pStyle w:val="11"/>
              <w:spacing w:before="0" w:after="0" w:line="360" w:lineRule="auto"/>
              <w:ind w:right="0" w:firstLine="0" w:firstLineChars="0"/>
              <w:rPr>
                <w:rFonts w:hint="default" w:ascii="Times New Roman" w:hAnsi="Times New Roman" w:cs="Times New Roman"/>
                <w:b/>
                <w:bCs/>
                <w:sz w:val="24"/>
                <w:szCs w:val="24"/>
                <w:highlight w:val="none"/>
                <w:lang w:val="en-US" w:eastAsia="zh-CN"/>
              </w:rPr>
            </w:pPr>
            <w:r>
              <w:rPr>
                <w:rFonts w:hint="eastAsia" w:ascii="Times New Roman" w:hAnsi="Times New Roman" w:cs="Times New Roman"/>
                <w:b/>
                <w:bCs/>
                <w:sz w:val="24"/>
                <w:szCs w:val="24"/>
                <w:highlight w:val="none"/>
                <w:lang w:val="en-US" w:eastAsia="zh-CN"/>
              </w:rPr>
              <w:t>四</w:t>
            </w:r>
            <w:r>
              <w:rPr>
                <w:rFonts w:hint="default" w:ascii="Times New Roman" w:hAnsi="Times New Roman" w:cs="Times New Roman"/>
                <w:b/>
                <w:bCs/>
                <w:sz w:val="24"/>
                <w:szCs w:val="24"/>
                <w:highlight w:val="none"/>
                <w:lang w:val="en-US" w:eastAsia="zh-CN"/>
              </w:rPr>
              <w:t>、现有工程存在的环境问题及整改措施</w:t>
            </w:r>
            <w:bookmarkEnd w:id="44"/>
          </w:p>
          <w:p w14:paraId="32F8ADFD">
            <w:pPr>
              <w:pStyle w:val="11"/>
              <w:spacing w:before="0" w:after="0" w:line="360" w:lineRule="auto"/>
              <w:ind w:right="0" w:firstLine="480" w:firstLineChars="200"/>
              <w:rPr>
                <w:rFonts w:hint="default" w:ascii="Times New Roman" w:hAnsi="Times New Roman" w:cs="Times New Roman"/>
                <w:snapToGrid w:val="0"/>
                <w:sz w:val="24"/>
                <w:szCs w:val="24"/>
                <w:highlight w:val="none"/>
                <w:lang w:val="en-US" w:eastAsia="zh-CN"/>
              </w:rPr>
            </w:pPr>
            <w:r>
              <w:rPr>
                <w:rFonts w:hint="default" w:ascii="Times New Roman" w:hAnsi="Times New Roman" w:cs="Times New Roman"/>
                <w:snapToGrid w:val="0"/>
                <w:sz w:val="24"/>
                <w:szCs w:val="24"/>
                <w:highlight w:val="none"/>
                <w:lang w:val="en-US" w:eastAsia="zh-CN"/>
              </w:rPr>
              <w:t>《</w:t>
            </w:r>
            <w:r>
              <w:rPr>
                <w:rFonts w:hint="default" w:ascii="Times New Roman" w:hAnsi="Times New Roman" w:cs="Times New Roman"/>
                <w:bCs/>
                <w:sz w:val="24"/>
                <w:highlight w:val="none"/>
                <w:lang w:val="en-US" w:eastAsia="zh-CN"/>
              </w:rPr>
              <w:t>伊泰-巨鹏CO</w:t>
            </w:r>
            <w:r>
              <w:rPr>
                <w:rFonts w:hint="default" w:ascii="Times New Roman" w:hAnsi="Times New Roman" w:cs="Times New Roman"/>
                <w:bCs/>
                <w:sz w:val="24"/>
                <w:highlight w:val="none"/>
                <w:vertAlign w:val="subscript"/>
                <w:lang w:val="en-US" w:eastAsia="zh-CN"/>
              </w:rPr>
              <w:t>2</w:t>
            </w:r>
            <w:r>
              <w:rPr>
                <w:rFonts w:hint="default" w:ascii="Times New Roman" w:hAnsi="Times New Roman" w:cs="Times New Roman"/>
                <w:bCs/>
                <w:sz w:val="24"/>
                <w:highlight w:val="none"/>
                <w:lang w:val="en-US" w:eastAsia="zh-CN"/>
              </w:rPr>
              <w:t>和工业尾气生物发酵法制 10万吨乙醇联产2万吨菌体蛋白项目</w:t>
            </w:r>
            <w:r>
              <w:rPr>
                <w:rFonts w:hint="default" w:ascii="Times New Roman" w:hAnsi="Times New Roman" w:cs="Times New Roman"/>
                <w:snapToGrid w:val="0"/>
                <w:sz w:val="24"/>
                <w:szCs w:val="24"/>
                <w:highlight w:val="none"/>
                <w:lang w:val="en-US" w:eastAsia="zh-CN"/>
              </w:rPr>
              <w:t>》</w:t>
            </w:r>
            <w:r>
              <w:rPr>
                <w:rFonts w:hint="default" w:ascii="Times New Roman" w:hAnsi="Times New Roman" w:eastAsia="宋体" w:cs="Times New Roman"/>
                <w:snapToGrid w:val="0"/>
                <w:sz w:val="24"/>
                <w:szCs w:val="24"/>
                <w:highlight w:val="none"/>
                <w:lang w:val="en-US" w:eastAsia="zh-CN"/>
              </w:rPr>
              <w:t>正在建设中，还未投产、未进行验收工作。不存在排污情况</w:t>
            </w:r>
            <w:r>
              <w:rPr>
                <w:rFonts w:hint="default" w:ascii="Times New Roman" w:hAnsi="Times New Roman" w:cs="Times New Roman"/>
                <w:snapToGrid w:val="0"/>
                <w:sz w:val="24"/>
                <w:szCs w:val="24"/>
                <w:highlight w:val="none"/>
                <w:lang w:val="en-US" w:eastAsia="zh-CN"/>
              </w:rPr>
              <w:t>。</w:t>
            </w:r>
          </w:p>
          <w:p w14:paraId="427E976E">
            <w:pPr>
              <w:pStyle w:val="11"/>
              <w:spacing w:before="0" w:after="0" w:line="360" w:lineRule="auto"/>
              <w:ind w:right="0" w:firstLine="480" w:firstLineChars="200"/>
              <w:rPr>
                <w:rFonts w:hint="default" w:ascii="Times New Roman" w:hAnsi="Times New Roman" w:eastAsia="宋体" w:cs="Times New Roman"/>
                <w:snapToGrid w:val="0"/>
                <w:sz w:val="24"/>
                <w:szCs w:val="24"/>
                <w:highlight w:val="none"/>
                <w:lang w:val="en-US" w:eastAsia="zh-CN"/>
              </w:rPr>
            </w:pPr>
            <w:r>
              <w:rPr>
                <w:rFonts w:hint="default" w:ascii="Times New Roman" w:hAnsi="Times New Roman" w:cs="Times New Roman"/>
                <w:snapToGrid w:val="0"/>
                <w:sz w:val="24"/>
                <w:szCs w:val="24"/>
                <w:highlight w:val="none"/>
                <w:lang w:val="en-US" w:eastAsia="zh-CN"/>
              </w:rPr>
              <w:t>《</w:t>
            </w:r>
            <w:r>
              <w:rPr>
                <w:rFonts w:hint="default" w:ascii="Times New Roman" w:hAnsi="Times New Roman" w:eastAsia="宋体" w:cs="Times New Roman"/>
                <w:bCs/>
                <w:sz w:val="24"/>
                <w:highlight w:val="none"/>
                <w:lang w:val="en-US" w:eastAsia="zh-CN"/>
              </w:rPr>
              <w:t>内蒙古伊泰化工有限责任公司120万吨/年精细化工项目</w:t>
            </w:r>
            <w:r>
              <w:rPr>
                <w:rFonts w:hint="default" w:ascii="Times New Roman" w:hAnsi="Times New Roman" w:cs="Times New Roman"/>
                <w:snapToGrid w:val="0"/>
                <w:sz w:val="24"/>
                <w:szCs w:val="24"/>
                <w:highlight w:val="none"/>
                <w:lang w:val="en-US" w:eastAsia="zh-CN"/>
              </w:rPr>
              <w:t>》</w:t>
            </w:r>
            <w:r>
              <w:rPr>
                <w:rFonts w:hint="default" w:ascii="Times New Roman" w:hAnsi="Times New Roman" w:eastAsia="宋体" w:cs="Times New Roman"/>
                <w:snapToGrid w:val="0"/>
                <w:sz w:val="24"/>
                <w:szCs w:val="24"/>
                <w:highlight w:val="none"/>
                <w:lang w:val="en-US" w:eastAsia="zh-CN"/>
              </w:rPr>
              <w:t>经过验收并取得排污许可，经过实际调查不存在现有环境污染问题。</w:t>
            </w:r>
          </w:p>
        </w:tc>
      </w:tr>
    </w:tbl>
    <w:p w14:paraId="60C67637">
      <w:pPr>
        <w:ind w:firstLine="420"/>
        <w:jc w:val="center"/>
        <w:rPr>
          <w:b/>
          <w:bCs/>
          <w:szCs w:val="21"/>
          <w:highlight w:val="none"/>
        </w:rPr>
        <w:sectPr>
          <w:pgSz w:w="11906" w:h="16838"/>
          <w:pgMar w:top="1701" w:right="1701" w:bottom="1701" w:left="1701" w:header="851" w:footer="1077" w:gutter="0"/>
          <w:pgNumType w:fmt="decimal"/>
          <w:cols w:space="720" w:num="1"/>
          <w:docGrid w:linePitch="312" w:charSpace="0"/>
        </w:sectPr>
      </w:pPr>
    </w:p>
    <w:p w14:paraId="3D2BA66F">
      <w:pPr>
        <w:ind w:firstLine="420"/>
        <w:jc w:val="center"/>
        <w:rPr>
          <w:szCs w:val="21"/>
          <w:highlight w:val="none"/>
        </w:rPr>
      </w:pPr>
      <w:r>
        <w:rPr>
          <w:b/>
          <w:bCs/>
          <w:szCs w:val="21"/>
          <w:highlight w:val="none"/>
        </w:rPr>
        <w:t>表</w:t>
      </w:r>
      <w:r>
        <w:rPr>
          <w:rFonts w:hint="eastAsia"/>
          <w:b/>
          <w:bCs/>
          <w:szCs w:val="21"/>
          <w:highlight w:val="none"/>
          <w:lang w:val="en-US" w:eastAsia="zh-CN"/>
        </w:rPr>
        <w:t>3-5</w:t>
      </w:r>
      <w:r>
        <w:rPr>
          <w:rFonts w:hint="eastAsia"/>
          <w:b/>
          <w:bCs/>
          <w:szCs w:val="21"/>
          <w:highlight w:val="none"/>
          <w:lang w:eastAsia="zh-CN"/>
        </w:rPr>
        <w:t>（</w:t>
      </w:r>
      <w:r>
        <w:rPr>
          <w:b/>
          <w:bCs/>
          <w:szCs w:val="21"/>
          <w:highlight w:val="none"/>
        </w:rPr>
        <w:t>1</w:t>
      </w:r>
      <w:r>
        <w:rPr>
          <w:rFonts w:hint="eastAsia"/>
          <w:b/>
          <w:bCs/>
          <w:szCs w:val="21"/>
          <w:highlight w:val="none"/>
          <w:lang w:eastAsia="zh-CN"/>
        </w:rPr>
        <w:t>）</w:t>
      </w:r>
      <w:r>
        <w:rPr>
          <w:rFonts w:hint="eastAsia"/>
          <w:b/>
          <w:bCs/>
          <w:szCs w:val="21"/>
          <w:highlight w:val="none"/>
          <w:lang w:val="en-US" w:eastAsia="zh-CN"/>
        </w:rPr>
        <w:t xml:space="preserve">   </w:t>
      </w:r>
      <w:r>
        <w:rPr>
          <w:b/>
          <w:bCs/>
          <w:szCs w:val="21"/>
          <w:highlight w:val="none"/>
        </w:rPr>
        <w:t>现有项目废气污染物排放</w:t>
      </w:r>
      <w:r>
        <w:rPr>
          <w:rFonts w:hint="eastAsia"/>
          <w:b/>
          <w:bCs/>
          <w:szCs w:val="21"/>
          <w:highlight w:val="none"/>
          <w:lang w:eastAsia="zh-CN"/>
        </w:rPr>
        <w:t>情况</w:t>
      </w:r>
      <w:r>
        <w:rPr>
          <w:b/>
          <w:bCs/>
          <w:szCs w:val="21"/>
          <w:highlight w:val="none"/>
        </w:rPr>
        <w:t>一览表</w:t>
      </w:r>
    </w:p>
    <w:tbl>
      <w:tblPr>
        <w:tblStyle w:val="19"/>
        <w:tblW w:w="135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8"/>
        <w:gridCol w:w="918"/>
        <w:gridCol w:w="1000"/>
        <w:gridCol w:w="3320"/>
        <w:gridCol w:w="3101"/>
        <w:gridCol w:w="664"/>
        <w:gridCol w:w="673"/>
        <w:gridCol w:w="348"/>
        <w:gridCol w:w="508"/>
        <w:gridCol w:w="444"/>
        <w:gridCol w:w="673"/>
        <w:gridCol w:w="1165"/>
      </w:tblGrid>
      <w:tr w14:paraId="106CF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blHeader/>
          <w:jc w:val="center"/>
        </w:trPr>
        <w:tc>
          <w:tcPr>
            <w:tcW w:w="0" w:type="auto"/>
            <w:gridSpan w:val="2"/>
            <w:vMerge w:val="restart"/>
            <w:noWrap w:val="0"/>
            <w:tcMar>
              <w:left w:w="28" w:type="dxa"/>
              <w:right w:w="28" w:type="dxa"/>
            </w:tcMar>
            <w:vAlign w:val="center"/>
          </w:tcPr>
          <w:p w14:paraId="01B2A67A">
            <w:pPr>
              <w:jc w:val="center"/>
              <w:rPr>
                <w:sz w:val="21"/>
                <w:szCs w:val="21"/>
                <w:highlight w:val="none"/>
              </w:rPr>
            </w:pPr>
            <w:r>
              <w:rPr>
                <w:sz w:val="21"/>
                <w:szCs w:val="21"/>
                <w:highlight w:val="none"/>
              </w:rPr>
              <w:t>装置名称</w:t>
            </w:r>
          </w:p>
        </w:tc>
        <w:tc>
          <w:tcPr>
            <w:tcW w:w="0" w:type="auto"/>
            <w:vMerge w:val="restart"/>
            <w:noWrap w:val="0"/>
            <w:vAlign w:val="center"/>
          </w:tcPr>
          <w:p w14:paraId="47172F8D">
            <w:pPr>
              <w:jc w:val="center"/>
              <w:rPr>
                <w:sz w:val="21"/>
                <w:szCs w:val="21"/>
                <w:highlight w:val="none"/>
              </w:rPr>
            </w:pPr>
            <w:r>
              <w:rPr>
                <w:sz w:val="21"/>
                <w:szCs w:val="21"/>
                <w:highlight w:val="none"/>
              </w:rPr>
              <w:t>污染源</w:t>
            </w:r>
          </w:p>
        </w:tc>
        <w:tc>
          <w:tcPr>
            <w:tcW w:w="0" w:type="auto"/>
            <w:vMerge w:val="restart"/>
            <w:noWrap w:val="0"/>
            <w:tcMar>
              <w:left w:w="28" w:type="dxa"/>
              <w:right w:w="28" w:type="dxa"/>
            </w:tcMar>
            <w:vAlign w:val="center"/>
          </w:tcPr>
          <w:p w14:paraId="5426735D">
            <w:pPr>
              <w:jc w:val="center"/>
              <w:rPr>
                <w:sz w:val="21"/>
                <w:szCs w:val="21"/>
                <w:highlight w:val="none"/>
              </w:rPr>
            </w:pPr>
            <w:r>
              <w:rPr>
                <w:sz w:val="21"/>
                <w:szCs w:val="21"/>
                <w:highlight w:val="none"/>
              </w:rPr>
              <w:t>主要污染物名称</w:t>
            </w:r>
          </w:p>
        </w:tc>
        <w:tc>
          <w:tcPr>
            <w:tcW w:w="0" w:type="auto"/>
            <w:vMerge w:val="restart"/>
            <w:noWrap w:val="0"/>
            <w:tcMar>
              <w:left w:w="28" w:type="dxa"/>
              <w:right w:w="28" w:type="dxa"/>
            </w:tcMar>
            <w:vAlign w:val="center"/>
          </w:tcPr>
          <w:p w14:paraId="67257648">
            <w:pPr>
              <w:jc w:val="center"/>
              <w:rPr>
                <w:sz w:val="21"/>
                <w:szCs w:val="21"/>
                <w:highlight w:val="none"/>
              </w:rPr>
            </w:pPr>
            <w:r>
              <w:rPr>
                <w:sz w:val="21"/>
                <w:szCs w:val="21"/>
                <w:highlight w:val="none"/>
              </w:rPr>
              <w:t>治理措施</w:t>
            </w:r>
          </w:p>
        </w:tc>
        <w:tc>
          <w:tcPr>
            <w:tcW w:w="0" w:type="auto"/>
            <w:gridSpan w:val="2"/>
            <w:noWrap w:val="0"/>
            <w:tcMar>
              <w:left w:w="28" w:type="dxa"/>
              <w:right w:w="28" w:type="dxa"/>
            </w:tcMar>
            <w:vAlign w:val="center"/>
          </w:tcPr>
          <w:p w14:paraId="01544EEE">
            <w:pPr>
              <w:jc w:val="center"/>
              <w:rPr>
                <w:sz w:val="21"/>
                <w:szCs w:val="21"/>
                <w:highlight w:val="none"/>
              </w:rPr>
            </w:pPr>
            <w:r>
              <w:rPr>
                <w:sz w:val="21"/>
                <w:szCs w:val="21"/>
                <w:highlight w:val="none"/>
              </w:rPr>
              <w:t>主要污染物排放</w:t>
            </w:r>
          </w:p>
        </w:tc>
        <w:tc>
          <w:tcPr>
            <w:tcW w:w="0" w:type="auto"/>
            <w:gridSpan w:val="3"/>
            <w:noWrap w:val="0"/>
            <w:tcMar>
              <w:left w:w="28" w:type="dxa"/>
              <w:right w:w="28" w:type="dxa"/>
            </w:tcMar>
            <w:vAlign w:val="center"/>
          </w:tcPr>
          <w:p w14:paraId="57F21276">
            <w:pPr>
              <w:jc w:val="center"/>
              <w:rPr>
                <w:sz w:val="21"/>
                <w:szCs w:val="21"/>
                <w:highlight w:val="none"/>
              </w:rPr>
            </w:pPr>
            <w:r>
              <w:rPr>
                <w:sz w:val="21"/>
                <w:szCs w:val="21"/>
                <w:highlight w:val="none"/>
              </w:rPr>
              <w:t>排气筒</w:t>
            </w:r>
          </w:p>
        </w:tc>
        <w:tc>
          <w:tcPr>
            <w:tcW w:w="0" w:type="auto"/>
            <w:vMerge w:val="restart"/>
            <w:noWrap w:val="0"/>
            <w:vAlign w:val="center"/>
          </w:tcPr>
          <w:p w14:paraId="0822ECA0">
            <w:pPr>
              <w:jc w:val="center"/>
              <w:rPr>
                <w:sz w:val="21"/>
                <w:szCs w:val="21"/>
                <w:highlight w:val="none"/>
              </w:rPr>
            </w:pPr>
            <w:r>
              <w:rPr>
                <w:sz w:val="21"/>
                <w:szCs w:val="21"/>
                <w:highlight w:val="none"/>
              </w:rPr>
              <w:t>排放规律</w:t>
            </w:r>
          </w:p>
        </w:tc>
        <w:tc>
          <w:tcPr>
            <w:tcW w:w="0" w:type="auto"/>
            <w:vMerge w:val="restart"/>
            <w:noWrap w:val="0"/>
            <w:vAlign w:val="center"/>
          </w:tcPr>
          <w:p w14:paraId="511BF051">
            <w:pPr>
              <w:jc w:val="center"/>
              <w:rPr>
                <w:sz w:val="21"/>
                <w:szCs w:val="21"/>
                <w:highlight w:val="none"/>
              </w:rPr>
            </w:pPr>
            <w:r>
              <w:rPr>
                <w:sz w:val="21"/>
                <w:szCs w:val="21"/>
                <w:highlight w:val="none"/>
              </w:rPr>
              <w:t>排放去向</w:t>
            </w:r>
          </w:p>
        </w:tc>
      </w:tr>
      <w:tr w14:paraId="66269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blHeader/>
          <w:jc w:val="center"/>
        </w:trPr>
        <w:tc>
          <w:tcPr>
            <w:tcW w:w="0" w:type="auto"/>
            <w:gridSpan w:val="2"/>
            <w:vMerge w:val="continue"/>
            <w:noWrap w:val="0"/>
            <w:tcMar>
              <w:left w:w="28" w:type="dxa"/>
              <w:right w:w="28" w:type="dxa"/>
            </w:tcMar>
            <w:vAlign w:val="center"/>
          </w:tcPr>
          <w:p w14:paraId="2885E1AA">
            <w:pPr>
              <w:jc w:val="center"/>
              <w:rPr>
                <w:b/>
                <w:sz w:val="21"/>
                <w:szCs w:val="21"/>
                <w:highlight w:val="none"/>
              </w:rPr>
            </w:pPr>
          </w:p>
        </w:tc>
        <w:tc>
          <w:tcPr>
            <w:tcW w:w="0" w:type="auto"/>
            <w:vMerge w:val="continue"/>
            <w:noWrap w:val="0"/>
            <w:vAlign w:val="center"/>
          </w:tcPr>
          <w:p w14:paraId="0744D5F6">
            <w:pPr>
              <w:jc w:val="center"/>
              <w:rPr>
                <w:b/>
                <w:sz w:val="21"/>
                <w:szCs w:val="21"/>
                <w:highlight w:val="none"/>
              </w:rPr>
            </w:pPr>
          </w:p>
        </w:tc>
        <w:tc>
          <w:tcPr>
            <w:tcW w:w="0" w:type="auto"/>
            <w:vMerge w:val="continue"/>
            <w:noWrap w:val="0"/>
            <w:tcMar>
              <w:left w:w="28" w:type="dxa"/>
              <w:right w:w="28" w:type="dxa"/>
            </w:tcMar>
            <w:vAlign w:val="center"/>
          </w:tcPr>
          <w:p w14:paraId="4AFFA35B">
            <w:pPr>
              <w:jc w:val="center"/>
              <w:rPr>
                <w:sz w:val="21"/>
                <w:szCs w:val="21"/>
                <w:highlight w:val="none"/>
              </w:rPr>
            </w:pPr>
          </w:p>
        </w:tc>
        <w:tc>
          <w:tcPr>
            <w:tcW w:w="0" w:type="auto"/>
            <w:vMerge w:val="continue"/>
            <w:noWrap w:val="0"/>
            <w:tcMar>
              <w:left w:w="28" w:type="dxa"/>
              <w:right w:w="28" w:type="dxa"/>
            </w:tcMar>
            <w:vAlign w:val="center"/>
          </w:tcPr>
          <w:p w14:paraId="4F10C06C">
            <w:pPr>
              <w:jc w:val="center"/>
              <w:rPr>
                <w:sz w:val="21"/>
                <w:szCs w:val="21"/>
                <w:highlight w:val="none"/>
              </w:rPr>
            </w:pPr>
          </w:p>
        </w:tc>
        <w:tc>
          <w:tcPr>
            <w:tcW w:w="0" w:type="auto"/>
            <w:noWrap w:val="0"/>
            <w:tcMar>
              <w:left w:w="28" w:type="dxa"/>
              <w:right w:w="28" w:type="dxa"/>
            </w:tcMar>
            <w:vAlign w:val="center"/>
          </w:tcPr>
          <w:p w14:paraId="4078F6E7">
            <w:pPr>
              <w:jc w:val="center"/>
              <w:rPr>
                <w:sz w:val="21"/>
                <w:szCs w:val="21"/>
                <w:highlight w:val="none"/>
              </w:rPr>
            </w:pPr>
            <w:r>
              <w:rPr>
                <w:sz w:val="21"/>
                <w:szCs w:val="21"/>
                <w:highlight w:val="none"/>
              </w:rPr>
              <w:t>烟气量</w:t>
            </w:r>
          </w:p>
          <w:p w14:paraId="3C7B803B">
            <w:pPr>
              <w:pStyle w:val="6"/>
              <w:ind w:firstLine="0" w:firstLineChars="0"/>
              <w:jc w:val="center"/>
              <w:rPr>
                <w:rFonts w:ascii="Times New Roman"/>
                <w:sz w:val="21"/>
                <w:szCs w:val="21"/>
                <w:highlight w:val="none"/>
              </w:rPr>
            </w:pPr>
            <w:r>
              <w:rPr>
                <w:rFonts w:ascii="Times New Roman"/>
                <w:kern w:val="2"/>
                <w:sz w:val="21"/>
                <w:szCs w:val="21"/>
                <w:highlight w:val="none"/>
              </w:rPr>
              <w:t>m</w:t>
            </w:r>
            <w:r>
              <w:rPr>
                <w:rFonts w:ascii="Times New Roman"/>
                <w:kern w:val="2"/>
                <w:sz w:val="21"/>
                <w:szCs w:val="21"/>
                <w:highlight w:val="none"/>
                <w:vertAlign w:val="superscript"/>
              </w:rPr>
              <w:t>3</w:t>
            </w:r>
            <w:r>
              <w:rPr>
                <w:rFonts w:ascii="Times New Roman"/>
                <w:kern w:val="2"/>
                <w:sz w:val="21"/>
                <w:szCs w:val="21"/>
                <w:highlight w:val="none"/>
              </w:rPr>
              <w:t>/h</w:t>
            </w:r>
          </w:p>
        </w:tc>
        <w:tc>
          <w:tcPr>
            <w:tcW w:w="0" w:type="auto"/>
            <w:noWrap w:val="0"/>
            <w:tcMar>
              <w:left w:w="28" w:type="dxa"/>
              <w:right w:w="28" w:type="dxa"/>
            </w:tcMar>
            <w:vAlign w:val="center"/>
          </w:tcPr>
          <w:p w14:paraId="24C474B3">
            <w:pPr>
              <w:jc w:val="center"/>
              <w:rPr>
                <w:sz w:val="21"/>
                <w:szCs w:val="21"/>
                <w:highlight w:val="none"/>
              </w:rPr>
            </w:pPr>
            <w:r>
              <w:rPr>
                <w:sz w:val="21"/>
                <w:szCs w:val="21"/>
                <w:highlight w:val="none"/>
              </w:rPr>
              <w:t>浓度</w:t>
            </w:r>
          </w:p>
          <w:p w14:paraId="782F4A01">
            <w:pPr>
              <w:jc w:val="center"/>
              <w:rPr>
                <w:sz w:val="21"/>
                <w:szCs w:val="21"/>
                <w:highlight w:val="none"/>
              </w:rPr>
            </w:pPr>
            <w:r>
              <w:rPr>
                <w:sz w:val="21"/>
                <w:szCs w:val="21"/>
                <w:highlight w:val="none"/>
              </w:rPr>
              <w:t>mg/m</w:t>
            </w:r>
            <w:r>
              <w:rPr>
                <w:sz w:val="21"/>
                <w:szCs w:val="21"/>
                <w:highlight w:val="none"/>
                <w:vertAlign w:val="superscript"/>
              </w:rPr>
              <w:t>3</w:t>
            </w:r>
          </w:p>
        </w:tc>
        <w:tc>
          <w:tcPr>
            <w:tcW w:w="0" w:type="auto"/>
            <w:noWrap w:val="0"/>
            <w:tcMar>
              <w:left w:w="28" w:type="dxa"/>
              <w:right w:w="28" w:type="dxa"/>
            </w:tcMar>
            <w:vAlign w:val="center"/>
          </w:tcPr>
          <w:p w14:paraId="5C970CFD">
            <w:pPr>
              <w:jc w:val="center"/>
              <w:rPr>
                <w:sz w:val="21"/>
                <w:szCs w:val="21"/>
                <w:highlight w:val="none"/>
              </w:rPr>
            </w:pPr>
            <w:r>
              <w:rPr>
                <w:sz w:val="21"/>
                <w:szCs w:val="21"/>
                <w:highlight w:val="none"/>
              </w:rPr>
              <w:t>个数</w:t>
            </w:r>
          </w:p>
        </w:tc>
        <w:tc>
          <w:tcPr>
            <w:tcW w:w="0" w:type="auto"/>
            <w:noWrap w:val="0"/>
            <w:vAlign w:val="center"/>
          </w:tcPr>
          <w:p w14:paraId="48C11BD0">
            <w:pPr>
              <w:jc w:val="center"/>
              <w:rPr>
                <w:sz w:val="21"/>
                <w:szCs w:val="21"/>
                <w:highlight w:val="none"/>
              </w:rPr>
            </w:pPr>
            <w:r>
              <w:rPr>
                <w:sz w:val="21"/>
                <w:szCs w:val="21"/>
                <w:highlight w:val="none"/>
              </w:rPr>
              <w:t>高度</w:t>
            </w:r>
          </w:p>
          <w:p w14:paraId="01E59730">
            <w:pPr>
              <w:jc w:val="center"/>
              <w:rPr>
                <w:sz w:val="21"/>
                <w:szCs w:val="21"/>
                <w:highlight w:val="none"/>
              </w:rPr>
            </w:pPr>
            <w:r>
              <w:rPr>
                <w:sz w:val="21"/>
                <w:szCs w:val="21"/>
                <w:highlight w:val="none"/>
              </w:rPr>
              <w:t>m</w:t>
            </w:r>
          </w:p>
        </w:tc>
        <w:tc>
          <w:tcPr>
            <w:tcW w:w="0" w:type="auto"/>
            <w:noWrap w:val="0"/>
            <w:tcMar>
              <w:left w:w="28" w:type="dxa"/>
              <w:right w:w="28" w:type="dxa"/>
            </w:tcMar>
            <w:vAlign w:val="center"/>
          </w:tcPr>
          <w:p w14:paraId="2FC336FD">
            <w:pPr>
              <w:jc w:val="center"/>
              <w:rPr>
                <w:sz w:val="21"/>
                <w:szCs w:val="21"/>
                <w:highlight w:val="none"/>
              </w:rPr>
            </w:pPr>
            <w:r>
              <w:rPr>
                <w:sz w:val="21"/>
                <w:szCs w:val="21"/>
                <w:highlight w:val="none"/>
              </w:rPr>
              <w:t>直径</w:t>
            </w:r>
          </w:p>
          <w:p w14:paraId="1D17E11E">
            <w:pPr>
              <w:jc w:val="center"/>
              <w:rPr>
                <w:sz w:val="21"/>
                <w:szCs w:val="21"/>
                <w:highlight w:val="none"/>
              </w:rPr>
            </w:pPr>
            <w:r>
              <w:rPr>
                <w:sz w:val="21"/>
                <w:szCs w:val="21"/>
                <w:highlight w:val="none"/>
              </w:rPr>
              <w:t>m</w:t>
            </w:r>
          </w:p>
        </w:tc>
        <w:tc>
          <w:tcPr>
            <w:tcW w:w="0" w:type="auto"/>
            <w:vMerge w:val="continue"/>
            <w:noWrap w:val="0"/>
            <w:vAlign w:val="center"/>
          </w:tcPr>
          <w:p w14:paraId="6239C49B">
            <w:pPr>
              <w:jc w:val="center"/>
              <w:rPr>
                <w:sz w:val="21"/>
                <w:szCs w:val="21"/>
                <w:highlight w:val="none"/>
              </w:rPr>
            </w:pPr>
          </w:p>
        </w:tc>
        <w:tc>
          <w:tcPr>
            <w:tcW w:w="0" w:type="auto"/>
            <w:vMerge w:val="continue"/>
            <w:noWrap w:val="0"/>
            <w:vAlign w:val="center"/>
          </w:tcPr>
          <w:p w14:paraId="67A03EC3">
            <w:pPr>
              <w:jc w:val="center"/>
              <w:rPr>
                <w:sz w:val="21"/>
                <w:szCs w:val="21"/>
                <w:highlight w:val="none"/>
              </w:rPr>
            </w:pPr>
          </w:p>
        </w:tc>
      </w:tr>
      <w:tr w14:paraId="17959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blHeader/>
          <w:jc w:val="center"/>
        </w:trPr>
        <w:tc>
          <w:tcPr>
            <w:tcW w:w="0" w:type="auto"/>
            <w:vMerge w:val="restart"/>
            <w:noWrap w:val="0"/>
            <w:tcMar>
              <w:left w:w="28" w:type="dxa"/>
              <w:right w:w="28" w:type="dxa"/>
            </w:tcMar>
            <w:vAlign w:val="center"/>
          </w:tcPr>
          <w:p w14:paraId="7DC321FB">
            <w:pPr>
              <w:widowControl/>
              <w:snapToGrid w:val="0"/>
              <w:jc w:val="center"/>
              <w:rPr>
                <w:sz w:val="21"/>
                <w:szCs w:val="21"/>
                <w:highlight w:val="none"/>
              </w:rPr>
            </w:pPr>
            <w:r>
              <w:rPr>
                <w:sz w:val="21"/>
                <w:szCs w:val="21"/>
                <w:highlight w:val="none"/>
              </w:rPr>
              <w:t>净化装置</w:t>
            </w:r>
          </w:p>
        </w:tc>
        <w:tc>
          <w:tcPr>
            <w:tcW w:w="0" w:type="auto"/>
            <w:vMerge w:val="restart"/>
            <w:noWrap w:val="0"/>
            <w:vAlign w:val="center"/>
          </w:tcPr>
          <w:p w14:paraId="0EA0161E">
            <w:pPr>
              <w:jc w:val="center"/>
              <w:rPr>
                <w:sz w:val="21"/>
                <w:szCs w:val="21"/>
                <w:highlight w:val="none"/>
              </w:rPr>
            </w:pPr>
            <w:r>
              <w:rPr>
                <w:sz w:val="21"/>
                <w:szCs w:val="21"/>
                <w:highlight w:val="none"/>
              </w:rPr>
              <w:t>低温甲醇洗单元</w:t>
            </w:r>
          </w:p>
        </w:tc>
        <w:tc>
          <w:tcPr>
            <w:tcW w:w="0" w:type="auto"/>
            <w:noWrap w:val="0"/>
            <w:vAlign w:val="center"/>
          </w:tcPr>
          <w:p w14:paraId="65A7DB1E">
            <w:pPr>
              <w:jc w:val="center"/>
              <w:rPr>
                <w:sz w:val="21"/>
                <w:szCs w:val="21"/>
                <w:highlight w:val="none"/>
              </w:rPr>
            </w:pPr>
            <w:r>
              <w:rPr>
                <w:sz w:val="21"/>
                <w:szCs w:val="21"/>
                <w:highlight w:val="none"/>
              </w:rPr>
              <w:t>低温甲醇洗尾气</w:t>
            </w:r>
          </w:p>
        </w:tc>
        <w:tc>
          <w:tcPr>
            <w:tcW w:w="0" w:type="auto"/>
            <w:noWrap w:val="0"/>
            <w:tcMar>
              <w:left w:w="28" w:type="dxa"/>
              <w:right w:w="28" w:type="dxa"/>
            </w:tcMar>
            <w:vAlign w:val="center"/>
          </w:tcPr>
          <w:p w14:paraId="69228FBE">
            <w:pPr>
              <w:jc w:val="center"/>
              <w:rPr>
                <w:sz w:val="21"/>
                <w:szCs w:val="21"/>
                <w:highlight w:val="none"/>
                <w:lang w:val="pt-BR"/>
              </w:rPr>
            </w:pPr>
            <w:r>
              <w:rPr>
                <w:sz w:val="21"/>
                <w:szCs w:val="21"/>
                <w:highlight w:val="none"/>
                <w:lang w:val="pt-BR"/>
              </w:rPr>
              <w:t>H</w:t>
            </w:r>
            <w:r>
              <w:rPr>
                <w:sz w:val="21"/>
                <w:szCs w:val="21"/>
                <w:highlight w:val="none"/>
                <w:vertAlign w:val="subscript"/>
                <w:lang w:val="pt-BR"/>
              </w:rPr>
              <w:t>2</w:t>
            </w:r>
            <w:r>
              <w:rPr>
                <w:sz w:val="21"/>
                <w:szCs w:val="21"/>
                <w:highlight w:val="none"/>
                <w:lang w:val="pt-BR"/>
              </w:rPr>
              <w:t>S</w:t>
            </w:r>
          </w:p>
          <w:p w14:paraId="72035985">
            <w:pPr>
              <w:jc w:val="center"/>
              <w:rPr>
                <w:sz w:val="21"/>
                <w:szCs w:val="21"/>
                <w:highlight w:val="none"/>
                <w:lang w:val="pt-BR"/>
              </w:rPr>
            </w:pPr>
            <w:r>
              <w:rPr>
                <w:sz w:val="21"/>
                <w:szCs w:val="21"/>
                <w:highlight w:val="none"/>
                <w:lang w:val="pt-BR"/>
              </w:rPr>
              <w:t>CH</w:t>
            </w:r>
            <w:r>
              <w:rPr>
                <w:sz w:val="21"/>
                <w:szCs w:val="21"/>
                <w:highlight w:val="none"/>
                <w:vertAlign w:val="subscript"/>
                <w:lang w:val="pt-BR"/>
              </w:rPr>
              <w:t>3</w:t>
            </w:r>
            <w:r>
              <w:rPr>
                <w:sz w:val="21"/>
                <w:szCs w:val="21"/>
                <w:highlight w:val="none"/>
                <w:lang w:val="pt-BR"/>
              </w:rPr>
              <w:t>OH</w:t>
            </w:r>
          </w:p>
        </w:tc>
        <w:tc>
          <w:tcPr>
            <w:tcW w:w="0" w:type="auto"/>
            <w:noWrap w:val="0"/>
            <w:tcMar>
              <w:left w:w="28" w:type="dxa"/>
              <w:right w:w="28" w:type="dxa"/>
            </w:tcMar>
            <w:vAlign w:val="center"/>
          </w:tcPr>
          <w:p w14:paraId="3282A526">
            <w:pPr>
              <w:jc w:val="center"/>
              <w:rPr>
                <w:sz w:val="21"/>
                <w:szCs w:val="21"/>
                <w:highlight w:val="none"/>
                <w:lang w:val="es-ES"/>
              </w:rPr>
            </w:pPr>
            <w:r>
              <w:rPr>
                <w:sz w:val="21"/>
                <w:szCs w:val="21"/>
                <w:highlight w:val="none"/>
                <w:lang w:val="es-ES"/>
              </w:rPr>
              <w:t>/</w:t>
            </w:r>
          </w:p>
        </w:tc>
        <w:tc>
          <w:tcPr>
            <w:tcW w:w="0" w:type="auto"/>
            <w:noWrap w:val="0"/>
            <w:tcMar>
              <w:left w:w="28" w:type="dxa"/>
              <w:right w:w="28" w:type="dxa"/>
            </w:tcMar>
            <w:vAlign w:val="center"/>
          </w:tcPr>
          <w:p w14:paraId="461C7616">
            <w:pPr>
              <w:jc w:val="center"/>
              <w:rPr>
                <w:sz w:val="21"/>
                <w:szCs w:val="21"/>
                <w:highlight w:val="none"/>
                <w:lang w:val="pt-BR"/>
              </w:rPr>
            </w:pPr>
            <w:r>
              <w:rPr>
                <w:sz w:val="21"/>
                <w:szCs w:val="21"/>
                <w:highlight w:val="none"/>
                <w:lang w:val="pt-BR"/>
              </w:rPr>
              <w:t>/</w:t>
            </w:r>
          </w:p>
        </w:tc>
        <w:tc>
          <w:tcPr>
            <w:tcW w:w="0" w:type="auto"/>
            <w:noWrap w:val="0"/>
            <w:tcMar>
              <w:left w:w="28" w:type="dxa"/>
              <w:right w:w="28" w:type="dxa"/>
            </w:tcMar>
            <w:vAlign w:val="center"/>
          </w:tcPr>
          <w:p w14:paraId="10E2D60B">
            <w:pPr>
              <w:jc w:val="center"/>
              <w:rPr>
                <w:sz w:val="21"/>
                <w:szCs w:val="21"/>
                <w:highlight w:val="none"/>
              </w:rPr>
            </w:pPr>
            <w:r>
              <w:rPr>
                <w:sz w:val="21"/>
                <w:szCs w:val="21"/>
                <w:highlight w:val="none"/>
              </w:rPr>
              <w:t>/</w:t>
            </w:r>
          </w:p>
        </w:tc>
        <w:tc>
          <w:tcPr>
            <w:tcW w:w="0" w:type="auto"/>
            <w:noWrap w:val="0"/>
            <w:tcMar>
              <w:left w:w="28" w:type="dxa"/>
              <w:right w:w="28" w:type="dxa"/>
            </w:tcMar>
            <w:vAlign w:val="center"/>
          </w:tcPr>
          <w:p w14:paraId="7AA28DF0">
            <w:pPr>
              <w:jc w:val="center"/>
              <w:rPr>
                <w:sz w:val="21"/>
                <w:szCs w:val="21"/>
                <w:highlight w:val="none"/>
              </w:rPr>
            </w:pPr>
            <w:r>
              <w:rPr>
                <w:sz w:val="21"/>
                <w:szCs w:val="21"/>
                <w:highlight w:val="none"/>
              </w:rPr>
              <w:t>/</w:t>
            </w:r>
          </w:p>
        </w:tc>
        <w:tc>
          <w:tcPr>
            <w:tcW w:w="0" w:type="auto"/>
            <w:noWrap w:val="0"/>
            <w:vAlign w:val="center"/>
          </w:tcPr>
          <w:p w14:paraId="6CF9AC30">
            <w:pPr>
              <w:jc w:val="center"/>
              <w:rPr>
                <w:sz w:val="21"/>
                <w:szCs w:val="21"/>
                <w:highlight w:val="none"/>
              </w:rPr>
            </w:pPr>
            <w:r>
              <w:rPr>
                <w:sz w:val="21"/>
                <w:szCs w:val="21"/>
                <w:highlight w:val="none"/>
              </w:rPr>
              <w:t>/</w:t>
            </w:r>
          </w:p>
        </w:tc>
        <w:tc>
          <w:tcPr>
            <w:tcW w:w="0" w:type="auto"/>
            <w:noWrap w:val="0"/>
            <w:tcMar>
              <w:left w:w="28" w:type="dxa"/>
              <w:right w:w="28" w:type="dxa"/>
            </w:tcMar>
            <w:vAlign w:val="center"/>
          </w:tcPr>
          <w:p w14:paraId="4EA8DAE8">
            <w:pPr>
              <w:jc w:val="center"/>
              <w:rPr>
                <w:sz w:val="21"/>
                <w:szCs w:val="21"/>
                <w:highlight w:val="none"/>
              </w:rPr>
            </w:pPr>
            <w:r>
              <w:rPr>
                <w:sz w:val="21"/>
                <w:szCs w:val="21"/>
                <w:highlight w:val="none"/>
              </w:rPr>
              <w:t>/</w:t>
            </w:r>
          </w:p>
        </w:tc>
        <w:tc>
          <w:tcPr>
            <w:tcW w:w="0" w:type="auto"/>
            <w:noWrap w:val="0"/>
            <w:vAlign w:val="center"/>
          </w:tcPr>
          <w:p w14:paraId="2EF6F569">
            <w:pPr>
              <w:jc w:val="center"/>
              <w:rPr>
                <w:sz w:val="21"/>
                <w:szCs w:val="21"/>
                <w:highlight w:val="none"/>
              </w:rPr>
            </w:pPr>
            <w:r>
              <w:rPr>
                <w:sz w:val="21"/>
                <w:szCs w:val="21"/>
                <w:highlight w:val="none"/>
              </w:rPr>
              <w:t>连续</w:t>
            </w:r>
          </w:p>
        </w:tc>
        <w:tc>
          <w:tcPr>
            <w:tcW w:w="0" w:type="auto"/>
            <w:noWrap w:val="0"/>
            <w:vAlign w:val="center"/>
          </w:tcPr>
          <w:p w14:paraId="5FB777E5">
            <w:pPr>
              <w:jc w:val="center"/>
              <w:rPr>
                <w:sz w:val="21"/>
                <w:szCs w:val="21"/>
                <w:highlight w:val="none"/>
              </w:rPr>
            </w:pPr>
            <w:r>
              <w:rPr>
                <w:sz w:val="21"/>
                <w:szCs w:val="21"/>
                <w:highlight w:val="none"/>
              </w:rPr>
              <w:t>经锅炉烟囱排入大气</w:t>
            </w:r>
          </w:p>
        </w:tc>
      </w:tr>
      <w:tr w14:paraId="0362F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blHeader/>
          <w:jc w:val="center"/>
        </w:trPr>
        <w:tc>
          <w:tcPr>
            <w:tcW w:w="0" w:type="auto"/>
            <w:vMerge w:val="continue"/>
            <w:noWrap w:val="0"/>
            <w:tcMar>
              <w:left w:w="28" w:type="dxa"/>
              <w:right w:w="28" w:type="dxa"/>
            </w:tcMar>
            <w:vAlign w:val="center"/>
          </w:tcPr>
          <w:p w14:paraId="674E7A8F">
            <w:pPr>
              <w:widowControl/>
              <w:snapToGrid w:val="0"/>
              <w:jc w:val="center"/>
              <w:rPr>
                <w:sz w:val="21"/>
                <w:szCs w:val="21"/>
                <w:highlight w:val="none"/>
              </w:rPr>
            </w:pPr>
          </w:p>
        </w:tc>
        <w:tc>
          <w:tcPr>
            <w:tcW w:w="0" w:type="auto"/>
            <w:vMerge w:val="continue"/>
            <w:noWrap w:val="0"/>
            <w:vAlign w:val="center"/>
          </w:tcPr>
          <w:p w14:paraId="6904E8A0">
            <w:pPr>
              <w:jc w:val="center"/>
              <w:rPr>
                <w:sz w:val="21"/>
                <w:szCs w:val="21"/>
                <w:highlight w:val="none"/>
              </w:rPr>
            </w:pPr>
          </w:p>
        </w:tc>
        <w:tc>
          <w:tcPr>
            <w:tcW w:w="0" w:type="auto"/>
            <w:noWrap w:val="0"/>
            <w:vAlign w:val="center"/>
          </w:tcPr>
          <w:p w14:paraId="2106D71F">
            <w:pPr>
              <w:jc w:val="center"/>
              <w:rPr>
                <w:sz w:val="21"/>
                <w:szCs w:val="21"/>
                <w:highlight w:val="none"/>
              </w:rPr>
            </w:pPr>
            <w:r>
              <w:rPr>
                <w:sz w:val="21"/>
                <w:szCs w:val="21"/>
                <w:highlight w:val="none"/>
              </w:rPr>
              <w:t>低温甲醇洗酸性气</w:t>
            </w:r>
          </w:p>
        </w:tc>
        <w:tc>
          <w:tcPr>
            <w:tcW w:w="0" w:type="auto"/>
            <w:noWrap w:val="0"/>
            <w:tcMar>
              <w:left w:w="28" w:type="dxa"/>
              <w:right w:w="28" w:type="dxa"/>
            </w:tcMar>
            <w:vAlign w:val="center"/>
          </w:tcPr>
          <w:p w14:paraId="2FA37C6D">
            <w:pPr>
              <w:jc w:val="center"/>
              <w:rPr>
                <w:sz w:val="21"/>
                <w:szCs w:val="21"/>
                <w:highlight w:val="none"/>
              </w:rPr>
            </w:pPr>
            <w:r>
              <w:rPr>
                <w:sz w:val="21"/>
                <w:szCs w:val="21"/>
                <w:highlight w:val="none"/>
                <w:lang w:val="pt-BR"/>
              </w:rPr>
              <w:t>H</w:t>
            </w:r>
            <w:r>
              <w:rPr>
                <w:sz w:val="21"/>
                <w:szCs w:val="21"/>
                <w:highlight w:val="none"/>
                <w:vertAlign w:val="subscript"/>
                <w:lang w:val="pt-BR"/>
              </w:rPr>
              <w:t>2</w:t>
            </w:r>
            <w:r>
              <w:rPr>
                <w:sz w:val="21"/>
                <w:szCs w:val="21"/>
                <w:highlight w:val="none"/>
                <w:lang w:val="pt-BR"/>
              </w:rPr>
              <w:t>、N</w:t>
            </w:r>
            <w:r>
              <w:rPr>
                <w:sz w:val="21"/>
                <w:szCs w:val="21"/>
                <w:highlight w:val="none"/>
                <w:vertAlign w:val="subscript"/>
                <w:lang w:val="pt-BR"/>
              </w:rPr>
              <w:t>2</w:t>
            </w:r>
            <w:r>
              <w:rPr>
                <w:sz w:val="21"/>
                <w:szCs w:val="21"/>
                <w:highlight w:val="none"/>
                <w:lang w:val="pt-BR"/>
              </w:rPr>
              <w:t>、</w:t>
            </w:r>
            <w:r>
              <w:rPr>
                <w:sz w:val="21"/>
                <w:szCs w:val="21"/>
                <w:highlight w:val="none"/>
              </w:rPr>
              <w:t>CO</w:t>
            </w:r>
            <w:r>
              <w:rPr>
                <w:sz w:val="21"/>
                <w:szCs w:val="21"/>
                <w:highlight w:val="none"/>
                <w:lang w:val="pt-BR"/>
              </w:rPr>
              <w:t>、</w:t>
            </w:r>
            <w:r>
              <w:rPr>
                <w:sz w:val="21"/>
                <w:szCs w:val="21"/>
                <w:highlight w:val="none"/>
              </w:rPr>
              <w:t>CO</w:t>
            </w:r>
            <w:r>
              <w:rPr>
                <w:sz w:val="21"/>
                <w:szCs w:val="21"/>
                <w:highlight w:val="none"/>
                <w:vertAlign w:val="subscript"/>
              </w:rPr>
              <w:t>2</w:t>
            </w:r>
            <w:r>
              <w:rPr>
                <w:sz w:val="21"/>
                <w:szCs w:val="21"/>
                <w:highlight w:val="none"/>
                <w:lang w:val="pt-BR"/>
              </w:rPr>
              <w:t>、</w:t>
            </w:r>
            <w:r>
              <w:rPr>
                <w:sz w:val="21"/>
                <w:szCs w:val="21"/>
                <w:highlight w:val="none"/>
              </w:rPr>
              <w:t>H</w:t>
            </w:r>
            <w:r>
              <w:rPr>
                <w:sz w:val="21"/>
                <w:szCs w:val="21"/>
                <w:highlight w:val="none"/>
                <w:vertAlign w:val="subscript"/>
              </w:rPr>
              <w:t>2</w:t>
            </w:r>
            <w:r>
              <w:rPr>
                <w:sz w:val="21"/>
                <w:szCs w:val="21"/>
                <w:highlight w:val="none"/>
              </w:rPr>
              <w:t>S</w:t>
            </w:r>
            <w:r>
              <w:rPr>
                <w:sz w:val="21"/>
                <w:szCs w:val="21"/>
                <w:highlight w:val="none"/>
                <w:lang w:val="pt-BR"/>
              </w:rPr>
              <w:t>、</w:t>
            </w:r>
            <w:r>
              <w:rPr>
                <w:sz w:val="21"/>
                <w:szCs w:val="21"/>
                <w:highlight w:val="none"/>
              </w:rPr>
              <w:t>CH</w:t>
            </w:r>
            <w:r>
              <w:rPr>
                <w:sz w:val="21"/>
                <w:szCs w:val="21"/>
                <w:highlight w:val="none"/>
                <w:vertAlign w:val="subscript"/>
              </w:rPr>
              <w:t>3</w:t>
            </w:r>
            <w:r>
              <w:rPr>
                <w:sz w:val="21"/>
                <w:szCs w:val="21"/>
                <w:highlight w:val="none"/>
              </w:rPr>
              <w:t>OH</w:t>
            </w:r>
            <w:r>
              <w:rPr>
                <w:sz w:val="21"/>
                <w:szCs w:val="21"/>
                <w:highlight w:val="none"/>
                <w:lang w:val="pt-BR"/>
              </w:rPr>
              <w:t>、</w:t>
            </w:r>
            <w:r>
              <w:rPr>
                <w:sz w:val="21"/>
                <w:szCs w:val="21"/>
                <w:highlight w:val="none"/>
              </w:rPr>
              <w:t>HCN</w:t>
            </w:r>
          </w:p>
        </w:tc>
        <w:tc>
          <w:tcPr>
            <w:tcW w:w="0" w:type="auto"/>
            <w:noWrap w:val="0"/>
            <w:tcMar>
              <w:left w:w="28" w:type="dxa"/>
              <w:right w:w="28" w:type="dxa"/>
            </w:tcMar>
            <w:vAlign w:val="center"/>
          </w:tcPr>
          <w:p w14:paraId="140F6B51">
            <w:pPr>
              <w:jc w:val="center"/>
              <w:rPr>
                <w:sz w:val="21"/>
                <w:szCs w:val="21"/>
                <w:highlight w:val="none"/>
              </w:rPr>
            </w:pPr>
            <w:r>
              <w:rPr>
                <w:sz w:val="21"/>
                <w:szCs w:val="21"/>
                <w:highlight w:val="none"/>
              </w:rPr>
              <w:t>送净化装置硫回收单元</w:t>
            </w:r>
          </w:p>
        </w:tc>
        <w:tc>
          <w:tcPr>
            <w:tcW w:w="0" w:type="auto"/>
            <w:noWrap w:val="0"/>
            <w:tcMar>
              <w:left w:w="28" w:type="dxa"/>
              <w:right w:w="28" w:type="dxa"/>
            </w:tcMar>
            <w:vAlign w:val="center"/>
          </w:tcPr>
          <w:p w14:paraId="7E092D75">
            <w:pPr>
              <w:jc w:val="center"/>
              <w:rPr>
                <w:sz w:val="21"/>
                <w:szCs w:val="21"/>
                <w:highlight w:val="none"/>
                <w:lang w:val="pt-BR"/>
              </w:rPr>
            </w:pPr>
            <w:r>
              <w:rPr>
                <w:sz w:val="21"/>
                <w:szCs w:val="21"/>
                <w:highlight w:val="none"/>
                <w:lang w:val="pt-BR"/>
              </w:rPr>
              <w:t>/</w:t>
            </w:r>
          </w:p>
        </w:tc>
        <w:tc>
          <w:tcPr>
            <w:tcW w:w="0" w:type="auto"/>
            <w:noWrap w:val="0"/>
            <w:tcMar>
              <w:left w:w="28" w:type="dxa"/>
              <w:right w:w="28" w:type="dxa"/>
            </w:tcMar>
            <w:vAlign w:val="center"/>
          </w:tcPr>
          <w:p w14:paraId="0FB601CA">
            <w:pPr>
              <w:jc w:val="center"/>
              <w:rPr>
                <w:sz w:val="21"/>
                <w:szCs w:val="21"/>
                <w:highlight w:val="none"/>
              </w:rPr>
            </w:pPr>
            <w:r>
              <w:rPr>
                <w:sz w:val="21"/>
                <w:szCs w:val="21"/>
                <w:highlight w:val="none"/>
              </w:rPr>
              <w:t>/</w:t>
            </w:r>
          </w:p>
        </w:tc>
        <w:tc>
          <w:tcPr>
            <w:tcW w:w="0" w:type="auto"/>
            <w:noWrap w:val="0"/>
            <w:tcMar>
              <w:left w:w="28" w:type="dxa"/>
              <w:right w:w="28" w:type="dxa"/>
            </w:tcMar>
            <w:vAlign w:val="center"/>
          </w:tcPr>
          <w:p w14:paraId="605FD5F1">
            <w:pPr>
              <w:jc w:val="center"/>
              <w:rPr>
                <w:sz w:val="21"/>
                <w:szCs w:val="21"/>
                <w:highlight w:val="none"/>
              </w:rPr>
            </w:pPr>
            <w:r>
              <w:rPr>
                <w:sz w:val="21"/>
                <w:szCs w:val="21"/>
                <w:highlight w:val="none"/>
              </w:rPr>
              <w:t>/</w:t>
            </w:r>
          </w:p>
        </w:tc>
        <w:tc>
          <w:tcPr>
            <w:tcW w:w="0" w:type="auto"/>
            <w:noWrap w:val="0"/>
            <w:vAlign w:val="center"/>
          </w:tcPr>
          <w:p w14:paraId="6FF9980F">
            <w:pPr>
              <w:jc w:val="center"/>
              <w:rPr>
                <w:sz w:val="21"/>
                <w:szCs w:val="21"/>
                <w:highlight w:val="none"/>
              </w:rPr>
            </w:pPr>
            <w:r>
              <w:rPr>
                <w:sz w:val="21"/>
                <w:szCs w:val="21"/>
                <w:highlight w:val="none"/>
              </w:rPr>
              <w:t>/</w:t>
            </w:r>
          </w:p>
        </w:tc>
        <w:tc>
          <w:tcPr>
            <w:tcW w:w="0" w:type="auto"/>
            <w:noWrap w:val="0"/>
            <w:tcMar>
              <w:left w:w="28" w:type="dxa"/>
              <w:right w:w="28" w:type="dxa"/>
            </w:tcMar>
            <w:vAlign w:val="center"/>
          </w:tcPr>
          <w:p w14:paraId="69F401C4">
            <w:pPr>
              <w:jc w:val="center"/>
              <w:rPr>
                <w:sz w:val="21"/>
                <w:szCs w:val="21"/>
                <w:highlight w:val="none"/>
              </w:rPr>
            </w:pPr>
            <w:r>
              <w:rPr>
                <w:sz w:val="21"/>
                <w:szCs w:val="21"/>
                <w:highlight w:val="none"/>
              </w:rPr>
              <w:t>/</w:t>
            </w:r>
          </w:p>
        </w:tc>
        <w:tc>
          <w:tcPr>
            <w:tcW w:w="0" w:type="auto"/>
            <w:noWrap w:val="0"/>
            <w:vAlign w:val="center"/>
          </w:tcPr>
          <w:p w14:paraId="570246C8">
            <w:pPr>
              <w:jc w:val="center"/>
              <w:rPr>
                <w:sz w:val="21"/>
                <w:szCs w:val="21"/>
                <w:highlight w:val="none"/>
              </w:rPr>
            </w:pPr>
            <w:r>
              <w:rPr>
                <w:sz w:val="21"/>
                <w:szCs w:val="21"/>
                <w:highlight w:val="none"/>
              </w:rPr>
              <w:t>连续</w:t>
            </w:r>
          </w:p>
        </w:tc>
        <w:tc>
          <w:tcPr>
            <w:tcW w:w="0" w:type="auto"/>
            <w:noWrap w:val="0"/>
            <w:vAlign w:val="center"/>
          </w:tcPr>
          <w:p w14:paraId="33E4548F">
            <w:pPr>
              <w:jc w:val="center"/>
              <w:rPr>
                <w:sz w:val="21"/>
                <w:szCs w:val="21"/>
                <w:highlight w:val="none"/>
              </w:rPr>
            </w:pPr>
            <w:r>
              <w:rPr>
                <w:sz w:val="21"/>
                <w:szCs w:val="21"/>
                <w:highlight w:val="none"/>
              </w:rPr>
              <w:t>送净化装置硫回收单元</w:t>
            </w:r>
          </w:p>
        </w:tc>
      </w:tr>
      <w:tr w14:paraId="7EF9B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blHeader/>
          <w:jc w:val="center"/>
        </w:trPr>
        <w:tc>
          <w:tcPr>
            <w:tcW w:w="0" w:type="auto"/>
            <w:vMerge w:val="continue"/>
            <w:noWrap w:val="0"/>
            <w:tcMar>
              <w:left w:w="28" w:type="dxa"/>
              <w:right w:w="28" w:type="dxa"/>
            </w:tcMar>
            <w:vAlign w:val="center"/>
          </w:tcPr>
          <w:p w14:paraId="36EDBC17">
            <w:pPr>
              <w:widowControl/>
              <w:snapToGrid w:val="0"/>
              <w:jc w:val="center"/>
              <w:rPr>
                <w:sz w:val="21"/>
                <w:szCs w:val="21"/>
                <w:highlight w:val="none"/>
              </w:rPr>
            </w:pPr>
          </w:p>
        </w:tc>
        <w:tc>
          <w:tcPr>
            <w:tcW w:w="0" w:type="auto"/>
            <w:noWrap w:val="0"/>
            <w:vAlign w:val="center"/>
          </w:tcPr>
          <w:p w14:paraId="41D2AB06">
            <w:pPr>
              <w:jc w:val="center"/>
              <w:rPr>
                <w:sz w:val="21"/>
                <w:szCs w:val="21"/>
                <w:highlight w:val="none"/>
              </w:rPr>
            </w:pPr>
            <w:r>
              <w:rPr>
                <w:sz w:val="21"/>
                <w:szCs w:val="21"/>
                <w:highlight w:val="none"/>
              </w:rPr>
              <w:t>硫回收单元</w:t>
            </w:r>
          </w:p>
        </w:tc>
        <w:tc>
          <w:tcPr>
            <w:tcW w:w="0" w:type="auto"/>
            <w:noWrap w:val="0"/>
            <w:vAlign w:val="center"/>
          </w:tcPr>
          <w:p w14:paraId="2D228770">
            <w:pPr>
              <w:jc w:val="center"/>
              <w:rPr>
                <w:sz w:val="21"/>
                <w:szCs w:val="21"/>
                <w:highlight w:val="none"/>
              </w:rPr>
            </w:pPr>
            <w:r>
              <w:rPr>
                <w:sz w:val="21"/>
                <w:szCs w:val="21"/>
                <w:highlight w:val="none"/>
              </w:rPr>
              <w:t>硫回收尾气</w:t>
            </w:r>
          </w:p>
        </w:tc>
        <w:tc>
          <w:tcPr>
            <w:tcW w:w="0" w:type="auto"/>
            <w:noWrap w:val="0"/>
            <w:tcMar>
              <w:left w:w="28" w:type="dxa"/>
              <w:right w:w="28" w:type="dxa"/>
            </w:tcMar>
            <w:vAlign w:val="center"/>
          </w:tcPr>
          <w:p w14:paraId="017DA347">
            <w:pPr>
              <w:jc w:val="center"/>
              <w:rPr>
                <w:sz w:val="21"/>
                <w:szCs w:val="21"/>
                <w:highlight w:val="none"/>
              </w:rPr>
            </w:pPr>
            <w:r>
              <w:rPr>
                <w:sz w:val="21"/>
                <w:szCs w:val="21"/>
                <w:highlight w:val="none"/>
              </w:rPr>
              <w:t>SO</w:t>
            </w:r>
            <w:r>
              <w:rPr>
                <w:sz w:val="21"/>
                <w:szCs w:val="21"/>
                <w:highlight w:val="none"/>
                <w:vertAlign w:val="subscript"/>
              </w:rPr>
              <w:t>2</w:t>
            </w:r>
          </w:p>
          <w:p w14:paraId="6F3D4878">
            <w:pPr>
              <w:jc w:val="center"/>
              <w:rPr>
                <w:sz w:val="21"/>
                <w:szCs w:val="21"/>
                <w:highlight w:val="none"/>
              </w:rPr>
            </w:pPr>
            <w:r>
              <w:rPr>
                <w:sz w:val="21"/>
                <w:szCs w:val="21"/>
                <w:highlight w:val="none"/>
              </w:rPr>
              <w:t>NOx</w:t>
            </w:r>
          </w:p>
        </w:tc>
        <w:tc>
          <w:tcPr>
            <w:tcW w:w="0" w:type="auto"/>
            <w:noWrap w:val="0"/>
            <w:tcMar>
              <w:left w:w="28" w:type="dxa"/>
              <w:right w:w="28" w:type="dxa"/>
            </w:tcMar>
            <w:vAlign w:val="center"/>
          </w:tcPr>
          <w:p w14:paraId="0524233F">
            <w:pPr>
              <w:jc w:val="center"/>
              <w:rPr>
                <w:sz w:val="21"/>
                <w:szCs w:val="21"/>
                <w:highlight w:val="none"/>
              </w:rPr>
            </w:pPr>
            <w:r>
              <w:rPr>
                <w:sz w:val="21"/>
                <w:szCs w:val="21"/>
                <w:highlight w:val="none"/>
              </w:rPr>
              <w:t>/</w:t>
            </w:r>
          </w:p>
        </w:tc>
        <w:tc>
          <w:tcPr>
            <w:tcW w:w="0" w:type="auto"/>
            <w:noWrap w:val="0"/>
            <w:tcMar>
              <w:left w:w="28" w:type="dxa"/>
              <w:right w:w="28" w:type="dxa"/>
            </w:tcMar>
            <w:vAlign w:val="center"/>
          </w:tcPr>
          <w:p w14:paraId="28F6265D">
            <w:pPr>
              <w:jc w:val="center"/>
              <w:rPr>
                <w:sz w:val="21"/>
                <w:szCs w:val="21"/>
                <w:highlight w:val="none"/>
              </w:rPr>
            </w:pPr>
            <w:r>
              <w:rPr>
                <w:sz w:val="21"/>
                <w:szCs w:val="21"/>
                <w:highlight w:val="none"/>
              </w:rPr>
              <w:t>22981</w:t>
            </w:r>
          </w:p>
        </w:tc>
        <w:tc>
          <w:tcPr>
            <w:tcW w:w="0" w:type="auto"/>
            <w:noWrap w:val="0"/>
            <w:tcMar>
              <w:left w:w="28" w:type="dxa"/>
              <w:right w:w="28" w:type="dxa"/>
            </w:tcMar>
            <w:vAlign w:val="center"/>
          </w:tcPr>
          <w:p w14:paraId="2CBB5675">
            <w:pPr>
              <w:jc w:val="center"/>
              <w:rPr>
                <w:sz w:val="21"/>
                <w:szCs w:val="21"/>
                <w:highlight w:val="none"/>
              </w:rPr>
            </w:pPr>
            <w:r>
              <w:rPr>
                <w:sz w:val="21"/>
                <w:szCs w:val="21"/>
                <w:highlight w:val="none"/>
              </w:rPr>
              <w:t>8.1</w:t>
            </w:r>
          </w:p>
          <w:p w14:paraId="17128683">
            <w:pPr>
              <w:jc w:val="center"/>
              <w:rPr>
                <w:sz w:val="21"/>
                <w:szCs w:val="21"/>
                <w:highlight w:val="none"/>
              </w:rPr>
            </w:pPr>
            <w:r>
              <w:rPr>
                <w:sz w:val="21"/>
                <w:szCs w:val="21"/>
                <w:highlight w:val="none"/>
              </w:rPr>
              <w:t>44.2</w:t>
            </w:r>
          </w:p>
        </w:tc>
        <w:tc>
          <w:tcPr>
            <w:tcW w:w="0" w:type="auto"/>
            <w:noWrap w:val="0"/>
            <w:tcMar>
              <w:left w:w="28" w:type="dxa"/>
              <w:right w:w="28" w:type="dxa"/>
            </w:tcMar>
            <w:vAlign w:val="center"/>
          </w:tcPr>
          <w:p w14:paraId="45377536">
            <w:pPr>
              <w:jc w:val="center"/>
              <w:rPr>
                <w:sz w:val="21"/>
                <w:szCs w:val="21"/>
                <w:highlight w:val="none"/>
              </w:rPr>
            </w:pPr>
            <w:r>
              <w:rPr>
                <w:sz w:val="21"/>
                <w:szCs w:val="21"/>
                <w:highlight w:val="none"/>
              </w:rPr>
              <w:t>1</w:t>
            </w:r>
          </w:p>
        </w:tc>
        <w:tc>
          <w:tcPr>
            <w:tcW w:w="0" w:type="auto"/>
            <w:noWrap w:val="0"/>
            <w:vAlign w:val="center"/>
          </w:tcPr>
          <w:p w14:paraId="4121F56D">
            <w:pPr>
              <w:jc w:val="center"/>
              <w:rPr>
                <w:sz w:val="21"/>
                <w:szCs w:val="21"/>
                <w:highlight w:val="none"/>
              </w:rPr>
            </w:pPr>
            <w:r>
              <w:rPr>
                <w:sz w:val="21"/>
                <w:szCs w:val="21"/>
                <w:highlight w:val="none"/>
              </w:rPr>
              <w:t>70</w:t>
            </w:r>
          </w:p>
        </w:tc>
        <w:tc>
          <w:tcPr>
            <w:tcW w:w="0" w:type="auto"/>
            <w:noWrap w:val="0"/>
            <w:tcMar>
              <w:left w:w="28" w:type="dxa"/>
              <w:right w:w="28" w:type="dxa"/>
            </w:tcMar>
            <w:vAlign w:val="center"/>
          </w:tcPr>
          <w:p w14:paraId="739C0CA3">
            <w:pPr>
              <w:jc w:val="center"/>
              <w:rPr>
                <w:sz w:val="21"/>
                <w:szCs w:val="21"/>
                <w:highlight w:val="none"/>
              </w:rPr>
            </w:pPr>
            <w:r>
              <w:rPr>
                <w:sz w:val="21"/>
                <w:szCs w:val="21"/>
                <w:highlight w:val="none"/>
              </w:rPr>
              <w:t>1.2</w:t>
            </w:r>
          </w:p>
        </w:tc>
        <w:tc>
          <w:tcPr>
            <w:tcW w:w="0" w:type="auto"/>
            <w:noWrap w:val="0"/>
            <w:vAlign w:val="center"/>
          </w:tcPr>
          <w:p w14:paraId="4D16B653">
            <w:pPr>
              <w:jc w:val="center"/>
              <w:rPr>
                <w:sz w:val="21"/>
                <w:szCs w:val="21"/>
                <w:highlight w:val="none"/>
              </w:rPr>
            </w:pPr>
            <w:r>
              <w:rPr>
                <w:sz w:val="21"/>
                <w:szCs w:val="21"/>
                <w:highlight w:val="none"/>
              </w:rPr>
              <w:t>连续</w:t>
            </w:r>
          </w:p>
        </w:tc>
        <w:tc>
          <w:tcPr>
            <w:tcW w:w="0" w:type="auto"/>
            <w:noWrap w:val="0"/>
            <w:vAlign w:val="center"/>
          </w:tcPr>
          <w:p w14:paraId="4E662BC9">
            <w:pPr>
              <w:jc w:val="center"/>
              <w:rPr>
                <w:sz w:val="21"/>
                <w:szCs w:val="21"/>
                <w:highlight w:val="none"/>
              </w:rPr>
            </w:pPr>
            <w:r>
              <w:rPr>
                <w:sz w:val="21"/>
                <w:szCs w:val="21"/>
                <w:highlight w:val="none"/>
              </w:rPr>
              <w:t>排入大气</w:t>
            </w:r>
          </w:p>
        </w:tc>
      </w:tr>
      <w:tr w14:paraId="098B4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blHeader/>
          <w:jc w:val="center"/>
        </w:trPr>
        <w:tc>
          <w:tcPr>
            <w:tcW w:w="0" w:type="auto"/>
            <w:vMerge w:val="continue"/>
            <w:noWrap w:val="0"/>
            <w:tcMar>
              <w:left w:w="28" w:type="dxa"/>
              <w:right w:w="28" w:type="dxa"/>
            </w:tcMar>
            <w:vAlign w:val="center"/>
          </w:tcPr>
          <w:p w14:paraId="6C372D87">
            <w:pPr>
              <w:widowControl/>
              <w:snapToGrid w:val="0"/>
              <w:jc w:val="center"/>
              <w:rPr>
                <w:sz w:val="21"/>
                <w:szCs w:val="21"/>
                <w:highlight w:val="none"/>
              </w:rPr>
            </w:pPr>
          </w:p>
        </w:tc>
        <w:tc>
          <w:tcPr>
            <w:tcW w:w="0" w:type="auto"/>
            <w:noWrap w:val="0"/>
            <w:vAlign w:val="center"/>
          </w:tcPr>
          <w:p w14:paraId="329B9449">
            <w:pPr>
              <w:jc w:val="center"/>
              <w:rPr>
                <w:sz w:val="21"/>
                <w:szCs w:val="21"/>
                <w:highlight w:val="none"/>
              </w:rPr>
            </w:pPr>
            <w:r>
              <w:rPr>
                <w:sz w:val="21"/>
                <w:szCs w:val="21"/>
                <w:highlight w:val="none"/>
              </w:rPr>
              <w:t>酸性水汽提单元</w:t>
            </w:r>
          </w:p>
        </w:tc>
        <w:tc>
          <w:tcPr>
            <w:tcW w:w="0" w:type="auto"/>
            <w:noWrap w:val="0"/>
            <w:vAlign w:val="center"/>
          </w:tcPr>
          <w:p w14:paraId="6F067AE8">
            <w:pPr>
              <w:jc w:val="center"/>
              <w:rPr>
                <w:rFonts w:hint="eastAsia" w:eastAsia="宋体"/>
                <w:sz w:val="21"/>
                <w:szCs w:val="21"/>
                <w:highlight w:val="none"/>
                <w:lang w:eastAsia="zh-CN"/>
              </w:rPr>
            </w:pPr>
            <w:r>
              <w:rPr>
                <w:sz w:val="21"/>
                <w:szCs w:val="21"/>
                <w:highlight w:val="none"/>
              </w:rPr>
              <w:t>汽提塔酸性气</w:t>
            </w:r>
            <w:r>
              <w:rPr>
                <w:rFonts w:hint="eastAsia"/>
                <w:sz w:val="21"/>
                <w:szCs w:val="21"/>
                <w:highlight w:val="none"/>
                <w:lang w:eastAsia="zh-CN"/>
              </w:rPr>
              <w:t>体</w:t>
            </w:r>
          </w:p>
        </w:tc>
        <w:tc>
          <w:tcPr>
            <w:tcW w:w="0" w:type="auto"/>
            <w:noWrap w:val="0"/>
            <w:tcMar>
              <w:left w:w="28" w:type="dxa"/>
              <w:right w:w="28" w:type="dxa"/>
            </w:tcMar>
            <w:vAlign w:val="center"/>
          </w:tcPr>
          <w:p w14:paraId="6FCF4951">
            <w:pPr>
              <w:jc w:val="center"/>
              <w:rPr>
                <w:sz w:val="21"/>
                <w:szCs w:val="21"/>
                <w:highlight w:val="none"/>
                <w:lang w:val="pt-BR"/>
              </w:rPr>
            </w:pPr>
            <w:r>
              <w:rPr>
                <w:sz w:val="21"/>
                <w:szCs w:val="21"/>
                <w:highlight w:val="none"/>
                <w:lang w:val="pt-BR"/>
              </w:rPr>
              <w:t>H</w:t>
            </w:r>
            <w:r>
              <w:rPr>
                <w:sz w:val="21"/>
                <w:szCs w:val="21"/>
                <w:highlight w:val="none"/>
                <w:vertAlign w:val="subscript"/>
                <w:lang w:val="pt-BR"/>
              </w:rPr>
              <w:t>2</w:t>
            </w:r>
            <w:r>
              <w:rPr>
                <w:sz w:val="21"/>
                <w:szCs w:val="21"/>
                <w:highlight w:val="none"/>
                <w:lang w:val="pt-BR"/>
              </w:rPr>
              <w:t>、CO、CO</w:t>
            </w:r>
            <w:r>
              <w:rPr>
                <w:sz w:val="21"/>
                <w:szCs w:val="21"/>
                <w:highlight w:val="none"/>
                <w:vertAlign w:val="subscript"/>
                <w:lang w:val="pt-BR"/>
              </w:rPr>
              <w:t>2</w:t>
            </w:r>
            <w:r>
              <w:rPr>
                <w:sz w:val="21"/>
                <w:szCs w:val="21"/>
                <w:highlight w:val="none"/>
                <w:lang w:val="pt-BR"/>
              </w:rPr>
              <w:t>、N</w:t>
            </w:r>
            <w:r>
              <w:rPr>
                <w:sz w:val="21"/>
                <w:szCs w:val="21"/>
                <w:highlight w:val="none"/>
                <w:vertAlign w:val="subscript"/>
                <w:lang w:val="pt-BR"/>
              </w:rPr>
              <w:t>2</w:t>
            </w:r>
            <w:r>
              <w:rPr>
                <w:sz w:val="21"/>
                <w:szCs w:val="21"/>
                <w:highlight w:val="none"/>
                <w:lang w:val="pt-BR"/>
              </w:rPr>
              <w:t>、CH</w:t>
            </w:r>
            <w:r>
              <w:rPr>
                <w:sz w:val="21"/>
                <w:szCs w:val="21"/>
                <w:highlight w:val="none"/>
                <w:vertAlign w:val="subscript"/>
                <w:lang w:val="pt-BR"/>
              </w:rPr>
              <w:t>4</w:t>
            </w:r>
            <w:r>
              <w:rPr>
                <w:sz w:val="21"/>
                <w:szCs w:val="21"/>
                <w:highlight w:val="none"/>
                <w:lang w:val="pt-BR"/>
              </w:rPr>
              <w:t>、H</w:t>
            </w:r>
            <w:r>
              <w:rPr>
                <w:sz w:val="21"/>
                <w:szCs w:val="21"/>
                <w:highlight w:val="none"/>
                <w:vertAlign w:val="subscript"/>
                <w:lang w:val="pt-BR"/>
              </w:rPr>
              <w:t>2</w:t>
            </w:r>
            <w:r>
              <w:rPr>
                <w:sz w:val="21"/>
                <w:szCs w:val="21"/>
                <w:highlight w:val="none"/>
                <w:lang w:val="pt-BR"/>
              </w:rPr>
              <w:t>S+COS、Ar、NH</w:t>
            </w:r>
            <w:r>
              <w:rPr>
                <w:sz w:val="21"/>
                <w:szCs w:val="21"/>
                <w:highlight w:val="none"/>
                <w:vertAlign w:val="subscript"/>
                <w:lang w:val="pt-BR"/>
              </w:rPr>
              <w:t>3</w:t>
            </w:r>
            <w:r>
              <w:rPr>
                <w:sz w:val="21"/>
                <w:szCs w:val="21"/>
                <w:highlight w:val="none"/>
                <w:lang w:val="pt-BR"/>
              </w:rPr>
              <w:t>、HCN</w:t>
            </w:r>
          </w:p>
        </w:tc>
        <w:tc>
          <w:tcPr>
            <w:tcW w:w="0" w:type="auto"/>
            <w:noWrap w:val="0"/>
            <w:tcMar>
              <w:left w:w="28" w:type="dxa"/>
              <w:right w:w="28" w:type="dxa"/>
            </w:tcMar>
            <w:vAlign w:val="center"/>
          </w:tcPr>
          <w:p w14:paraId="27994214">
            <w:pPr>
              <w:jc w:val="center"/>
              <w:rPr>
                <w:sz w:val="21"/>
                <w:szCs w:val="21"/>
                <w:highlight w:val="none"/>
              </w:rPr>
            </w:pPr>
            <w:r>
              <w:rPr>
                <w:sz w:val="21"/>
                <w:szCs w:val="21"/>
                <w:highlight w:val="none"/>
              </w:rPr>
              <w:t>送净化装置硫回收单元</w:t>
            </w:r>
          </w:p>
        </w:tc>
        <w:tc>
          <w:tcPr>
            <w:tcW w:w="0" w:type="auto"/>
            <w:noWrap w:val="0"/>
            <w:tcMar>
              <w:left w:w="28" w:type="dxa"/>
              <w:right w:w="28" w:type="dxa"/>
            </w:tcMar>
            <w:vAlign w:val="center"/>
          </w:tcPr>
          <w:p w14:paraId="218C1625">
            <w:pPr>
              <w:jc w:val="center"/>
              <w:rPr>
                <w:sz w:val="21"/>
                <w:szCs w:val="21"/>
                <w:highlight w:val="none"/>
                <w:lang w:val="pt-BR"/>
              </w:rPr>
            </w:pPr>
            <w:r>
              <w:rPr>
                <w:sz w:val="21"/>
                <w:szCs w:val="21"/>
                <w:highlight w:val="none"/>
                <w:lang w:val="pt-BR"/>
              </w:rPr>
              <w:t>/</w:t>
            </w:r>
          </w:p>
        </w:tc>
        <w:tc>
          <w:tcPr>
            <w:tcW w:w="0" w:type="auto"/>
            <w:noWrap w:val="0"/>
            <w:tcMar>
              <w:left w:w="28" w:type="dxa"/>
              <w:right w:w="28" w:type="dxa"/>
            </w:tcMar>
            <w:vAlign w:val="center"/>
          </w:tcPr>
          <w:p w14:paraId="05009B09">
            <w:pPr>
              <w:jc w:val="center"/>
              <w:rPr>
                <w:sz w:val="21"/>
                <w:szCs w:val="21"/>
                <w:highlight w:val="none"/>
              </w:rPr>
            </w:pPr>
            <w:r>
              <w:rPr>
                <w:sz w:val="21"/>
                <w:szCs w:val="21"/>
                <w:highlight w:val="none"/>
              </w:rPr>
              <w:t>/</w:t>
            </w:r>
          </w:p>
        </w:tc>
        <w:tc>
          <w:tcPr>
            <w:tcW w:w="0" w:type="auto"/>
            <w:noWrap w:val="0"/>
            <w:tcMar>
              <w:left w:w="28" w:type="dxa"/>
              <w:right w:w="28" w:type="dxa"/>
            </w:tcMar>
            <w:vAlign w:val="center"/>
          </w:tcPr>
          <w:p w14:paraId="0605073A">
            <w:pPr>
              <w:jc w:val="center"/>
              <w:rPr>
                <w:sz w:val="21"/>
                <w:szCs w:val="21"/>
                <w:highlight w:val="none"/>
              </w:rPr>
            </w:pPr>
            <w:r>
              <w:rPr>
                <w:sz w:val="21"/>
                <w:szCs w:val="21"/>
                <w:highlight w:val="none"/>
              </w:rPr>
              <w:t>/</w:t>
            </w:r>
          </w:p>
        </w:tc>
        <w:tc>
          <w:tcPr>
            <w:tcW w:w="0" w:type="auto"/>
            <w:noWrap w:val="0"/>
            <w:vAlign w:val="center"/>
          </w:tcPr>
          <w:p w14:paraId="650A4AA9">
            <w:pPr>
              <w:jc w:val="center"/>
              <w:rPr>
                <w:sz w:val="21"/>
                <w:szCs w:val="21"/>
                <w:highlight w:val="none"/>
              </w:rPr>
            </w:pPr>
            <w:r>
              <w:rPr>
                <w:sz w:val="21"/>
                <w:szCs w:val="21"/>
                <w:highlight w:val="none"/>
              </w:rPr>
              <w:t>/</w:t>
            </w:r>
          </w:p>
        </w:tc>
        <w:tc>
          <w:tcPr>
            <w:tcW w:w="0" w:type="auto"/>
            <w:noWrap w:val="0"/>
            <w:tcMar>
              <w:left w:w="28" w:type="dxa"/>
              <w:right w:w="28" w:type="dxa"/>
            </w:tcMar>
            <w:vAlign w:val="center"/>
          </w:tcPr>
          <w:p w14:paraId="2B22D5CC">
            <w:pPr>
              <w:jc w:val="center"/>
              <w:rPr>
                <w:sz w:val="21"/>
                <w:szCs w:val="21"/>
                <w:highlight w:val="none"/>
              </w:rPr>
            </w:pPr>
            <w:r>
              <w:rPr>
                <w:sz w:val="21"/>
                <w:szCs w:val="21"/>
                <w:highlight w:val="none"/>
              </w:rPr>
              <w:t>/</w:t>
            </w:r>
          </w:p>
        </w:tc>
        <w:tc>
          <w:tcPr>
            <w:tcW w:w="0" w:type="auto"/>
            <w:noWrap w:val="0"/>
            <w:vAlign w:val="center"/>
          </w:tcPr>
          <w:p w14:paraId="1CB4BD64">
            <w:pPr>
              <w:jc w:val="center"/>
              <w:rPr>
                <w:sz w:val="21"/>
                <w:szCs w:val="21"/>
                <w:highlight w:val="none"/>
              </w:rPr>
            </w:pPr>
            <w:r>
              <w:rPr>
                <w:sz w:val="21"/>
                <w:szCs w:val="21"/>
                <w:highlight w:val="none"/>
              </w:rPr>
              <w:t>连续</w:t>
            </w:r>
          </w:p>
        </w:tc>
        <w:tc>
          <w:tcPr>
            <w:tcW w:w="0" w:type="auto"/>
            <w:noWrap w:val="0"/>
            <w:vAlign w:val="center"/>
          </w:tcPr>
          <w:p w14:paraId="351046B2">
            <w:pPr>
              <w:jc w:val="center"/>
              <w:rPr>
                <w:sz w:val="21"/>
                <w:szCs w:val="21"/>
                <w:highlight w:val="none"/>
              </w:rPr>
            </w:pPr>
            <w:r>
              <w:rPr>
                <w:sz w:val="21"/>
                <w:szCs w:val="21"/>
                <w:highlight w:val="none"/>
              </w:rPr>
              <w:t>送净化装置硫回收单元</w:t>
            </w:r>
          </w:p>
        </w:tc>
      </w:tr>
      <w:tr w14:paraId="6387A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exact"/>
          <w:tblHeader/>
          <w:jc w:val="center"/>
        </w:trPr>
        <w:tc>
          <w:tcPr>
            <w:tcW w:w="0" w:type="auto"/>
            <w:vMerge w:val="restart"/>
            <w:noWrap w:val="0"/>
            <w:tcMar>
              <w:left w:w="28" w:type="dxa"/>
              <w:right w:w="28" w:type="dxa"/>
            </w:tcMar>
            <w:vAlign w:val="center"/>
          </w:tcPr>
          <w:p w14:paraId="69496427">
            <w:pPr>
              <w:widowControl/>
              <w:snapToGrid w:val="0"/>
              <w:jc w:val="center"/>
              <w:rPr>
                <w:sz w:val="21"/>
                <w:szCs w:val="21"/>
                <w:highlight w:val="none"/>
              </w:rPr>
            </w:pPr>
            <w:r>
              <w:rPr>
                <w:sz w:val="21"/>
                <w:szCs w:val="21"/>
                <w:highlight w:val="none"/>
              </w:rPr>
              <w:t>化学品合成装置</w:t>
            </w:r>
          </w:p>
        </w:tc>
        <w:tc>
          <w:tcPr>
            <w:tcW w:w="0" w:type="auto"/>
            <w:vMerge w:val="restart"/>
            <w:noWrap w:val="0"/>
            <w:vAlign w:val="center"/>
          </w:tcPr>
          <w:p w14:paraId="4B1F25DC">
            <w:pPr>
              <w:jc w:val="center"/>
              <w:rPr>
                <w:sz w:val="21"/>
                <w:szCs w:val="21"/>
                <w:highlight w:val="none"/>
              </w:rPr>
            </w:pPr>
            <w:r>
              <w:rPr>
                <w:sz w:val="21"/>
                <w:szCs w:val="21"/>
                <w:highlight w:val="none"/>
              </w:rPr>
              <w:t>催化剂还原单元</w:t>
            </w:r>
          </w:p>
        </w:tc>
        <w:tc>
          <w:tcPr>
            <w:tcW w:w="0" w:type="auto"/>
            <w:noWrap w:val="0"/>
            <w:vAlign w:val="center"/>
          </w:tcPr>
          <w:p w14:paraId="4AA55B1A">
            <w:pPr>
              <w:jc w:val="center"/>
              <w:rPr>
                <w:sz w:val="21"/>
                <w:szCs w:val="21"/>
                <w:highlight w:val="none"/>
              </w:rPr>
            </w:pPr>
            <w:r>
              <w:rPr>
                <w:sz w:val="21"/>
                <w:szCs w:val="21"/>
                <w:highlight w:val="none"/>
              </w:rPr>
              <w:t>催化剂输送罐废气</w:t>
            </w:r>
          </w:p>
        </w:tc>
        <w:tc>
          <w:tcPr>
            <w:tcW w:w="0" w:type="auto"/>
            <w:noWrap w:val="0"/>
            <w:tcMar>
              <w:left w:w="28" w:type="dxa"/>
              <w:right w:w="28" w:type="dxa"/>
            </w:tcMar>
            <w:vAlign w:val="center"/>
          </w:tcPr>
          <w:p w14:paraId="37C225E7">
            <w:pPr>
              <w:jc w:val="center"/>
              <w:rPr>
                <w:sz w:val="21"/>
                <w:szCs w:val="21"/>
                <w:highlight w:val="none"/>
              </w:rPr>
            </w:pPr>
            <w:r>
              <w:rPr>
                <w:sz w:val="21"/>
                <w:szCs w:val="21"/>
                <w:highlight w:val="none"/>
              </w:rPr>
              <w:t>颗粒物</w:t>
            </w:r>
          </w:p>
        </w:tc>
        <w:tc>
          <w:tcPr>
            <w:tcW w:w="0" w:type="auto"/>
            <w:noWrap w:val="0"/>
            <w:tcMar>
              <w:left w:w="28" w:type="dxa"/>
              <w:right w:w="28" w:type="dxa"/>
            </w:tcMar>
            <w:vAlign w:val="center"/>
          </w:tcPr>
          <w:p w14:paraId="73C2FE84">
            <w:pPr>
              <w:jc w:val="center"/>
              <w:rPr>
                <w:sz w:val="21"/>
                <w:szCs w:val="21"/>
                <w:highlight w:val="none"/>
              </w:rPr>
            </w:pPr>
            <w:r>
              <w:rPr>
                <w:sz w:val="21"/>
                <w:szCs w:val="21"/>
                <w:highlight w:val="none"/>
              </w:rPr>
              <w:t>布袋除尘器除尘</w:t>
            </w:r>
          </w:p>
        </w:tc>
        <w:tc>
          <w:tcPr>
            <w:tcW w:w="0" w:type="auto"/>
            <w:noWrap w:val="0"/>
            <w:tcMar>
              <w:left w:w="28" w:type="dxa"/>
              <w:right w:w="28" w:type="dxa"/>
            </w:tcMar>
            <w:vAlign w:val="center"/>
          </w:tcPr>
          <w:p w14:paraId="1DBC5A6A">
            <w:pPr>
              <w:jc w:val="center"/>
              <w:rPr>
                <w:sz w:val="21"/>
                <w:szCs w:val="21"/>
                <w:highlight w:val="none"/>
              </w:rPr>
            </w:pPr>
            <w:r>
              <w:rPr>
                <w:sz w:val="21"/>
                <w:szCs w:val="21"/>
                <w:highlight w:val="none"/>
              </w:rPr>
              <w:t>465</w:t>
            </w:r>
          </w:p>
        </w:tc>
        <w:tc>
          <w:tcPr>
            <w:tcW w:w="0" w:type="auto"/>
            <w:noWrap w:val="0"/>
            <w:tcMar>
              <w:left w:w="28" w:type="dxa"/>
              <w:right w:w="28" w:type="dxa"/>
            </w:tcMar>
            <w:vAlign w:val="center"/>
          </w:tcPr>
          <w:p w14:paraId="1E9312C1">
            <w:pPr>
              <w:jc w:val="center"/>
              <w:rPr>
                <w:sz w:val="21"/>
                <w:szCs w:val="21"/>
                <w:highlight w:val="none"/>
              </w:rPr>
            </w:pPr>
            <w:r>
              <w:rPr>
                <w:sz w:val="21"/>
                <w:szCs w:val="21"/>
                <w:highlight w:val="none"/>
              </w:rPr>
              <w:t>57.0</w:t>
            </w:r>
          </w:p>
        </w:tc>
        <w:tc>
          <w:tcPr>
            <w:tcW w:w="0" w:type="auto"/>
            <w:noWrap w:val="0"/>
            <w:tcMar>
              <w:left w:w="28" w:type="dxa"/>
              <w:right w:w="28" w:type="dxa"/>
            </w:tcMar>
            <w:vAlign w:val="center"/>
          </w:tcPr>
          <w:p w14:paraId="038F116B">
            <w:pPr>
              <w:jc w:val="center"/>
              <w:rPr>
                <w:sz w:val="21"/>
                <w:szCs w:val="21"/>
                <w:highlight w:val="none"/>
              </w:rPr>
            </w:pPr>
            <w:r>
              <w:rPr>
                <w:sz w:val="21"/>
                <w:szCs w:val="21"/>
                <w:highlight w:val="none"/>
              </w:rPr>
              <w:t>1</w:t>
            </w:r>
          </w:p>
        </w:tc>
        <w:tc>
          <w:tcPr>
            <w:tcW w:w="0" w:type="auto"/>
            <w:noWrap w:val="0"/>
            <w:vAlign w:val="center"/>
          </w:tcPr>
          <w:p w14:paraId="2B8F6E6E">
            <w:pPr>
              <w:jc w:val="center"/>
              <w:rPr>
                <w:sz w:val="21"/>
                <w:szCs w:val="21"/>
                <w:highlight w:val="none"/>
              </w:rPr>
            </w:pPr>
            <w:r>
              <w:rPr>
                <w:sz w:val="21"/>
                <w:szCs w:val="21"/>
                <w:highlight w:val="none"/>
              </w:rPr>
              <w:t>25</w:t>
            </w:r>
          </w:p>
        </w:tc>
        <w:tc>
          <w:tcPr>
            <w:tcW w:w="0" w:type="auto"/>
            <w:noWrap w:val="0"/>
            <w:tcMar>
              <w:left w:w="28" w:type="dxa"/>
              <w:right w:w="28" w:type="dxa"/>
            </w:tcMar>
            <w:vAlign w:val="center"/>
          </w:tcPr>
          <w:p w14:paraId="31ADDA2E">
            <w:pPr>
              <w:jc w:val="center"/>
              <w:rPr>
                <w:sz w:val="21"/>
                <w:szCs w:val="21"/>
                <w:highlight w:val="none"/>
              </w:rPr>
            </w:pPr>
            <w:r>
              <w:rPr>
                <w:sz w:val="21"/>
                <w:szCs w:val="21"/>
                <w:highlight w:val="none"/>
              </w:rPr>
              <w:t>0.4</w:t>
            </w:r>
          </w:p>
        </w:tc>
        <w:tc>
          <w:tcPr>
            <w:tcW w:w="0" w:type="auto"/>
            <w:noWrap w:val="0"/>
            <w:vAlign w:val="center"/>
          </w:tcPr>
          <w:p w14:paraId="386FF497">
            <w:pPr>
              <w:jc w:val="center"/>
              <w:rPr>
                <w:sz w:val="21"/>
                <w:szCs w:val="21"/>
                <w:highlight w:val="none"/>
              </w:rPr>
            </w:pPr>
            <w:r>
              <w:rPr>
                <w:sz w:val="21"/>
                <w:szCs w:val="21"/>
                <w:highlight w:val="none"/>
              </w:rPr>
              <w:t>间断</w:t>
            </w:r>
          </w:p>
        </w:tc>
        <w:tc>
          <w:tcPr>
            <w:tcW w:w="0" w:type="auto"/>
            <w:noWrap w:val="0"/>
            <w:vAlign w:val="center"/>
          </w:tcPr>
          <w:p w14:paraId="2749E8C4">
            <w:pPr>
              <w:jc w:val="center"/>
              <w:rPr>
                <w:sz w:val="21"/>
                <w:szCs w:val="21"/>
                <w:highlight w:val="none"/>
              </w:rPr>
            </w:pPr>
            <w:r>
              <w:rPr>
                <w:sz w:val="21"/>
                <w:szCs w:val="21"/>
                <w:highlight w:val="none"/>
              </w:rPr>
              <w:t>排入大气</w:t>
            </w:r>
          </w:p>
        </w:tc>
      </w:tr>
      <w:tr w14:paraId="2CA21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exact"/>
          <w:tblHeader/>
          <w:jc w:val="center"/>
        </w:trPr>
        <w:tc>
          <w:tcPr>
            <w:tcW w:w="0" w:type="auto"/>
            <w:vMerge w:val="continue"/>
            <w:noWrap w:val="0"/>
            <w:tcMar>
              <w:left w:w="28" w:type="dxa"/>
              <w:right w:w="28" w:type="dxa"/>
            </w:tcMar>
            <w:vAlign w:val="center"/>
          </w:tcPr>
          <w:p w14:paraId="4BDD176A">
            <w:pPr>
              <w:widowControl/>
              <w:snapToGrid w:val="0"/>
              <w:jc w:val="center"/>
              <w:rPr>
                <w:sz w:val="21"/>
                <w:szCs w:val="21"/>
                <w:highlight w:val="none"/>
              </w:rPr>
            </w:pPr>
          </w:p>
        </w:tc>
        <w:tc>
          <w:tcPr>
            <w:tcW w:w="0" w:type="auto"/>
            <w:vMerge w:val="continue"/>
            <w:noWrap w:val="0"/>
            <w:vAlign w:val="center"/>
          </w:tcPr>
          <w:p w14:paraId="7C009F1C">
            <w:pPr>
              <w:jc w:val="center"/>
              <w:rPr>
                <w:sz w:val="21"/>
                <w:szCs w:val="21"/>
                <w:highlight w:val="none"/>
              </w:rPr>
            </w:pPr>
          </w:p>
        </w:tc>
        <w:tc>
          <w:tcPr>
            <w:tcW w:w="0" w:type="auto"/>
            <w:noWrap w:val="0"/>
            <w:vAlign w:val="center"/>
          </w:tcPr>
          <w:p w14:paraId="57AD4860">
            <w:pPr>
              <w:jc w:val="center"/>
              <w:rPr>
                <w:sz w:val="21"/>
                <w:szCs w:val="21"/>
                <w:highlight w:val="none"/>
              </w:rPr>
            </w:pPr>
            <w:r>
              <w:rPr>
                <w:sz w:val="21"/>
                <w:szCs w:val="21"/>
                <w:highlight w:val="none"/>
              </w:rPr>
              <w:t>催化剂储仓废气</w:t>
            </w:r>
          </w:p>
        </w:tc>
        <w:tc>
          <w:tcPr>
            <w:tcW w:w="0" w:type="auto"/>
            <w:noWrap w:val="0"/>
            <w:tcMar>
              <w:left w:w="28" w:type="dxa"/>
              <w:right w:w="28" w:type="dxa"/>
            </w:tcMar>
            <w:vAlign w:val="center"/>
          </w:tcPr>
          <w:p w14:paraId="5286280B">
            <w:pPr>
              <w:jc w:val="center"/>
              <w:rPr>
                <w:sz w:val="21"/>
                <w:szCs w:val="21"/>
                <w:highlight w:val="none"/>
              </w:rPr>
            </w:pPr>
            <w:r>
              <w:rPr>
                <w:sz w:val="21"/>
                <w:szCs w:val="21"/>
                <w:highlight w:val="none"/>
              </w:rPr>
              <w:t>颗粒物</w:t>
            </w:r>
          </w:p>
        </w:tc>
        <w:tc>
          <w:tcPr>
            <w:tcW w:w="0" w:type="auto"/>
            <w:noWrap w:val="0"/>
            <w:tcMar>
              <w:left w:w="28" w:type="dxa"/>
              <w:right w:w="28" w:type="dxa"/>
            </w:tcMar>
            <w:vAlign w:val="center"/>
          </w:tcPr>
          <w:p w14:paraId="7AD08D3D">
            <w:pPr>
              <w:jc w:val="center"/>
              <w:rPr>
                <w:sz w:val="21"/>
                <w:szCs w:val="21"/>
                <w:highlight w:val="none"/>
              </w:rPr>
            </w:pPr>
            <w:r>
              <w:rPr>
                <w:sz w:val="21"/>
                <w:szCs w:val="21"/>
                <w:highlight w:val="none"/>
              </w:rPr>
              <w:t>布袋除尘器除尘</w:t>
            </w:r>
          </w:p>
        </w:tc>
        <w:tc>
          <w:tcPr>
            <w:tcW w:w="0" w:type="auto"/>
            <w:noWrap w:val="0"/>
            <w:tcMar>
              <w:left w:w="28" w:type="dxa"/>
              <w:right w:w="28" w:type="dxa"/>
            </w:tcMar>
            <w:vAlign w:val="center"/>
          </w:tcPr>
          <w:p w14:paraId="0FEB0F16">
            <w:pPr>
              <w:jc w:val="center"/>
              <w:rPr>
                <w:sz w:val="21"/>
                <w:szCs w:val="21"/>
                <w:highlight w:val="none"/>
              </w:rPr>
            </w:pPr>
            <w:r>
              <w:rPr>
                <w:sz w:val="21"/>
                <w:szCs w:val="21"/>
                <w:highlight w:val="none"/>
              </w:rPr>
              <w:t>1182</w:t>
            </w:r>
          </w:p>
        </w:tc>
        <w:tc>
          <w:tcPr>
            <w:tcW w:w="0" w:type="auto"/>
            <w:noWrap w:val="0"/>
            <w:tcMar>
              <w:left w:w="28" w:type="dxa"/>
              <w:right w:w="28" w:type="dxa"/>
            </w:tcMar>
            <w:vAlign w:val="center"/>
          </w:tcPr>
          <w:p w14:paraId="79F6D6A7">
            <w:pPr>
              <w:jc w:val="center"/>
              <w:rPr>
                <w:sz w:val="21"/>
                <w:szCs w:val="21"/>
                <w:highlight w:val="none"/>
              </w:rPr>
            </w:pPr>
            <w:r>
              <w:rPr>
                <w:sz w:val="21"/>
                <w:szCs w:val="21"/>
                <w:highlight w:val="none"/>
              </w:rPr>
              <w:t>39.9</w:t>
            </w:r>
          </w:p>
        </w:tc>
        <w:tc>
          <w:tcPr>
            <w:tcW w:w="0" w:type="auto"/>
            <w:noWrap w:val="0"/>
            <w:tcMar>
              <w:left w:w="28" w:type="dxa"/>
              <w:right w:w="28" w:type="dxa"/>
            </w:tcMar>
            <w:vAlign w:val="center"/>
          </w:tcPr>
          <w:p w14:paraId="69D031D4">
            <w:pPr>
              <w:jc w:val="center"/>
              <w:rPr>
                <w:sz w:val="21"/>
                <w:szCs w:val="21"/>
                <w:highlight w:val="none"/>
              </w:rPr>
            </w:pPr>
            <w:r>
              <w:rPr>
                <w:sz w:val="21"/>
                <w:szCs w:val="21"/>
                <w:highlight w:val="none"/>
              </w:rPr>
              <w:t>1</w:t>
            </w:r>
          </w:p>
        </w:tc>
        <w:tc>
          <w:tcPr>
            <w:tcW w:w="0" w:type="auto"/>
            <w:noWrap w:val="0"/>
            <w:vAlign w:val="center"/>
          </w:tcPr>
          <w:p w14:paraId="32797889">
            <w:pPr>
              <w:jc w:val="center"/>
              <w:rPr>
                <w:sz w:val="21"/>
                <w:szCs w:val="21"/>
                <w:highlight w:val="none"/>
              </w:rPr>
            </w:pPr>
            <w:r>
              <w:rPr>
                <w:sz w:val="21"/>
                <w:szCs w:val="21"/>
                <w:highlight w:val="none"/>
              </w:rPr>
              <w:t>25</w:t>
            </w:r>
          </w:p>
        </w:tc>
        <w:tc>
          <w:tcPr>
            <w:tcW w:w="0" w:type="auto"/>
            <w:noWrap w:val="0"/>
            <w:tcMar>
              <w:left w:w="28" w:type="dxa"/>
              <w:right w:w="28" w:type="dxa"/>
            </w:tcMar>
            <w:vAlign w:val="center"/>
          </w:tcPr>
          <w:p w14:paraId="31C514BC">
            <w:pPr>
              <w:jc w:val="center"/>
              <w:rPr>
                <w:sz w:val="21"/>
                <w:szCs w:val="21"/>
                <w:highlight w:val="none"/>
              </w:rPr>
            </w:pPr>
            <w:r>
              <w:rPr>
                <w:sz w:val="21"/>
                <w:szCs w:val="21"/>
                <w:highlight w:val="none"/>
              </w:rPr>
              <w:t>0.4</w:t>
            </w:r>
          </w:p>
        </w:tc>
        <w:tc>
          <w:tcPr>
            <w:tcW w:w="0" w:type="auto"/>
            <w:noWrap w:val="0"/>
            <w:vAlign w:val="center"/>
          </w:tcPr>
          <w:p w14:paraId="73E0AADE">
            <w:pPr>
              <w:jc w:val="center"/>
              <w:rPr>
                <w:sz w:val="21"/>
                <w:szCs w:val="21"/>
                <w:highlight w:val="none"/>
              </w:rPr>
            </w:pPr>
            <w:r>
              <w:rPr>
                <w:sz w:val="21"/>
                <w:szCs w:val="21"/>
                <w:highlight w:val="none"/>
              </w:rPr>
              <w:t>间断</w:t>
            </w:r>
          </w:p>
        </w:tc>
        <w:tc>
          <w:tcPr>
            <w:tcW w:w="0" w:type="auto"/>
            <w:noWrap w:val="0"/>
            <w:vAlign w:val="center"/>
          </w:tcPr>
          <w:p w14:paraId="75F1EF49">
            <w:pPr>
              <w:jc w:val="center"/>
              <w:rPr>
                <w:sz w:val="21"/>
                <w:szCs w:val="21"/>
                <w:highlight w:val="none"/>
              </w:rPr>
            </w:pPr>
            <w:r>
              <w:rPr>
                <w:sz w:val="21"/>
                <w:szCs w:val="21"/>
                <w:highlight w:val="none"/>
              </w:rPr>
              <w:t>排入大气</w:t>
            </w:r>
          </w:p>
        </w:tc>
      </w:tr>
      <w:tr w14:paraId="24BE2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blHeader/>
          <w:jc w:val="center"/>
        </w:trPr>
        <w:tc>
          <w:tcPr>
            <w:tcW w:w="0" w:type="auto"/>
            <w:vMerge w:val="continue"/>
            <w:noWrap w:val="0"/>
            <w:tcMar>
              <w:left w:w="28" w:type="dxa"/>
              <w:right w:w="28" w:type="dxa"/>
            </w:tcMar>
            <w:vAlign w:val="center"/>
          </w:tcPr>
          <w:p w14:paraId="3823EE78">
            <w:pPr>
              <w:widowControl/>
              <w:snapToGrid w:val="0"/>
              <w:jc w:val="center"/>
              <w:rPr>
                <w:sz w:val="21"/>
                <w:szCs w:val="21"/>
                <w:highlight w:val="none"/>
              </w:rPr>
            </w:pPr>
          </w:p>
        </w:tc>
        <w:tc>
          <w:tcPr>
            <w:tcW w:w="0" w:type="auto"/>
            <w:vMerge w:val="continue"/>
            <w:noWrap w:val="0"/>
            <w:vAlign w:val="center"/>
          </w:tcPr>
          <w:p w14:paraId="71A047C3">
            <w:pPr>
              <w:jc w:val="center"/>
              <w:rPr>
                <w:sz w:val="21"/>
                <w:szCs w:val="21"/>
                <w:highlight w:val="none"/>
              </w:rPr>
            </w:pPr>
          </w:p>
        </w:tc>
        <w:tc>
          <w:tcPr>
            <w:tcW w:w="0" w:type="auto"/>
            <w:noWrap w:val="0"/>
            <w:vAlign w:val="center"/>
          </w:tcPr>
          <w:p w14:paraId="1ABC0E13">
            <w:pPr>
              <w:jc w:val="center"/>
              <w:rPr>
                <w:sz w:val="21"/>
                <w:szCs w:val="21"/>
                <w:highlight w:val="none"/>
              </w:rPr>
            </w:pPr>
            <w:r>
              <w:rPr>
                <w:sz w:val="21"/>
                <w:szCs w:val="21"/>
                <w:highlight w:val="none"/>
              </w:rPr>
              <w:t>催化剂给料罐废气</w:t>
            </w:r>
          </w:p>
        </w:tc>
        <w:tc>
          <w:tcPr>
            <w:tcW w:w="0" w:type="auto"/>
            <w:noWrap w:val="0"/>
            <w:tcMar>
              <w:left w:w="28" w:type="dxa"/>
              <w:right w:w="28" w:type="dxa"/>
            </w:tcMar>
            <w:vAlign w:val="center"/>
          </w:tcPr>
          <w:p w14:paraId="6EA56CE7">
            <w:pPr>
              <w:jc w:val="center"/>
              <w:rPr>
                <w:sz w:val="21"/>
                <w:szCs w:val="21"/>
                <w:highlight w:val="none"/>
              </w:rPr>
            </w:pPr>
            <w:r>
              <w:rPr>
                <w:sz w:val="21"/>
                <w:szCs w:val="21"/>
                <w:highlight w:val="none"/>
              </w:rPr>
              <w:t>颗粒物</w:t>
            </w:r>
          </w:p>
        </w:tc>
        <w:tc>
          <w:tcPr>
            <w:tcW w:w="0" w:type="auto"/>
            <w:noWrap w:val="0"/>
            <w:tcMar>
              <w:left w:w="28" w:type="dxa"/>
              <w:right w:w="28" w:type="dxa"/>
            </w:tcMar>
            <w:vAlign w:val="center"/>
          </w:tcPr>
          <w:p w14:paraId="03A335E7">
            <w:pPr>
              <w:jc w:val="center"/>
              <w:rPr>
                <w:sz w:val="21"/>
                <w:szCs w:val="21"/>
                <w:highlight w:val="none"/>
              </w:rPr>
            </w:pPr>
            <w:r>
              <w:rPr>
                <w:sz w:val="21"/>
                <w:szCs w:val="21"/>
                <w:highlight w:val="none"/>
              </w:rPr>
              <w:t>布袋除尘器除尘</w:t>
            </w:r>
          </w:p>
        </w:tc>
        <w:tc>
          <w:tcPr>
            <w:tcW w:w="0" w:type="auto"/>
            <w:noWrap w:val="0"/>
            <w:tcMar>
              <w:left w:w="28" w:type="dxa"/>
              <w:right w:w="28" w:type="dxa"/>
            </w:tcMar>
            <w:vAlign w:val="center"/>
          </w:tcPr>
          <w:p w14:paraId="642FEE7E">
            <w:pPr>
              <w:jc w:val="center"/>
              <w:rPr>
                <w:sz w:val="21"/>
                <w:szCs w:val="21"/>
                <w:highlight w:val="none"/>
              </w:rPr>
            </w:pPr>
            <w:r>
              <w:rPr>
                <w:sz w:val="21"/>
                <w:szCs w:val="21"/>
                <w:highlight w:val="none"/>
              </w:rPr>
              <w:t>1044</w:t>
            </w:r>
          </w:p>
        </w:tc>
        <w:tc>
          <w:tcPr>
            <w:tcW w:w="0" w:type="auto"/>
            <w:noWrap w:val="0"/>
            <w:tcMar>
              <w:left w:w="28" w:type="dxa"/>
              <w:right w:w="28" w:type="dxa"/>
            </w:tcMar>
            <w:vAlign w:val="center"/>
          </w:tcPr>
          <w:p w14:paraId="005338D0">
            <w:pPr>
              <w:jc w:val="center"/>
              <w:rPr>
                <w:sz w:val="21"/>
                <w:szCs w:val="21"/>
                <w:highlight w:val="none"/>
              </w:rPr>
            </w:pPr>
            <w:r>
              <w:rPr>
                <w:sz w:val="21"/>
                <w:szCs w:val="21"/>
                <w:highlight w:val="none"/>
              </w:rPr>
              <w:t>33.9</w:t>
            </w:r>
          </w:p>
        </w:tc>
        <w:tc>
          <w:tcPr>
            <w:tcW w:w="0" w:type="auto"/>
            <w:noWrap w:val="0"/>
            <w:tcMar>
              <w:left w:w="28" w:type="dxa"/>
              <w:right w:w="28" w:type="dxa"/>
            </w:tcMar>
            <w:vAlign w:val="center"/>
          </w:tcPr>
          <w:p w14:paraId="0AF55DBE">
            <w:pPr>
              <w:jc w:val="center"/>
              <w:rPr>
                <w:sz w:val="21"/>
                <w:szCs w:val="21"/>
                <w:highlight w:val="none"/>
              </w:rPr>
            </w:pPr>
            <w:r>
              <w:rPr>
                <w:sz w:val="21"/>
                <w:szCs w:val="21"/>
                <w:highlight w:val="none"/>
              </w:rPr>
              <w:t>1</w:t>
            </w:r>
          </w:p>
        </w:tc>
        <w:tc>
          <w:tcPr>
            <w:tcW w:w="0" w:type="auto"/>
            <w:noWrap w:val="0"/>
            <w:vAlign w:val="center"/>
          </w:tcPr>
          <w:p w14:paraId="376A463B">
            <w:pPr>
              <w:jc w:val="center"/>
              <w:rPr>
                <w:sz w:val="21"/>
                <w:szCs w:val="21"/>
                <w:highlight w:val="none"/>
              </w:rPr>
            </w:pPr>
            <w:r>
              <w:rPr>
                <w:sz w:val="21"/>
                <w:szCs w:val="21"/>
                <w:highlight w:val="none"/>
              </w:rPr>
              <w:t>25</w:t>
            </w:r>
          </w:p>
        </w:tc>
        <w:tc>
          <w:tcPr>
            <w:tcW w:w="0" w:type="auto"/>
            <w:noWrap w:val="0"/>
            <w:tcMar>
              <w:left w:w="28" w:type="dxa"/>
              <w:right w:w="28" w:type="dxa"/>
            </w:tcMar>
            <w:vAlign w:val="center"/>
          </w:tcPr>
          <w:p w14:paraId="17C5B6E1">
            <w:pPr>
              <w:jc w:val="center"/>
              <w:rPr>
                <w:sz w:val="21"/>
                <w:szCs w:val="21"/>
                <w:highlight w:val="none"/>
              </w:rPr>
            </w:pPr>
            <w:r>
              <w:rPr>
                <w:sz w:val="21"/>
                <w:szCs w:val="21"/>
                <w:highlight w:val="none"/>
              </w:rPr>
              <w:t>0.4</w:t>
            </w:r>
          </w:p>
        </w:tc>
        <w:tc>
          <w:tcPr>
            <w:tcW w:w="0" w:type="auto"/>
            <w:noWrap w:val="0"/>
            <w:vAlign w:val="center"/>
          </w:tcPr>
          <w:p w14:paraId="0356561D">
            <w:pPr>
              <w:jc w:val="center"/>
              <w:rPr>
                <w:sz w:val="21"/>
                <w:szCs w:val="21"/>
                <w:highlight w:val="none"/>
              </w:rPr>
            </w:pPr>
            <w:r>
              <w:rPr>
                <w:sz w:val="21"/>
                <w:szCs w:val="21"/>
                <w:highlight w:val="none"/>
              </w:rPr>
              <w:t>间断</w:t>
            </w:r>
          </w:p>
        </w:tc>
        <w:tc>
          <w:tcPr>
            <w:tcW w:w="0" w:type="auto"/>
            <w:noWrap w:val="0"/>
            <w:vAlign w:val="center"/>
          </w:tcPr>
          <w:p w14:paraId="236E3832">
            <w:pPr>
              <w:jc w:val="center"/>
              <w:rPr>
                <w:sz w:val="21"/>
                <w:szCs w:val="21"/>
                <w:highlight w:val="none"/>
              </w:rPr>
            </w:pPr>
            <w:r>
              <w:rPr>
                <w:sz w:val="21"/>
                <w:szCs w:val="21"/>
                <w:highlight w:val="none"/>
              </w:rPr>
              <w:t>排入大气</w:t>
            </w:r>
          </w:p>
        </w:tc>
      </w:tr>
      <w:tr w14:paraId="78C28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blHeader/>
          <w:jc w:val="center"/>
        </w:trPr>
        <w:tc>
          <w:tcPr>
            <w:tcW w:w="0" w:type="auto"/>
            <w:vMerge w:val="continue"/>
            <w:noWrap w:val="0"/>
            <w:tcMar>
              <w:left w:w="28" w:type="dxa"/>
              <w:right w:w="28" w:type="dxa"/>
            </w:tcMar>
            <w:vAlign w:val="center"/>
          </w:tcPr>
          <w:p w14:paraId="43BAA37D">
            <w:pPr>
              <w:widowControl/>
              <w:snapToGrid w:val="0"/>
              <w:jc w:val="center"/>
              <w:rPr>
                <w:sz w:val="21"/>
                <w:szCs w:val="21"/>
                <w:highlight w:val="none"/>
              </w:rPr>
            </w:pPr>
          </w:p>
        </w:tc>
        <w:tc>
          <w:tcPr>
            <w:tcW w:w="0" w:type="auto"/>
            <w:vMerge w:val="restart"/>
            <w:noWrap w:val="0"/>
            <w:vAlign w:val="center"/>
          </w:tcPr>
          <w:p w14:paraId="5C5CCB31">
            <w:pPr>
              <w:jc w:val="center"/>
              <w:rPr>
                <w:sz w:val="21"/>
                <w:szCs w:val="21"/>
                <w:highlight w:val="none"/>
              </w:rPr>
            </w:pPr>
            <w:r>
              <w:rPr>
                <w:sz w:val="21"/>
                <w:szCs w:val="21"/>
                <w:highlight w:val="none"/>
              </w:rPr>
              <w:t>蜡过滤单元</w:t>
            </w:r>
          </w:p>
        </w:tc>
        <w:tc>
          <w:tcPr>
            <w:tcW w:w="0" w:type="auto"/>
            <w:noWrap w:val="0"/>
            <w:vAlign w:val="center"/>
          </w:tcPr>
          <w:p w14:paraId="1F63069D">
            <w:pPr>
              <w:jc w:val="center"/>
              <w:rPr>
                <w:sz w:val="21"/>
                <w:szCs w:val="21"/>
                <w:highlight w:val="none"/>
              </w:rPr>
            </w:pPr>
            <w:r>
              <w:rPr>
                <w:sz w:val="21"/>
                <w:szCs w:val="21"/>
                <w:highlight w:val="none"/>
              </w:rPr>
              <w:t>助剂拆袋系统废气</w:t>
            </w:r>
          </w:p>
        </w:tc>
        <w:tc>
          <w:tcPr>
            <w:tcW w:w="0" w:type="auto"/>
            <w:noWrap w:val="0"/>
            <w:tcMar>
              <w:left w:w="28" w:type="dxa"/>
              <w:right w:w="28" w:type="dxa"/>
            </w:tcMar>
            <w:vAlign w:val="center"/>
          </w:tcPr>
          <w:p w14:paraId="6A6703AE">
            <w:pPr>
              <w:jc w:val="center"/>
              <w:rPr>
                <w:sz w:val="21"/>
                <w:szCs w:val="21"/>
                <w:highlight w:val="none"/>
                <w:lang w:val="pt-BR"/>
              </w:rPr>
            </w:pPr>
            <w:r>
              <w:rPr>
                <w:sz w:val="21"/>
                <w:szCs w:val="21"/>
                <w:highlight w:val="none"/>
              </w:rPr>
              <w:t>颗粒物</w:t>
            </w:r>
          </w:p>
        </w:tc>
        <w:tc>
          <w:tcPr>
            <w:tcW w:w="0" w:type="auto"/>
            <w:noWrap w:val="0"/>
            <w:tcMar>
              <w:left w:w="28" w:type="dxa"/>
              <w:right w:w="28" w:type="dxa"/>
            </w:tcMar>
            <w:vAlign w:val="center"/>
          </w:tcPr>
          <w:p w14:paraId="61FFDA28">
            <w:pPr>
              <w:jc w:val="center"/>
              <w:rPr>
                <w:sz w:val="21"/>
                <w:szCs w:val="21"/>
                <w:highlight w:val="none"/>
              </w:rPr>
            </w:pPr>
            <w:r>
              <w:rPr>
                <w:sz w:val="21"/>
                <w:szCs w:val="21"/>
                <w:highlight w:val="none"/>
              </w:rPr>
              <w:t>布袋除尘器除尘</w:t>
            </w:r>
          </w:p>
        </w:tc>
        <w:tc>
          <w:tcPr>
            <w:tcW w:w="0" w:type="auto"/>
            <w:noWrap w:val="0"/>
            <w:tcMar>
              <w:left w:w="28" w:type="dxa"/>
              <w:right w:w="28" w:type="dxa"/>
            </w:tcMar>
            <w:vAlign w:val="center"/>
          </w:tcPr>
          <w:p w14:paraId="554EDD6D">
            <w:pPr>
              <w:jc w:val="center"/>
              <w:rPr>
                <w:sz w:val="21"/>
                <w:szCs w:val="21"/>
                <w:highlight w:val="none"/>
              </w:rPr>
            </w:pPr>
            <w:r>
              <w:rPr>
                <w:sz w:val="21"/>
                <w:szCs w:val="21"/>
                <w:highlight w:val="none"/>
              </w:rPr>
              <w:t>242</w:t>
            </w:r>
          </w:p>
        </w:tc>
        <w:tc>
          <w:tcPr>
            <w:tcW w:w="0" w:type="auto"/>
            <w:noWrap w:val="0"/>
            <w:tcMar>
              <w:left w:w="28" w:type="dxa"/>
              <w:right w:w="28" w:type="dxa"/>
            </w:tcMar>
            <w:vAlign w:val="center"/>
          </w:tcPr>
          <w:p w14:paraId="2870611F">
            <w:pPr>
              <w:jc w:val="center"/>
              <w:rPr>
                <w:sz w:val="21"/>
                <w:szCs w:val="21"/>
                <w:highlight w:val="none"/>
              </w:rPr>
            </w:pPr>
            <w:r>
              <w:rPr>
                <w:sz w:val="21"/>
                <w:szCs w:val="21"/>
                <w:highlight w:val="none"/>
              </w:rPr>
              <w:t>48.2</w:t>
            </w:r>
          </w:p>
        </w:tc>
        <w:tc>
          <w:tcPr>
            <w:tcW w:w="0" w:type="auto"/>
            <w:noWrap w:val="0"/>
            <w:tcMar>
              <w:left w:w="28" w:type="dxa"/>
              <w:right w:w="28" w:type="dxa"/>
            </w:tcMar>
            <w:vAlign w:val="center"/>
          </w:tcPr>
          <w:p w14:paraId="2959C6EF">
            <w:pPr>
              <w:jc w:val="center"/>
              <w:rPr>
                <w:sz w:val="21"/>
                <w:szCs w:val="21"/>
                <w:highlight w:val="none"/>
              </w:rPr>
            </w:pPr>
            <w:r>
              <w:rPr>
                <w:sz w:val="21"/>
                <w:szCs w:val="21"/>
                <w:highlight w:val="none"/>
              </w:rPr>
              <w:t>1</w:t>
            </w:r>
          </w:p>
        </w:tc>
        <w:tc>
          <w:tcPr>
            <w:tcW w:w="0" w:type="auto"/>
            <w:noWrap w:val="0"/>
            <w:vAlign w:val="center"/>
          </w:tcPr>
          <w:p w14:paraId="12DD4834">
            <w:pPr>
              <w:jc w:val="center"/>
              <w:rPr>
                <w:sz w:val="21"/>
                <w:szCs w:val="21"/>
                <w:highlight w:val="none"/>
              </w:rPr>
            </w:pPr>
            <w:r>
              <w:rPr>
                <w:sz w:val="21"/>
                <w:szCs w:val="21"/>
                <w:highlight w:val="none"/>
              </w:rPr>
              <w:t>15</w:t>
            </w:r>
          </w:p>
        </w:tc>
        <w:tc>
          <w:tcPr>
            <w:tcW w:w="0" w:type="auto"/>
            <w:noWrap w:val="0"/>
            <w:tcMar>
              <w:left w:w="28" w:type="dxa"/>
              <w:right w:w="28" w:type="dxa"/>
            </w:tcMar>
            <w:vAlign w:val="center"/>
          </w:tcPr>
          <w:p w14:paraId="396862B7">
            <w:pPr>
              <w:jc w:val="center"/>
              <w:rPr>
                <w:sz w:val="21"/>
                <w:szCs w:val="21"/>
                <w:highlight w:val="none"/>
              </w:rPr>
            </w:pPr>
            <w:r>
              <w:rPr>
                <w:sz w:val="21"/>
                <w:szCs w:val="21"/>
                <w:highlight w:val="none"/>
              </w:rPr>
              <w:t>0.35</w:t>
            </w:r>
          </w:p>
        </w:tc>
        <w:tc>
          <w:tcPr>
            <w:tcW w:w="0" w:type="auto"/>
            <w:noWrap w:val="0"/>
            <w:vAlign w:val="center"/>
          </w:tcPr>
          <w:p w14:paraId="5F56370D">
            <w:pPr>
              <w:jc w:val="center"/>
              <w:rPr>
                <w:sz w:val="21"/>
                <w:szCs w:val="21"/>
                <w:highlight w:val="none"/>
              </w:rPr>
            </w:pPr>
            <w:r>
              <w:rPr>
                <w:sz w:val="21"/>
                <w:szCs w:val="21"/>
                <w:highlight w:val="none"/>
              </w:rPr>
              <w:t>间断</w:t>
            </w:r>
          </w:p>
        </w:tc>
        <w:tc>
          <w:tcPr>
            <w:tcW w:w="0" w:type="auto"/>
            <w:noWrap w:val="0"/>
            <w:vAlign w:val="center"/>
          </w:tcPr>
          <w:p w14:paraId="224B3C32">
            <w:pPr>
              <w:jc w:val="center"/>
              <w:rPr>
                <w:sz w:val="21"/>
                <w:szCs w:val="21"/>
                <w:highlight w:val="none"/>
              </w:rPr>
            </w:pPr>
            <w:r>
              <w:rPr>
                <w:sz w:val="21"/>
                <w:szCs w:val="21"/>
                <w:highlight w:val="none"/>
              </w:rPr>
              <w:t>排入大气</w:t>
            </w:r>
          </w:p>
        </w:tc>
      </w:tr>
      <w:tr w14:paraId="4A2E8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blHeader/>
          <w:jc w:val="center"/>
        </w:trPr>
        <w:tc>
          <w:tcPr>
            <w:tcW w:w="0" w:type="auto"/>
            <w:vMerge w:val="continue"/>
            <w:noWrap w:val="0"/>
            <w:tcMar>
              <w:left w:w="28" w:type="dxa"/>
              <w:right w:w="28" w:type="dxa"/>
            </w:tcMar>
            <w:vAlign w:val="center"/>
          </w:tcPr>
          <w:p w14:paraId="4EF99ECA">
            <w:pPr>
              <w:widowControl/>
              <w:snapToGrid w:val="0"/>
              <w:jc w:val="center"/>
              <w:rPr>
                <w:sz w:val="21"/>
                <w:szCs w:val="21"/>
                <w:highlight w:val="none"/>
              </w:rPr>
            </w:pPr>
          </w:p>
        </w:tc>
        <w:tc>
          <w:tcPr>
            <w:tcW w:w="0" w:type="auto"/>
            <w:vMerge w:val="continue"/>
            <w:noWrap w:val="0"/>
            <w:vAlign w:val="center"/>
          </w:tcPr>
          <w:p w14:paraId="5202F276">
            <w:pPr>
              <w:jc w:val="center"/>
              <w:rPr>
                <w:sz w:val="21"/>
                <w:szCs w:val="21"/>
                <w:highlight w:val="none"/>
              </w:rPr>
            </w:pPr>
          </w:p>
        </w:tc>
        <w:tc>
          <w:tcPr>
            <w:tcW w:w="0" w:type="auto"/>
            <w:noWrap w:val="0"/>
            <w:vAlign w:val="center"/>
          </w:tcPr>
          <w:p w14:paraId="64F6E5C4">
            <w:pPr>
              <w:jc w:val="center"/>
              <w:rPr>
                <w:sz w:val="21"/>
                <w:szCs w:val="21"/>
                <w:highlight w:val="none"/>
              </w:rPr>
            </w:pPr>
            <w:r>
              <w:rPr>
                <w:sz w:val="21"/>
                <w:szCs w:val="21"/>
                <w:highlight w:val="none"/>
              </w:rPr>
              <w:t>硅藻土储仓</w:t>
            </w:r>
          </w:p>
        </w:tc>
        <w:tc>
          <w:tcPr>
            <w:tcW w:w="0" w:type="auto"/>
            <w:noWrap w:val="0"/>
            <w:tcMar>
              <w:left w:w="28" w:type="dxa"/>
              <w:right w:w="28" w:type="dxa"/>
            </w:tcMar>
            <w:vAlign w:val="center"/>
          </w:tcPr>
          <w:p w14:paraId="5173962F">
            <w:pPr>
              <w:jc w:val="center"/>
              <w:rPr>
                <w:sz w:val="21"/>
                <w:szCs w:val="21"/>
                <w:highlight w:val="none"/>
                <w:lang w:val="pt-BR"/>
              </w:rPr>
            </w:pPr>
            <w:r>
              <w:rPr>
                <w:sz w:val="21"/>
                <w:szCs w:val="21"/>
                <w:highlight w:val="none"/>
              </w:rPr>
              <w:t>颗粒物</w:t>
            </w:r>
          </w:p>
        </w:tc>
        <w:tc>
          <w:tcPr>
            <w:tcW w:w="0" w:type="auto"/>
            <w:noWrap w:val="0"/>
            <w:tcMar>
              <w:left w:w="28" w:type="dxa"/>
              <w:right w:w="28" w:type="dxa"/>
            </w:tcMar>
            <w:vAlign w:val="center"/>
          </w:tcPr>
          <w:p w14:paraId="7FA35DD9">
            <w:pPr>
              <w:jc w:val="center"/>
              <w:rPr>
                <w:sz w:val="21"/>
                <w:szCs w:val="21"/>
                <w:highlight w:val="none"/>
              </w:rPr>
            </w:pPr>
            <w:r>
              <w:rPr>
                <w:sz w:val="21"/>
                <w:szCs w:val="21"/>
                <w:highlight w:val="none"/>
              </w:rPr>
              <w:t>布袋除尘器除尘</w:t>
            </w:r>
          </w:p>
        </w:tc>
        <w:tc>
          <w:tcPr>
            <w:tcW w:w="0" w:type="auto"/>
            <w:noWrap w:val="0"/>
            <w:tcMar>
              <w:left w:w="28" w:type="dxa"/>
              <w:right w:w="28" w:type="dxa"/>
            </w:tcMar>
            <w:vAlign w:val="center"/>
          </w:tcPr>
          <w:p w14:paraId="2385EA90">
            <w:pPr>
              <w:jc w:val="center"/>
              <w:rPr>
                <w:sz w:val="21"/>
                <w:szCs w:val="21"/>
                <w:highlight w:val="none"/>
              </w:rPr>
            </w:pPr>
            <w:r>
              <w:rPr>
                <w:sz w:val="21"/>
                <w:szCs w:val="21"/>
                <w:highlight w:val="none"/>
              </w:rPr>
              <w:t>372</w:t>
            </w:r>
          </w:p>
        </w:tc>
        <w:tc>
          <w:tcPr>
            <w:tcW w:w="0" w:type="auto"/>
            <w:noWrap w:val="0"/>
            <w:tcMar>
              <w:left w:w="28" w:type="dxa"/>
              <w:right w:w="28" w:type="dxa"/>
            </w:tcMar>
            <w:vAlign w:val="center"/>
          </w:tcPr>
          <w:p w14:paraId="1E4B046F">
            <w:pPr>
              <w:jc w:val="center"/>
              <w:rPr>
                <w:sz w:val="21"/>
                <w:szCs w:val="21"/>
                <w:highlight w:val="none"/>
              </w:rPr>
            </w:pPr>
            <w:r>
              <w:rPr>
                <w:sz w:val="21"/>
                <w:szCs w:val="21"/>
                <w:highlight w:val="none"/>
              </w:rPr>
              <w:t>36.2</w:t>
            </w:r>
          </w:p>
        </w:tc>
        <w:tc>
          <w:tcPr>
            <w:tcW w:w="0" w:type="auto"/>
            <w:noWrap w:val="0"/>
            <w:tcMar>
              <w:left w:w="28" w:type="dxa"/>
              <w:right w:w="28" w:type="dxa"/>
            </w:tcMar>
            <w:vAlign w:val="center"/>
          </w:tcPr>
          <w:p w14:paraId="6119F84B">
            <w:pPr>
              <w:jc w:val="center"/>
              <w:rPr>
                <w:sz w:val="21"/>
                <w:szCs w:val="21"/>
                <w:highlight w:val="none"/>
              </w:rPr>
            </w:pPr>
            <w:r>
              <w:rPr>
                <w:sz w:val="21"/>
                <w:szCs w:val="21"/>
                <w:highlight w:val="none"/>
              </w:rPr>
              <w:t>1</w:t>
            </w:r>
          </w:p>
        </w:tc>
        <w:tc>
          <w:tcPr>
            <w:tcW w:w="0" w:type="auto"/>
            <w:noWrap w:val="0"/>
            <w:vAlign w:val="center"/>
          </w:tcPr>
          <w:p w14:paraId="1A36DB19">
            <w:pPr>
              <w:jc w:val="center"/>
              <w:rPr>
                <w:sz w:val="21"/>
                <w:szCs w:val="21"/>
                <w:highlight w:val="none"/>
              </w:rPr>
            </w:pPr>
            <w:r>
              <w:rPr>
                <w:sz w:val="21"/>
                <w:szCs w:val="21"/>
                <w:highlight w:val="none"/>
              </w:rPr>
              <w:t>23</w:t>
            </w:r>
          </w:p>
        </w:tc>
        <w:tc>
          <w:tcPr>
            <w:tcW w:w="0" w:type="auto"/>
            <w:noWrap w:val="0"/>
            <w:tcMar>
              <w:left w:w="28" w:type="dxa"/>
              <w:right w:w="28" w:type="dxa"/>
            </w:tcMar>
            <w:vAlign w:val="center"/>
          </w:tcPr>
          <w:p w14:paraId="067FA570">
            <w:pPr>
              <w:jc w:val="center"/>
              <w:rPr>
                <w:sz w:val="21"/>
                <w:szCs w:val="21"/>
                <w:highlight w:val="none"/>
              </w:rPr>
            </w:pPr>
            <w:r>
              <w:rPr>
                <w:sz w:val="21"/>
                <w:szCs w:val="21"/>
                <w:highlight w:val="none"/>
              </w:rPr>
              <w:t>0.2</w:t>
            </w:r>
          </w:p>
        </w:tc>
        <w:tc>
          <w:tcPr>
            <w:tcW w:w="0" w:type="auto"/>
            <w:noWrap w:val="0"/>
            <w:vAlign w:val="center"/>
          </w:tcPr>
          <w:p w14:paraId="5E039B79">
            <w:pPr>
              <w:jc w:val="center"/>
              <w:rPr>
                <w:sz w:val="21"/>
                <w:szCs w:val="21"/>
                <w:highlight w:val="none"/>
              </w:rPr>
            </w:pPr>
            <w:r>
              <w:rPr>
                <w:sz w:val="21"/>
                <w:szCs w:val="21"/>
                <w:highlight w:val="none"/>
              </w:rPr>
              <w:t>间断</w:t>
            </w:r>
          </w:p>
        </w:tc>
        <w:tc>
          <w:tcPr>
            <w:tcW w:w="0" w:type="auto"/>
            <w:noWrap w:val="0"/>
            <w:vAlign w:val="center"/>
          </w:tcPr>
          <w:p w14:paraId="0328FA86">
            <w:pPr>
              <w:jc w:val="center"/>
              <w:rPr>
                <w:sz w:val="21"/>
                <w:szCs w:val="21"/>
                <w:highlight w:val="none"/>
              </w:rPr>
            </w:pPr>
            <w:r>
              <w:rPr>
                <w:sz w:val="21"/>
                <w:szCs w:val="21"/>
                <w:highlight w:val="none"/>
              </w:rPr>
              <w:t>排入大气</w:t>
            </w:r>
          </w:p>
        </w:tc>
      </w:tr>
      <w:tr w14:paraId="62206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blHeader/>
          <w:jc w:val="center"/>
        </w:trPr>
        <w:tc>
          <w:tcPr>
            <w:tcW w:w="0" w:type="auto"/>
            <w:vMerge w:val="continue"/>
            <w:noWrap w:val="0"/>
            <w:tcMar>
              <w:left w:w="28" w:type="dxa"/>
              <w:right w:w="28" w:type="dxa"/>
            </w:tcMar>
            <w:vAlign w:val="center"/>
          </w:tcPr>
          <w:p w14:paraId="0ACB314F">
            <w:pPr>
              <w:widowControl/>
              <w:snapToGrid w:val="0"/>
              <w:jc w:val="center"/>
              <w:rPr>
                <w:sz w:val="21"/>
                <w:szCs w:val="21"/>
                <w:highlight w:val="none"/>
              </w:rPr>
            </w:pPr>
          </w:p>
        </w:tc>
        <w:tc>
          <w:tcPr>
            <w:tcW w:w="0" w:type="auto"/>
            <w:vMerge w:val="continue"/>
            <w:noWrap w:val="0"/>
            <w:vAlign w:val="center"/>
          </w:tcPr>
          <w:p w14:paraId="2045A054">
            <w:pPr>
              <w:jc w:val="center"/>
              <w:rPr>
                <w:sz w:val="21"/>
                <w:szCs w:val="21"/>
                <w:highlight w:val="none"/>
              </w:rPr>
            </w:pPr>
          </w:p>
        </w:tc>
        <w:tc>
          <w:tcPr>
            <w:tcW w:w="0" w:type="auto"/>
            <w:noWrap w:val="0"/>
            <w:vAlign w:val="center"/>
          </w:tcPr>
          <w:p w14:paraId="2F7DBF2C">
            <w:pPr>
              <w:jc w:val="center"/>
              <w:rPr>
                <w:sz w:val="21"/>
                <w:szCs w:val="21"/>
                <w:highlight w:val="none"/>
              </w:rPr>
            </w:pPr>
            <w:r>
              <w:rPr>
                <w:sz w:val="21"/>
                <w:szCs w:val="21"/>
                <w:highlight w:val="none"/>
              </w:rPr>
              <w:t>白土储仓</w:t>
            </w:r>
          </w:p>
        </w:tc>
        <w:tc>
          <w:tcPr>
            <w:tcW w:w="0" w:type="auto"/>
            <w:noWrap w:val="0"/>
            <w:tcMar>
              <w:left w:w="28" w:type="dxa"/>
              <w:right w:w="28" w:type="dxa"/>
            </w:tcMar>
            <w:vAlign w:val="center"/>
          </w:tcPr>
          <w:p w14:paraId="743D7E79">
            <w:pPr>
              <w:jc w:val="center"/>
              <w:rPr>
                <w:sz w:val="21"/>
                <w:szCs w:val="21"/>
                <w:highlight w:val="none"/>
                <w:lang w:val="pt-BR"/>
              </w:rPr>
            </w:pPr>
            <w:r>
              <w:rPr>
                <w:sz w:val="21"/>
                <w:szCs w:val="21"/>
                <w:highlight w:val="none"/>
              </w:rPr>
              <w:t>颗粒物</w:t>
            </w:r>
          </w:p>
        </w:tc>
        <w:tc>
          <w:tcPr>
            <w:tcW w:w="0" w:type="auto"/>
            <w:noWrap w:val="0"/>
            <w:tcMar>
              <w:left w:w="28" w:type="dxa"/>
              <w:right w:w="28" w:type="dxa"/>
            </w:tcMar>
            <w:vAlign w:val="center"/>
          </w:tcPr>
          <w:p w14:paraId="4A50DD19">
            <w:pPr>
              <w:jc w:val="center"/>
              <w:rPr>
                <w:sz w:val="21"/>
                <w:szCs w:val="21"/>
                <w:highlight w:val="none"/>
              </w:rPr>
            </w:pPr>
            <w:r>
              <w:rPr>
                <w:sz w:val="21"/>
                <w:szCs w:val="21"/>
                <w:highlight w:val="none"/>
              </w:rPr>
              <w:t>布袋除尘器除尘</w:t>
            </w:r>
          </w:p>
        </w:tc>
        <w:tc>
          <w:tcPr>
            <w:tcW w:w="0" w:type="auto"/>
            <w:noWrap w:val="0"/>
            <w:tcMar>
              <w:left w:w="28" w:type="dxa"/>
              <w:right w:w="28" w:type="dxa"/>
            </w:tcMar>
            <w:vAlign w:val="center"/>
          </w:tcPr>
          <w:p w14:paraId="3DE35EAD">
            <w:pPr>
              <w:jc w:val="center"/>
              <w:rPr>
                <w:sz w:val="21"/>
                <w:szCs w:val="21"/>
                <w:highlight w:val="none"/>
              </w:rPr>
            </w:pPr>
            <w:r>
              <w:rPr>
                <w:sz w:val="21"/>
                <w:szCs w:val="21"/>
                <w:highlight w:val="none"/>
              </w:rPr>
              <w:t>235</w:t>
            </w:r>
          </w:p>
        </w:tc>
        <w:tc>
          <w:tcPr>
            <w:tcW w:w="0" w:type="auto"/>
            <w:noWrap w:val="0"/>
            <w:tcMar>
              <w:left w:w="28" w:type="dxa"/>
              <w:right w:w="28" w:type="dxa"/>
            </w:tcMar>
            <w:vAlign w:val="center"/>
          </w:tcPr>
          <w:p w14:paraId="16866E0B">
            <w:pPr>
              <w:jc w:val="center"/>
              <w:rPr>
                <w:sz w:val="21"/>
                <w:szCs w:val="21"/>
                <w:highlight w:val="none"/>
              </w:rPr>
            </w:pPr>
            <w:r>
              <w:rPr>
                <w:sz w:val="21"/>
                <w:szCs w:val="21"/>
                <w:highlight w:val="none"/>
              </w:rPr>
              <w:t>48.1</w:t>
            </w:r>
          </w:p>
        </w:tc>
        <w:tc>
          <w:tcPr>
            <w:tcW w:w="0" w:type="auto"/>
            <w:noWrap w:val="0"/>
            <w:tcMar>
              <w:left w:w="28" w:type="dxa"/>
              <w:right w:w="28" w:type="dxa"/>
            </w:tcMar>
            <w:vAlign w:val="center"/>
          </w:tcPr>
          <w:p w14:paraId="6C1A6C54">
            <w:pPr>
              <w:jc w:val="center"/>
              <w:rPr>
                <w:sz w:val="21"/>
                <w:szCs w:val="21"/>
                <w:highlight w:val="none"/>
              </w:rPr>
            </w:pPr>
            <w:r>
              <w:rPr>
                <w:sz w:val="21"/>
                <w:szCs w:val="21"/>
                <w:highlight w:val="none"/>
              </w:rPr>
              <w:t>1</w:t>
            </w:r>
          </w:p>
        </w:tc>
        <w:tc>
          <w:tcPr>
            <w:tcW w:w="0" w:type="auto"/>
            <w:noWrap w:val="0"/>
            <w:vAlign w:val="center"/>
          </w:tcPr>
          <w:p w14:paraId="06B60D9F">
            <w:pPr>
              <w:jc w:val="center"/>
              <w:rPr>
                <w:sz w:val="21"/>
                <w:szCs w:val="21"/>
                <w:highlight w:val="none"/>
              </w:rPr>
            </w:pPr>
            <w:r>
              <w:rPr>
                <w:sz w:val="21"/>
                <w:szCs w:val="21"/>
                <w:highlight w:val="none"/>
              </w:rPr>
              <w:t>23</w:t>
            </w:r>
          </w:p>
        </w:tc>
        <w:tc>
          <w:tcPr>
            <w:tcW w:w="0" w:type="auto"/>
            <w:noWrap w:val="0"/>
            <w:tcMar>
              <w:left w:w="28" w:type="dxa"/>
              <w:right w:w="28" w:type="dxa"/>
            </w:tcMar>
            <w:vAlign w:val="center"/>
          </w:tcPr>
          <w:p w14:paraId="3E6A3BA6">
            <w:pPr>
              <w:jc w:val="center"/>
              <w:rPr>
                <w:sz w:val="21"/>
                <w:szCs w:val="21"/>
                <w:highlight w:val="none"/>
              </w:rPr>
            </w:pPr>
            <w:r>
              <w:rPr>
                <w:sz w:val="21"/>
                <w:szCs w:val="21"/>
                <w:highlight w:val="none"/>
              </w:rPr>
              <w:t>0.2</w:t>
            </w:r>
          </w:p>
        </w:tc>
        <w:tc>
          <w:tcPr>
            <w:tcW w:w="0" w:type="auto"/>
            <w:noWrap w:val="0"/>
            <w:vAlign w:val="center"/>
          </w:tcPr>
          <w:p w14:paraId="6E1774D9">
            <w:pPr>
              <w:jc w:val="center"/>
              <w:rPr>
                <w:sz w:val="21"/>
                <w:szCs w:val="21"/>
                <w:highlight w:val="none"/>
              </w:rPr>
            </w:pPr>
            <w:r>
              <w:rPr>
                <w:sz w:val="21"/>
                <w:szCs w:val="21"/>
                <w:highlight w:val="none"/>
              </w:rPr>
              <w:t>间断</w:t>
            </w:r>
          </w:p>
        </w:tc>
        <w:tc>
          <w:tcPr>
            <w:tcW w:w="0" w:type="auto"/>
            <w:noWrap w:val="0"/>
            <w:vAlign w:val="center"/>
          </w:tcPr>
          <w:p w14:paraId="430A8EFA">
            <w:pPr>
              <w:jc w:val="center"/>
              <w:rPr>
                <w:sz w:val="21"/>
                <w:szCs w:val="21"/>
                <w:highlight w:val="none"/>
              </w:rPr>
            </w:pPr>
            <w:r>
              <w:rPr>
                <w:sz w:val="21"/>
                <w:szCs w:val="21"/>
                <w:highlight w:val="none"/>
              </w:rPr>
              <w:t>排入大气</w:t>
            </w:r>
          </w:p>
        </w:tc>
      </w:tr>
      <w:tr w14:paraId="5FC79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blHeader/>
          <w:jc w:val="center"/>
        </w:trPr>
        <w:tc>
          <w:tcPr>
            <w:tcW w:w="0" w:type="auto"/>
            <w:vMerge w:val="continue"/>
            <w:noWrap w:val="0"/>
            <w:tcMar>
              <w:left w:w="28" w:type="dxa"/>
              <w:right w:w="28" w:type="dxa"/>
            </w:tcMar>
            <w:vAlign w:val="center"/>
          </w:tcPr>
          <w:p w14:paraId="717E28E6">
            <w:pPr>
              <w:widowControl/>
              <w:snapToGrid w:val="0"/>
              <w:jc w:val="center"/>
              <w:rPr>
                <w:sz w:val="21"/>
                <w:szCs w:val="21"/>
                <w:highlight w:val="none"/>
              </w:rPr>
            </w:pPr>
          </w:p>
        </w:tc>
        <w:tc>
          <w:tcPr>
            <w:tcW w:w="0" w:type="auto"/>
            <w:vMerge w:val="restart"/>
            <w:noWrap w:val="0"/>
            <w:vAlign w:val="center"/>
          </w:tcPr>
          <w:p w14:paraId="79FAA2A3">
            <w:pPr>
              <w:jc w:val="center"/>
              <w:rPr>
                <w:sz w:val="21"/>
                <w:szCs w:val="21"/>
                <w:highlight w:val="none"/>
              </w:rPr>
            </w:pPr>
            <w:r>
              <w:rPr>
                <w:sz w:val="21"/>
                <w:szCs w:val="21"/>
                <w:highlight w:val="none"/>
              </w:rPr>
              <w:t>尾气脱碳单元</w:t>
            </w:r>
          </w:p>
        </w:tc>
        <w:tc>
          <w:tcPr>
            <w:tcW w:w="0" w:type="auto"/>
            <w:noWrap w:val="0"/>
            <w:vAlign w:val="center"/>
          </w:tcPr>
          <w:p w14:paraId="24FF7182">
            <w:pPr>
              <w:jc w:val="center"/>
              <w:rPr>
                <w:rFonts w:hint="eastAsia" w:eastAsia="宋体"/>
                <w:sz w:val="21"/>
                <w:szCs w:val="21"/>
                <w:highlight w:val="none"/>
                <w:lang w:eastAsia="zh-CN"/>
              </w:rPr>
            </w:pPr>
            <w:r>
              <w:rPr>
                <w:sz w:val="21"/>
                <w:szCs w:val="21"/>
                <w:highlight w:val="none"/>
              </w:rPr>
              <w:t>闪</w:t>
            </w:r>
            <w:r>
              <w:rPr>
                <w:rFonts w:hint="eastAsia"/>
                <w:sz w:val="21"/>
                <w:szCs w:val="21"/>
                <w:highlight w:val="none"/>
                <w:lang w:eastAsia="zh-CN"/>
              </w:rPr>
              <w:t>蒸汽</w:t>
            </w:r>
          </w:p>
        </w:tc>
        <w:tc>
          <w:tcPr>
            <w:tcW w:w="0" w:type="auto"/>
            <w:noWrap w:val="0"/>
            <w:tcMar>
              <w:left w:w="28" w:type="dxa"/>
              <w:right w:w="28" w:type="dxa"/>
            </w:tcMar>
            <w:vAlign w:val="center"/>
          </w:tcPr>
          <w:p w14:paraId="65540CF6">
            <w:pPr>
              <w:jc w:val="center"/>
              <w:rPr>
                <w:sz w:val="21"/>
                <w:szCs w:val="21"/>
                <w:highlight w:val="none"/>
                <w:lang w:val="pt-BR"/>
              </w:rPr>
            </w:pPr>
            <w:r>
              <w:rPr>
                <w:sz w:val="21"/>
                <w:szCs w:val="21"/>
                <w:highlight w:val="none"/>
                <w:lang w:val="pt-BR"/>
              </w:rPr>
              <w:t>H</w:t>
            </w:r>
            <w:r>
              <w:rPr>
                <w:sz w:val="21"/>
                <w:szCs w:val="21"/>
                <w:highlight w:val="none"/>
                <w:vertAlign w:val="subscript"/>
                <w:lang w:val="pt-BR"/>
              </w:rPr>
              <w:t>2</w:t>
            </w:r>
            <w:r>
              <w:rPr>
                <w:sz w:val="21"/>
                <w:szCs w:val="21"/>
                <w:highlight w:val="none"/>
                <w:lang w:val="pt-BR"/>
              </w:rPr>
              <w:t>、CO、CO</w:t>
            </w:r>
            <w:r>
              <w:rPr>
                <w:sz w:val="21"/>
                <w:szCs w:val="21"/>
                <w:highlight w:val="none"/>
                <w:vertAlign w:val="subscript"/>
                <w:lang w:val="pt-BR"/>
              </w:rPr>
              <w:t>2</w:t>
            </w:r>
            <w:r>
              <w:rPr>
                <w:sz w:val="21"/>
                <w:szCs w:val="21"/>
                <w:highlight w:val="none"/>
                <w:lang w:val="pt-BR"/>
              </w:rPr>
              <w:t>、CH</w:t>
            </w:r>
            <w:r>
              <w:rPr>
                <w:sz w:val="21"/>
                <w:szCs w:val="21"/>
                <w:highlight w:val="none"/>
                <w:vertAlign w:val="subscript"/>
                <w:lang w:val="pt-BR"/>
              </w:rPr>
              <w:t>4</w:t>
            </w:r>
            <w:r>
              <w:rPr>
                <w:sz w:val="21"/>
                <w:szCs w:val="21"/>
                <w:highlight w:val="none"/>
                <w:lang w:val="pt-BR"/>
              </w:rPr>
              <w:t>、N</w:t>
            </w:r>
            <w:r>
              <w:rPr>
                <w:sz w:val="21"/>
                <w:szCs w:val="21"/>
                <w:highlight w:val="none"/>
                <w:vertAlign w:val="subscript"/>
                <w:lang w:val="pt-BR"/>
              </w:rPr>
              <w:t>2</w:t>
            </w:r>
            <w:r>
              <w:rPr>
                <w:sz w:val="21"/>
                <w:szCs w:val="21"/>
                <w:highlight w:val="none"/>
                <w:lang w:val="pt-BR"/>
              </w:rPr>
              <w:t>、C</w:t>
            </w:r>
            <w:r>
              <w:rPr>
                <w:sz w:val="21"/>
                <w:szCs w:val="21"/>
                <w:highlight w:val="none"/>
                <w:vertAlign w:val="subscript"/>
                <w:lang w:val="pt-BR"/>
              </w:rPr>
              <w:t>2</w:t>
            </w:r>
            <w:r>
              <w:rPr>
                <w:sz w:val="21"/>
                <w:szCs w:val="21"/>
                <w:highlight w:val="none"/>
                <w:lang w:val="pt-BR"/>
              </w:rPr>
              <w:t>H</w:t>
            </w:r>
            <w:r>
              <w:rPr>
                <w:sz w:val="21"/>
                <w:szCs w:val="21"/>
                <w:highlight w:val="none"/>
                <w:vertAlign w:val="subscript"/>
                <w:lang w:val="pt-BR"/>
              </w:rPr>
              <w:t>4</w:t>
            </w:r>
            <w:r>
              <w:rPr>
                <w:sz w:val="21"/>
                <w:szCs w:val="21"/>
                <w:highlight w:val="none"/>
                <w:lang w:val="pt-BR"/>
              </w:rPr>
              <w:t>、C</w:t>
            </w:r>
            <w:r>
              <w:rPr>
                <w:sz w:val="21"/>
                <w:szCs w:val="21"/>
                <w:highlight w:val="none"/>
                <w:vertAlign w:val="subscript"/>
                <w:lang w:val="pt-BR"/>
              </w:rPr>
              <w:t>2</w:t>
            </w:r>
            <w:r>
              <w:rPr>
                <w:sz w:val="21"/>
                <w:szCs w:val="21"/>
                <w:highlight w:val="none"/>
                <w:lang w:val="pt-BR"/>
              </w:rPr>
              <w:t>H</w:t>
            </w:r>
            <w:r>
              <w:rPr>
                <w:sz w:val="21"/>
                <w:szCs w:val="21"/>
                <w:highlight w:val="none"/>
                <w:vertAlign w:val="subscript"/>
                <w:lang w:val="pt-BR"/>
              </w:rPr>
              <w:t>6</w:t>
            </w:r>
            <w:r>
              <w:rPr>
                <w:sz w:val="21"/>
                <w:szCs w:val="21"/>
                <w:highlight w:val="none"/>
                <w:lang w:val="pt-BR"/>
              </w:rPr>
              <w:t>、C</w:t>
            </w:r>
            <w:r>
              <w:rPr>
                <w:sz w:val="21"/>
                <w:szCs w:val="21"/>
                <w:highlight w:val="none"/>
                <w:vertAlign w:val="subscript"/>
                <w:lang w:val="pt-BR"/>
              </w:rPr>
              <w:t>3</w:t>
            </w:r>
            <w:r>
              <w:rPr>
                <w:sz w:val="21"/>
                <w:szCs w:val="21"/>
                <w:highlight w:val="none"/>
                <w:lang w:val="pt-BR"/>
              </w:rPr>
              <w:t>H</w:t>
            </w:r>
            <w:r>
              <w:rPr>
                <w:sz w:val="21"/>
                <w:szCs w:val="21"/>
                <w:highlight w:val="none"/>
                <w:vertAlign w:val="subscript"/>
                <w:lang w:val="pt-BR"/>
              </w:rPr>
              <w:t>6</w:t>
            </w:r>
            <w:r>
              <w:rPr>
                <w:sz w:val="21"/>
                <w:szCs w:val="21"/>
                <w:highlight w:val="none"/>
                <w:lang w:val="pt-BR"/>
              </w:rPr>
              <w:t>、C</w:t>
            </w:r>
            <w:r>
              <w:rPr>
                <w:sz w:val="21"/>
                <w:szCs w:val="21"/>
                <w:highlight w:val="none"/>
                <w:vertAlign w:val="subscript"/>
                <w:lang w:val="pt-BR"/>
              </w:rPr>
              <w:t>3</w:t>
            </w:r>
            <w:r>
              <w:rPr>
                <w:sz w:val="21"/>
                <w:szCs w:val="21"/>
                <w:highlight w:val="none"/>
                <w:lang w:val="pt-BR"/>
              </w:rPr>
              <w:t>H</w:t>
            </w:r>
            <w:r>
              <w:rPr>
                <w:sz w:val="21"/>
                <w:szCs w:val="21"/>
                <w:highlight w:val="none"/>
                <w:vertAlign w:val="subscript"/>
                <w:lang w:val="pt-BR"/>
              </w:rPr>
              <w:t>8</w:t>
            </w:r>
            <w:r>
              <w:rPr>
                <w:sz w:val="21"/>
                <w:szCs w:val="21"/>
                <w:highlight w:val="none"/>
                <w:lang w:val="pt-BR"/>
              </w:rPr>
              <w:t>、C</w:t>
            </w:r>
            <w:r>
              <w:rPr>
                <w:sz w:val="21"/>
                <w:szCs w:val="21"/>
                <w:highlight w:val="none"/>
                <w:vertAlign w:val="subscript"/>
                <w:lang w:val="pt-BR"/>
              </w:rPr>
              <w:t>4</w:t>
            </w:r>
            <w:r>
              <w:rPr>
                <w:sz w:val="21"/>
                <w:szCs w:val="21"/>
                <w:highlight w:val="none"/>
                <w:lang w:val="pt-BR"/>
              </w:rPr>
              <w:t>H</w:t>
            </w:r>
            <w:r>
              <w:rPr>
                <w:sz w:val="21"/>
                <w:szCs w:val="21"/>
                <w:highlight w:val="none"/>
                <w:vertAlign w:val="subscript"/>
                <w:lang w:val="pt-BR"/>
              </w:rPr>
              <w:t>8</w:t>
            </w:r>
            <w:r>
              <w:rPr>
                <w:sz w:val="21"/>
                <w:szCs w:val="21"/>
                <w:highlight w:val="none"/>
                <w:lang w:val="pt-BR"/>
              </w:rPr>
              <w:t>、C</w:t>
            </w:r>
            <w:r>
              <w:rPr>
                <w:sz w:val="21"/>
                <w:szCs w:val="21"/>
                <w:highlight w:val="none"/>
                <w:vertAlign w:val="subscript"/>
                <w:lang w:val="pt-BR"/>
              </w:rPr>
              <w:t>4</w:t>
            </w:r>
            <w:r>
              <w:rPr>
                <w:sz w:val="21"/>
                <w:szCs w:val="21"/>
                <w:highlight w:val="none"/>
                <w:lang w:val="pt-BR"/>
              </w:rPr>
              <w:t>H</w:t>
            </w:r>
            <w:r>
              <w:rPr>
                <w:sz w:val="21"/>
                <w:szCs w:val="21"/>
                <w:highlight w:val="none"/>
                <w:vertAlign w:val="subscript"/>
                <w:lang w:val="pt-BR"/>
              </w:rPr>
              <w:t>10</w:t>
            </w:r>
            <w:r>
              <w:rPr>
                <w:sz w:val="21"/>
                <w:szCs w:val="21"/>
                <w:highlight w:val="none"/>
                <w:lang w:val="pt-BR"/>
              </w:rPr>
              <w:t>、C</w:t>
            </w:r>
            <w:r>
              <w:rPr>
                <w:sz w:val="21"/>
                <w:szCs w:val="21"/>
                <w:highlight w:val="none"/>
                <w:vertAlign w:val="subscript"/>
                <w:lang w:val="pt-BR"/>
              </w:rPr>
              <w:t>5</w:t>
            </w:r>
            <w:r>
              <w:rPr>
                <w:sz w:val="21"/>
                <w:szCs w:val="21"/>
                <w:highlight w:val="none"/>
                <w:vertAlign w:val="superscript"/>
                <w:lang w:val="pt-BR"/>
              </w:rPr>
              <w:t>+</w:t>
            </w:r>
          </w:p>
        </w:tc>
        <w:tc>
          <w:tcPr>
            <w:tcW w:w="0" w:type="auto"/>
            <w:noWrap w:val="0"/>
            <w:tcMar>
              <w:left w:w="28" w:type="dxa"/>
              <w:right w:w="28" w:type="dxa"/>
            </w:tcMar>
            <w:vAlign w:val="center"/>
          </w:tcPr>
          <w:p w14:paraId="42F86011">
            <w:pPr>
              <w:jc w:val="center"/>
              <w:rPr>
                <w:sz w:val="21"/>
                <w:szCs w:val="21"/>
                <w:highlight w:val="none"/>
              </w:rPr>
            </w:pPr>
            <w:r>
              <w:rPr>
                <w:sz w:val="21"/>
                <w:szCs w:val="21"/>
                <w:highlight w:val="none"/>
              </w:rPr>
              <w:t>去全厂燃料气管网</w:t>
            </w:r>
          </w:p>
        </w:tc>
        <w:tc>
          <w:tcPr>
            <w:tcW w:w="0" w:type="auto"/>
            <w:noWrap w:val="0"/>
            <w:tcMar>
              <w:left w:w="28" w:type="dxa"/>
              <w:right w:w="28" w:type="dxa"/>
            </w:tcMar>
            <w:vAlign w:val="center"/>
          </w:tcPr>
          <w:p w14:paraId="45F7EA75">
            <w:pPr>
              <w:jc w:val="center"/>
              <w:rPr>
                <w:sz w:val="21"/>
                <w:szCs w:val="21"/>
                <w:highlight w:val="none"/>
                <w:lang w:val="pt-BR"/>
              </w:rPr>
            </w:pPr>
            <w:r>
              <w:rPr>
                <w:sz w:val="21"/>
                <w:szCs w:val="21"/>
                <w:highlight w:val="none"/>
                <w:lang w:val="pt-BR"/>
              </w:rPr>
              <w:t>/</w:t>
            </w:r>
          </w:p>
        </w:tc>
        <w:tc>
          <w:tcPr>
            <w:tcW w:w="0" w:type="auto"/>
            <w:noWrap w:val="0"/>
            <w:tcMar>
              <w:left w:w="28" w:type="dxa"/>
              <w:right w:w="28" w:type="dxa"/>
            </w:tcMar>
            <w:vAlign w:val="center"/>
          </w:tcPr>
          <w:p w14:paraId="351A692D">
            <w:pPr>
              <w:jc w:val="center"/>
              <w:rPr>
                <w:sz w:val="21"/>
                <w:szCs w:val="21"/>
                <w:highlight w:val="none"/>
              </w:rPr>
            </w:pPr>
            <w:r>
              <w:rPr>
                <w:sz w:val="21"/>
                <w:szCs w:val="21"/>
                <w:highlight w:val="none"/>
              </w:rPr>
              <w:t>/</w:t>
            </w:r>
          </w:p>
        </w:tc>
        <w:tc>
          <w:tcPr>
            <w:tcW w:w="0" w:type="auto"/>
            <w:noWrap w:val="0"/>
            <w:tcMar>
              <w:left w:w="28" w:type="dxa"/>
              <w:right w:w="28" w:type="dxa"/>
            </w:tcMar>
            <w:vAlign w:val="center"/>
          </w:tcPr>
          <w:p w14:paraId="412D4584">
            <w:pPr>
              <w:jc w:val="center"/>
              <w:rPr>
                <w:sz w:val="21"/>
                <w:szCs w:val="21"/>
                <w:highlight w:val="none"/>
              </w:rPr>
            </w:pPr>
            <w:r>
              <w:rPr>
                <w:sz w:val="21"/>
                <w:szCs w:val="21"/>
                <w:highlight w:val="none"/>
              </w:rPr>
              <w:t>/</w:t>
            </w:r>
          </w:p>
        </w:tc>
        <w:tc>
          <w:tcPr>
            <w:tcW w:w="0" w:type="auto"/>
            <w:noWrap w:val="0"/>
            <w:vAlign w:val="center"/>
          </w:tcPr>
          <w:p w14:paraId="53EF092A">
            <w:pPr>
              <w:jc w:val="center"/>
              <w:rPr>
                <w:sz w:val="21"/>
                <w:szCs w:val="21"/>
                <w:highlight w:val="none"/>
              </w:rPr>
            </w:pPr>
            <w:r>
              <w:rPr>
                <w:sz w:val="21"/>
                <w:szCs w:val="21"/>
                <w:highlight w:val="none"/>
              </w:rPr>
              <w:t>/</w:t>
            </w:r>
          </w:p>
        </w:tc>
        <w:tc>
          <w:tcPr>
            <w:tcW w:w="0" w:type="auto"/>
            <w:noWrap w:val="0"/>
            <w:tcMar>
              <w:left w:w="28" w:type="dxa"/>
              <w:right w:w="28" w:type="dxa"/>
            </w:tcMar>
            <w:vAlign w:val="center"/>
          </w:tcPr>
          <w:p w14:paraId="3038AC52">
            <w:pPr>
              <w:jc w:val="center"/>
              <w:rPr>
                <w:sz w:val="21"/>
                <w:szCs w:val="21"/>
                <w:highlight w:val="none"/>
              </w:rPr>
            </w:pPr>
            <w:r>
              <w:rPr>
                <w:sz w:val="21"/>
                <w:szCs w:val="21"/>
                <w:highlight w:val="none"/>
              </w:rPr>
              <w:t>/</w:t>
            </w:r>
          </w:p>
        </w:tc>
        <w:tc>
          <w:tcPr>
            <w:tcW w:w="0" w:type="auto"/>
            <w:noWrap w:val="0"/>
            <w:vAlign w:val="center"/>
          </w:tcPr>
          <w:p w14:paraId="7370BC62">
            <w:pPr>
              <w:jc w:val="center"/>
              <w:rPr>
                <w:sz w:val="21"/>
                <w:szCs w:val="21"/>
                <w:highlight w:val="none"/>
              </w:rPr>
            </w:pPr>
            <w:r>
              <w:rPr>
                <w:sz w:val="21"/>
                <w:szCs w:val="21"/>
                <w:highlight w:val="none"/>
              </w:rPr>
              <w:t>连续</w:t>
            </w:r>
          </w:p>
        </w:tc>
        <w:tc>
          <w:tcPr>
            <w:tcW w:w="0" w:type="auto"/>
            <w:noWrap w:val="0"/>
            <w:vAlign w:val="center"/>
          </w:tcPr>
          <w:p w14:paraId="0F038A34">
            <w:pPr>
              <w:jc w:val="center"/>
              <w:rPr>
                <w:sz w:val="21"/>
                <w:szCs w:val="21"/>
                <w:highlight w:val="none"/>
              </w:rPr>
            </w:pPr>
            <w:r>
              <w:rPr>
                <w:sz w:val="21"/>
                <w:szCs w:val="21"/>
                <w:highlight w:val="none"/>
              </w:rPr>
              <w:t>去全厂燃料气管网</w:t>
            </w:r>
          </w:p>
        </w:tc>
      </w:tr>
      <w:tr w14:paraId="13E41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blHeader/>
          <w:jc w:val="center"/>
        </w:trPr>
        <w:tc>
          <w:tcPr>
            <w:tcW w:w="0" w:type="auto"/>
            <w:vMerge w:val="continue"/>
            <w:noWrap w:val="0"/>
            <w:tcMar>
              <w:left w:w="28" w:type="dxa"/>
              <w:right w:w="28" w:type="dxa"/>
            </w:tcMar>
            <w:vAlign w:val="center"/>
          </w:tcPr>
          <w:p w14:paraId="075BFE60">
            <w:pPr>
              <w:widowControl/>
              <w:snapToGrid w:val="0"/>
              <w:jc w:val="center"/>
              <w:rPr>
                <w:sz w:val="21"/>
                <w:szCs w:val="21"/>
                <w:highlight w:val="none"/>
              </w:rPr>
            </w:pPr>
          </w:p>
        </w:tc>
        <w:tc>
          <w:tcPr>
            <w:tcW w:w="0" w:type="auto"/>
            <w:vMerge w:val="continue"/>
            <w:noWrap w:val="0"/>
            <w:vAlign w:val="center"/>
          </w:tcPr>
          <w:p w14:paraId="3E644CF2">
            <w:pPr>
              <w:jc w:val="center"/>
              <w:rPr>
                <w:sz w:val="21"/>
                <w:szCs w:val="21"/>
                <w:highlight w:val="none"/>
              </w:rPr>
            </w:pPr>
          </w:p>
        </w:tc>
        <w:tc>
          <w:tcPr>
            <w:tcW w:w="0" w:type="auto"/>
            <w:noWrap w:val="0"/>
            <w:vAlign w:val="center"/>
          </w:tcPr>
          <w:p w14:paraId="7DD55A8D">
            <w:pPr>
              <w:jc w:val="center"/>
              <w:rPr>
                <w:sz w:val="21"/>
                <w:szCs w:val="21"/>
                <w:highlight w:val="none"/>
              </w:rPr>
            </w:pPr>
            <w:r>
              <w:rPr>
                <w:sz w:val="21"/>
                <w:szCs w:val="21"/>
                <w:highlight w:val="none"/>
              </w:rPr>
              <w:t>再生气</w:t>
            </w:r>
          </w:p>
        </w:tc>
        <w:tc>
          <w:tcPr>
            <w:tcW w:w="0" w:type="auto"/>
            <w:noWrap w:val="0"/>
            <w:tcMar>
              <w:left w:w="28" w:type="dxa"/>
              <w:right w:w="28" w:type="dxa"/>
            </w:tcMar>
            <w:vAlign w:val="center"/>
          </w:tcPr>
          <w:p w14:paraId="137523B5">
            <w:pPr>
              <w:jc w:val="center"/>
              <w:rPr>
                <w:sz w:val="21"/>
                <w:szCs w:val="21"/>
                <w:highlight w:val="none"/>
              </w:rPr>
            </w:pPr>
            <w:r>
              <w:rPr>
                <w:sz w:val="21"/>
                <w:szCs w:val="21"/>
                <w:highlight w:val="none"/>
              </w:rPr>
              <w:t>NMHC</w:t>
            </w:r>
          </w:p>
        </w:tc>
        <w:tc>
          <w:tcPr>
            <w:tcW w:w="0" w:type="auto"/>
            <w:noWrap w:val="0"/>
            <w:tcMar>
              <w:left w:w="28" w:type="dxa"/>
              <w:right w:w="28" w:type="dxa"/>
            </w:tcMar>
            <w:vAlign w:val="center"/>
          </w:tcPr>
          <w:p w14:paraId="5456A2F6">
            <w:pPr>
              <w:jc w:val="center"/>
              <w:rPr>
                <w:sz w:val="21"/>
                <w:szCs w:val="21"/>
                <w:highlight w:val="none"/>
              </w:rPr>
            </w:pPr>
            <w:r>
              <w:rPr>
                <w:sz w:val="21"/>
                <w:szCs w:val="21"/>
                <w:highlight w:val="none"/>
              </w:rPr>
              <w:t>/</w:t>
            </w:r>
          </w:p>
        </w:tc>
        <w:tc>
          <w:tcPr>
            <w:tcW w:w="0" w:type="auto"/>
            <w:noWrap w:val="0"/>
            <w:tcMar>
              <w:left w:w="28" w:type="dxa"/>
              <w:right w:w="28" w:type="dxa"/>
            </w:tcMar>
            <w:vAlign w:val="center"/>
          </w:tcPr>
          <w:p w14:paraId="081283C4">
            <w:pPr>
              <w:jc w:val="center"/>
              <w:rPr>
                <w:sz w:val="21"/>
                <w:szCs w:val="21"/>
                <w:highlight w:val="none"/>
              </w:rPr>
            </w:pPr>
            <w:r>
              <w:rPr>
                <w:sz w:val="21"/>
                <w:szCs w:val="21"/>
                <w:highlight w:val="none"/>
                <w:lang w:val="pt-BR"/>
              </w:rPr>
              <w:t>/</w:t>
            </w:r>
          </w:p>
        </w:tc>
        <w:tc>
          <w:tcPr>
            <w:tcW w:w="0" w:type="auto"/>
            <w:noWrap w:val="0"/>
            <w:tcMar>
              <w:left w:w="28" w:type="dxa"/>
              <w:right w:w="28" w:type="dxa"/>
            </w:tcMar>
            <w:vAlign w:val="center"/>
          </w:tcPr>
          <w:p w14:paraId="1F523E03">
            <w:pPr>
              <w:jc w:val="center"/>
              <w:rPr>
                <w:sz w:val="21"/>
                <w:szCs w:val="21"/>
                <w:highlight w:val="none"/>
              </w:rPr>
            </w:pPr>
            <w:r>
              <w:rPr>
                <w:sz w:val="21"/>
                <w:szCs w:val="21"/>
                <w:highlight w:val="none"/>
              </w:rPr>
              <w:t>51.3</w:t>
            </w:r>
          </w:p>
        </w:tc>
        <w:tc>
          <w:tcPr>
            <w:tcW w:w="0" w:type="auto"/>
            <w:noWrap w:val="0"/>
            <w:tcMar>
              <w:left w:w="28" w:type="dxa"/>
              <w:right w:w="28" w:type="dxa"/>
            </w:tcMar>
            <w:vAlign w:val="center"/>
          </w:tcPr>
          <w:p w14:paraId="0104B2ED">
            <w:pPr>
              <w:jc w:val="center"/>
              <w:rPr>
                <w:sz w:val="21"/>
                <w:szCs w:val="21"/>
                <w:highlight w:val="none"/>
              </w:rPr>
            </w:pPr>
            <w:r>
              <w:rPr>
                <w:sz w:val="21"/>
                <w:szCs w:val="21"/>
                <w:highlight w:val="none"/>
              </w:rPr>
              <w:t>1</w:t>
            </w:r>
          </w:p>
        </w:tc>
        <w:tc>
          <w:tcPr>
            <w:tcW w:w="0" w:type="auto"/>
            <w:noWrap w:val="0"/>
            <w:vAlign w:val="center"/>
          </w:tcPr>
          <w:p w14:paraId="46759718">
            <w:pPr>
              <w:jc w:val="center"/>
              <w:rPr>
                <w:sz w:val="21"/>
                <w:szCs w:val="21"/>
                <w:highlight w:val="none"/>
              </w:rPr>
            </w:pPr>
            <w:r>
              <w:rPr>
                <w:sz w:val="21"/>
                <w:szCs w:val="21"/>
                <w:highlight w:val="none"/>
              </w:rPr>
              <w:t>90</w:t>
            </w:r>
          </w:p>
        </w:tc>
        <w:tc>
          <w:tcPr>
            <w:tcW w:w="0" w:type="auto"/>
            <w:noWrap w:val="0"/>
            <w:tcMar>
              <w:left w:w="28" w:type="dxa"/>
              <w:right w:w="28" w:type="dxa"/>
            </w:tcMar>
            <w:vAlign w:val="center"/>
          </w:tcPr>
          <w:p w14:paraId="323FCDB1">
            <w:pPr>
              <w:jc w:val="center"/>
              <w:rPr>
                <w:sz w:val="21"/>
                <w:szCs w:val="21"/>
                <w:highlight w:val="none"/>
              </w:rPr>
            </w:pPr>
            <w:r>
              <w:rPr>
                <w:sz w:val="21"/>
                <w:szCs w:val="21"/>
                <w:highlight w:val="none"/>
              </w:rPr>
              <w:t>1.1</w:t>
            </w:r>
          </w:p>
        </w:tc>
        <w:tc>
          <w:tcPr>
            <w:tcW w:w="0" w:type="auto"/>
            <w:noWrap w:val="0"/>
            <w:vAlign w:val="center"/>
          </w:tcPr>
          <w:p w14:paraId="52A5595E">
            <w:pPr>
              <w:jc w:val="center"/>
              <w:rPr>
                <w:sz w:val="21"/>
                <w:szCs w:val="21"/>
                <w:highlight w:val="none"/>
              </w:rPr>
            </w:pPr>
            <w:r>
              <w:rPr>
                <w:sz w:val="21"/>
                <w:szCs w:val="21"/>
                <w:highlight w:val="none"/>
              </w:rPr>
              <w:t>连续</w:t>
            </w:r>
          </w:p>
        </w:tc>
        <w:tc>
          <w:tcPr>
            <w:tcW w:w="0" w:type="auto"/>
            <w:noWrap w:val="0"/>
            <w:vAlign w:val="center"/>
          </w:tcPr>
          <w:p w14:paraId="042E06ED">
            <w:pPr>
              <w:jc w:val="center"/>
              <w:rPr>
                <w:sz w:val="21"/>
                <w:szCs w:val="21"/>
                <w:highlight w:val="none"/>
              </w:rPr>
            </w:pPr>
            <w:r>
              <w:rPr>
                <w:sz w:val="21"/>
                <w:szCs w:val="21"/>
                <w:highlight w:val="none"/>
              </w:rPr>
              <w:t>排入大气</w:t>
            </w:r>
          </w:p>
        </w:tc>
      </w:tr>
      <w:tr w14:paraId="3E8B9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blHeader/>
          <w:jc w:val="center"/>
        </w:trPr>
        <w:tc>
          <w:tcPr>
            <w:tcW w:w="0" w:type="auto"/>
            <w:vMerge w:val="restart"/>
            <w:noWrap w:val="0"/>
            <w:tcMar>
              <w:left w:w="28" w:type="dxa"/>
              <w:right w:w="28" w:type="dxa"/>
            </w:tcMar>
            <w:vAlign w:val="center"/>
          </w:tcPr>
          <w:p w14:paraId="7F87BFCF">
            <w:pPr>
              <w:widowControl/>
              <w:snapToGrid w:val="0"/>
              <w:jc w:val="center"/>
              <w:rPr>
                <w:sz w:val="21"/>
                <w:szCs w:val="21"/>
                <w:highlight w:val="none"/>
              </w:rPr>
            </w:pPr>
            <w:r>
              <w:rPr>
                <w:sz w:val="21"/>
                <w:szCs w:val="21"/>
                <w:highlight w:val="none"/>
              </w:rPr>
              <w:t>化学品加工装置</w:t>
            </w:r>
          </w:p>
        </w:tc>
        <w:tc>
          <w:tcPr>
            <w:tcW w:w="0" w:type="auto"/>
            <w:noWrap w:val="0"/>
            <w:vAlign w:val="center"/>
          </w:tcPr>
          <w:p w14:paraId="6DA0596D">
            <w:pPr>
              <w:jc w:val="center"/>
              <w:rPr>
                <w:sz w:val="21"/>
                <w:szCs w:val="21"/>
                <w:highlight w:val="none"/>
              </w:rPr>
            </w:pPr>
            <w:r>
              <w:rPr>
                <w:sz w:val="21"/>
                <w:szCs w:val="21"/>
                <w:highlight w:val="none"/>
              </w:rPr>
              <w:t>加氢精制单元</w:t>
            </w:r>
          </w:p>
        </w:tc>
        <w:tc>
          <w:tcPr>
            <w:tcW w:w="0" w:type="auto"/>
            <w:noWrap w:val="0"/>
            <w:vAlign w:val="center"/>
          </w:tcPr>
          <w:p w14:paraId="70EBDC22">
            <w:pPr>
              <w:jc w:val="center"/>
              <w:rPr>
                <w:sz w:val="21"/>
                <w:szCs w:val="21"/>
                <w:highlight w:val="none"/>
              </w:rPr>
            </w:pPr>
            <w:r>
              <w:rPr>
                <w:sz w:val="21"/>
                <w:szCs w:val="21"/>
                <w:highlight w:val="none"/>
              </w:rPr>
              <w:t>加热炉烟气</w:t>
            </w:r>
          </w:p>
        </w:tc>
        <w:tc>
          <w:tcPr>
            <w:tcW w:w="0" w:type="auto"/>
            <w:noWrap w:val="0"/>
            <w:tcMar>
              <w:left w:w="28" w:type="dxa"/>
              <w:right w:w="28" w:type="dxa"/>
            </w:tcMar>
            <w:vAlign w:val="center"/>
          </w:tcPr>
          <w:p w14:paraId="7010177F">
            <w:pPr>
              <w:jc w:val="center"/>
              <w:rPr>
                <w:sz w:val="21"/>
                <w:szCs w:val="21"/>
                <w:highlight w:val="none"/>
              </w:rPr>
            </w:pPr>
            <w:r>
              <w:rPr>
                <w:sz w:val="21"/>
                <w:szCs w:val="21"/>
                <w:highlight w:val="none"/>
              </w:rPr>
              <w:t>烟尘</w:t>
            </w:r>
          </w:p>
          <w:p w14:paraId="10F92A14">
            <w:pPr>
              <w:jc w:val="center"/>
              <w:rPr>
                <w:sz w:val="21"/>
                <w:szCs w:val="21"/>
                <w:highlight w:val="none"/>
              </w:rPr>
            </w:pPr>
            <w:r>
              <w:rPr>
                <w:sz w:val="21"/>
                <w:szCs w:val="21"/>
                <w:highlight w:val="none"/>
              </w:rPr>
              <w:t>NOx</w:t>
            </w:r>
          </w:p>
          <w:p w14:paraId="398E1072">
            <w:pPr>
              <w:pStyle w:val="6"/>
              <w:ind w:firstLine="0" w:firstLineChars="0"/>
              <w:jc w:val="center"/>
              <w:rPr>
                <w:rFonts w:ascii="Times New Roman"/>
                <w:sz w:val="21"/>
                <w:szCs w:val="21"/>
                <w:highlight w:val="none"/>
              </w:rPr>
            </w:pPr>
            <w:r>
              <w:rPr>
                <w:rFonts w:ascii="Times New Roman"/>
                <w:kern w:val="2"/>
                <w:sz w:val="21"/>
                <w:szCs w:val="21"/>
                <w:highlight w:val="none"/>
              </w:rPr>
              <w:t>SO</w:t>
            </w:r>
            <w:r>
              <w:rPr>
                <w:rFonts w:ascii="Times New Roman"/>
                <w:kern w:val="2"/>
                <w:sz w:val="21"/>
                <w:szCs w:val="21"/>
                <w:highlight w:val="none"/>
                <w:vertAlign w:val="subscript"/>
              </w:rPr>
              <w:t>2</w:t>
            </w:r>
          </w:p>
        </w:tc>
        <w:tc>
          <w:tcPr>
            <w:tcW w:w="0" w:type="auto"/>
            <w:noWrap w:val="0"/>
            <w:tcMar>
              <w:left w:w="28" w:type="dxa"/>
              <w:right w:w="28" w:type="dxa"/>
            </w:tcMar>
            <w:vAlign w:val="center"/>
          </w:tcPr>
          <w:p w14:paraId="4675DE47">
            <w:pPr>
              <w:jc w:val="center"/>
              <w:rPr>
                <w:sz w:val="21"/>
                <w:szCs w:val="21"/>
                <w:highlight w:val="none"/>
              </w:rPr>
            </w:pPr>
            <w:r>
              <w:rPr>
                <w:sz w:val="21"/>
                <w:szCs w:val="21"/>
                <w:highlight w:val="none"/>
              </w:rPr>
              <w:t>/</w:t>
            </w:r>
          </w:p>
        </w:tc>
        <w:tc>
          <w:tcPr>
            <w:tcW w:w="0" w:type="auto"/>
            <w:noWrap w:val="0"/>
            <w:tcMar>
              <w:left w:w="28" w:type="dxa"/>
              <w:right w:w="28" w:type="dxa"/>
            </w:tcMar>
            <w:vAlign w:val="center"/>
          </w:tcPr>
          <w:p w14:paraId="07F57800">
            <w:pPr>
              <w:jc w:val="center"/>
              <w:rPr>
                <w:sz w:val="21"/>
                <w:szCs w:val="21"/>
                <w:highlight w:val="none"/>
              </w:rPr>
            </w:pPr>
            <w:r>
              <w:rPr>
                <w:sz w:val="21"/>
                <w:szCs w:val="21"/>
                <w:highlight w:val="none"/>
              </w:rPr>
              <w:t>39583</w:t>
            </w:r>
          </w:p>
        </w:tc>
        <w:tc>
          <w:tcPr>
            <w:tcW w:w="0" w:type="auto"/>
            <w:noWrap w:val="0"/>
            <w:tcMar>
              <w:left w:w="28" w:type="dxa"/>
              <w:right w:w="28" w:type="dxa"/>
            </w:tcMar>
            <w:vAlign w:val="center"/>
          </w:tcPr>
          <w:p w14:paraId="2D0FB5A4">
            <w:pPr>
              <w:jc w:val="center"/>
              <w:rPr>
                <w:sz w:val="21"/>
                <w:szCs w:val="21"/>
                <w:highlight w:val="none"/>
              </w:rPr>
            </w:pPr>
            <w:r>
              <w:rPr>
                <w:sz w:val="21"/>
                <w:szCs w:val="21"/>
                <w:highlight w:val="none"/>
              </w:rPr>
              <w:t>10.4</w:t>
            </w:r>
          </w:p>
          <w:p w14:paraId="47C4CB11">
            <w:pPr>
              <w:jc w:val="center"/>
              <w:rPr>
                <w:sz w:val="21"/>
                <w:szCs w:val="21"/>
                <w:highlight w:val="none"/>
              </w:rPr>
            </w:pPr>
            <w:r>
              <w:rPr>
                <w:sz w:val="21"/>
                <w:szCs w:val="21"/>
                <w:highlight w:val="none"/>
              </w:rPr>
              <w:t>98.3</w:t>
            </w:r>
          </w:p>
          <w:p w14:paraId="31E31758">
            <w:pPr>
              <w:jc w:val="center"/>
              <w:rPr>
                <w:sz w:val="21"/>
                <w:szCs w:val="21"/>
                <w:highlight w:val="none"/>
              </w:rPr>
            </w:pPr>
            <w:r>
              <w:rPr>
                <w:sz w:val="21"/>
                <w:szCs w:val="21"/>
                <w:highlight w:val="none"/>
              </w:rPr>
              <w:t>4.4</w:t>
            </w:r>
          </w:p>
        </w:tc>
        <w:tc>
          <w:tcPr>
            <w:tcW w:w="0" w:type="auto"/>
            <w:noWrap w:val="0"/>
            <w:tcMar>
              <w:left w:w="28" w:type="dxa"/>
              <w:right w:w="28" w:type="dxa"/>
            </w:tcMar>
            <w:vAlign w:val="center"/>
          </w:tcPr>
          <w:p w14:paraId="00327BC8">
            <w:pPr>
              <w:jc w:val="center"/>
              <w:rPr>
                <w:sz w:val="21"/>
                <w:szCs w:val="21"/>
                <w:highlight w:val="none"/>
              </w:rPr>
            </w:pPr>
            <w:r>
              <w:rPr>
                <w:sz w:val="21"/>
                <w:szCs w:val="21"/>
                <w:highlight w:val="none"/>
              </w:rPr>
              <w:t>1</w:t>
            </w:r>
          </w:p>
        </w:tc>
        <w:tc>
          <w:tcPr>
            <w:tcW w:w="0" w:type="auto"/>
            <w:noWrap w:val="0"/>
            <w:vAlign w:val="center"/>
          </w:tcPr>
          <w:p w14:paraId="127286B8">
            <w:pPr>
              <w:jc w:val="center"/>
              <w:rPr>
                <w:sz w:val="21"/>
                <w:szCs w:val="21"/>
                <w:highlight w:val="none"/>
              </w:rPr>
            </w:pPr>
            <w:r>
              <w:rPr>
                <w:sz w:val="21"/>
                <w:szCs w:val="21"/>
                <w:highlight w:val="none"/>
              </w:rPr>
              <w:t>50</w:t>
            </w:r>
          </w:p>
        </w:tc>
        <w:tc>
          <w:tcPr>
            <w:tcW w:w="0" w:type="auto"/>
            <w:noWrap w:val="0"/>
            <w:tcMar>
              <w:left w:w="28" w:type="dxa"/>
              <w:right w:w="28" w:type="dxa"/>
            </w:tcMar>
            <w:vAlign w:val="center"/>
          </w:tcPr>
          <w:p w14:paraId="25336B1F">
            <w:pPr>
              <w:jc w:val="center"/>
              <w:rPr>
                <w:sz w:val="21"/>
                <w:szCs w:val="21"/>
                <w:highlight w:val="none"/>
              </w:rPr>
            </w:pPr>
            <w:r>
              <w:rPr>
                <w:sz w:val="21"/>
                <w:szCs w:val="21"/>
                <w:highlight w:val="none"/>
              </w:rPr>
              <w:t>1.7</w:t>
            </w:r>
          </w:p>
        </w:tc>
        <w:tc>
          <w:tcPr>
            <w:tcW w:w="0" w:type="auto"/>
            <w:noWrap w:val="0"/>
            <w:vAlign w:val="center"/>
          </w:tcPr>
          <w:p w14:paraId="35052685">
            <w:pPr>
              <w:jc w:val="center"/>
              <w:rPr>
                <w:sz w:val="21"/>
                <w:szCs w:val="21"/>
                <w:highlight w:val="none"/>
              </w:rPr>
            </w:pPr>
            <w:r>
              <w:rPr>
                <w:sz w:val="21"/>
                <w:szCs w:val="21"/>
                <w:highlight w:val="none"/>
              </w:rPr>
              <w:t>连续</w:t>
            </w:r>
          </w:p>
        </w:tc>
        <w:tc>
          <w:tcPr>
            <w:tcW w:w="0" w:type="auto"/>
            <w:noWrap w:val="0"/>
            <w:vAlign w:val="center"/>
          </w:tcPr>
          <w:p w14:paraId="4B1891EA">
            <w:pPr>
              <w:jc w:val="center"/>
              <w:rPr>
                <w:sz w:val="21"/>
                <w:szCs w:val="21"/>
                <w:highlight w:val="none"/>
              </w:rPr>
            </w:pPr>
            <w:r>
              <w:rPr>
                <w:sz w:val="21"/>
                <w:szCs w:val="21"/>
                <w:highlight w:val="none"/>
              </w:rPr>
              <w:t>排入大气</w:t>
            </w:r>
          </w:p>
        </w:tc>
      </w:tr>
      <w:tr w14:paraId="66782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blHeader/>
          <w:jc w:val="center"/>
        </w:trPr>
        <w:tc>
          <w:tcPr>
            <w:tcW w:w="0" w:type="auto"/>
            <w:vMerge w:val="continue"/>
            <w:noWrap w:val="0"/>
            <w:tcMar>
              <w:left w:w="28" w:type="dxa"/>
              <w:right w:w="28" w:type="dxa"/>
            </w:tcMar>
            <w:vAlign w:val="center"/>
          </w:tcPr>
          <w:p w14:paraId="7919B2DE">
            <w:pPr>
              <w:widowControl/>
              <w:snapToGrid w:val="0"/>
              <w:jc w:val="center"/>
              <w:rPr>
                <w:sz w:val="21"/>
                <w:szCs w:val="21"/>
                <w:highlight w:val="none"/>
              </w:rPr>
            </w:pPr>
          </w:p>
        </w:tc>
        <w:tc>
          <w:tcPr>
            <w:tcW w:w="0" w:type="auto"/>
            <w:noWrap w:val="0"/>
            <w:vAlign w:val="center"/>
          </w:tcPr>
          <w:p w14:paraId="24C3A64E">
            <w:pPr>
              <w:jc w:val="center"/>
              <w:rPr>
                <w:sz w:val="21"/>
                <w:szCs w:val="21"/>
                <w:highlight w:val="none"/>
              </w:rPr>
            </w:pPr>
            <w:r>
              <w:rPr>
                <w:sz w:val="21"/>
                <w:szCs w:val="21"/>
                <w:highlight w:val="none"/>
              </w:rPr>
              <w:t>加氢裂化单元</w:t>
            </w:r>
          </w:p>
        </w:tc>
        <w:tc>
          <w:tcPr>
            <w:tcW w:w="0" w:type="auto"/>
            <w:noWrap w:val="0"/>
            <w:vAlign w:val="center"/>
          </w:tcPr>
          <w:p w14:paraId="1C55D61E">
            <w:pPr>
              <w:jc w:val="center"/>
              <w:rPr>
                <w:sz w:val="21"/>
                <w:szCs w:val="21"/>
                <w:highlight w:val="none"/>
              </w:rPr>
            </w:pPr>
            <w:r>
              <w:rPr>
                <w:sz w:val="21"/>
                <w:szCs w:val="21"/>
                <w:highlight w:val="none"/>
              </w:rPr>
              <w:t>加热炉烟气</w:t>
            </w:r>
          </w:p>
        </w:tc>
        <w:tc>
          <w:tcPr>
            <w:tcW w:w="0" w:type="auto"/>
            <w:noWrap w:val="0"/>
            <w:tcMar>
              <w:left w:w="28" w:type="dxa"/>
              <w:right w:w="28" w:type="dxa"/>
            </w:tcMar>
            <w:vAlign w:val="center"/>
          </w:tcPr>
          <w:p w14:paraId="640A8F92">
            <w:pPr>
              <w:jc w:val="center"/>
              <w:rPr>
                <w:sz w:val="21"/>
                <w:szCs w:val="21"/>
                <w:highlight w:val="none"/>
              </w:rPr>
            </w:pPr>
            <w:r>
              <w:rPr>
                <w:sz w:val="21"/>
                <w:szCs w:val="21"/>
                <w:highlight w:val="none"/>
              </w:rPr>
              <w:t>烟尘</w:t>
            </w:r>
          </w:p>
          <w:p w14:paraId="6701BD85">
            <w:pPr>
              <w:jc w:val="center"/>
              <w:rPr>
                <w:sz w:val="21"/>
                <w:szCs w:val="21"/>
                <w:highlight w:val="none"/>
              </w:rPr>
            </w:pPr>
            <w:r>
              <w:rPr>
                <w:sz w:val="21"/>
                <w:szCs w:val="21"/>
                <w:highlight w:val="none"/>
              </w:rPr>
              <w:t>NOx</w:t>
            </w:r>
          </w:p>
          <w:p w14:paraId="74675F8B">
            <w:pPr>
              <w:pStyle w:val="6"/>
              <w:ind w:firstLine="0" w:firstLineChars="0"/>
              <w:jc w:val="center"/>
              <w:rPr>
                <w:rFonts w:ascii="Times New Roman"/>
                <w:sz w:val="21"/>
                <w:szCs w:val="21"/>
                <w:highlight w:val="none"/>
              </w:rPr>
            </w:pPr>
            <w:r>
              <w:rPr>
                <w:rFonts w:ascii="Times New Roman"/>
                <w:kern w:val="2"/>
                <w:sz w:val="21"/>
                <w:szCs w:val="21"/>
                <w:highlight w:val="none"/>
              </w:rPr>
              <w:t>SO</w:t>
            </w:r>
            <w:r>
              <w:rPr>
                <w:rFonts w:ascii="Times New Roman"/>
                <w:kern w:val="2"/>
                <w:sz w:val="21"/>
                <w:szCs w:val="21"/>
                <w:highlight w:val="none"/>
                <w:vertAlign w:val="subscript"/>
              </w:rPr>
              <w:t>2</w:t>
            </w:r>
          </w:p>
        </w:tc>
        <w:tc>
          <w:tcPr>
            <w:tcW w:w="0" w:type="auto"/>
            <w:noWrap w:val="0"/>
            <w:tcMar>
              <w:left w:w="28" w:type="dxa"/>
              <w:right w:w="28" w:type="dxa"/>
            </w:tcMar>
            <w:vAlign w:val="center"/>
          </w:tcPr>
          <w:p w14:paraId="29401670">
            <w:pPr>
              <w:jc w:val="center"/>
              <w:rPr>
                <w:sz w:val="21"/>
                <w:szCs w:val="21"/>
                <w:highlight w:val="none"/>
              </w:rPr>
            </w:pPr>
            <w:r>
              <w:rPr>
                <w:sz w:val="21"/>
                <w:szCs w:val="21"/>
                <w:highlight w:val="none"/>
              </w:rPr>
              <w:t>/</w:t>
            </w:r>
          </w:p>
        </w:tc>
        <w:tc>
          <w:tcPr>
            <w:tcW w:w="0" w:type="auto"/>
            <w:noWrap w:val="0"/>
            <w:tcMar>
              <w:left w:w="28" w:type="dxa"/>
              <w:right w:w="28" w:type="dxa"/>
            </w:tcMar>
            <w:vAlign w:val="center"/>
          </w:tcPr>
          <w:p w14:paraId="7590A550">
            <w:pPr>
              <w:jc w:val="center"/>
              <w:rPr>
                <w:sz w:val="21"/>
                <w:szCs w:val="21"/>
                <w:highlight w:val="none"/>
              </w:rPr>
            </w:pPr>
            <w:r>
              <w:rPr>
                <w:sz w:val="21"/>
                <w:szCs w:val="21"/>
                <w:highlight w:val="none"/>
              </w:rPr>
              <w:t>41585</w:t>
            </w:r>
          </w:p>
        </w:tc>
        <w:tc>
          <w:tcPr>
            <w:tcW w:w="0" w:type="auto"/>
            <w:noWrap w:val="0"/>
            <w:tcMar>
              <w:left w:w="28" w:type="dxa"/>
              <w:right w:w="28" w:type="dxa"/>
            </w:tcMar>
            <w:vAlign w:val="center"/>
          </w:tcPr>
          <w:p w14:paraId="6A794EDA">
            <w:pPr>
              <w:jc w:val="center"/>
              <w:rPr>
                <w:sz w:val="21"/>
                <w:szCs w:val="21"/>
                <w:highlight w:val="none"/>
              </w:rPr>
            </w:pPr>
            <w:r>
              <w:rPr>
                <w:sz w:val="21"/>
                <w:szCs w:val="21"/>
                <w:highlight w:val="none"/>
              </w:rPr>
              <w:t>8.3</w:t>
            </w:r>
          </w:p>
          <w:p w14:paraId="506348F2">
            <w:pPr>
              <w:jc w:val="center"/>
              <w:rPr>
                <w:sz w:val="21"/>
                <w:szCs w:val="21"/>
                <w:highlight w:val="none"/>
              </w:rPr>
            </w:pPr>
            <w:r>
              <w:rPr>
                <w:sz w:val="21"/>
                <w:szCs w:val="21"/>
                <w:highlight w:val="none"/>
              </w:rPr>
              <w:t>97.4</w:t>
            </w:r>
          </w:p>
          <w:p w14:paraId="7692FC78">
            <w:pPr>
              <w:jc w:val="center"/>
              <w:rPr>
                <w:sz w:val="21"/>
                <w:szCs w:val="21"/>
                <w:highlight w:val="none"/>
              </w:rPr>
            </w:pPr>
            <w:r>
              <w:rPr>
                <w:sz w:val="21"/>
                <w:szCs w:val="21"/>
                <w:highlight w:val="none"/>
              </w:rPr>
              <w:t>4.1</w:t>
            </w:r>
          </w:p>
        </w:tc>
        <w:tc>
          <w:tcPr>
            <w:tcW w:w="0" w:type="auto"/>
            <w:noWrap w:val="0"/>
            <w:tcMar>
              <w:left w:w="28" w:type="dxa"/>
              <w:right w:w="28" w:type="dxa"/>
            </w:tcMar>
            <w:vAlign w:val="center"/>
          </w:tcPr>
          <w:p w14:paraId="02EC1E5D">
            <w:pPr>
              <w:jc w:val="center"/>
              <w:rPr>
                <w:sz w:val="21"/>
                <w:szCs w:val="21"/>
                <w:highlight w:val="none"/>
              </w:rPr>
            </w:pPr>
            <w:r>
              <w:rPr>
                <w:sz w:val="21"/>
                <w:szCs w:val="21"/>
                <w:highlight w:val="none"/>
              </w:rPr>
              <w:t>1</w:t>
            </w:r>
          </w:p>
        </w:tc>
        <w:tc>
          <w:tcPr>
            <w:tcW w:w="0" w:type="auto"/>
            <w:noWrap w:val="0"/>
            <w:vAlign w:val="center"/>
          </w:tcPr>
          <w:p w14:paraId="585DB670">
            <w:pPr>
              <w:jc w:val="center"/>
              <w:rPr>
                <w:sz w:val="21"/>
                <w:szCs w:val="21"/>
                <w:highlight w:val="none"/>
              </w:rPr>
            </w:pPr>
            <w:r>
              <w:rPr>
                <w:sz w:val="21"/>
                <w:szCs w:val="21"/>
                <w:highlight w:val="none"/>
              </w:rPr>
              <w:t>53</w:t>
            </w:r>
          </w:p>
        </w:tc>
        <w:tc>
          <w:tcPr>
            <w:tcW w:w="0" w:type="auto"/>
            <w:noWrap w:val="0"/>
            <w:tcMar>
              <w:left w:w="28" w:type="dxa"/>
              <w:right w:w="28" w:type="dxa"/>
            </w:tcMar>
            <w:vAlign w:val="center"/>
          </w:tcPr>
          <w:p w14:paraId="3D32467C">
            <w:pPr>
              <w:jc w:val="center"/>
              <w:rPr>
                <w:sz w:val="21"/>
                <w:szCs w:val="21"/>
                <w:highlight w:val="none"/>
              </w:rPr>
            </w:pPr>
            <w:r>
              <w:rPr>
                <w:sz w:val="21"/>
                <w:szCs w:val="21"/>
                <w:highlight w:val="none"/>
              </w:rPr>
              <w:t>1.4</w:t>
            </w:r>
          </w:p>
        </w:tc>
        <w:tc>
          <w:tcPr>
            <w:tcW w:w="0" w:type="auto"/>
            <w:noWrap w:val="0"/>
            <w:vAlign w:val="center"/>
          </w:tcPr>
          <w:p w14:paraId="6CC4BD6E">
            <w:pPr>
              <w:jc w:val="center"/>
              <w:rPr>
                <w:sz w:val="21"/>
                <w:szCs w:val="21"/>
                <w:highlight w:val="none"/>
              </w:rPr>
            </w:pPr>
            <w:r>
              <w:rPr>
                <w:sz w:val="21"/>
                <w:szCs w:val="21"/>
                <w:highlight w:val="none"/>
              </w:rPr>
              <w:t>连续</w:t>
            </w:r>
          </w:p>
        </w:tc>
        <w:tc>
          <w:tcPr>
            <w:tcW w:w="0" w:type="auto"/>
            <w:noWrap w:val="0"/>
            <w:vAlign w:val="center"/>
          </w:tcPr>
          <w:p w14:paraId="36BD3ACE">
            <w:pPr>
              <w:jc w:val="center"/>
              <w:rPr>
                <w:sz w:val="21"/>
                <w:szCs w:val="21"/>
                <w:highlight w:val="none"/>
              </w:rPr>
            </w:pPr>
            <w:r>
              <w:rPr>
                <w:sz w:val="21"/>
                <w:szCs w:val="21"/>
                <w:highlight w:val="none"/>
              </w:rPr>
              <w:t>排入大气</w:t>
            </w:r>
          </w:p>
        </w:tc>
      </w:tr>
      <w:tr w14:paraId="4AADE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blHeader/>
          <w:jc w:val="center"/>
        </w:trPr>
        <w:tc>
          <w:tcPr>
            <w:tcW w:w="0" w:type="auto"/>
            <w:noWrap w:val="0"/>
            <w:tcMar>
              <w:left w:w="28" w:type="dxa"/>
              <w:right w:w="28" w:type="dxa"/>
            </w:tcMar>
            <w:vAlign w:val="center"/>
          </w:tcPr>
          <w:p w14:paraId="5E5E6B37">
            <w:pPr>
              <w:widowControl/>
              <w:snapToGrid w:val="0"/>
              <w:jc w:val="center"/>
              <w:rPr>
                <w:sz w:val="21"/>
                <w:szCs w:val="21"/>
                <w:highlight w:val="none"/>
              </w:rPr>
            </w:pPr>
            <w:r>
              <w:rPr>
                <w:sz w:val="21"/>
                <w:szCs w:val="21"/>
                <w:highlight w:val="none"/>
              </w:rPr>
              <w:t>尾气制氢装置</w:t>
            </w:r>
          </w:p>
        </w:tc>
        <w:tc>
          <w:tcPr>
            <w:tcW w:w="0" w:type="auto"/>
            <w:noWrap w:val="0"/>
            <w:vAlign w:val="center"/>
          </w:tcPr>
          <w:p w14:paraId="677918AF">
            <w:pPr>
              <w:jc w:val="center"/>
              <w:rPr>
                <w:sz w:val="21"/>
                <w:szCs w:val="21"/>
                <w:highlight w:val="none"/>
              </w:rPr>
            </w:pPr>
            <w:r>
              <w:rPr>
                <w:sz w:val="21"/>
                <w:szCs w:val="21"/>
                <w:highlight w:val="none"/>
              </w:rPr>
              <w:t>尾气转化单元</w:t>
            </w:r>
          </w:p>
        </w:tc>
        <w:tc>
          <w:tcPr>
            <w:tcW w:w="0" w:type="auto"/>
            <w:noWrap w:val="0"/>
            <w:vAlign w:val="center"/>
          </w:tcPr>
          <w:p w14:paraId="0DDE8E29">
            <w:pPr>
              <w:jc w:val="center"/>
              <w:rPr>
                <w:sz w:val="21"/>
                <w:szCs w:val="21"/>
                <w:highlight w:val="none"/>
              </w:rPr>
            </w:pPr>
            <w:r>
              <w:rPr>
                <w:sz w:val="21"/>
                <w:szCs w:val="21"/>
                <w:highlight w:val="none"/>
              </w:rPr>
              <w:t>加热炉烟气</w:t>
            </w:r>
          </w:p>
        </w:tc>
        <w:tc>
          <w:tcPr>
            <w:tcW w:w="0" w:type="auto"/>
            <w:noWrap w:val="0"/>
            <w:tcMar>
              <w:left w:w="28" w:type="dxa"/>
              <w:right w:w="28" w:type="dxa"/>
            </w:tcMar>
            <w:vAlign w:val="center"/>
          </w:tcPr>
          <w:p w14:paraId="7C96E7BB">
            <w:pPr>
              <w:jc w:val="center"/>
              <w:rPr>
                <w:sz w:val="21"/>
                <w:szCs w:val="21"/>
                <w:highlight w:val="none"/>
              </w:rPr>
            </w:pPr>
            <w:r>
              <w:rPr>
                <w:sz w:val="21"/>
                <w:szCs w:val="21"/>
                <w:highlight w:val="none"/>
              </w:rPr>
              <w:t>烟尘</w:t>
            </w:r>
          </w:p>
          <w:p w14:paraId="1C943499">
            <w:pPr>
              <w:jc w:val="center"/>
              <w:rPr>
                <w:sz w:val="21"/>
                <w:szCs w:val="21"/>
                <w:highlight w:val="none"/>
              </w:rPr>
            </w:pPr>
            <w:r>
              <w:rPr>
                <w:sz w:val="21"/>
                <w:szCs w:val="21"/>
                <w:highlight w:val="none"/>
              </w:rPr>
              <w:t>NOx</w:t>
            </w:r>
          </w:p>
          <w:p w14:paraId="1F4CB218">
            <w:pPr>
              <w:jc w:val="center"/>
              <w:rPr>
                <w:sz w:val="21"/>
                <w:szCs w:val="21"/>
                <w:highlight w:val="none"/>
                <w:vertAlign w:val="subscript"/>
              </w:rPr>
            </w:pPr>
            <w:r>
              <w:rPr>
                <w:sz w:val="21"/>
                <w:szCs w:val="21"/>
                <w:highlight w:val="none"/>
              </w:rPr>
              <w:t>SO</w:t>
            </w:r>
            <w:r>
              <w:rPr>
                <w:sz w:val="21"/>
                <w:szCs w:val="21"/>
                <w:highlight w:val="none"/>
                <w:vertAlign w:val="subscript"/>
              </w:rPr>
              <w:t>2</w:t>
            </w:r>
          </w:p>
        </w:tc>
        <w:tc>
          <w:tcPr>
            <w:tcW w:w="0" w:type="auto"/>
            <w:noWrap w:val="0"/>
            <w:tcMar>
              <w:left w:w="28" w:type="dxa"/>
              <w:right w:w="28" w:type="dxa"/>
            </w:tcMar>
            <w:vAlign w:val="center"/>
          </w:tcPr>
          <w:p w14:paraId="2DAD8916">
            <w:pPr>
              <w:jc w:val="center"/>
              <w:rPr>
                <w:sz w:val="21"/>
                <w:szCs w:val="21"/>
                <w:highlight w:val="none"/>
              </w:rPr>
            </w:pPr>
            <w:r>
              <w:rPr>
                <w:sz w:val="21"/>
                <w:szCs w:val="21"/>
                <w:highlight w:val="none"/>
              </w:rPr>
              <w:t>/</w:t>
            </w:r>
          </w:p>
        </w:tc>
        <w:tc>
          <w:tcPr>
            <w:tcW w:w="0" w:type="auto"/>
            <w:noWrap w:val="0"/>
            <w:tcMar>
              <w:left w:w="28" w:type="dxa"/>
              <w:right w:w="28" w:type="dxa"/>
            </w:tcMar>
            <w:vAlign w:val="center"/>
          </w:tcPr>
          <w:p w14:paraId="17307D4C">
            <w:pPr>
              <w:jc w:val="center"/>
              <w:rPr>
                <w:sz w:val="21"/>
                <w:szCs w:val="21"/>
                <w:highlight w:val="none"/>
              </w:rPr>
            </w:pPr>
            <w:r>
              <w:rPr>
                <w:sz w:val="21"/>
                <w:szCs w:val="21"/>
                <w:highlight w:val="none"/>
              </w:rPr>
              <w:t>36330</w:t>
            </w:r>
          </w:p>
        </w:tc>
        <w:tc>
          <w:tcPr>
            <w:tcW w:w="0" w:type="auto"/>
            <w:noWrap w:val="0"/>
            <w:tcMar>
              <w:left w:w="28" w:type="dxa"/>
              <w:right w:w="28" w:type="dxa"/>
            </w:tcMar>
            <w:vAlign w:val="center"/>
          </w:tcPr>
          <w:p w14:paraId="6EDF48C1">
            <w:pPr>
              <w:jc w:val="center"/>
              <w:rPr>
                <w:sz w:val="21"/>
                <w:szCs w:val="21"/>
                <w:highlight w:val="none"/>
              </w:rPr>
            </w:pPr>
            <w:r>
              <w:rPr>
                <w:sz w:val="21"/>
                <w:szCs w:val="21"/>
                <w:highlight w:val="none"/>
              </w:rPr>
              <w:t>4.4</w:t>
            </w:r>
          </w:p>
          <w:p w14:paraId="7CF649B3">
            <w:pPr>
              <w:jc w:val="center"/>
              <w:rPr>
                <w:sz w:val="21"/>
                <w:szCs w:val="21"/>
                <w:highlight w:val="none"/>
              </w:rPr>
            </w:pPr>
            <w:r>
              <w:rPr>
                <w:sz w:val="21"/>
                <w:szCs w:val="21"/>
                <w:highlight w:val="none"/>
              </w:rPr>
              <w:t>50.0</w:t>
            </w:r>
          </w:p>
          <w:p w14:paraId="2F299FC1">
            <w:pPr>
              <w:jc w:val="center"/>
              <w:rPr>
                <w:sz w:val="21"/>
                <w:szCs w:val="21"/>
                <w:highlight w:val="none"/>
              </w:rPr>
            </w:pPr>
            <w:r>
              <w:rPr>
                <w:sz w:val="21"/>
                <w:szCs w:val="21"/>
                <w:highlight w:val="none"/>
              </w:rPr>
              <w:t>4.2</w:t>
            </w:r>
          </w:p>
        </w:tc>
        <w:tc>
          <w:tcPr>
            <w:tcW w:w="0" w:type="auto"/>
            <w:noWrap w:val="0"/>
            <w:tcMar>
              <w:left w:w="28" w:type="dxa"/>
              <w:right w:w="28" w:type="dxa"/>
            </w:tcMar>
            <w:vAlign w:val="center"/>
          </w:tcPr>
          <w:p w14:paraId="4860EA2E">
            <w:pPr>
              <w:jc w:val="center"/>
              <w:rPr>
                <w:sz w:val="21"/>
                <w:szCs w:val="21"/>
                <w:highlight w:val="none"/>
              </w:rPr>
            </w:pPr>
            <w:r>
              <w:rPr>
                <w:sz w:val="21"/>
                <w:szCs w:val="21"/>
                <w:highlight w:val="none"/>
              </w:rPr>
              <w:t>1</w:t>
            </w:r>
          </w:p>
        </w:tc>
        <w:tc>
          <w:tcPr>
            <w:tcW w:w="0" w:type="auto"/>
            <w:noWrap w:val="0"/>
            <w:vAlign w:val="center"/>
          </w:tcPr>
          <w:p w14:paraId="76FFFE27">
            <w:pPr>
              <w:jc w:val="center"/>
              <w:rPr>
                <w:sz w:val="21"/>
                <w:szCs w:val="21"/>
                <w:highlight w:val="none"/>
              </w:rPr>
            </w:pPr>
            <w:r>
              <w:rPr>
                <w:sz w:val="21"/>
                <w:szCs w:val="21"/>
                <w:highlight w:val="none"/>
              </w:rPr>
              <w:t>60</w:t>
            </w:r>
          </w:p>
        </w:tc>
        <w:tc>
          <w:tcPr>
            <w:tcW w:w="0" w:type="auto"/>
            <w:noWrap w:val="0"/>
            <w:tcMar>
              <w:left w:w="28" w:type="dxa"/>
              <w:right w:w="28" w:type="dxa"/>
            </w:tcMar>
            <w:vAlign w:val="center"/>
          </w:tcPr>
          <w:p w14:paraId="32DAFAF8">
            <w:pPr>
              <w:jc w:val="center"/>
              <w:rPr>
                <w:sz w:val="21"/>
                <w:szCs w:val="21"/>
                <w:highlight w:val="none"/>
              </w:rPr>
            </w:pPr>
            <w:r>
              <w:rPr>
                <w:sz w:val="21"/>
                <w:szCs w:val="21"/>
                <w:highlight w:val="none"/>
              </w:rPr>
              <w:t>0.8</w:t>
            </w:r>
          </w:p>
        </w:tc>
        <w:tc>
          <w:tcPr>
            <w:tcW w:w="0" w:type="auto"/>
            <w:noWrap w:val="0"/>
            <w:vAlign w:val="center"/>
          </w:tcPr>
          <w:p w14:paraId="6A820E44">
            <w:pPr>
              <w:jc w:val="center"/>
              <w:rPr>
                <w:sz w:val="21"/>
                <w:szCs w:val="21"/>
                <w:highlight w:val="none"/>
              </w:rPr>
            </w:pPr>
            <w:r>
              <w:rPr>
                <w:sz w:val="21"/>
                <w:szCs w:val="21"/>
                <w:highlight w:val="none"/>
              </w:rPr>
              <w:t>连续</w:t>
            </w:r>
          </w:p>
        </w:tc>
        <w:tc>
          <w:tcPr>
            <w:tcW w:w="0" w:type="auto"/>
            <w:noWrap w:val="0"/>
            <w:vAlign w:val="center"/>
          </w:tcPr>
          <w:p w14:paraId="212DAD1D">
            <w:pPr>
              <w:jc w:val="center"/>
              <w:rPr>
                <w:sz w:val="21"/>
                <w:szCs w:val="21"/>
                <w:highlight w:val="none"/>
              </w:rPr>
            </w:pPr>
            <w:r>
              <w:rPr>
                <w:sz w:val="21"/>
                <w:szCs w:val="21"/>
                <w:highlight w:val="none"/>
              </w:rPr>
              <w:t>排入大气</w:t>
            </w:r>
          </w:p>
        </w:tc>
      </w:tr>
      <w:tr w14:paraId="6F2F4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 w:hRule="atLeast"/>
          <w:tblHeader/>
          <w:jc w:val="center"/>
        </w:trPr>
        <w:tc>
          <w:tcPr>
            <w:tcW w:w="0" w:type="auto"/>
            <w:gridSpan w:val="2"/>
            <w:noWrap w:val="0"/>
            <w:tcMar>
              <w:left w:w="28" w:type="dxa"/>
              <w:right w:w="28" w:type="dxa"/>
            </w:tcMar>
            <w:vAlign w:val="center"/>
          </w:tcPr>
          <w:p w14:paraId="5490B752">
            <w:pPr>
              <w:jc w:val="center"/>
              <w:rPr>
                <w:rFonts w:hint="eastAsia" w:eastAsia="宋体"/>
                <w:sz w:val="21"/>
                <w:szCs w:val="21"/>
                <w:highlight w:val="none"/>
                <w:lang w:val="en-US" w:eastAsia="zh-CN"/>
              </w:rPr>
            </w:pPr>
            <w:r>
              <w:rPr>
                <w:sz w:val="21"/>
                <w:szCs w:val="21"/>
                <w:highlight w:val="none"/>
              </w:rPr>
              <w:t>污水处理</w:t>
            </w:r>
            <w:r>
              <w:rPr>
                <w:rFonts w:hint="eastAsia"/>
                <w:sz w:val="21"/>
                <w:szCs w:val="21"/>
                <w:highlight w:val="none"/>
                <w:lang w:val="en-US" w:eastAsia="zh-CN"/>
              </w:rPr>
              <w:t>厂</w:t>
            </w:r>
          </w:p>
        </w:tc>
        <w:tc>
          <w:tcPr>
            <w:tcW w:w="0" w:type="auto"/>
            <w:noWrap w:val="0"/>
            <w:vAlign w:val="center"/>
          </w:tcPr>
          <w:p w14:paraId="3400CAA8">
            <w:pPr>
              <w:jc w:val="center"/>
              <w:rPr>
                <w:sz w:val="21"/>
                <w:szCs w:val="21"/>
                <w:highlight w:val="none"/>
              </w:rPr>
            </w:pPr>
            <w:r>
              <w:rPr>
                <w:sz w:val="21"/>
                <w:szCs w:val="21"/>
                <w:highlight w:val="none"/>
              </w:rPr>
              <w:t>臭气</w:t>
            </w:r>
          </w:p>
        </w:tc>
        <w:tc>
          <w:tcPr>
            <w:tcW w:w="0" w:type="auto"/>
            <w:noWrap w:val="0"/>
            <w:tcMar>
              <w:left w:w="28" w:type="dxa"/>
              <w:right w:w="28" w:type="dxa"/>
            </w:tcMar>
            <w:vAlign w:val="center"/>
          </w:tcPr>
          <w:p w14:paraId="07D5F337">
            <w:pPr>
              <w:jc w:val="center"/>
              <w:rPr>
                <w:sz w:val="21"/>
                <w:szCs w:val="21"/>
                <w:highlight w:val="none"/>
              </w:rPr>
            </w:pPr>
            <w:r>
              <w:rPr>
                <w:sz w:val="21"/>
                <w:szCs w:val="21"/>
                <w:highlight w:val="none"/>
                <w:lang w:val="pt-BR"/>
              </w:rPr>
              <w:t>H</w:t>
            </w:r>
            <w:r>
              <w:rPr>
                <w:sz w:val="21"/>
                <w:szCs w:val="21"/>
                <w:highlight w:val="none"/>
                <w:vertAlign w:val="subscript"/>
                <w:lang w:val="pt-BR"/>
              </w:rPr>
              <w:t>2</w:t>
            </w:r>
            <w:r>
              <w:rPr>
                <w:sz w:val="21"/>
                <w:szCs w:val="21"/>
                <w:highlight w:val="none"/>
                <w:lang w:val="pt-BR"/>
              </w:rPr>
              <w:t>S</w:t>
            </w:r>
          </w:p>
          <w:p w14:paraId="2073C3A6">
            <w:pPr>
              <w:jc w:val="center"/>
              <w:rPr>
                <w:sz w:val="21"/>
                <w:szCs w:val="21"/>
                <w:highlight w:val="none"/>
              </w:rPr>
            </w:pPr>
            <w:r>
              <w:rPr>
                <w:sz w:val="21"/>
                <w:szCs w:val="21"/>
                <w:highlight w:val="none"/>
              </w:rPr>
              <w:t>NH</w:t>
            </w:r>
            <w:r>
              <w:rPr>
                <w:sz w:val="21"/>
                <w:szCs w:val="21"/>
                <w:highlight w:val="none"/>
                <w:vertAlign w:val="subscript"/>
              </w:rPr>
              <w:t>3</w:t>
            </w:r>
          </w:p>
          <w:p w14:paraId="176B8B82">
            <w:pPr>
              <w:jc w:val="center"/>
              <w:rPr>
                <w:sz w:val="21"/>
                <w:szCs w:val="21"/>
                <w:highlight w:val="none"/>
              </w:rPr>
            </w:pPr>
            <w:r>
              <w:rPr>
                <w:sz w:val="21"/>
                <w:szCs w:val="21"/>
                <w:highlight w:val="none"/>
              </w:rPr>
              <w:t>臭气</w:t>
            </w:r>
          </w:p>
        </w:tc>
        <w:tc>
          <w:tcPr>
            <w:tcW w:w="0" w:type="auto"/>
            <w:noWrap w:val="0"/>
            <w:tcMar>
              <w:left w:w="28" w:type="dxa"/>
              <w:right w:w="28" w:type="dxa"/>
            </w:tcMar>
            <w:vAlign w:val="center"/>
          </w:tcPr>
          <w:p w14:paraId="06EFB6CE">
            <w:pPr>
              <w:jc w:val="center"/>
              <w:rPr>
                <w:sz w:val="21"/>
                <w:szCs w:val="21"/>
                <w:highlight w:val="none"/>
              </w:rPr>
            </w:pPr>
            <w:r>
              <w:rPr>
                <w:sz w:val="21"/>
                <w:szCs w:val="21"/>
                <w:highlight w:val="none"/>
              </w:rPr>
              <w:t>产生的恶臭气体通过对构筑物封闭加盖</w:t>
            </w:r>
            <w:r>
              <w:rPr>
                <w:rFonts w:hint="eastAsia"/>
                <w:sz w:val="21"/>
                <w:szCs w:val="21"/>
                <w:highlight w:val="none"/>
                <w:lang w:val="en-US" w:eastAsia="zh-CN"/>
              </w:rPr>
              <w:t>的</w:t>
            </w:r>
            <w:r>
              <w:rPr>
                <w:sz w:val="21"/>
                <w:szCs w:val="21"/>
                <w:highlight w:val="none"/>
              </w:rPr>
              <w:t>收集系统收集后，采用生物法处理。</w:t>
            </w:r>
          </w:p>
        </w:tc>
        <w:tc>
          <w:tcPr>
            <w:tcW w:w="0" w:type="auto"/>
            <w:noWrap w:val="0"/>
            <w:tcMar>
              <w:left w:w="28" w:type="dxa"/>
              <w:right w:w="28" w:type="dxa"/>
            </w:tcMar>
            <w:vAlign w:val="center"/>
          </w:tcPr>
          <w:p w14:paraId="2A54F70A">
            <w:pPr>
              <w:jc w:val="center"/>
              <w:rPr>
                <w:sz w:val="21"/>
                <w:szCs w:val="21"/>
                <w:highlight w:val="none"/>
              </w:rPr>
            </w:pPr>
            <w:r>
              <w:rPr>
                <w:sz w:val="21"/>
                <w:szCs w:val="21"/>
                <w:highlight w:val="none"/>
              </w:rPr>
              <w:t>46982</w:t>
            </w:r>
          </w:p>
        </w:tc>
        <w:tc>
          <w:tcPr>
            <w:tcW w:w="0" w:type="auto"/>
            <w:noWrap w:val="0"/>
            <w:tcMar>
              <w:left w:w="28" w:type="dxa"/>
              <w:right w:w="28" w:type="dxa"/>
            </w:tcMar>
            <w:vAlign w:val="center"/>
          </w:tcPr>
          <w:p w14:paraId="48A52618">
            <w:pPr>
              <w:jc w:val="center"/>
              <w:rPr>
                <w:sz w:val="21"/>
                <w:szCs w:val="21"/>
                <w:highlight w:val="none"/>
              </w:rPr>
            </w:pPr>
            <w:r>
              <w:rPr>
                <w:sz w:val="21"/>
                <w:szCs w:val="21"/>
                <w:highlight w:val="none"/>
              </w:rPr>
              <w:t>0.0006</w:t>
            </w:r>
          </w:p>
          <w:p w14:paraId="28523570">
            <w:pPr>
              <w:jc w:val="center"/>
              <w:rPr>
                <w:sz w:val="21"/>
                <w:szCs w:val="21"/>
                <w:highlight w:val="none"/>
              </w:rPr>
            </w:pPr>
            <w:r>
              <w:rPr>
                <w:sz w:val="21"/>
                <w:szCs w:val="21"/>
                <w:highlight w:val="none"/>
              </w:rPr>
              <w:t>0.2</w:t>
            </w:r>
          </w:p>
          <w:p w14:paraId="580F3E3C">
            <w:pPr>
              <w:jc w:val="center"/>
              <w:rPr>
                <w:sz w:val="21"/>
                <w:szCs w:val="21"/>
                <w:highlight w:val="none"/>
              </w:rPr>
            </w:pPr>
            <w:r>
              <w:rPr>
                <w:sz w:val="21"/>
                <w:szCs w:val="21"/>
                <w:highlight w:val="none"/>
              </w:rPr>
              <w:t>309</w:t>
            </w:r>
          </w:p>
        </w:tc>
        <w:tc>
          <w:tcPr>
            <w:tcW w:w="0" w:type="auto"/>
            <w:noWrap w:val="0"/>
            <w:tcMar>
              <w:left w:w="28" w:type="dxa"/>
              <w:right w:w="28" w:type="dxa"/>
            </w:tcMar>
            <w:vAlign w:val="center"/>
          </w:tcPr>
          <w:p w14:paraId="4199965A">
            <w:pPr>
              <w:jc w:val="center"/>
              <w:rPr>
                <w:sz w:val="21"/>
                <w:szCs w:val="21"/>
                <w:highlight w:val="none"/>
              </w:rPr>
            </w:pPr>
            <w:r>
              <w:rPr>
                <w:sz w:val="21"/>
                <w:szCs w:val="21"/>
                <w:highlight w:val="none"/>
              </w:rPr>
              <w:t>1</w:t>
            </w:r>
          </w:p>
        </w:tc>
        <w:tc>
          <w:tcPr>
            <w:tcW w:w="0" w:type="auto"/>
            <w:noWrap w:val="0"/>
            <w:vAlign w:val="center"/>
          </w:tcPr>
          <w:p w14:paraId="6AB6AA33">
            <w:pPr>
              <w:jc w:val="center"/>
              <w:rPr>
                <w:sz w:val="21"/>
                <w:szCs w:val="21"/>
                <w:highlight w:val="none"/>
              </w:rPr>
            </w:pPr>
            <w:r>
              <w:rPr>
                <w:sz w:val="21"/>
                <w:szCs w:val="21"/>
                <w:highlight w:val="none"/>
              </w:rPr>
              <w:t>25</w:t>
            </w:r>
          </w:p>
        </w:tc>
        <w:tc>
          <w:tcPr>
            <w:tcW w:w="0" w:type="auto"/>
            <w:noWrap w:val="0"/>
            <w:tcMar>
              <w:left w:w="28" w:type="dxa"/>
              <w:right w:w="28" w:type="dxa"/>
            </w:tcMar>
            <w:vAlign w:val="center"/>
          </w:tcPr>
          <w:p w14:paraId="14CEE770">
            <w:pPr>
              <w:jc w:val="center"/>
              <w:rPr>
                <w:sz w:val="21"/>
                <w:szCs w:val="21"/>
                <w:highlight w:val="none"/>
              </w:rPr>
            </w:pPr>
            <w:r>
              <w:rPr>
                <w:sz w:val="21"/>
                <w:szCs w:val="21"/>
                <w:highlight w:val="none"/>
              </w:rPr>
              <w:t>0.3</w:t>
            </w:r>
          </w:p>
        </w:tc>
        <w:tc>
          <w:tcPr>
            <w:tcW w:w="0" w:type="auto"/>
            <w:noWrap w:val="0"/>
            <w:vAlign w:val="center"/>
          </w:tcPr>
          <w:p w14:paraId="5E9664A7">
            <w:pPr>
              <w:jc w:val="center"/>
              <w:rPr>
                <w:sz w:val="21"/>
                <w:szCs w:val="21"/>
                <w:highlight w:val="none"/>
              </w:rPr>
            </w:pPr>
            <w:r>
              <w:rPr>
                <w:sz w:val="21"/>
                <w:szCs w:val="21"/>
                <w:highlight w:val="none"/>
              </w:rPr>
              <w:t>连续</w:t>
            </w:r>
          </w:p>
        </w:tc>
        <w:tc>
          <w:tcPr>
            <w:tcW w:w="0" w:type="auto"/>
            <w:noWrap w:val="0"/>
            <w:vAlign w:val="center"/>
          </w:tcPr>
          <w:p w14:paraId="536DA742">
            <w:pPr>
              <w:jc w:val="center"/>
              <w:rPr>
                <w:sz w:val="21"/>
                <w:szCs w:val="21"/>
                <w:highlight w:val="none"/>
              </w:rPr>
            </w:pPr>
            <w:r>
              <w:rPr>
                <w:sz w:val="21"/>
                <w:szCs w:val="21"/>
                <w:highlight w:val="none"/>
              </w:rPr>
              <w:t>排入大气</w:t>
            </w:r>
          </w:p>
        </w:tc>
      </w:tr>
    </w:tbl>
    <w:p w14:paraId="7AD81582">
      <w:pPr>
        <w:ind w:firstLine="420"/>
        <w:jc w:val="center"/>
        <w:rPr>
          <w:szCs w:val="21"/>
          <w:highlight w:val="none"/>
        </w:rPr>
      </w:pPr>
      <w:r>
        <w:rPr>
          <w:b/>
          <w:bCs/>
          <w:szCs w:val="21"/>
          <w:highlight w:val="none"/>
        </w:rPr>
        <w:t>表</w:t>
      </w:r>
      <w:r>
        <w:rPr>
          <w:rFonts w:hint="eastAsia"/>
          <w:b/>
          <w:bCs/>
          <w:szCs w:val="21"/>
          <w:highlight w:val="none"/>
          <w:lang w:val="en-US" w:eastAsia="zh-CN"/>
        </w:rPr>
        <w:t>3-5</w:t>
      </w:r>
      <w:r>
        <w:rPr>
          <w:b/>
          <w:bCs/>
          <w:szCs w:val="21"/>
          <w:highlight w:val="none"/>
        </w:rPr>
        <w:t>（2）</w:t>
      </w:r>
      <w:r>
        <w:rPr>
          <w:rFonts w:hint="eastAsia"/>
          <w:b/>
          <w:bCs/>
          <w:szCs w:val="21"/>
          <w:highlight w:val="none"/>
          <w:lang w:val="en-US" w:eastAsia="zh-CN"/>
        </w:rPr>
        <w:t xml:space="preserve">   </w:t>
      </w:r>
      <w:r>
        <w:rPr>
          <w:b/>
          <w:bCs/>
          <w:szCs w:val="21"/>
          <w:highlight w:val="none"/>
        </w:rPr>
        <w:t>现有项目废气污染物排放达标分析一览表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898"/>
        <w:gridCol w:w="1202"/>
        <w:gridCol w:w="847"/>
        <w:gridCol w:w="1064"/>
        <w:gridCol w:w="775"/>
        <w:gridCol w:w="1012"/>
        <w:gridCol w:w="426"/>
        <w:gridCol w:w="531"/>
        <w:gridCol w:w="717"/>
        <w:gridCol w:w="775"/>
        <w:gridCol w:w="1107"/>
        <w:gridCol w:w="689"/>
        <w:gridCol w:w="3069"/>
      </w:tblGrid>
      <w:tr w14:paraId="27041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4" w:type="dxa"/>
            <w:gridSpan w:val="2"/>
            <w:vMerge w:val="restart"/>
            <w:noWrap w:val="0"/>
            <w:vAlign w:val="center"/>
          </w:tcPr>
          <w:p w14:paraId="70B0D502">
            <w:pPr>
              <w:pStyle w:val="6"/>
              <w:ind w:firstLine="0" w:firstLineChars="0"/>
              <w:jc w:val="center"/>
              <w:rPr>
                <w:rFonts w:ascii="Times New Roman"/>
                <w:sz w:val="21"/>
                <w:szCs w:val="21"/>
                <w:highlight w:val="none"/>
              </w:rPr>
            </w:pPr>
            <w:r>
              <w:rPr>
                <w:rFonts w:ascii="Times New Roman"/>
                <w:kern w:val="2"/>
                <w:sz w:val="21"/>
                <w:szCs w:val="21"/>
                <w:highlight w:val="none"/>
              </w:rPr>
              <w:t>装置名称</w:t>
            </w:r>
          </w:p>
        </w:tc>
        <w:tc>
          <w:tcPr>
            <w:tcW w:w="1202" w:type="dxa"/>
            <w:vMerge w:val="restart"/>
            <w:noWrap w:val="0"/>
            <w:vAlign w:val="center"/>
          </w:tcPr>
          <w:p w14:paraId="007D18EC">
            <w:pPr>
              <w:pStyle w:val="6"/>
              <w:ind w:firstLine="0" w:firstLineChars="0"/>
              <w:jc w:val="center"/>
              <w:rPr>
                <w:rFonts w:ascii="Times New Roman"/>
                <w:kern w:val="2"/>
                <w:sz w:val="21"/>
                <w:szCs w:val="21"/>
                <w:highlight w:val="none"/>
              </w:rPr>
            </w:pPr>
            <w:r>
              <w:rPr>
                <w:rFonts w:ascii="Times New Roman"/>
                <w:kern w:val="2"/>
                <w:sz w:val="21"/>
                <w:szCs w:val="21"/>
                <w:highlight w:val="none"/>
              </w:rPr>
              <w:t>污染源</w:t>
            </w:r>
          </w:p>
        </w:tc>
        <w:tc>
          <w:tcPr>
            <w:tcW w:w="781" w:type="dxa"/>
            <w:vMerge w:val="restart"/>
            <w:noWrap w:val="0"/>
            <w:vAlign w:val="center"/>
          </w:tcPr>
          <w:p w14:paraId="07E76104">
            <w:pPr>
              <w:jc w:val="center"/>
              <w:rPr>
                <w:sz w:val="21"/>
                <w:szCs w:val="21"/>
                <w:highlight w:val="none"/>
              </w:rPr>
            </w:pPr>
            <w:r>
              <w:rPr>
                <w:sz w:val="21"/>
                <w:szCs w:val="21"/>
                <w:highlight w:val="none"/>
              </w:rPr>
              <w:t>主要污染物名称</w:t>
            </w:r>
          </w:p>
        </w:tc>
        <w:tc>
          <w:tcPr>
            <w:tcW w:w="2747" w:type="dxa"/>
            <w:gridSpan w:val="3"/>
            <w:noWrap w:val="0"/>
            <w:vAlign w:val="center"/>
          </w:tcPr>
          <w:p w14:paraId="4781314C">
            <w:pPr>
              <w:pStyle w:val="6"/>
              <w:ind w:firstLine="0" w:firstLineChars="0"/>
              <w:jc w:val="center"/>
              <w:rPr>
                <w:rFonts w:ascii="Times New Roman"/>
                <w:sz w:val="21"/>
                <w:szCs w:val="21"/>
                <w:highlight w:val="none"/>
              </w:rPr>
            </w:pPr>
            <w:r>
              <w:rPr>
                <w:rFonts w:ascii="Times New Roman"/>
                <w:kern w:val="2"/>
                <w:sz w:val="21"/>
                <w:szCs w:val="21"/>
                <w:highlight w:val="none"/>
              </w:rPr>
              <w:t>主要污染物排放</w:t>
            </w:r>
          </w:p>
        </w:tc>
        <w:tc>
          <w:tcPr>
            <w:tcW w:w="1644" w:type="dxa"/>
            <w:gridSpan w:val="3"/>
            <w:noWrap w:val="0"/>
            <w:vAlign w:val="center"/>
          </w:tcPr>
          <w:p w14:paraId="1B920064">
            <w:pPr>
              <w:pStyle w:val="6"/>
              <w:ind w:firstLine="0" w:firstLineChars="0"/>
              <w:jc w:val="center"/>
              <w:rPr>
                <w:rFonts w:ascii="Times New Roman"/>
                <w:sz w:val="21"/>
                <w:szCs w:val="21"/>
                <w:highlight w:val="none"/>
              </w:rPr>
            </w:pPr>
            <w:r>
              <w:rPr>
                <w:rFonts w:ascii="Times New Roman"/>
                <w:kern w:val="2"/>
                <w:sz w:val="21"/>
                <w:szCs w:val="21"/>
                <w:highlight w:val="none"/>
              </w:rPr>
              <w:t>排气筒</w:t>
            </w:r>
          </w:p>
        </w:tc>
        <w:tc>
          <w:tcPr>
            <w:tcW w:w="5561" w:type="dxa"/>
            <w:gridSpan w:val="4"/>
            <w:noWrap w:val="0"/>
            <w:vAlign w:val="center"/>
          </w:tcPr>
          <w:p w14:paraId="7FF08531">
            <w:pPr>
              <w:pStyle w:val="6"/>
              <w:ind w:firstLine="0" w:firstLineChars="0"/>
              <w:jc w:val="center"/>
              <w:rPr>
                <w:rFonts w:ascii="Times New Roman"/>
                <w:sz w:val="21"/>
                <w:szCs w:val="21"/>
                <w:highlight w:val="none"/>
              </w:rPr>
            </w:pPr>
            <w:r>
              <w:rPr>
                <w:rFonts w:ascii="Times New Roman"/>
                <w:kern w:val="2"/>
                <w:sz w:val="21"/>
                <w:szCs w:val="21"/>
                <w:highlight w:val="none"/>
              </w:rPr>
              <w:t>现行标准达标情况</w:t>
            </w:r>
          </w:p>
        </w:tc>
      </w:tr>
      <w:tr w14:paraId="5BB50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4" w:type="dxa"/>
            <w:gridSpan w:val="2"/>
            <w:vMerge w:val="continue"/>
            <w:noWrap w:val="0"/>
            <w:vAlign w:val="center"/>
          </w:tcPr>
          <w:p w14:paraId="2083F200">
            <w:pPr>
              <w:pStyle w:val="6"/>
              <w:ind w:firstLine="0" w:firstLineChars="0"/>
              <w:jc w:val="center"/>
              <w:rPr>
                <w:rFonts w:ascii="Times New Roman"/>
                <w:sz w:val="21"/>
                <w:szCs w:val="21"/>
                <w:highlight w:val="none"/>
              </w:rPr>
            </w:pPr>
          </w:p>
        </w:tc>
        <w:tc>
          <w:tcPr>
            <w:tcW w:w="1202" w:type="dxa"/>
            <w:vMerge w:val="continue"/>
            <w:noWrap w:val="0"/>
            <w:vAlign w:val="center"/>
          </w:tcPr>
          <w:p w14:paraId="4ADC91BB">
            <w:pPr>
              <w:pStyle w:val="6"/>
              <w:ind w:firstLine="0" w:firstLineChars="0"/>
              <w:jc w:val="center"/>
              <w:rPr>
                <w:rFonts w:ascii="Times New Roman"/>
                <w:sz w:val="21"/>
                <w:szCs w:val="21"/>
                <w:highlight w:val="none"/>
              </w:rPr>
            </w:pPr>
          </w:p>
        </w:tc>
        <w:tc>
          <w:tcPr>
            <w:tcW w:w="781" w:type="dxa"/>
            <w:vMerge w:val="continue"/>
            <w:noWrap w:val="0"/>
            <w:vAlign w:val="center"/>
          </w:tcPr>
          <w:p w14:paraId="6AB6D7DF">
            <w:pPr>
              <w:pStyle w:val="6"/>
              <w:ind w:firstLine="0" w:firstLineChars="0"/>
              <w:jc w:val="center"/>
              <w:rPr>
                <w:rFonts w:ascii="Times New Roman"/>
                <w:sz w:val="21"/>
                <w:szCs w:val="21"/>
                <w:highlight w:val="none"/>
              </w:rPr>
            </w:pPr>
          </w:p>
        </w:tc>
        <w:tc>
          <w:tcPr>
            <w:tcW w:w="1064" w:type="dxa"/>
            <w:vMerge w:val="restart"/>
            <w:noWrap w:val="0"/>
            <w:vAlign w:val="center"/>
          </w:tcPr>
          <w:p w14:paraId="658A980D">
            <w:pPr>
              <w:jc w:val="center"/>
              <w:rPr>
                <w:sz w:val="21"/>
                <w:szCs w:val="21"/>
                <w:highlight w:val="none"/>
              </w:rPr>
            </w:pPr>
            <w:r>
              <w:rPr>
                <w:sz w:val="21"/>
                <w:szCs w:val="21"/>
                <w:highlight w:val="none"/>
              </w:rPr>
              <w:t>烟气量</w:t>
            </w:r>
          </w:p>
          <w:p w14:paraId="38E9255B">
            <w:pPr>
              <w:pStyle w:val="6"/>
              <w:ind w:firstLine="0" w:firstLineChars="0"/>
              <w:jc w:val="center"/>
              <w:rPr>
                <w:rFonts w:ascii="Times New Roman"/>
                <w:sz w:val="21"/>
                <w:szCs w:val="21"/>
                <w:highlight w:val="none"/>
              </w:rPr>
            </w:pPr>
            <w:r>
              <w:rPr>
                <w:rFonts w:ascii="Times New Roman"/>
                <w:kern w:val="2"/>
                <w:sz w:val="21"/>
                <w:szCs w:val="21"/>
                <w:highlight w:val="none"/>
              </w:rPr>
              <w:t>m</w:t>
            </w:r>
            <w:r>
              <w:rPr>
                <w:rFonts w:ascii="Times New Roman"/>
                <w:kern w:val="2"/>
                <w:sz w:val="21"/>
                <w:szCs w:val="21"/>
                <w:highlight w:val="none"/>
                <w:vertAlign w:val="superscript"/>
              </w:rPr>
              <w:t>3</w:t>
            </w:r>
            <w:r>
              <w:rPr>
                <w:rFonts w:ascii="Times New Roman"/>
                <w:kern w:val="2"/>
                <w:sz w:val="21"/>
                <w:szCs w:val="21"/>
                <w:highlight w:val="none"/>
              </w:rPr>
              <w:t>/h</w:t>
            </w:r>
          </w:p>
        </w:tc>
        <w:tc>
          <w:tcPr>
            <w:tcW w:w="695" w:type="dxa"/>
            <w:vMerge w:val="restart"/>
            <w:noWrap w:val="0"/>
            <w:vAlign w:val="center"/>
          </w:tcPr>
          <w:p w14:paraId="307300B6">
            <w:pPr>
              <w:jc w:val="center"/>
              <w:rPr>
                <w:sz w:val="21"/>
                <w:szCs w:val="21"/>
                <w:highlight w:val="none"/>
              </w:rPr>
            </w:pPr>
            <w:r>
              <w:rPr>
                <w:sz w:val="21"/>
                <w:szCs w:val="21"/>
                <w:highlight w:val="none"/>
              </w:rPr>
              <w:t>浓度</w:t>
            </w:r>
          </w:p>
          <w:p w14:paraId="5EED07E9">
            <w:pPr>
              <w:pStyle w:val="6"/>
              <w:ind w:firstLine="0" w:firstLineChars="0"/>
              <w:jc w:val="center"/>
              <w:rPr>
                <w:rFonts w:ascii="Times New Roman"/>
                <w:sz w:val="21"/>
                <w:szCs w:val="21"/>
                <w:highlight w:val="none"/>
              </w:rPr>
            </w:pPr>
            <w:r>
              <w:rPr>
                <w:rFonts w:ascii="Times New Roman"/>
                <w:kern w:val="2"/>
                <w:sz w:val="21"/>
                <w:szCs w:val="21"/>
                <w:highlight w:val="none"/>
              </w:rPr>
              <w:t>mg/m</w:t>
            </w:r>
            <w:r>
              <w:rPr>
                <w:rFonts w:ascii="Times New Roman"/>
                <w:kern w:val="2"/>
                <w:sz w:val="21"/>
                <w:szCs w:val="21"/>
                <w:highlight w:val="none"/>
                <w:vertAlign w:val="superscript"/>
              </w:rPr>
              <w:t>3</w:t>
            </w:r>
          </w:p>
        </w:tc>
        <w:tc>
          <w:tcPr>
            <w:tcW w:w="988" w:type="dxa"/>
            <w:vMerge w:val="restart"/>
            <w:noWrap w:val="0"/>
            <w:vAlign w:val="center"/>
          </w:tcPr>
          <w:p w14:paraId="1E2960DF">
            <w:pPr>
              <w:jc w:val="center"/>
              <w:rPr>
                <w:sz w:val="21"/>
                <w:szCs w:val="21"/>
                <w:highlight w:val="none"/>
              </w:rPr>
            </w:pPr>
            <w:r>
              <w:rPr>
                <w:sz w:val="21"/>
                <w:szCs w:val="21"/>
                <w:highlight w:val="none"/>
              </w:rPr>
              <w:t>速率</w:t>
            </w:r>
          </w:p>
          <w:p w14:paraId="04E23937">
            <w:pPr>
              <w:pStyle w:val="6"/>
              <w:ind w:firstLine="0" w:firstLineChars="0"/>
              <w:jc w:val="center"/>
              <w:rPr>
                <w:rFonts w:ascii="Times New Roman"/>
                <w:sz w:val="21"/>
                <w:szCs w:val="21"/>
                <w:highlight w:val="none"/>
              </w:rPr>
            </w:pPr>
            <w:r>
              <w:rPr>
                <w:rFonts w:ascii="Times New Roman"/>
                <w:kern w:val="2"/>
                <w:sz w:val="21"/>
                <w:szCs w:val="21"/>
                <w:highlight w:val="none"/>
              </w:rPr>
              <w:t>kg/h</w:t>
            </w:r>
          </w:p>
        </w:tc>
        <w:tc>
          <w:tcPr>
            <w:tcW w:w="396" w:type="dxa"/>
            <w:vMerge w:val="restart"/>
            <w:noWrap w:val="0"/>
            <w:vAlign w:val="center"/>
          </w:tcPr>
          <w:p w14:paraId="73009D40">
            <w:pPr>
              <w:pStyle w:val="6"/>
              <w:ind w:firstLine="0" w:firstLineChars="0"/>
              <w:jc w:val="center"/>
              <w:rPr>
                <w:rFonts w:ascii="Times New Roman"/>
                <w:sz w:val="21"/>
                <w:szCs w:val="21"/>
                <w:highlight w:val="none"/>
              </w:rPr>
            </w:pPr>
            <w:r>
              <w:rPr>
                <w:rFonts w:ascii="Times New Roman"/>
                <w:kern w:val="2"/>
                <w:sz w:val="21"/>
                <w:szCs w:val="21"/>
                <w:highlight w:val="none"/>
              </w:rPr>
              <w:t>个数</w:t>
            </w:r>
          </w:p>
        </w:tc>
        <w:tc>
          <w:tcPr>
            <w:tcW w:w="531" w:type="dxa"/>
            <w:vMerge w:val="restart"/>
            <w:noWrap w:val="0"/>
            <w:vAlign w:val="center"/>
          </w:tcPr>
          <w:p w14:paraId="560F7488">
            <w:pPr>
              <w:jc w:val="center"/>
              <w:rPr>
                <w:sz w:val="21"/>
                <w:szCs w:val="21"/>
                <w:highlight w:val="none"/>
              </w:rPr>
            </w:pPr>
            <w:r>
              <w:rPr>
                <w:sz w:val="21"/>
                <w:szCs w:val="21"/>
                <w:highlight w:val="none"/>
              </w:rPr>
              <w:t>高度</w:t>
            </w:r>
          </w:p>
          <w:p w14:paraId="7890A5E2">
            <w:pPr>
              <w:pStyle w:val="6"/>
              <w:ind w:firstLine="0" w:firstLineChars="0"/>
              <w:jc w:val="center"/>
              <w:rPr>
                <w:rFonts w:ascii="Times New Roman"/>
                <w:sz w:val="21"/>
                <w:szCs w:val="21"/>
                <w:highlight w:val="none"/>
              </w:rPr>
            </w:pPr>
            <w:r>
              <w:rPr>
                <w:rFonts w:ascii="Times New Roman"/>
                <w:kern w:val="2"/>
                <w:sz w:val="21"/>
                <w:szCs w:val="21"/>
                <w:highlight w:val="none"/>
              </w:rPr>
              <w:t>m</w:t>
            </w:r>
          </w:p>
        </w:tc>
        <w:tc>
          <w:tcPr>
            <w:tcW w:w="717" w:type="dxa"/>
            <w:vMerge w:val="restart"/>
            <w:noWrap w:val="0"/>
            <w:vAlign w:val="center"/>
          </w:tcPr>
          <w:p w14:paraId="5DFFDF84">
            <w:pPr>
              <w:jc w:val="center"/>
              <w:rPr>
                <w:sz w:val="21"/>
                <w:szCs w:val="21"/>
                <w:highlight w:val="none"/>
              </w:rPr>
            </w:pPr>
            <w:r>
              <w:rPr>
                <w:sz w:val="21"/>
                <w:szCs w:val="21"/>
                <w:highlight w:val="none"/>
              </w:rPr>
              <w:t>直径</w:t>
            </w:r>
          </w:p>
          <w:p w14:paraId="37F1F790">
            <w:pPr>
              <w:pStyle w:val="6"/>
              <w:ind w:firstLine="0" w:firstLineChars="0"/>
              <w:jc w:val="center"/>
              <w:rPr>
                <w:rFonts w:ascii="Times New Roman"/>
                <w:sz w:val="21"/>
                <w:szCs w:val="21"/>
                <w:highlight w:val="none"/>
              </w:rPr>
            </w:pPr>
            <w:r>
              <w:rPr>
                <w:rFonts w:ascii="Times New Roman"/>
                <w:kern w:val="2"/>
                <w:sz w:val="21"/>
                <w:szCs w:val="21"/>
                <w:highlight w:val="none"/>
              </w:rPr>
              <w:t>m</w:t>
            </w:r>
          </w:p>
        </w:tc>
        <w:tc>
          <w:tcPr>
            <w:tcW w:w="1803" w:type="dxa"/>
            <w:gridSpan w:val="2"/>
            <w:noWrap w:val="0"/>
            <w:vAlign w:val="center"/>
          </w:tcPr>
          <w:p w14:paraId="33775B9A">
            <w:pPr>
              <w:pStyle w:val="6"/>
              <w:ind w:firstLine="0" w:firstLineChars="0"/>
              <w:jc w:val="center"/>
              <w:rPr>
                <w:rFonts w:ascii="Times New Roman"/>
                <w:sz w:val="21"/>
                <w:szCs w:val="21"/>
                <w:highlight w:val="none"/>
              </w:rPr>
            </w:pPr>
            <w:r>
              <w:rPr>
                <w:rFonts w:ascii="Times New Roman"/>
                <w:kern w:val="2"/>
                <w:sz w:val="21"/>
                <w:szCs w:val="21"/>
                <w:highlight w:val="none"/>
              </w:rPr>
              <w:t>排放标准</w:t>
            </w:r>
          </w:p>
        </w:tc>
        <w:tc>
          <w:tcPr>
            <w:tcW w:w="689" w:type="dxa"/>
            <w:vMerge w:val="restart"/>
            <w:noWrap w:val="0"/>
            <w:vAlign w:val="center"/>
          </w:tcPr>
          <w:p w14:paraId="6C52384E">
            <w:pPr>
              <w:pStyle w:val="6"/>
              <w:ind w:firstLine="0" w:firstLineChars="0"/>
              <w:jc w:val="center"/>
              <w:rPr>
                <w:rFonts w:ascii="Times New Roman"/>
                <w:sz w:val="21"/>
                <w:szCs w:val="21"/>
                <w:highlight w:val="none"/>
              </w:rPr>
            </w:pPr>
            <w:r>
              <w:rPr>
                <w:rFonts w:ascii="Times New Roman"/>
                <w:kern w:val="2"/>
                <w:sz w:val="21"/>
                <w:szCs w:val="21"/>
                <w:highlight w:val="none"/>
              </w:rPr>
              <w:t>达标情况</w:t>
            </w:r>
          </w:p>
        </w:tc>
        <w:tc>
          <w:tcPr>
            <w:tcW w:w="3069" w:type="dxa"/>
            <w:vMerge w:val="restart"/>
            <w:noWrap w:val="0"/>
            <w:vAlign w:val="center"/>
          </w:tcPr>
          <w:p w14:paraId="70FCDE7B">
            <w:pPr>
              <w:pStyle w:val="6"/>
              <w:ind w:firstLine="0" w:firstLineChars="0"/>
              <w:jc w:val="center"/>
              <w:rPr>
                <w:rFonts w:ascii="Times New Roman"/>
                <w:sz w:val="21"/>
                <w:szCs w:val="21"/>
                <w:highlight w:val="none"/>
              </w:rPr>
            </w:pPr>
            <w:r>
              <w:rPr>
                <w:rFonts w:ascii="Times New Roman"/>
                <w:kern w:val="2"/>
                <w:sz w:val="21"/>
                <w:szCs w:val="21"/>
                <w:highlight w:val="none"/>
              </w:rPr>
              <w:t>执行标准</w:t>
            </w:r>
          </w:p>
        </w:tc>
      </w:tr>
      <w:tr w14:paraId="5BE92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4" w:type="dxa"/>
            <w:gridSpan w:val="2"/>
            <w:vMerge w:val="continue"/>
            <w:noWrap w:val="0"/>
            <w:vAlign w:val="center"/>
          </w:tcPr>
          <w:p w14:paraId="1B926B92">
            <w:pPr>
              <w:pStyle w:val="6"/>
              <w:ind w:firstLine="0" w:firstLineChars="0"/>
              <w:jc w:val="center"/>
              <w:rPr>
                <w:rFonts w:ascii="Times New Roman"/>
                <w:sz w:val="21"/>
                <w:szCs w:val="21"/>
                <w:highlight w:val="none"/>
              </w:rPr>
            </w:pPr>
          </w:p>
        </w:tc>
        <w:tc>
          <w:tcPr>
            <w:tcW w:w="1202" w:type="dxa"/>
            <w:vMerge w:val="continue"/>
            <w:noWrap w:val="0"/>
            <w:vAlign w:val="center"/>
          </w:tcPr>
          <w:p w14:paraId="2233D766">
            <w:pPr>
              <w:pStyle w:val="6"/>
              <w:ind w:firstLine="0" w:firstLineChars="0"/>
              <w:jc w:val="center"/>
              <w:rPr>
                <w:rFonts w:ascii="Times New Roman"/>
                <w:sz w:val="21"/>
                <w:szCs w:val="21"/>
                <w:highlight w:val="none"/>
              </w:rPr>
            </w:pPr>
          </w:p>
        </w:tc>
        <w:tc>
          <w:tcPr>
            <w:tcW w:w="781" w:type="dxa"/>
            <w:vMerge w:val="continue"/>
            <w:noWrap w:val="0"/>
            <w:vAlign w:val="center"/>
          </w:tcPr>
          <w:p w14:paraId="15D594E6">
            <w:pPr>
              <w:pStyle w:val="6"/>
              <w:ind w:firstLine="0" w:firstLineChars="0"/>
              <w:jc w:val="center"/>
              <w:rPr>
                <w:rFonts w:ascii="Times New Roman"/>
                <w:sz w:val="21"/>
                <w:szCs w:val="21"/>
                <w:highlight w:val="none"/>
              </w:rPr>
            </w:pPr>
          </w:p>
        </w:tc>
        <w:tc>
          <w:tcPr>
            <w:tcW w:w="1064" w:type="dxa"/>
            <w:vMerge w:val="continue"/>
            <w:noWrap w:val="0"/>
            <w:vAlign w:val="center"/>
          </w:tcPr>
          <w:p w14:paraId="4EB16097">
            <w:pPr>
              <w:pStyle w:val="6"/>
              <w:ind w:firstLine="0" w:firstLineChars="0"/>
              <w:jc w:val="center"/>
              <w:rPr>
                <w:rFonts w:ascii="Times New Roman"/>
                <w:sz w:val="21"/>
                <w:szCs w:val="21"/>
                <w:highlight w:val="none"/>
              </w:rPr>
            </w:pPr>
          </w:p>
        </w:tc>
        <w:tc>
          <w:tcPr>
            <w:tcW w:w="695" w:type="dxa"/>
            <w:vMerge w:val="continue"/>
            <w:noWrap w:val="0"/>
            <w:vAlign w:val="center"/>
          </w:tcPr>
          <w:p w14:paraId="5874C92E">
            <w:pPr>
              <w:pStyle w:val="6"/>
              <w:ind w:firstLine="0" w:firstLineChars="0"/>
              <w:jc w:val="center"/>
              <w:rPr>
                <w:rFonts w:ascii="Times New Roman"/>
                <w:sz w:val="21"/>
                <w:szCs w:val="21"/>
                <w:highlight w:val="none"/>
              </w:rPr>
            </w:pPr>
          </w:p>
        </w:tc>
        <w:tc>
          <w:tcPr>
            <w:tcW w:w="988" w:type="dxa"/>
            <w:vMerge w:val="continue"/>
            <w:noWrap w:val="0"/>
            <w:vAlign w:val="center"/>
          </w:tcPr>
          <w:p w14:paraId="3DE20512">
            <w:pPr>
              <w:pStyle w:val="6"/>
              <w:ind w:firstLine="0" w:firstLineChars="0"/>
              <w:jc w:val="center"/>
              <w:rPr>
                <w:rFonts w:ascii="Times New Roman"/>
                <w:sz w:val="21"/>
                <w:szCs w:val="21"/>
                <w:highlight w:val="none"/>
              </w:rPr>
            </w:pPr>
          </w:p>
        </w:tc>
        <w:tc>
          <w:tcPr>
            <w:tcW w:w="396" w:type="dxa"/>
            <w:vMerge w:val="continue"/>
            <w:noWrap w:val="0"/>
            <w:vAlign w:val="center"/>
          </w:tcPr>
          <w:p w14:paraId="18641836">
            <w:pPr>
              <w:pStyle w:val="6"/>
              <w:ind w:firstLine="0" w:firstLineChars="0"/>
              <w:jc w:val="center"/>
              <w:rPr>
                <w:rFonts w:ascii="Times New Roman"/>
                <w:sz w:val="21"/>
                <w:szCs w:val="21"/>
                <w:highlight w:val="none"/>
              </w:rPr>
            </w:pPr>
          </w:p>
        </w:tc>
        <w:tc>
          <w:tcPr>
            <w:tcW w:w="531" w:type="dxa"/>
            <w:vMerge w:val="continue"/>
            <w:noWrap w:val="0"/>
            <w:vAlign w:val="center"/>
          </w:tcPr>
          <w:p w14:paraId="1343B98E">
            <w:pPr>
              <w:pStyle w:val="6"/>
              <w:ind w:firstLine="0" w:firstLineChars="0"/>
              <w:jc w:val="center"/>
              <w:rPr>
                <w:rFonts w:ascii="Times New Roman"/>
                <w:sz w:val="21"/>
                <w:szCs w:val="21"/>
                <w:highlight w:val="none"/>
              </w:rPr>
            </w:pPr>
          </w:p>
        </w:tc>
        <w:tc>
          <w:tcPr>
            <w:tcW w:w="717" w:type="dxa"/>
            <w:vMerge w:val="continue"/>
            <w:noWrap w:val="0"/>
            <w:vAlign w:val="center"/>
          </w:tcPr>
          <w:p w14:paraId="656F3B71">
            <w:pPr>
              <w:pStyle w:val="6"/>
              <w:ind w:firstLine="0" w:firstLineChars="0"/>
              <w:jc w:val="center"/>
              <w:rPr>
                <w:rFonts w:ascii="Times New Roman"/>
                <w:sz w:val="21"/>
                <w:szCs w:val="21"/>
                <w:highlight w:val="none"/>
              </w:rPr>
            </w:pPr>
          </w:p>
        </w:tc>
        <w:tc>
          <w:tcPr>
            <w:tcW w:w="696" w:type="dxa"/>
            <w:noWrap w:val="0"/>
            <w:vAlign w:val="center"/>
          </w:tcPr>
          <w:p w14:paraId="557628C7">
            <w:pPr>
              <w:jc w:val="center"/>
              <w:rPr>
                <w:sz w:val="21"/>
                <w:szCs w:val="21"/>
                <w:highlight w:val="none"/>
              </w:rPr>
            </w:pPr>
            <w:r>
              <w:rPr>
                <w:sz w:val="21"/>
                <w:szCs w:val="21"/>
                <w:highlight w:val="none"/>
              </w:rPr>
              <w:t>浓度</w:t>
            </w:r>
          </w:p>
          <w:p w14:paraId="75957C7C">
            <w:pPr>
              <w:pStyle w:val="6"/>
              <w:ind w:firstLine="0" w:firstLineChars="0"/>
              <w:jc w:val="center"/>
              <w:rPr>
                <w:rFonts w:ascii="Times New Roman"/>
                <w:sz w:val="21"/>
                <w:szCs w:val="21"/>
                <w:highlight w:val="none"/>
              </w:rPr>
            </w:pPr>
            <w:r>
              <w:rPr>
                <w:rFonts w:ascii="Times New Roman"/>
                <w:kern w:val="2"/>
                <w:sz w:val="21"/>
                <w:szCs w:val="21"/>
                <w:highlight w:val="none"/>
              </w:rPr>
              <w:t>mg/m</w:t>
            </w:r>
            <w:r>
              <w:rPr>
                <w:rFonts w:ascii="Times New Roman"/>
                <w:kern w:val="2"/>
                <w:sz w:val="21"/>
                <w:szCs w:val="21"/>
                <w:highlight w:val="none"/>
                <w:vertAlign w:val="superscript"/>
              </w:rPr>
              <w:t>3</w:t>
            </w:r>
          </w:p>
        </w:tc>
        <w:tc>
          <w:tcPr>
            <w:tcW w:w="1107" w:type="dxa"/>
            <w:noWrap w:val="0"/>
            <w:vAlign w:val="center"/>
          </w:tcPr>
          <w:p w14:paraId="50CA4376">
            <w:pPr>
              <w:jc w:val="center"/>
              <w:rPr>
                <w:sz w:val="21"/>
                <w:szCs w:val="21"/>
                <w:highlight w:val="none"/>
              </w:rPr>
            </w:pPr>
            <w:r>
              <w:rPr>
                <w:sz w:val="21"/>
                <w:szCs w:val="21"/>
                <w:highlight w:val="none"/>
              </w:rPr>
              <w:t>速率</w:t>
            </w:r>
          </w:p>
          <w:p w14:paraId="54C28012">
            <w:pPr>
              <w:pStyle w:val="6"/>
              <w:ind w:firstLine="0" w:firstLineChars="0"/>
              <w:jc w:val="center"/>
              <w:rPr>
                <w:rFonts w:ascii="Times New Roman"/>
                <w:sz w:val="21"/>
                <w:szCs w:val="21"/>
                <w:highlight w:val="none"/>
              </w:rPr>
            </w:pPr>
            <w:r>
              <w:rPr>
                <w:rFonts w:ascii="Times New Roman"/>
                <w:kern w:val="2"/>
                <w:sz w:val="21"/>
                <w:szCs w:val="21"/>
                <w:highlight w:val="none"/>
              </w:rPr>
              <w:t>kg/h</w:t>
            </w:r>
          </w:p>
        </w:tc>
        <w:tc>
          <w:tcPr>
            <w:tcW w:w="689" w:type="dxa"/>
            <w:vMerge w:val="continue"/>
            <w:noWrap w:val="0"/>
            <w:vAlign w:val="center"/>
          </w:tcPr>
          <w:p w14:paraId="0FBC7086">
            <w:pPr>
              <w:pStyle w:val="6"/>
              <w:ind w:firstLine="0" w:firstLineChars="0"/>
              <w:jc w:val="center"/>
              <w:rPr>
                <w:rFonts w:ascii="Times New Roman"/>
                <w:sz w:val="21"/>
                <w:szCs w:val="21"/>
                <w:highlight w:val="none"/>
              </w:rPr>
            </w:pPr>
          </w:p>
        </w:tc>
        <w:tc>
          <w:tcPr>
            <w:tcW w:w="3069" w:type="dxa"/>
            <w:vMerge w:val="continue"/>
            <w:noWrap w:val="0"/>
            <w:vAlign w:val="center"/>
          </w:tcPr>
          <w:p w14:paraId="4B0CC89F">
            <w:pPr>
              <w:pStyle w:val="6"/>
              <w:ind w:firstLine="0" w:firstLineChars="0"/>
              <w:jc w:val="center"/>
              <w:rPr>
                <w:rFonts w:ascii="Times New Roman"/>
                <w:sz w:val="21"/>
                <w:szCs w:val="21"/>
                <w:highlight w:val="none"/>
              </w:rPr>
            </w:pPr>
          </w:p>
        </w:tc>
      </w:tr>
      <w:tr w14:paraId="1052D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noWrap w:val="0"/>
            <w:vAlign w:val="center"/>
          </w:tcPr>
          <w:p w14:paraId="44312467">
            <w:pPr>
              <w:widowControl/>
              <w:snapToGrid w:val="0"/>
              <w:jc w:val="center"/>
              <w:rPr>
                <w:sz w:val="21"/>
                <w:szCs w:val="21"/>
                <w:highlight w:val="none"/>
              </w:rPr>
            </w:pPr>
            <w:r>
              <w:rPr>
                <w:sz w:val="21"/>
                <w:szCs w:val="21"/>
                <w:highlight w:val="none"/>
              </w:rPr>
              <w:t>净化装置</w:t>
            </w:r>
          </w:p>
        </w:tc>
        <w:tc>
          <w:tcPr>
            <w:tcW w:w="898" w:type="dxa"/>
            <w:noWrap w:val="0"/>
            <w:vAlign w:val="center"/>
          </w:tcPr>
          <w:p w14:paraId="1EB8CE05">
            <w:pPr>
              <w:pStyle w:val="6"/>
              <w:ind w:firstLine="0" w:firstLineChars="0"/>
              <w:jc w:val="center"/>
              <w:rPr>
                <w:rFonts w:ascii="Times New Roman"/>
                <w:kern w:val="2"/>
                <w:sz w:val="21"/>
                <w:szCs w:val="21"/>
                <w:highlight w:val="none"/>
              </w:rPr>
            </w:pPr>
            <w:r>
              <w:rPr>
                <w:rFonts w:ascii="Times New Roman"/>
                <w:kern w:val="2"/>
                <w:sz w:val="21"/>
                <w:szCs w:val="21"/>
                <w:highlight w:val="none"/>
              </w:rPr>
              <w:t>硫回收单元</w:t>
            </w:r>
          </w:p>
        </w:tc>
        <w:tc>
          <w:tcPr>
            <w:tcW w:w="1202" w:type="dxa"/>
            <w:noWrap w:val="0"/>
            <w:vAlign w:val="center"/>
          </w:tcPr>
          <w:p w14:paraId="042441B2">
            <w:pPr>
              <w:pStyle w:val="6"/>
              <w:ind w:firstLine="0" w:firstLineChars="0"/>
              <w:jc w:val="center"/>
              <w:rPr>
                <w:rFonts w:ascii="Times New Roman"/>
                <w:kern w:val="2"/>
                <w:sz w:val="21"/>
                <w:szCs w:val="21"/>
                <w:highlight w:val="none"/>
              </w:rPr>
            </w:pPr>
            <w:r>
              <w:rPr>
                <w:rFonts w:ascii="Times New Roman"/>
                <w:kern w:val="2"/>
                <w:sz w:val="21"/>
                <w:szCs w:val="21"/>
                <w:highlight w:val="none"/>
              </w:rPr>
              <w:t>硫回收尾气</w:t>
            </w:r>
          </w:p>
        </w:tc>
        <w:tc>
          <w:tcPr>
            <w:tcW w:w="781" w:type="dxa"/>
            <w:noWrap w:val="0"/>
            <w:vAlign w:val="center"/>
          </w:tcPr>
          <w:p w14:paraId="7EA63200">
            <w:pPr>
              <w:jc w:val="center"/>
              <w:rPr>
                <w:sz w:val="21"/>
                <w:szCs w:val="21"/>
                <w:highlight w:val="none"/>
              </w:rPr>
            </w:pPr>
            <w:r>
              <w:rPr>
                <w:sz w:val="21"/>
                <w:szCs w:val="21"/>
                <w:highlight w:val="none"/>
                <w:lang w:val="pt-BR"/>
              </w:rPr>
              <w:t>H</w:t>
            </w:r>
            <w:r>
              <w:rPr>
                <w:sz w:val="21"/>
                <w:szCs w:val="21"/>
                <w:highlight w:val="none"/>
                <w:vertAlign w:val="subscript"/>
                <w:lang w:val="pt-BR"/>
              </w:rPr>
              <w:t>2</w:t>
            </w:r>
            <w:r>
              <w:rPr>
                <w:sz w:val="21"/>
                <w:szCs w:val="21"/>
                <w:highlight w:val="none"/>
                <w:lang w:val="pt-BR"/>
              </w:rPr>
              <w:t>S</w:t>
            </w:r>
          </w:p>
          <w:p w14:paraId="2E055CF4">
            <w:pPr>
              <w:jc w:val="center"/>
              <w:rPr>
                <w:sz w:val="21"/>
                <w:szCs w:val="21"/>
                <w:highlight w:val="none"/>
                <w:lang w:val="pt-BR"/>
              </w:rPr>
            </w:pPr>
            <w:r>
              <w:rPr>
                <w:sz w:val="21"/>
                <w:szCs w:val="21"/>
                <w:highlight w:val="none"/>
              </w:rPr>
              <w:t>NOx</w:t>
            </w:r>
          </w:p>
        </w:tc>
        <w:tc>
          <w:tcPr>
            <w:tcW w:w="1064" w:type="dxa"/>
            <w:noWrap w:val="0"/>
            <w:vAlign w:val="center"/>
          </w:tcPr>
          <w:p w14:paraId="5A8FFC91">
            <w:pPr>
              <w:pStyle w:val="6"/>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18586</w:t>
            </w:r>
          </w:p>
        </w:tc>
        <w:tc>
          <w:tcPr>
            <w:tcW w:w="695" w:type="dxa"/>
            <w:noWrap w:val="0"/>
            <w:vAlign w:val="center"/>
          </w:tcPr>
          <w:p w14:paraId="36928C9A">
            <w:pPr>
              <w:jc w:val="center"/>
              <w:rPr>
                <w:rFonts w:hint="default" w:eastAsia="宋体"/>
                <w:sz w:val="21"/>
                <w:szCs w:val="21"/>
                <w:highlight w:val="none"/>
                <w:lang w:val="en-US" w:eastAsia="zh-CN"/>
              </w:rPr>
            </w:pPr>
            <w:r>
              <w:rPr>
                <w:rFonts w:hint="eastAsia"/>
                <w:sz w:val="21"/>
                <w:szCs w:val="21"/>
                <w:highlight w:val="none"/>
                <w:lang w:val="en-US" w:eastAsia="zh-CN"/>
              </w:rPr>
              <w:t>0.542</w:t>
            </w:r>
          </w:p>
          <w:p w14:paraId="3083B683">
            <w:pPr>
              <w:jc w:val="center"/>
              <w:rPr>
                <w:rFonts w:hint="default" w:eastAsia="宋体"/>
                <w:sz w:val="21"/>
                <w:szCs w:val="21"/>
                <w:highlight w:val="none"/>
                <w:lang w:val="en-US" w:eastAsia="zh-CN"/>
              </w:rPr>
            </w:pPr>
            <w:r>
              <w:rPr>
                <w:rFonts w:hint="eastAsia"/>
                <w:sz w:val="21"/>
                <w:szCs w:val="21"/>
                <w:highlight w:val="none"/>
                <w:lang w:val="en-US" w:eastAsia="zh-CN"/>
              </w:rPr>
              <w:t>33</w:t>
            </w:r>
          </w:p>
        </w:tc>
        <w:tc>
          <w:tcPr>
            <w:tcW w:w="988" w:type="dxa"/>
            <w:noWrap w:val="0"/>
            <w:vAlign w:val="center"/>
          </w:tcPr>
          <w:p w14:paraId="24D19490">
            <w:pPr>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1.0×10</w:t>
            </w:r>
            <w:r>
              <w:rPr>
                <w:rFonts w:hint="eastAsia" w:ascii="Times New Roman" w:hAnsi="Times New Roman" w:eastAsia="宋体" w:cs="Times New Roman"/>
                <w:sz w:val="21"/>
                <w:szCs w:val="21"/>
                <w:highlight w:val="none"/>
                <w:vertAlign w:val="superscript"/>
                <w:lang w:val="en-US" w:eastAsia="zh-CN"/>
              </w:rPr>
              <w:t>-2</w:t>
            </w:r>
          </w:p>
          <w:p w14:paraId="1F692B7C">
            <w:pPr>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0.61</w:t>
            </w:r>
          </w:p>
        </w:tc>
        <w:tc>
          <w:tcPr>
            <w:tcW w:w="396" w:type="dxa"/>
            <w:noWrap w:val="0"/>
            <w:vAlign w:val="center"/>
          </w:tcPr>
          <w:p w14:paraId="723B00B3">
            <w:pPr>
              <w:pStyle w:val="6"/>
              <w:ind w:firstLine="0" w:firstLineChars="0"/>
              <w:jc w:val="center"/>
              <w:rPr>
                <w:rFonts w:ascii="Times New Roman"/>
                <w:kern w:val="2"/>
                <w:sz w:val="21"/>
                <w:szCs w:val="21"/>
                <w:highlight w:val="none"/>
              </w:rPr>
            </w:pPr>
            <w:r>
              <w:rPr>
                <w:rFonts w:ascii="Times New Roman"/>
                <w:kern w:val="2"/>
                <w:sz w:val="21"/>
                <w:szCs w:val="21"/>
                <w:highlight w:val="none"/>
              </w:rPr>
              <w:t>1</w:t>
            </w:r>
          </w:p>
        </w:tc>
        <w:tc>
          <w:tcPr>
            <w:tcW w:w="531" w:type="dxa"/>
            <w:noWrap w:val="0"/>
            <w:vAlign w:val="center"/>
          </w:tcPr>
          <w:p w14:paraId="25486E33">
            <w:pPr>
              <w:pStyle w:val="6"/>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80</w:t>
            </w:r>
          </w:p>
        </w:tc>
        <w:tc>
          <w:tcPr>
            <w:tcW w:w="717" w:type="dxa"/>
            <w:noWrap w:val="0"/>
            <w:vAlign w:val="center"/>
          </w:tcPr>
          <w:p w14:paraId="68ADC5F1">
            <w:pPr>
              <w:pStyle w:val="6"/>
              <w:ind w:firstLine="0" w:firstLineChars="0"/>
              <w:jc w:val="center"/>
              <w:rPr>
                <w:rFonts w:ascii="Times New Roman"/>
                <w:kern w:val="2"/>
                <w:sz w:val="21"/>
                <w:szCs w:val="21"/>
                <w:highlight w:val="none"/>
              </w:rPr>
            </w:pPr>
            <w:r>
              <w:rPr>
                <w:rFonts w:ascii="Times New Roman"/>
                <w:kern w:val="2"/>
                <w:sz w:val="21"/>
                <w:szCs w:val="21"/>
                <w:highlight w:val="none"/>
              </w:rPr>
              <w:t>1.2</w:t>
            </w:r>
          </w:p>
        </w:tc>
        <w:tc>
          <w:tcPr>
            <w:tcW w:w="696" w:type="dxa"/>
            <w:noWrap w:val="0"/>
            <w:vAlign w:val="center"/>
          </w:tcPr>
          <w:p w14:paraId="578B23D6">
            <w:pPr>
              <w:jc w:val="center"/>
              <w:rPr>
                <w:rFonts w:hint="eastAsia" w:eastAsia="宋体"/>
                <w:sz w:val="21"/>
                <w:szCs w:val="21"/>
                <w:highlight w:val="none"/>
                <w:lang w:eastAsia="zh-CN"/>
              </w:rPr>
            </w:pPr>
            <w:r>
              <w:rPr>
                <w:rFonts w:hint="eastAsia"/>
                <w:sz w:val="21"/>
                <w:szCs w:val="21"/>
                <w:highlight w:val="none"/>
                <w:lang w:val="en-US" w:eastAsia="zh-CN"/>
              </w:rPr>
              <w:t>/</w:t>
            </w:r>
          </w:p>
          <w:p w14:paraId="7F16AEA8">
            <w:pPr>
              <w:pStyle w:val="6"/>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420</w:t>
            </w:r>
          </w:p>
        </w:tc>
        <w:tc>
          <w:tcPr>
            <w:tcW w:w="1107" w:type="dxa"/>
            <w:noWrap w:val="0"/>
            <w:vAlign w:val="center"/>
          </w:tcPr>
          <w:p w14:paraId="16156723">
            <w:pPr>
              <w:jc w:val="center"/>
              <w:rPr>
                <w:rFonts w:hint="default" w:eastAsia="宋体"/>
                <w:sz w:val="21"/>
                <w:szCs w:val="21"/>
                <w:highlight w:val="none"/>
                <w:lang w:val="en-US" w:eastAsia="zh-CN"/>
              </w:rPr>
            </w:pPr>
            <w:r>
              <w:rPr>
                <w:rFonts w:hint="eastAsia"/>
                <w:sz w:val="21"/>
                <w:szCs w:val="21"/>
                <w:highlight w:val="none"/>
                <w:lang w:val="en-US" w:eastAsia="zh-CN"/>
              </w:rPr>
              <w:t>5.2</w:t>
            </w:r>
          </w:p>
          <w:p w14:paraId="2EBF3E4D">
            <w:pPr>
              <w:pStyle w:val="6"/>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27</w:t>
            </w:r>
          </w:p>
        </w:tc>
        <w:tc>
          <w:tcPr>
            <w:tcW w:w="689" w:type="dxa"/>
            <w:noWrap w:val="0"/>
            <w:vAlign w:val="center"/>
          </w:tcPr>
          <w:p w14:paraId="6145982B">
            <w:pPr>
              <w:pStyle w:val="6"/>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3069" w:type="dxa"/>
            <w:noWrap w:val="0"/>
            <w:vAlign w:val="center"/>
          </w:tcPr>
          <w:p w14:paraId="5B0AF89D">
            <w:pPr>
              <w:pStyle w:val="6"/>
              <w:ind w:firstLine="0" w:firstLineChars="0"/>
              <w:jc w:val="center"/>
              <w:rPr>
                <w:rFonts w:hint="eastAsia" w:ascii="Times New Roman" w:eastAsia="宋体"/>
                <w:kern w:val="2"/>
                <w:sz w:val="21"/>
                <w:szCs w:val="21"/>
                <w:highlight w:val="none"/>
                <w:lang w:eastAsia="zh-CN"/>
              </w:rPr>
            </w:pPr>
            <w:r>
              <w:rPr>
                <w:rFonts w:ascii="Times New Roman"/>
                <w:kern w:val="2"/>
                <w:sz w:val="21"/>
                <w:szCs w:val="21"/>
                <w:highlight w:val="none"/>
              </w:rPr>
              <w:t>《恶臭污染物综合排放标准》（GB14554-93）表2二级标准</w:t>
            </w:r>
            <w:r>
              <w:rPr>
                <w:rFonts w:hint="eastAsia" w:ascii="Times New Roman"/>
                <w:kern w:val="2"/>
                <w:sz w:val="21"/>
                <w:szCs w:val="21"/>
                <w:highlight w:val="none"/>
                <w:lang w:eastAsia="zh-CN"/>
              </w:rPr>
              <w:t>；</w:t>
            </w:r>
            <w:r>
              <w:rPr>
                <w:rFonts w:ascii="Times New Roman"/>
                <w:kern w:val="2"/>
                <w:sz w:val="21"/>
                <w:szCs w:val="21"/>
                <w:highlight w:val="none"/>
              </w:rPr>
              <w:t>《大气污染物综合排放标准》（GB16297-1996）表2二级标准</w:t>
            </w:r>
            <w:r>
              <w:rPr>
                <w:rFonts w:hint="eastAsia" w:ascii="Times New Roman"/>
                <w:kern w:val="2"/>
                <w:sz w:val="21"/>
                <w:szCs w:val="21"/>
                <w:highlight w:val="none"/>
                <w:lang w:eastAsia="zh-CN"/>
              </w:rPr>
              <w:t>。</w:t>
            </w:r>
          </w:p>
        </w:tc>
      </w:tr>
      <w:tr w14:paraId="0F15F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restart"/>
            <w:noWrap w:val="0"/>
            <w:vAlign w:val="center"/>
          </w:tcPr>
          <w:p w14:paraId="49967E35">
            <w:pPr>
              <w:widowControl/>
              <w:snapToGrid w:val="0"/>
              <w:jc w:val="center"/>
              <w:rPr>
                <w:sz w:val="21"/>
                <w:szCs w:val="21"/>
                <w:highlight w:val="none"/>
              </w:rPr>
            </w:pPr>
            <w:r>
              <w:rPr>
                <w:sz w:val="21"/>
                <w:szCs w:val="21"/>
                <w:highlight w:val="none"/>
              </w:rPr>
              <w:t>化学品合成装置</w:t>
            </w:r>
          </w:p>
        </w:tc>
        <w:tc>
          <w:tcPr>
            <w:tcW w:w="898" w:type="dxa"/>
            <w:vMerge w:val="restart"/>
            <w:noWrap w:val="0"/>
            <w:vAlign w:val="center"/>
          </w:tcPr>
          <w:p w14:paraId="26F60CB7">
            <w:pPr>
              <w:pStyle w:val="6"/>
              <w:ind w:firstLine="0" w:firstLineChars="0"/>
              <w:jc w:val="center"/>
              <w:rPr>
                <w:rFonts w:ascii="Times New Roman"/>
                <w:kern w:val="2"/>
                <w:sz w:val="21"/>
                <w:szCs w:val="21"/>
                <w:highlight w:val="none"/>
              </w:rPr>
            </w:pPr>
            <w:r>
              <w:rPr>
                <w:rFonts w:ascii="Times New Roman"/>
                <w:kern w:val="2"/>
                <w:sz w:val="21"/>
                <w:szCs w:val="21"/>
                <w:highlight w:val="none"/>
              </w:rPr>
              <w:t>催化剂还原单元</w:t>
            </w:r>
          </w:p>
        </w:tc>
        <w:tc>
          <w:tcPr>
            <w:tcW w:w="1202" w:type="dxa"/>
            <w:noWrap w:val="0"/>
            <w:vAlign w:val="center"/>
          </w:tcPr>
          <w:p w14:paraId="48D9C49F">
            <w:pPr>
              <w:pStyle w:val="6"/>
              <w:ind w:firstLine="0" w:firstLineChars="0"/>
              <w:jc w:val="center"/>
              <w:rPr>
                <w:rFonts w:ascii="Times New Roman"/>
                <w:kern w:val="2"/>
                <w:sz w:val="21"/>
                <w:szCs w:val="21"/>
                <w:highlight w:val="none"/>
              </w:rPr>
            </w:pPr>
            <w:r>
              <w:rPr>
                <w:rFonts w:ascii="Times New Roman"/>
                <w:kern w:val="2"/>
                <w:sz w:val="21"/>
                <w:szCs w:val="21"/>
                <w:highlight w:val="none"/>
              </w:rPr>
              <w:t>催化剂输送罐废气</w:t>
            </w:r>
          </w:p>
        </w:tc>
        <w:tc>
          <w:tcPr>
            <w:tcW w:w="781" w:type="dxa"/>
            <w:noWrap w:val="0"/>
            <w:vAlign w:val="center"/>
          </w:tcPr>
          <w:p w14:paraId="7C80CA9D">
            <w:pPr>
              <w:jc w:val="center"/>
              <w:rPr>
                <w:sz w:val="21"/>
                <w:szCs w:val="21"/>
                <w:highlight w:val="none"/>
              </w:rPr>
            </w:pPr>
            <w:r>
              <w:rPr>
                <w:sz w:val="21"/>
                <w:szCs w:val="21"/>
                <w:highlight w:val="none"/>
              </w:rPr>
              <w:t>颗粒物</w:t>
            </w:r>
          </w:p>
        </w:tc>
        <w:tc>
          <w:tcPr>
            <w:tcW w:w="1064" w:type="dxa"/>
            <w:noWrap w:val="0"/>
            <w:vAlign w:val="center"/>
          </w:tcPr>
          <w:p w14:paraId="6B55E911">
            <w:pPr>
              <w:pStyle w:val="6"/>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974</w:t>
            </w:r>
          </w:p>
        </w:tc>
        <w:tc>
          <w:tcPr>
            <w:tcW w:w="695" w:type="dxa"/>
            <w:noWrap w:val="0"/>
            <w:vAlign w:val="center"/>
          </w:tcPr>
          <w:p w14:paraId="7B129841">
            <w:pPr>
              <w:jc w:val="center"/>
              <w:rPr>
                <w:rFonts w:hint="default" w:eastAsia="宋体"/>
                <w:sz w:val="21"/>
                <w:szCs w:val="21"/>
                <w:highlight w:val="none"/>
                <w:lang w:val="en-US" w:eastAsia="zh-CN"/>
              </w:rPr>
            </w:pPr>
            <w:r>
              <w:rPr>
                <w:rFonts w:hint="eastAsia"/>
                <w:sz w:val="21"/>
                <w:szCs w:val="21"/>
                <w:highlight w:val="none"/>
                <w:lang w:val="en-US" w:eastAsia="zh-CN"/>
              </w:rPr>
              <w:t>13</w:t>
            </w:r>
          </w:p>
        </w:tc>
        <w:tc>
          <w:tcPr>
            <w:tcW w:w="988" w:type="dxa"/>
            <w:noWrap w:val="0"/>
            <w:vAlign w:val="center"/>
          </w:tcPr>
          <w:p w14:paraId="29968FB6">
            <w:pPr>
              <w:pStyle w:val="6"/>
              <w:ind w:firstLine="0" w:firstLineChars="0"/>
              <w:jc w:val="center"/>
              <w:rPr>
                <w:rFonts w:hint="default" w:ascii="Times New Roman" w:eastAsia="宋体"/>
                <w:sz w:val="21"/>
                <w:szCs w:val="21"/>
                <w:highlight w:val="none"/>
                <w:lang w:val="en-US" w:eastAsia="zh-CN"/>
              </w:rPr>
            </w:pPr>
            <w:r>
              <w:rPr>
                <w:rFonts w:hint="eastAsia" w:ascii="Times New Roman"/>
                <w:sz w:val="21"/>
                <w:szCs w:val="21"/>
                <w:highlight w:val="none"/>
                <w:lang w:val="en-US" w:eastAsia="zh-CN"/>
              </w:rPr>
              <w:t>0.013</w:t>
            </w:r>
          </w:p>
        </w:tc>
        <w:tc>
          <w:tcPr>
            <w:tcW w:w="396" w:type="dxa"/>
            <w:noWrap w:val="0"/>
            <w:vAlign w:val="center"/>
          </w:tcPr>
          <w:p w14:paraId="654B6718">
            <w:pPr>
              <w:pStyle w:val="6"/>
              <w:ind w:firstLine="0" w:firstLineChars="0"/>
              <w:jc w:val="center"/>
              <w:rPr>
                <w:rFonts w:ascii="Times New Roman"/>
                <w:kern w:val="2"/>
                <w:sz w:val="21"/>
                <w:szCs w:val="21"/>
                <w:highlight w:val="none"/>
              </w:rPr>
            </w:pPr>
            <w:r>
              <w:rPr>
                <w:rFonts w:ascii="Times New Roman"/>
                <w:kern w:val="2"/>
                <w:sz w:val="21"/>
                <w:szCs w:val="21"/>
                <w:highlight w:val="none"/>
              </w:rPr>
              <w:t>1</w:t>
            </w:r>
          </w:p>
        </w:tc>
        <w:tc>
          <w:tcPr>
            <w:tcW w:w="531" w:type="dxa"/>
            <w:noWrap w:val="0"/>
            <w:vAlign w:val="center"/>
          </w:tcPr>
          <w:p w14:paraId="793B5978">
            <w:pPr>
              <w:pStyle w:val="6"/>
              <w:ind w:firstLine="0" w:firstLineChars="0"/>
              <w:jc w:val="center"/>
              <w:rPr>
                <w:rFonts w:ascii="Times New Roman"/>
                <w:kern w:val="2"/>
                <w:sz w:val="21"/>
                <w:szCs w:val="21"/>
                <w:highlight w:val="none"/>
              </w:rPr>
            </w:pPr>
            <w:r>
              <w:rPr>
                <w:rFonts w:ascii="Times New Roman"/>
                <w:kern w:val="2"/>
                <w:sz w:val="21"/>
                <w:szCs w:val="21"/>
                <w:highlight w:val="none"/>
              </w:rPr>
              <w:t>25</w:t>
            </w:r>
          </w:p>
        </w:tc>
        <w:tc>
          <w:tcPr>
            <w:tcW w:w="717" w:type="dxa"/>
            <w:noWrap w:val="0"/>
            <w:vAlign w:val="center"/>
          </w:tcPr>
          <w:p w14:paraId="57500687">
            <w:pPr>
              <w:pStyle w:val="6"/>
              <w:ind w:firstLine="0" w:firstLineChars="0"/>
              <w:jc w:val="center"/>
              <w:rPr>
                <w:rFonts w:ascii="Times New Roman"/>
                <w:kern w:val="2"/>
                <w:sz w:val="21"/>
                <w:szCs w:val="21"/>
                <w:highlight w:val="none"/>
              </w:rPr>
            </w:pPr>
            <w:r>
              <w:rPr>
                <w:rFonts w:ascii="Times New Roman"/>
                <w:kern w:val="2"/>
                <w:sz w:val="21"/>
                <w:szCs w:val="21"/>
                <w:highlight w:val="none"/>
              </w:rPr>
              <w:t>0.4</w:t>
            </w:r>
          </w:p>
        </w:tc>
        <w:tc>
          <w:tcPr>
            <w:tcW w:w="696" w:type="dxa"/>
            <w:noWrap w:val="0"/>
            <w:vAlign w:val="center"/>
          </w:tcPr>
          <w:p w14:paraId="2D4F27EF">
            <w:pPr>
              <w:jc w:val="center"/>
              <w:rPr>
                <w:sz w:val="21"/>
                <w:szCs w:val="21"/>
                <w:highlight w:val="none"/>
              </w:rPr>
            </w:pPr>
            <w:r>
              <w:rPr>
                <w:sz w:val="21"/>
                <w:szCs w:val="21"/>
                <w:highlight w:val="none"/>
              </w:rPr>
              <w:t>120</w:t>
            </w:r>
          </w:p>
        </w:tc>
        <w:tc>
          <w:tcPr>
            <w:tcW w:w="1107" w:type="dxa"/>
            <w:noWrap w:val="0"/>
            <w:vAlign w:val="center"/>
          </w:tcPr>
          <w:p w14:paraId="6697B940">
            <w:pPr>
              <w:jc w:val="center"/>
              <w:rPr>
                <w:sz w:val="21"/>
                <w:szCs w:val="21"/>
                <w:highlight w:val="none"/>
              </w:rPr>
            </w:pPr>
            <w:r>
              <w:rPr>
                <w:sz w:val="21"/>
                <w:szCs w:val="21"/>
                <w:highlight w:val="none"/>
              </w:rPr>
              <w:t>14</w:t>
            </w:r>
          </w:p>
        </w:tc>
        <w:tc>
          <w:tcPr>
            <w:tcW w:w="689" w:type="dxa"/>
            <w:noWrap w:val="0"/>
            <w:vAlign w:val="center"/>
          </w:tcPr>
          <w:p w14:paraId="133FAED2">
            <w:pPr>
              <w:pStyle w:val="6"/>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3069" w:type="dxa"/>
            <w:noWrap w:val="0"/>
            <w:vAlign w:val="center"/>
          </w:tcPr>
          <w:p w14:paraId="440887A9">
            <w:pPr>
              <w:pStyle w:val="6"/>
              <w:ind w:firstLine="0" w:firstLineChars="0"/>
              <w:jc w:val="center"/>
              <w:rPr>
                <w:rFonts w:ascii="Times New Roman"/>
                <w:kern w:val="2"/>
                <w:sz w:val="21"/>
                <w:szCs w:val="21"/>
                <w:highlight w:val="none"/>
              </w:rPr>
            </w:pPr>
            <w:r>
              <w:rPr>
                <w:rFonts w:ascii="Times New Roman"/>
                <w:kern w:val="2"/>
                <w:sz w:val="21"/>
                <w:szCs w:val="21"/>
                <w:highlight w:val="none"/>
              </w:rPr>
              <w:t>《大气污染物综合排放标准》（GB16297-1996）表2二级标准</w:t>
            </w:r>
          </w:p>
        </w:tc>
      </w:tr>
      <w:tr w14:paraId="2C0D3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noWrap w:val="0"/>
            <w:vAlign w:val="center"/>
          </w:tcPr>
          <w:p w14:paraId="70D3D8E1">
            <w:pPr>
              <w:widowControl/>
              <w:snapToGrid w:val="0"/>
              <w:jc w:val="center"/>
              <w:rPr>
                <w:sz w:val="21"/>
                <w:szCs w:val="21"/>
                <w:highlight w:val="none"/>
              </w:rPr>
            </w:pPr>
          </w:p>
        </w:tc>
        <w:tc>
          <w:tcPr>
            <w:tcW w:w="898" w:type="dxa"/>
            <w:vMerge w:val="continue"/>
            <w:noWrap w:val="0"/>
            <w:vAlign w:val="center"/>
          </w:tcPr>
          <w:p w14:paraId="147F7D5D">
            <w:pPr>
              <w:pStyle w:val="6"/>
              <w:ind w:firstLine="0" w:firstLineChars="0"/>
              <w:jc w:val="center"/>
              <w:rPr>
                <w:rFonts w:ascii="Times New Roman"/>
                <w:kern w:val="2"/>
                <w:sz w:val="21"/>
                <w:szCs w:val="21"/>
                <w:highlight w:val="none"/>
              </w:rPr>
            </w:pPr>
          </w:p>
        </w:tc>
        <w:tc>
          <w:tcPr>
            <w:tcW w:w="1202" w:type="dxa"/>
            <w:noWrap w:val="0"/>
            <w:vAlign w:val="center"/>
          </w:tcPr>
          <w:p w14:paraId="00D15BFC">
            <w:pPr>
              <w:pStyle w:val="6"/>
              <w:ind w:firstLine="0" w:firstLineChars="0"/>
              <w:jc w:val="center"/>
              <w:rPr>
                <w:rFonts w:ascii="Times New Roman"/>
                <w:kern w:val="2"/>
                <w:sz w:val="21"/>
                <w:szCs w:val="21"/>
                <w:highlight w:val="none"/>
              </w:rPr>
            </w:pPr>
            <w:r>
              <w:rPr>
                <w:rFonts w:ascii="Times New Roman"/>
                <w:kern w:val="2"/>
                <w:sz w:val="21"/>
                <w:szCs w:val="21"/>
                <w:highlight w:val="none"/>
              </w:rPr>
              <w:t>催化剂储仓废气</w:t>
            </w:r>
          </w:p>
        </w:tc>
        <w:tc>
          <w:tcPr>
            <w:tcW w:w="781" w:type="dxa"/>
            <w:noWrap w:val="0"/>
            <w:vAlign w:val="center"/>
          </w:tcPr>
          <w:p w14:paraId="6E04C8EB">
            <w:pPr>
              <w:jc w:val="center"/>
              <w:rPr>
                <w:sz w:val="21"/>
                <w:szCs w:val="21"/>
                <w:highlight w:val="none"/>
              </w:rPr>
            </w:pPr>
            <w:r>
              <w:rPr>
                <w:sz w:val="21"/>
                <w:szCs w:val="21"/>
                <w:highlight w:val="none"/>
              </w:rPr>
              <w:t>颗粒物</w:t>
            </w:r>
          </w:p>
        </w:tc>
        <w:tc>
          <w:tcPr>
            <w:tcW w:w="1064" w:type="dxa"/>
            <w:noWrap w:val="0"/>
            <w:vAlign w:val="center"/>
          </w:tcPr>
          <w:p w14:paraId="311467CC">
            <w:pPr>
              <w:pStyle w:val="6"/>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1030</w:t>
            </w:r>
          </w:p>
        </w:tc>
        <w:tc>
          <w:tcPr>
            <w:tcW w:w="695" w:type="dxa"/>
            <w:noWrap w:val="0"/>
            <w:vAlign w:val="center"/>
          </w:tcPr>
          <w:p w14:paraId="609D6D00">
            <w:pPr>
              <w:jc w:val="center"/>
              <w:rPr>
                <w:rFonts w:hint="default" w:eastAsia="宋体"/>
                <w:sz w:val="21"/>
                <w:szCs w:val="21"/>
                <w:highlight w:val="none"/>
                <w:lang w:val="en-US" w:eastAsia="zh-CN"/>
              </w:rPr>
            </w:pPr>
            <w:r>
              <w:rPr>
                <w:rFonts w:hint="eastAsia"/>
                <w:sz w:val="21"/>
                <w:szCs w:val="21"/>
                <w:highlight w:val="none"/>
                <w:lang w:val="en-US" w:eastAsia="zh-CN"/>
              </w:rPr>
              <w:t>14</w:t>
            </w:r>
          </w:p>
        </w:tc>
        <w:tc>
          <w:tcPr>
            <w:tcW w:w="988" w:type="dxa"/>
            <w:noWrap w:val="0"/>
            <w:vAlign w:val="center"/>
          </w:tcPr>
          <w:p w14:paraId="39452492">
            <w:pPr>
              <w:pStyle w:val="6"/>
              <w:ind w:firstLine="0" w:firstLineChars="0"/>
              <w:jc w:val="center"/>
              <w:rPr>
                <w:rFonts w:hint="default" w:ascii="Times New Roman" w:eastAsia="宋体"/>
                <w:sz w:val="21"/>
                <w:szCs w:val="21"/>
                <w:highlight w:val="none"/>
                <w:lang w:val="en-US" w:eastAsia="zh-CN"/>
              </w:rPr>
            </w:pPr>
            <w:r>
              <w:rPr>
                <w:rFonts w:hint="eastAsia" w:ascii="Times New Roman"/>
                <w:sz w:val="21"/>
                <w:szCs w:val="21"/>
                <w:highlight w:val="none"/>
                <w:lang w:val="en-US" w:eastAsia="zh-CN"/>
              </w:rPr>
              <w:t>0.014</w:t>
            </w:r>
          </w:p>
        </w:tc>
        <w:tc>
          <w:tcPr>
            <w:tcW w:w="396" w:type="dxa"/>
            <w:noWrap w:val="0"/>
            <w:vAlign w:val="center"/>
          </w:tcPr>
          <w:p w14:paraId="078C5674">
            <w:pPr>
              <w:pStyle w:val="6"/>
              <w:ind w:firstLine="0" w:firstLineChars="0"/>
              <w:jc w:val="center"/>
              <w:rPr>
                <w:rFonts w:ascii="Times New Roman"/>
                <w:kern w:val="2"/>
                <w:sz w:val="21"/>
                <w:szCs w:val="21"/>
                <w:highlight w:val="none"/>
              </w:rPr>
            </w:pPr>
            <w:r>
              <w:rPr>
                <w:rFonts w:ascii="Times New Roman"/>
                <w:kern w:val="2"/>
                <w:sz w:val="21"/>
                <w:szCs w:val="21"/>
                <w:highlight w:val="none"/>
              </w:rPr>
              <w:t>1</w:t>
            </w:r>
          </w:p>
        </w:tc>
        <w:tc>
          <w:tcPr>
            <w:tcW w:w="531" w:type="dxa"/>
            <w:noWrap w:val="0"/>
            <w:vAlign w:val="center"/>
          </w:tcPr>
          <w:p w14:paraId="58B0102A">
            <w:pPr>
              <w:pStyle w:val="6"/>
              <w:ind w:firstLine="0" w:firstLineChars="0"/>
              <w:jc w:val="center"/>
              <w:rPr>
                <w:rFonts w:ascii="Times New Roman"/>
                <w:kern w:val="2"/>
                <w:sz w:val="21"/>
                <w:szCs w:val="21"/>
                <w:highlight w:val="none"/>
              </w:rPr>
            </w:pPr>
            <w:r>
              <w:rPr>
                <w:rFonts w:ascii="Times New Roman"/>
                <w:kern w:val="2"/>
                <w:sz w:val="21"/>
                <w:szCs w:val="21"/>
                <w:highlight w:val="none"/>
              </w:rPr>
              <w:t>25</w:t>
            </w:r>
          </w:p>
        </w:tc>
        <w:tc>
          <w:tcPr>
            <w:tcW w:w="717" w:type="dxa"/>
            <w:noWrap w:val="0"/>
            <w:vAlign w:val="center"/>
          </w:tcPr>
          <w:p w14:paraId="08DF7214">
            <w:pPr>
              <w:pStyle w:val="6"/>
              <w:ind w:firstLine="0" w:firstLineChars="0"/>
              <w:jc w:val="center"/>
              <w:rPr>
                <w:rFonts w:ascii="Times New Roman"/>
                <w:kern w:val="2"/>
                <w:sz w:val="21"/>
                <w:szCs w:val="21"/>
                <w:highlight w:val="none"/>
              </w:rPr>
            </w:pPr>
            <w:r>
              <w:rPr>
                <w:rFonts w:ascii="Times New Roman"/>
                <w:kern w:val="2"/>
                <w:sz w:val="21"/>
                <w:szCs w:val="21"/>
                <w:highlight w:val="none"/>
              </w:rPr>
              <w:t>0.4</w:t>
            </w:r>
          </w:p>
        </w:tc>
        <w:tc>
          <w:tcPr>
            <w:tcW w:w="696" w:type="dxa"/>
            <w:noWrap w:val="0"/>
            <w:vAlign w:val="center"/>
          </w:tcPr>
          <w:p w14:paraId="45727486">
            <w:pPr>
              <w:jc w:val="center"/>
              <w:rPr>
                <w:sz w:val="21"/>
                <w:szCs w:val="21"/>
                <w:highlight w:val="none"/>
              </w:rPr>
            </w:pPr>
            <w:r>
              <w:rPr>
                <w:sz w:val="21"/>
                <w:szCs w:val="21"/>
                <w:highlight w:val="none"/>
              </w:rPr>
              <w:t>120</w:t>
            </w:r>
          </w:p>
        </w:tc>
        <w:tc>
          <w:tcPr>
            <w:tcW w:w="1107" w:type="dxa"/>
            <w:noWrap w:val="0"/>
            <w:vAlign w:val="center"/>
          </w:tcPr>
          <w:p w14:paraId="68DF4E8A">
            <w:pPr>
              <w:jc w:val="center"/>
              <w:rPr>
                <w:rFonts w:hint="default" w:eastAsia="宋体"/>
                <w:sz w:val="21"/>
                <w:szCs w:val="21"/>
                <w:highlight w:val="none"/>
                <w:lang w:val="en-US" w:eastAsia="zh-CN"/>
              </w:rPr>
            </w:pPr>
            <w:r>
              <w:rPr>
                <w:rFonts w:hint="eastAsia"/>
                <w:sz w:val="21"/>
                <w:szCs w:val="21"/>
                <w:highlight w:val="none"/>
                <w:lang w:val="en-US" w:eastAsia="zh-CN"/>
              </w:rPr>
              <w:t>14</w:t>
            </w:r>
          </w:p>
        </w:tc>
        <w:tc>
          <w:tcPr>
            <w:tcW w:w="689" w:type="dxa"/>
            <w:noWrap w:val="0"/>
            <w:vAlign w:val="center"/>
          </w:tcPr>
          <w:p w14:paraId="187CCDFE">
            <w:pPr>
              <w:pStyle w:val="6"/>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3069" w:type="dxa"/>
            <w:noWrap w:val="0"/>
            <w:vAlign w:val="center"/>
          </w:tcPr>
          <w:p w14:paraId="4C9A94BC">
            <w:pPr>
              <w:pStyle w:val="6"/>
              <w:ind w:firstLine="0" w:firstLineChars="0"/>
              <w:jc w:val="center"/>
              <w:rPr>
                <w:rFonts w:ascii="Times New Roman"/>
                <w:kern w:val="2"/>
                <w:sz w:val="21"/>
                <w:szCs w:val="21"/>
                <w:highlight w:val="none"/>
              </w:rPr>
            </w:pPr>
            <w:r>
              <w:rPr>
                <w:rFonts w:ascii="Times New Roman"/>
                <w:kern w:val="2"/>
                <w:sz w:val="21"/>
                <w:szCs w:val="21"/>
                <w:highlight w:val="none"/>
              </w:rPr>
              <w:t>《大气污染物综合排放标准》（GB16297-1996）表2二级标准</w:t>
            </w:r>
          </w:p>
        </w:tc>
      </w:tr>
      <w:tr w14:paraId="4394D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noWrap w:val="0"/>
            <w:vAlign w:val="center"/>
          </w:tcPr>
          <w:p w14:paraId="5AAB9F11">
            <w:pPr>
              <w:widowControl/>
              <w:snapToGrid w:val="0"/>
              <w:jc w:val="center"/>
              <w:rPr>
                <w:sz w:val="21"/>
                <w:szCs w:val="21"/>
                <w:highlight w:val="none"/>
              </w:rPr>
            </w:pPr>
          </w:p>
        </w:tc>
        <w:tc>
          <w:tcPr>
            <w:tcW w:w="898" w:type="dxa"/>
            <w:vMerge w:val="continue"/>
            <w:noWrap w:val="0"/>
            <w:vAlign w:val="center"/>
          </w:tcPr>
          <w:p w14:paraId="57DB45F1">
            <w:pPr>
              <w:pStyle w:val="6"/>
              <w:ind w:firstLine="0" w:firstLineChars="0"/>
              <w:jc w:val="center"/>
              <w:rPr>
                <w:rFonts w:ascii="Times New Roman"/>
                <w:kern w:val="2"/>
                <w:sz w:val="21"/>
                <w:szCs w:val="21"/>
                <w:highlight w:val="none"/>
              </w:rPr>
            </w:pPr>
          </w:p>
        </w:tc>
        <w:tc>
          <w:tcPr>
            <w:tcW w:w="1202" w:type="dxa"/>
            <w:noWrap w:val="0"/>
            <w:vAlign w:val="center"/>
          </w:tcPr>
          <w:p w14:paraId="1512BDB0">
            <w:pPr>
              <w:pStyle w:val="6"/>
              <w:ind w:firstLine="0" w:firstLineChars="0"/>
              <w:jc w:val="center"/>
              <w:rPr>
                <w:rFonts w:ascii="Times New Roman"/>
                <w:kern w:val="2"/>
                <w:sz w:val="21"/>
                <w:szCs w:val="21"/>
                <w:highlight w:val="none"/>
              </w:rPr>
            </w:pPr>
            <w:r>
              <w:rPr>
                <w:rFonts w:ascii="Times New Roman"/>
                <w:kern w:val="2"/>
                <w:sz w:val="21"/>
                <w:szCs w:val="21"/>
                <w:highlight w:val="none"/>
              </w:rPr>
              <w:t>催化剂给料罐废气</w:t>
            </w:r>
          </w:p>
        </w:tc>
        <w:tc>
          <w:tcPr>
            <w:tcW w:w="781" w:type="dxa"/>
            <w:noWrap w:val="0"/>
            <w:vAlign w:val="center"/>
          </w:tcPr>
          <w:p w14:paraId="05A0F558">
            <w:pPr>
              <w:jc w:val="center"/>
              <w:rPr>
                <w:sz w:val="21"/>
                <w:szCs w:val="21"/>
                <w:highlight w:val="none"/>
              </w:rPr>
            </w:pPr>
            <w:r>
              <w:rPr>
                <w:sz w:val="21"/>
                <w:szCs w:val="21"/>
                <w:highlight w:val="none"/>
              </w:rPr>
              <w:t>颗粒物</w:t>
            </w:r>
          </w:p>
        </w:tc>
        <w:tc>
          <w:tcPr>
            <w:tcW w:w="1064" w:type="dxa"/>
            <w:noWrap w:val="0"/>
            <w:vAlign w:val="center"/>
          </w:tcPr>
          <w:p w14:paraId="03790793">
            <w:pPr>
              <w:pStyle w:val="6"/>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974</w:t>
            </w:r>
          </w:p>
        </w:tc>
        <w:tc>
          <w:tcPr>
            <w:tcW w:w="695" w:type="dxa"/>
            <w:noWrap w:val="0"/>
            <w:vAlign w:val="center"/>
          </w:tcPr>
          <w:p w14:paraId="4FA2CF70">
            <w:pPr>
              <w:jc w:val="center"/>
              <w:rPr>
                <w:rFonts w:hint="default" w:eastAsia="宋体"/>
                <w:sz w:val="21"/>
                <w:szCs w:val="21"/>
                <w:highlight w:val="none"/>
                <w:lang w:val="en-US" w:eastAsia="zh-CN"/>
              </w:rPr>
            </w:pPr>
            <w:r>
              <w:rPr>
                <w:rFonts w:hint="eastAsia"/>
                <w:sz w:val="21"/>
                <w:szCs w:val="21"/>
                <w:highlight w:val="none"/>
                <w:lang w:val="en-US" w:eastAsia="zh-CN"/>
              </w:rPr>
              <w:t>13</w:t>
            </w:r>
          </w:p>
        </w:tc>
        <w:tc>
          <w:tcPr>
            <w:tcW w:w="988" w:type="dxa"/>
            <w:noWrap w:val="0"/>
            <w:vAlign w:val="center"/>
          </w:tcPr>
          <w:p w14:paraId="5F196C3A">
            <w:pPr>
              <w:pStyle w:val="6"/>
              <w:ind w:firstLine="0" w:firstLineChars="0"/>
              <w:jc w:val="center"/>
              <w:rPr>
                <w:rFonts w:hint="default" w:ascii="Times New Roman" w:eastAsia="宋体"/>
                <w:sz w:val="21"/>
                <w:szCs w:val="21"/>
                <w:highlight w:val="none"/>
                <w:lang w:val="en-US" w:eastAsia="zh-CN"/>
              </w:rPr>
            </w:pPr>
            <w:r>
              <w:rPr>
                <w:rFonts w:hint="eastAsia" w:ascii="Times New Roman"/>
                <w:sz w:val="21"/>
                <w:szCs w:val="21"/>
                <w:highlight w:val="none"/>
                <w:lang w:val="en-US" w:eastAsia="zh-CN"/>
              </w:rPr>
              <w:t>0.013</w:t>
            </w:r>
          </w:p>
        </w:tc>
        <w:tc>
          <w:tcPr>
            <w:tcW w:w="396" w:type="dxa"/>
            <w:noWrap w:val="0"/>
            <w:vAlign w:val="center"/>
          </w:tcPr>
          <w:p w14:paraId="3555C65B">
            <w:pPr>
              <w:pStyle w:val="6"/>
              <w:ind w:firstLine="0" w:firstLineChars="0"/>
              <w:jc w:val="center"/>
              <w:rPr>
                <w:rFonts w:ascii="Times New Roman"/>
                <w:kern w:val="2"/>
                <w:sz w:val="21"/>
                <w:szCs w:val="21"/>
                <w:highlight w:val="none"/>
              </w:rPr>
            </w:pPr>
            <w:r>
              <w:rPr>
                <w:rFonts w:ascii="Times New Roman"/>
                <w:kern w:val="2"/>
                <w:sz w:val="21"/>
                <w:szCs w:val="21"/>
                <w:highlight w:val="none"/>
              </w:rPr>
              <w:t>1</w:t>
            </w:r>
          </w:p>
        </w:tc>
        <w:tc>
          <w:tcPr>
            <w:tcW w:w="531" w:type="dxa"/>
            <w:noWrap w:val="0"/>
            <w:vAlign w:val="center"/>
          </w:tcPr>
          <w:p w14:paraId="62794FEC">
            <w:pPr>
              <w:pStyle w:val="6"/>
              <w:ind w:firstLine="0" w:firstLineChars="0"/>
              <w:jc w:val="center"/>
              <w:rPr>
                <w:rFonts w:ascii="Times New Roman"/>
                <w:kern w:val="2"/>
                <w:sz w:val="21"/>
                <w:szCs w:val="21"/>
                <w:highlight w:val="none"/>
              </w:rPr>
            </w:pPr>
            <w:r>
              <w:rPr>
                <w:rFonts w:ascii="Times New Roman"/>
                <w:kern w:val="2"/>
                <w:sz w:val="21"/>
                <w:szCs w:val="21"/>
                <w:highlight w:val="none"/>
              </w:rPr>
              <w:t>25</w:t>
            </w:r>
          </w:p>
        </w:tc>
        <w:tc>
          <w:tcPr>
            <w:tcW w:w="717" w:type="dxa"/>
            <w:noWrap w:val="0"/>
            <w:vAlign w:val="center"/>
          </w:tcPr>
          <w:p w14:paraId="2607E59B">
            <w:pPr>
              <w:pStyle w:val="6"/>
              <w:ind w:firstLine="0" w:firstLineChars="0"/>
              <w:jc w:val="center"/>
              <w:rPr>
                <w:rFonts w:ascii="Times New Roman"/>
                <w:kern w:val="2"/>
                <w:sz w:val="21"/>
                <w:szCs w:val="21"/>
                <w:highlight w:val="none"/>
              </w:rPr>
            </w:pPr>
            <w:r>
              <w:rPr>
                <w:rFonts w:ascii="Times New Roman"/>
                <w:kern w:val="2"/>
                <w:sz w:val="21"/>
                <w:szCs w:val="21"/>
                <w:highlight w:val="none"/>
              </w:rPr>
              <w:t>0.4</w:t>
            </w:r>
          </w:p>
        </w:tc>
        <w:tc>
          <w:tcPr>
            <w:tcW w:w="696" w:type="dxa"/>
            <w:noWrap w:val="0"/>
            <w:vAlign w:val="center"/>
          </w:tcPr>
          <w:p w14:paraId="1C0E1ADC">
            <w:pPr>
              <w:jc w:val="center"/>
              <w:rPr>
                <w:sz w:val="21"/>
                <w:szCs w:val="21"/>
                <w:highlight w:val="none"/>
              </w:rPr>
            </w:pPr>
            <w:r>
              <w:rPr>
                <w:sz w:val="21"/>
                <w:szCs w:val="21"/>
                <w:highlight w:val="none"/>
              </w:rPr>
              <w:t>120</w:t>
            </w:r>
          </w:p>
        </w:tc>
        <w:tc>
          <w:tcPr>
            <w:tcW w:w="1107" w:type="dxa"/>
            <w:noWrap w:val="0"/>
            <w:vAlign w:val="center"/>
          </w:tcPr>
          <w:p w14:paraId="136A2FDD">
            <w:pPr>
              <w:jc w:val="center"/>
              <w:rPr>
                <w:rFonts w:hint="default" w:eastAsia="宋体"/>
                <w:sz w:val="21"/>
                <w:szCs w:val="21"/>
                <w:highlight w:val="none"/>
                <w:lang w:val="en-US" w:eastAsia="zh-CN"/>
              </w:rPr>
            </w:pPr>
            <w:r>
              <w:rPr>
                <w:rFonts w:hint="eastAsia"/>
                <w:sz w:val="21"/>
                <w:szCs w:val="21"/>
                <w:highlight w:val="none"/>
                <w:lang w:val="en-US" w:eastAsia="zh-CN"/>
              </w:rPr>
              <w:t>14</w:t>
            </w:r>
          </w:p>
        </w:tc>
        <w:tc>
          <w:tcPr>
            <w:tcW w:w="689" w:type="dxa"/>
            <w:noWrap w:val="0"/>
            <w:vAlign w:val="center"/>
          </w:tcPr>
          <w:p w14:paraId="3793F363">
            <w:pPr>
              <w:pStyle w:val="6"/>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3069" w:type="dxa"/>
            <w:noWrap w:val="0"/>
            <w:vAlign w:val="center"/>
          </w:tcPr>
          <w:p w14:paraId="750DA5FC">
            <w:pPr>
              <w:pStyle w:val="6"/>
              <w:ind w:firstLine="0" w:firstLineChars="0"/>
              <w:jc w:val="center"/>
              <w:rPr>
                <w:rFonts w:ascii="Times New Roman"/>
                <w:kern w:val="2"/>
                <w:sz w:val="21"/>
                <w:szCs w:val="21"/>
                <w:highlight w:val="none"/>
              </w:rPr>
            </w:pPr>
            <w:r>
              <w:rPr>
                <w:rFonts w:ascii="Times New Roman"/>
                <w:kern w:val="2"/>
                <w:sz w:val="21"/>
                <w:szCs w:val="21"/>
                <w:highlight w:val="none"/>
              </w:rPr>
              <w:t>《大气污染物综合排放标准》（GB16297-1996）表2二级标准</w:t>
            </w:r>
          </w:p>
        </w:tc>
      </w:tr>
      <w:tr w14:paraId="3D43E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noWrap w:val="0"/>
            <w:vAlign w:val="center"/>
          </w:tcPr>
          <w:p w14:paraId="5A74A8B4">
            <w:pPr>
              <w:widowControl/>
              <w:snapToGrid w:val="0"/>
              <w:jc w:val="center"/>
              <w:rPr>
                <w:sz w:val="21"/>
                <w:szCs w:val="21"/>
                <w:highlight w:val="none"/>
              </w:rPr>
            </w:pPr>
          </w:p>
        </w:tc>
        <w:tc>
          <w:tcPr>
            <w:tcW w:w="898" w:type="dxa"/>
            <w:vMerge w:val="restart"/>
            <w:noWrap w:val="0"/>
            <w:vAlign w:val="center"/>
          </w:tcPr>
          <w:p w14:paraId="2A916176">
            <w:pPr>
              <w:pStyle w:val="6"/>
              <w:ind w:firstLine="0" w:firstLineChars="0"/>
              <w:jc w:val="center"/>
              <w:rPr>
                <w:rFonts w:ascii="Times New Roman"/>
                <w:kern w:val="2"/>
                <w:sz w:val="21"/>
                <w:szCs w:val="21"/>
                <w:highlight w:val="none"/>
              </w:rPr>
            </w:pPr>
            <w:r>
              <w:rPr>
                <w:rFonts w:ascii="Times New Roman"/>
                <w:kern w:val="2"/>
                <w:sz w:val="21"/>
                <w:szCs w:val="21"/>
                <w:highlight w:val="none"/>
              </w:rPr>
              <w:t>蜡过滤单元</w:t>
            </w:r>
          </w:p>
        </w:tc>
        <w:tc>
          <w:tcPr>
            <w:tcW w:w="1202" w:type="dxa"/>
            <w:noWrap w:val="0"/>
            <w:vAlign w:val="center"/>
          </w:tcPr>
          <w:p w14:paraId="39C721A2">
            <w:pPr>
              <w:pStyle w:val="6"/>
              <w:ind w:firstLine="0" w:firstLineChars="0"/>
              <w:jc w:val="center"/>
              <w:rPr>
                <w:rFonts w:ascii="Times New Roman"/>
                <w:kern w:val="2"/>
                <w:sz w:val="21"/>
                <w:szCs w:val="21"/>
                <w:highlight w:val="none"/>
              </w:rPr>
            </w:pPr>
            <w:r>
              <w:rPr>
                <w:rFonts w:ascii="Times New Roman"/>
                <w:kern w:val="2"/>
                <w:sz w:val="21"/>
                <w:szCs w:val="21"/>
                <w:highlight w:val="none"/>
              </w:rPr>
              <w:t>助剂拆袋系统废气</w:t>
            </w:r>
          </w:p>
        </w:tc>
        <w:tc>
          <w:tcPr>
            <w:tcW w:w="781" w:type="dxa"/>
            <w:noWrap w:val="0"/>
            <w:vAlign w:val="center"/>
          </w:tcPr>
          <w:p w14:paraId="325BB129">
            <w:pPr>
              <w:jc w:val="center"/>
              <w:rPr>
                <w:sz w:val="21"/>
                <w:szCs w:val="21"/>
                <w:highlight w:val="none"/>
              </w:rPr>
            </w:pPr>
            <w:r>
              <w:rPr>
                <w:sz w:val="21"/>
                <w:szCs w:val="21"/>
                <w:highlight w:val="none"/>
              </w:rPr>
              <w:t>颗粒物</w:t>
            </w:r>
          </w:p>
        </w:tc>
        <w:tc>
          <w:tcPr>
            <w:tcW w:w="1064" w:type="dxa"/>
            <w:noWrap w:val="0"/>
            <w:vAlign w:val="center"/>
          </w:tcPr>
          <w:p w14:paraId="1D771CE1">
            <w:pPr>
              <w:pStyle w:val="6"/>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224</w:t>
            </w:r>
          </w:p>
        </w:tc>
        <w:tc>
          <w:tcPr>
            <w:tcW w:w="695" w:type="dxa"/>
            <w:noWrap w:val="0"/>
            <w:vAlign w:val="center"/>
          </w:tcPr>
          <w:p w14:paraId="32009507">
            <w:pPr>
              <w:jc w:val="center"/>
              <w:rPr>
                <w:rFonts w:hint="default" w:eastAsia="宋体"/>
                <w:sz w:val="21"/>
                <w:szCs w:val="21"/>
                <w:highlight w:val="none"/>
                <w:lang w:val="en-US" w:eastAsia="zh-CN"/>
              </w:rPr>
            </w:pPr>
            <w:r>
              <w:rPr>
                <w:rFonts w:hint="eastAsia"/>
                <w:sz w:val="21"/>
                <w:szCs w:val="21"/>
                <w:highlight w:val="none"/>
                <w:lang w:val="en-US" w:eastAsia="zh-CN"/>
              </w:rPr>
              <w:t>78</w:t>
            </w:r>
          </w:p>
        </w:tc>
        <w:tc>
          <w:tcPr>
            <w:tcW w:w="988" w:type="dxa"/>
            <w:noWrap w:val="0"/>
            <w:vAlign w:val="center"/>
          </w:tcPr>
          <w:p w14:paraId="742F366F">
            <w:pPr>
              <w:pStyle w:val="6"/>
              <w:ind w:firstLine="0" w:firstLineChars="0"/>
              <w:jc w:val="center"/>
              <w:rPr>
                <w:rFonts w:hint="default" w:ascii="Times New Roman" w:eastAsia="宋体"/>
                <w:sz w:val="21"/>
                <w:szCs w:val="21"/>
                <w:highlight w:val="none"/>
                <w:lang w:val="en-US" w:eastAsia="zh-CN"/>
              </w:rPr>
            </w:pPr>
            <w:r>
              <w:rPr>
                <w:rFonts w:hint="eastAsia" w:ascii="Times New Roman"/>
                <w:sz w:val="21"/>
                <w:szCs w:val="21"/>
                <w:highlight w:val="none"/>
                <w:lang w:val="en-US" w:eastAsia="zh-CN"/>
              </w:rPr>
              <w:t>0.017</w:t>
            </w:r>
          </w:p>
        </w:tc>
        <w:tc>
          <w:tcPr>
            <w:tcW w:w="396" w:type="dxa"/>
            <w:noWrap w:val="0"/>
            <w:vAlign w:val="center"/>
          </w:tcPr>
          <w:p w14:paraId="31FD46B6">
            <w:pPr>
              <w:pStyle w:val="6"/>
              <w:ind w:firstLine="0" w:firstLineChars="0"/>
              <w:jc w:val="center"/>
              <w:rPr>
                <w:rFonts w:ascii="Times New Roman"/>
                <w:kern w:val="2"/>
                <w:sz w:val="21"/>
                <w:szCs w:val="21"/>
                <w:highlight w:val="none"/>
              </w:rPr>
            </w:pPr>
            <w:r>
              <w:rPr>
                <w:rFonts w:ascii="Times New Roman"/>
                <w:kern w:val="2"/>
                <w:sz w:val="21"/>
                <w:szCs w:val="21"/>
                <w:highlight w:val="none"/>
              </w:rPr>
              <w:t>1</w:t>
            </w:r>
          </w:p>
        </w:tc>
        <w:tc>
          <w:tcPr>
            <w:tcW w:w="531" w:type="dxa"/>
            <w:noWrap w:val="0"/>
            <w:vAlign w:val="center"/>
          </w:tcPr>
          <w:p w14:paraId="46D3F671">
            <w:pPr>
              <w:pStyle w:val="6"/>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23</w:t>
            </w:r>
          </w:p>
        </w:tc>
        <w:tc>
          <w:tcPr>
            <w:tcW w:w="717" w:type="dxa"/>
            <w:noWrap w:val="0"/>
            <w:vAlign w:val="center"/>
          </w:tcPr>
          <w:p w14:paraId="6E687489">
            <w:pPr>
              <w:pStyle w:val="6"/>
              <w:ind w:firstLine="0" w:firstLineChars="0"/>
              <w:jc w:val="center"/>
              <w:rPr>
                <w:rFonts w:ascii="Times New Roman"/>
                <w:kern w:val="2"/>
                <w:sz w:val="21"/>
                <w:szCs w:val="21"/>
                <w:highlight w:val="none"/>
              </w:rPr>
            </w:pPr>
            <w:r>
              <w:rPr>
                <w:rFonts w:ascii="Times New Roman"/>
                <w:kern w:val="2"/>
                <w:sz w:val="21"/>
                <w:szCs w:val="21"/>
                <w:highlight w:val="none"/>
              </w:rPr>
              <w:t>0.35</w:t>
            </w:r>
          </w:p>
        </w:tc>
        <w:tc>
          <w:tcPr>
            <w:tcW w:w="696" w:type="dxa"/>
            <w:noWrap w:val="0"/>
            <w:vAlign w:val="center"/>
          </w:tcPr>
          <w:p w14:paraId="4040ADDA">
            <w:pPr>
              <w:jc w:val="center"/>
              <w:rPr>
                <w:sz w:val="21"/>
                <w:szCs w:val="21"/>
                <w:highlight w:val="none"/>
              </w:rPr>
            </w:pPr>
            <w:r>
              <w:rPr>
                <w:sz w:val="21"/>
                <w:szCs w:val="21"/>
                <w:highlight w:val="none"/>
              </w:rPr>
              <w:t>120</w:t>
            </w:r>
          </w:p>
        </w:tc>
        <w:tc>
          <w:tcPr>
            <w:tcW w:w="1107" w:type="dxa"/>
            <w:noWrap w:val="0"/>
            <w:vAlign w:val="center"/>
          </w:tcPr>
          <w:p w14:paraId="278F757F">
            <w:pPr>
              <w:jc w:val="center"/>
              <w:rPr>
                <w:rFonts w:hint="default" w:eastAsia="宋体"/>
                <w:sz w:val="21"/>
                <w:szCs w:val="21"/>
                <w:highlight w:val="none"/>
                <w:lang w:val="en-US" w:eastAsia="zh-CN"/>
              </w:rPr>
            </w:pPr>
            <w:r>
              <w:rPr>
                <w:rFonts w:hint="eastAsia"/>
                <w:sz w:val="21"/>
                <w:szCs w:val="21"/>
                <w:highlight w:val="none"/>
                <w:lang w:val="en-US" w:eastAsia="zh-CN"/>
              </w:rPr>
              <w:t>11</w:t>
            </w:r>
          </w:p>
        </w:tc>
        <w:tc>
          <w:tcPr>
            <w:tcW w:w="689" w:type="dxa"/>
            <w:noWrap w:val="0"/>
            <w:vAlign w:val="center"/>
          </w:tcPr>
          <w:p w14:paraId="4662C918">
            <w:pPr>
              <w:pStyle w:val="6"/>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3069" w:type="dxa"/>
            <w:noWrap w:val="0"/>
            <w:vAlign w:val="center"/>
          </w:tcPr>
          <w:p w14:paraId="6A8EFD0A">
            <w:pPr>
              <w:pStyle w:val="6"/>
              <w:ind w:firstLine="0" w:firstLineChars="0"/>
              <w:jc w:val="center"/>
              <w:rPr>
                <w:rFonts w:ascii="Times New Roman"/>
                <w:kern w:val="2"/>
                <w:sz w:val="21"/>
                <w:szCs w:val="21"/>
                <w:highlight w:val="none"/>
              </w:rPr>
            </w:pPr>
            <w:r>
              <w:rPr>
                <w:rFonts w:ascii="Times New Roman"/>
                <w:kern w:val="2"/>
                <w:sz w:val="21"/>
                <w:szCs w:val="21"/>
                <w:highlight w:val="none"/>
              </w:rPr>
              <w:t>《大气污染物综合排放标准》（GB16297-1996）表2二级标准</w:t>
            </w:r>
          </w:p>
        </w:tc>
      </w:tr>
      <w:tr w14:paraId="06BE1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noWrap w:val="0"/>
            <w:vAlign w:val="center"/>
          </w:tcPr>
          <w:p w14:paraId="7429046A">
            <w:pPr>
              <w:widowControl/>
              <w:snapToGrid w:val="0"/>
              <w:jc w:val="center"/>
              <w:rPr>
                <w:sz w:val="21"/>
                <w:szCs w:val="21"/>
                <w:highlight w:val="none"/>
              </w:rPr>
            </w:pPr>
          </w:p>
        </w:tc>
        <w:tc>
          <w:tcPr>
            <w:tcW w:w="898" w:type="dxa"/>
            <w:vMerge w:val="continue"/>
            <w:noWrap w:val="0"/>
            <w:vAlign w:val="center"/>
          </w:tcPr>
          <w:p w14:paraId="4800EAFB">
            <w:pPr>
              <w:pStyle w:val="6"/>
              <w:ind w:firstLine="0" w:firstLineChars="0"/>
              <w:jc w:val="center"/>
              <w:rPr>
                <w:rFonts w:ascii="Times New Roman"/>
                <w:kern w:val="2"/>
                <w:sz w:val="21"/>
                <w:szCs w:val="21"/>
                <w:highlight w:val="none"/>
              </w:rPr>
            </w:pPr>
          </w:p>
        </w:tc>
        <w:tc>
          <w:tcPr>
            <w:tcW w:w="1202" w:type="dxa"/>
            <w:noWrap w:val="0"/>
            <w:vAlign w:val="center"/>
          </w:tcPr>
          <w:p w14:paraId="3B91DC12">
            <w:pPr>
              <w:pStyle w:val="6"/>
              <w:ind w:firstLine="0" w:firstLineChars="0"/>
              <w:jc w:val="center"/>
              <w:rPr>
                <w:rFonts w:ascii="Times New Roman"/>
                <w:kern w:val="2"/>
                <w:sz w:val="21"/>
                <w:szCs w:val="21"/>
                <w:highlight w:val="none"/>
              </w:rPr>
            </w:pPr>
            <w:r>
              <w:rPr>
                <w:rFonts w:ascii="Times New Roman"/>
                <w:kern w:val="2"/>
                <w:sz w:val="21"/>
                <w:szCs w:val="21"/>
                <w:highlight w:val="none"/>
              </w:rPr>
              <w:t>硅藻土储仓</w:t>
            </w:r>
          </w:p>
        </w:tc>
        <w:tc>
          <w:tcPr>
            <w:tcW w:w="781" w:type="dxa"/>
            <w:noWrap w:val="0"/>
            <w:vAlign w:val="center"/>
          </w:tcPr>
          <w:p w14:paraId="3CADF4B5">
            <w:pPr>
              <w:jc w:val="center"/>
              <w:rPr>
                <w:sz w:val="21"/>
                <w:szCs w:val="21"/>
                <w:highlight w:val="none"/>
              </w:rPr>
            </w:pPr>
            <w:r>
              <w:rPr>
                <w:sz w:val="21"/>
                <w:szCs w:val="21"/>
                <w:highlight w:val="none"/>
              </w:rPr>
              <w:t>颗粒物</w:t>
            </w:r>
          </w:p>
        </w:tc>
        <w:tc>
          <w:tcPr>
            <w:tcW w:w="1064" w:type="dxa"/>
            <w:noWrap w:val="0"/>
            <w:vAlign w:val="center"/>
          </w:tcPr>
          <w:p w14:paraId="3AB2CA8B">
            <w:pPr>
              <w:pStyle w:val="6"/>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215</w:t>
            </w:r>
          </w:p>
        </w:tc>
        <w:tc>
          <w:tcPr>
            <w:tcW w:w="695" w:type="dxa"/>
            <w:noWrap w:val="0"/>
            <w:vAlign w:val="center"/>
          </w:tcPr>
          <w:p w14:paraId="7D5093F1">
            <w:pPr>
              <w:jc w:val="center"/>
              <w:rPr>
                <w:rFonts w:hint="default" w:eastAsia="宋体"/>
                <w:sz w:val="21"/>
                <w:szCs w:val="21"/>
                <w:highlight w:val="none"/>
                <w:lang w:val="en-US" w:eastAsia="zh-CN"/>
              </w:rPr>
            </w:pPr>
            <w:r>
              <w:rPr>
                <w:rFonts w:hint="eastAsia"/>
                <w:sz w:val="21"/>
                <w:szCs w:val="21"/>
                <w:highlight w:val="none"/>
                <w:lang w:val="en-US" w:eastAsia="zh-CN"/>
              </w:rPr>
              <w:t>39</w:t>
            </w:r>
          </w:p>
        </w:tc>
        <w:tc>
          <w:tcPr>
            <w:tcW w:w="988" w:type="dxa"/>
            <w:noWrap w:val="0"/>
            <w:vAlign w:val="center"/>
          </w:tcPr>
          <w:p w14:paraId="3E4CC872">
            <w:pPr>
              <w:pStyle w:val="6"/>
              <w:ind w:firstLine="0" w:firstLineChars="0"/>
              <w:jc w:val="center"/>
              <w:rPr>
                <w:rFonts w:hint="default" w:ascii="Times New Roman" w:eastAsia="宋体"/>
                <w:sz w:val="21"/>
                <w:szCs w:val="21"/>
                <w:highlight w:val="none"/>
                <w:lang w:val="en-US" w:eastAsia="zh-CN"/>
              </w:rPr>
            </w:pPr>
            <w:r>
              <w:rPr>
                <w:rFonts w:hint="eastAsia" w:ascii="Times New Roman"/>
                <w:sz w:val="21"/>
                <w:szCs w:val="21"/>
                <w:highlight w:val="none"/>
                <w:lang w:val="en-US" w:eastAsia="zh-CN"/>
              </w:rPr>
              <w:t>8.3×10</w:t>
            </w:r>
            <w:r>
              <w:rPr>
                <w:rFonts w:hint="eastAsia" w:ascii="Times New Roman"/>
                <w:sz w:val="21"/>
                <w:szCs w:val="21"/>
                <w:highlight w:val="none"/>
                <w:vertAlign w:val="superscript"/>
                <w:lang w:val="en-US" w:eastAsia="zh-CN"/>
              </w:rPr>
              <w:t>-3</w:t>
            </w:r>
          </w:p>
        </w:tc>
        <w:tc>
          <w:tcPr>
            <w:tcW w:w="396" w:type="dxa"/>
            <w:noWrap w:val="0"/>
            <w:vAlign w:val="center"/>
          </w:tcPr>
          <w:p w14:paraId="41C85F23">
            <w:pPr>
              <w:pStyle w:val="6"/>
              <w:ind w:firstLine="0" w:firstLineChars="0"/>
              <w:jc w:val="center"/>
              <w:rPr>
                <w:rFonts w:ascii="Times New Roman"/>
                <w:kern w:val="2"/>
                <w:sz w:val="21"/>
                <w:szCs w:val="21"/>
                <w:highlight w:val="none"/>
              </w:rPr>
            </w:pPr>
            <w:r>
              <w:rPr>
                <w:rFonts w:ascii="Times New Roman"/>
                <w:kern w:val="2"/>
                <w:sz w:val="21"/>
                <w:szCs w:val="21"/>
                <w:highlight w:val="none"/>
              </w:rPr>
              <w:t>1</w:t>
            </w:r>
          </w:p>
        </w:tc>
        <w:tc>
          <w:tcPr>
            <w:tcW w:w="531" w:type="dxa"/>
            <w:noWrap w:val="0"/>
            <w:vAlign w:val="center"/>
          </w:tcPr>
          <w:p w14:paraId="2B909698">
            <w:pPr>
              <w:pStyle w:val="6"/>
              <w:ind w:firstLine="0" w:firstLineChars="0"/>
              <w:jc w:val="center"/>
              <w:rPr>
                <w:rFonts w:ascii="Times New Roman"/>
                <w:kern w:val="2"/>
                <w:sz w:val="21"/>
                <w:szCs w:val="21"/>
                <w:highlight w:val="none"/>
              </w:rPr>
            </w:pPr>
            <w:r>
              <w:rPr>
                <w:rFonts w:ascii="Times New Roman"/>
                <w:kern w:val="2"/>
                <w:sz w:val="21"/>
                <w:szCs w:val="21"/>
                <w:highlight w:val="none"/>
              </w:rPr>
              <w:t>23</w:t>
            </w:r>
          </w:p>
        </w:tc>
        <w:tc>
          <w:tcPr>
            <w:tcW w:w="717" w:type="dxa"/>
            <w:noWrap w:val="0"/>
            <w:vAlign w:val="center"/>
          </w:tcPr>
          <w:p w14:paraId="45EFBD5C">
            <w:pPr>
              <w:pStyle w:val="6"/>
              <w:ind w:firstLine="0" w:firstLineChars="0"/>
              <w:jc w:val="center"/>
              <w:rPr>
                <w:rFonts w:ascii="Times New Roman"/>
                <w:kern w:val="2"/>
                <w:sz w:val="21"/>
                <w:szCs w:val="21"/>
                <w:highlight w:val="none"/>
              </w:rPr>
            </w:pPr>
            <w:r>
              <w:rPr>
                <w:rFonts w:ascii="Times New Roman"/>
                <w:kern w:val="2"/>
                <w:sz w:val="21"/>
                <w:szCs w:val="21"/>
                <w:highlight w:val="none"/>
              </w:rPr>
              <w:t>0.2</w:t>
            </w:r>
          </w:p>
        </w:tc>
        <w:tc>
          <w:tcPr>
            <w:tcW w:w="696" w:type="dxa"/>
            <w:noWrap w:val="0"/>
            <w:vAlign w:val="center"/>
          </w:tcPr>
          <w:p w14:paraId="71F8DB10">
            <w:pPr>
              <w:jc w:val="center"/>
              <w:rPr>
                <w:sz w:val="21"/>
                <w:szCs w:val="21"/>
                <w:highlight w:val="none"/>
              </w:rPr>
            </w:pPr>
            <w:r>
              <w:rPr>
                <w:sz w:val="21"/>
                <w:szCs w:val="21"/>
                <w:highlight w:val="none"/>
              </w:rPr>
              <w:t>120</w:t>
            </w:r>
          </w:p>
        </w:tc>
        <w:tc>
          <w:tcPr>
            <w:tcW w:w="1107" w:type="dxa"/>
            <w:noWrap w:val="0"/>
            <w:vAlign w:val="center"/>
          </w:tcPr>
          <w:p w14:paraId="3D17AFB3">
            <w:pPr>
              <w:jc w:val="center"/>
              <w:rPr>
                <w:sz w:val="21"/>
                <w:szCs w:val="21"/>
                <w:highlight w:val="none"/>
              </w:rPr>
            </w:pPr>
            <w:r>
              <w:rPr>
                <w:sz w:val="21"/>
                <w:szCs w:val="21"/>
                <w:highlight w:val="none"/>
              </w:rPr>
              <w:t>11</w:t>
            </w:r>
          </w:p>
        </w:tc>
        <w:tc>
          <w:tcPr>
            <w:tcW w:w="689" w:type="dxa"/>
            <w:noWrap w:val="0"/>
            <w:vAlign w:val="center"/>
          </w:tcPr>
          <w:p w14:paraId="363AB517">
            <w:pPr>
              <w:pStyle w:val="6"/>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3069" w:type="dxa"/>
            <w:noWrap w:val="0"/>
            <w:vAlign w:val="center"/>
          </w:tcPr>
          <w:p w14:paraId="2FDDA239">
            <w:pPr>
              <w:pStyle w:val="6"/>
              <w:ind w:firstLine="0" w:firstLineChars="0"/>
              <w:jc w:val="center"/>
              <w:rPr>
                <w:rFonts w:ascii="Times New Roman"/>
                <w:kern w:val="2"/>
                <w:sz w:val="21"/>
                <w:szCs w:val="21"/>
                <w:highlight w:val="none"/>
              </w:rPr>
            </w:pPr>
            <w:r>
              <w:rPr>
                <w:rFonts w:ascii="Times New Roman"/>
                <w:kern w:val="2"/>
                <w:sz w:val="21"/>
                <w:szCs w:val="21"/>
                <w:highlight w:val="none"/>
              </w:rPr>
              <w:t>《大气污染物综合排放标准》（GB16297-1996）表2二级标准</w:t>
            </w:r>
          </w:p>
        </w:tc>
      </w:tr>
      <w:tr w14:paraId="5FBE6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noWrap w:val="0"/>
            <w:vAlign w:val="center"/>
          </w:tcPr>
          <w:p w14:paraId="38A3A93E">
            <w:pPr>
              <w:widowControl/>
              <w:snapToGrid w:val="0"/>
              <w:jc w:val="center"/>
              <w:rPr>
                <w:sz w:val="21"/>
                <w:szCs w:val="21"/>
                <w:highlight w:val="none"/>
              </w:rPr>
            </w:pPr>
          </w:p>
        </w:tc>
        <w:tc>
          <w:tcPr>
            <w:tcW w:w="898" w:type="dxa"/>
            <w:vMerge w:val="continue"/>
            <w:noWrap w:val="0"/>
            <w:vAlign w:val="center"/>
          </w:tcPr>
          <w:p w14:paraId="179FE4FA">
            <w:pPr>
              <w:pStyle w:val="6"/>
              <w:ind w:firstLine="0" w:firstLineChars="0"/>
              <w:jc w:val="center"/>
              <w:rPr>
                <w:rFonts w:ascii="Times New Roman"/>
                <w:kern w:val="2"/>
                <w:sz w:val="21"/>
                <w:szCs w:val="21"/>
                <w:highlight w:val="none"/>
              </w:rPr>
            </w:pPr>
          </w:p>
        </w:tc>
        <w:tc>
          <w:tcPr>
            <w:tcW w:w="1202" w:type="dxa"/>
            <w:noWrap w:val="0"/>
            <w:vAlign w:val="center"/>
          </w:tcPr>
          <w:p w14:paraId="36B5F587">
            <w:pPr>
              <w:pStyle w:val="6"/>
              <w:ind w:firstLine="0" w:firstLineChars="0"/>
              <w:jc w:val="center"/>
              <w:rPr>
                <w:rFonts w:ascii="Times New Roman"/>
                <w:kern w:val="2"/>
                <w:sz w:val="21"/>
                <w:szCs w:val="21"/>
                <w:highlight w:val="none"/>
              </w:rPr>
            </w:pPr>
            <w:r>
              <w:rPr>
                <w:rFonts w:ascii="Times New Roman"/>
                <w:kern w:val="2"/>
                <w:sz w:val="21"/>
                <w:szCs w:val="21"/>
                <w:highlight w:val="none"/>
              </w:rPr>
              <w:t>白土储仓</w:t>
            </w:r>
          </w:p>
        </w:tc>
        <w:tc>
          <w:tcPr>
            <w:tcW w:w="781" w:type="dxa"/>
            <w:noWrap w:val="0"/>
            <w:vAlign w:val="center"/>
          </w:tcPr>
          <w:p w14:paraId="129EC65C">
            <w:pPr>
              <w:jc w:val="center"/>
              <w:rPr>
                <w:sz w:val="21"/>
                <w:szCs w:val="21"/>
                <w:highlight w:val="none"/>
              </w:rPr>
            </w:pPr>
            <w:r>
              <w:rPr>
                <w:sz w:val="21"/>
                <w:szCs w:val="21"/>
                <w:highlight w:val="none"/>
              </w:rPr>
              <w:t>颗粒物</w:t>
            </w:r>
          </w:p>
        </w:tc>
        <w:tc>
          <w:tcPr>
            <w:tcW w:w="1064" w:type="dxa"/>
            <w:noWrap w:val="0"/>
            <w:vAlign w:val="center"/>
          </w:tcPr>
          <w:p w14:paraId="28641322">
            <w:pPr>
              <w:pStyle w:val="6"/>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219</w:t>
            </w:r>
          </w:p>
        </w:tc>
        <w:tc>
          <w:tcPr>
            <w:tcW w:w="695" w:type="dxa"/>
            <w:noWrap w:val="0"/>
            <w:vAlign w:val="center"/>
          </w:tcPr>
          <w:p w14:paraId="3171A537">
            <w:pPr>
              <w:jc w:val="center"/>
              <w:rPr>
                <w:rFonts w:hint="default" w:eastAsia="宋体"/>
                <w:sz w:val="21"/>
                <w:szCs w:val="21"/>
                <w:highlight w:val="none"/>
                <w:lang w:val="en-US" w:eastAsia="zh-CN"/>
              </w:rPr>
            </w:pPr>
            <w:r>
              <w:rPr>
                <w:rFonts w:hint="eastAsia"/>
                <w:sz w:val="21"/>
                <w:szCs w:val="21"/>
                <w:highlight w:val="none"/>
                <w:lang w:val="en-US" w:eastAsia="zh-CN"/>
              </w:rPr>
              <w:t>32</w:t>
            </w:r>
          </w:p>
        </w:tc>
        <w:tc>
          <w:tcPr>
            <w:tcW w:w="988" w:type="dxa"/>
            <w:noWrap w:val="0"/>
            <w:vAlign w:val="center"/>
          </w:tcPr>
          <w:p w14:paraId="0F47E765">
            <w:pPr>
              <w:pStyle w:val="6"/>
              <w:ind w:firstLine="0" w:firstLineChars="0"/>
              <w:jc w:val="center"/>
              <w:rPr>
                <w:rFonts w:hint="default" w:ascii="Times New Roman" w:eastAsia="宋体"/>
                <w:sz w:val="21"/>
                <w:szCs w:val="21"/>
                <w:highlight w:val="none"/>
                <w:lang w:val="en-US" w:eastAsia="zh-CN"/>
              </w:rPr>
            </w:pPr>
            <w:r>
              <w:rPr>
                <w:rFonts w:hint="eastAsia" w:ascii="Times New Roman"/>
                <w:sz w:val="21"/>
                <w:szCs w:val="21"/>
                <w:highlight w:val="none"/>
                <w:lang w:val="en-US" w:eastAsia="zh-CN"/>
              </w:rPr>
              <w:t>7.1×10</w:t>
            </w:r>
            <w:r>
              <w:rPr>
                <w:rFonts w:hint="eastAsia" w:ascii="Times New Roman"/>
                <w:sz w:val="21"/>
                <w:szCs w:val="21"/>
                <w:highlight w:val="none"/>
                <w:vertAlign w:val="superscript"/>
                <w:lang w:val="en-US" w:eastAsia="zh-CN"/>
              </w:rPr>
              <w:t>-3</w:t>
            </w:r>
          </w:p>
        </w:tc>
        <w:tc>
          <w:tcPr>
            <w:tcW w:w="396" w:type="dxa"/>
            <w:noWrap w:val="0"/>
            <w:vAlign w:val="center"/>
          </w:tcPr>
          <w:p w14:paraId="7ECF29B7">
            <w:pPr>
              <w:pStyle w:val="6"/>
              <w:ind w:firstLine="0" w:firstLineChars="0"/>
              <w:jc w:val="center"/>
              <w:rPr>
                <w:rFonts w:ascii="Times New Roman"/>
                <w:kern w:val="2"/>
                <w:sz w:val="21"/>
                <w:szCs w:val="21"/>
                <w:highlight w:val="none"/>
              </w:rPr>
            </w:pPr>
            <w:r>
              <w:rPr>
                <w:rFonts w:ascii="Times New Roman"/>
                <w:kern w:val="2"/>
                <w:sz w:val="21"/>
                <w:szCs w:val="21"/>
                <w:highlight w:val="none"/>
              </w:rPr>
              <w:t>1</w:t>
            </w:r>
          </w:p>
        </w:tc>
        <w:tc>
          <w:tcPr>
            <w:tcW w:w="531" w:type="dxa"/>
            <w:noWrap w:val="0"/>
            <w:vAlign w:val="center"/>
          </w:tcPr>
          <w:p w14:paraId="28210545">
            <w:pPr>
              <w:pStyle w:val="6"/>
              <w:ind w:firstLine="0" w:firstLineChars="0"/>
              <w:jc w:val="center"/>
              <w:rPr>
                <w:rFonts w:ascii="Times New Roman"/>
                <w:kern w:val="2"/>
                <w:sz w:val="21"/>
                <w:szCs w:val="21"/>
                <w:highlight w:val="none"/>
              </w:rPr>
            </w:pPr>
            <w:r>
              <w:rPr>
                <w:rFonts w:ascii="Times New Roman"/>
                <w:kern w:val="2"/>
                <w:sz w:val="21"/>
                <w:szCs w:val="21"/>
                <w:highlight w:val="none"/>
              </w:rPr>
              <w:t>23</w:t>
            </w:r>
          </w:p>
        </w:tc>
        <w:tc>
          <w:tcPr>
            <w:tcW w:w="717" w:type="dxa"/>
            <w:noWrap w:val="0"/>
            <w:vAlign w:val="center"/>
          </w:tcPr>
          <w:p w14:paraId="75675438">
            <w:pPr>
              <w:pStyle w:val="6"/>
              <w:ind w:firstLine="0" w:firstLineChars="0"/>
              <w:jc w:val="center"/>
              <w:rPr>
                <w:rFonts w:ascii="Times New Roman"/>
                <w:kern w:val="2"/>
                <w:sz w:val="21"/>
                <w:szCs w:val="21"/>
                <w:highlight w:val="none"/>
              </w:rPr>
            </w:pPr>
            <w:r>
              <w:rPr>
                <w:rFonts w:ascii="Times New Roman"/>
                <w:kern w:val="2"/>
                <w:sz w:val="21"/>
                <w:szCs w:val="21"/>
                <w:highlight w:val="none"/>
              </w:rPr>
              <w:t>0.2</w:t>
            </w:r>
          </w:p>
        </w:tc>
        <w:tc>
          <w:tcPr>
            <w:tcW w:w="696" w:type="dxa"/>
            <w:noWrap w:val="0"/>
            <w:vAlign w:val="center"/>
          </w:tcPr>
          <w:p w14:paraId="600D9856">
            <w:pPr>
              <w:jc w:val="center"/>
              <w:rPr>
                <w:sz w:val="21"/>
                <w:szCs w:val="21"/>
                <w:highlight w:val="none"/>
              </w:rPr>
            </w:pPr>
            <w:r>
              <w:rPr>
                <w:sz w:val="21"/>
                <w:szCs w:val="21"/>
                <w:highlight w:val="none"/>
              </w:rPr>
              <w:t>120</w:t>
            </w:r>
          </w:p>
        </w:tc>
        <w:tc>
          <w:tcPr>
            <w:tcW w:w="1107" w:type="dxa"/>
            <w:noWrap w:val="0"/>
            <w:vAlign w:val="center"/>
          </w:tcPr>
          <w:p w14:paraId="5666CB4D">
            <w:pPr>
              <w:jc w:val="center"/>
              <w:rPr>
                <w:sz w:val="21"/>
                <w:szCs w:val="21"/>
                <w:highlight w:val="none"/>
              </w:rPr>
            </w:pPr>
            <w:r>
              <w:rPr>
                <w:sz w:val="21"/>
                <w:szCs w:val="21"/>
                <w:highlight w:val="none"/>
              </w:rPr>
              <w:t>11.0</w:t>
            </w:r>
          </w:p>
        </w:tc>
        <w:tc>
          <w:tcPr>
            <w:tcW w:w="689" w:type="dxa"/>
            <w:noWrap w:val="0"/>
            <w:vAlign w:val="center"/>
          </w:tcPr>
          <w:p w14:paraId="55A5EC55">
            <w:pPr>
              <w:pStyle w:val="6"/>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3069" w:type="dxa"/>
            <w:noWrap w:val="0"/>
            <w:vAlign w:val="center"/>
          </w:tcPr>
          <w:p w14:paraId="69565E50">
            <w:pPr>
              <w:pStyle w:val="6"/>
              <w:ind w:firstLine="0" w:firstLineChars="0"/>
              <w:jc w:val="center"/>
              <w:rPr>
                <w:rFonts w:ascii="Times New Roman"/>
                <w:kern w:val="2"/>
                <w:sz w:val="21"/>
                <w:szCs w:val="21"/>
                <w:highlight w:val="none"/>
              </w:rPr>
            </w:pPr>
            <w:r>
              <w:rPr>
                <w:rFonts w:ascii="Times New Roman"/>
                <w:kern w:val="2"/>
                <w:sz w:val="21"/>
                <w:szCs w:val="21"/>
                <w:highlight w:val="none"/>
              </w:rPr>
              <w:t>《大气污染物综合排放标准》（GB16297-1996）表2二级标准</w:t>
            </w:r>
          </w:p>
        </w:tc>
      </w:tr>
      <w:tr w14:paraId="2AD86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noWrap w:val="0"/>
            <w:vAlign w:val="center"/>
          </w:tcPr>
          <w:p w14:paraId="635999AB">
            <w:pPr>
              <w:widowControl/>
              <w:snapToGrid w:val="0"/>
              <w:jc w:val="center"/>
              <w:rPr>
                <w:sz w:val="21"/>
                <w:szCs w:val="21"/>
                <w:highlight w:val="none"/>
              </w:rPr>
            </w:pPr>
          </w:p>
        </w:tc>
        <w:tc>
          <w:tcPr>
            <w:tcW w:w="898" w:type="dxa"/>
            <w:noWrap w:val="0"/>
            <w:vAlign w:val="center"/>
          </w:tcPr>
          <w:p w14:paraId="0F3B8B3C">
            <w:pPr>
              <w:pStyle w:val="6"/>
              <w:ind w:firstLine="0" w:firstLineChars="0"/>
              <w:jc w:val="center"/>
              <w:rPr>
                <w:rFonts w:ascii="Times New Roman"/>
                <w:kern w:val="2"/>
                <w:sz w:val="21"/>
                <w:szCs w:val="21"/>
                <w:highlight w:val="none"/>
              </w:rPr>
            </w:pPr>
            <w:r>
              <w:rPr>
                <w:rFonts w:ascii="Times New Roman"/>
                <w:kern w:val="2"/>
                <w:sz w:val="21"/>
                <w:szCs w:val="21"/>
                <w:highlight w:val="none"/>
              </w:rPr>
              <w:t>尾气脱碳单元</w:t>
            </w:r>
          </w:p>
        </w:tc>
        <w:tc>
          <w:tcPr>
            <w:tcW w:w="1202" w:type="dxa"/>
            <w:noWrap w:val="0"/>
            <w:vAlign w:val="center"/>
          </w:tcPr>
          <w:p w14:paraId="3CD5C49D">
            <w:pPr>
              <w:pStyle w:val="6"/>
              <w:ind w:firstLine="0" w:firstLineChars="0"/>
              <w:jc w:val="center"/>
              <w:rPr>
                <w:rFonts w:ascii="Times New Roman"/>
                <w:kern w:val="2"/>
                <w:sz w:val="21"/>
                <w:szCs w:val="21"/>
                <w:highlight w:val="none"/>
              </w:rPr>
            </w:pPr>
            <w:r>
              <w:rPr>
                <w:rFonts w:ascii="Times New Roman"/>
                <w:kern w:val="2"/>
                <w:sz w:val="21"/>
                <w:szCs w:val="21"/>
                <w:highlight w:val="none"/>
              </w:rPr>
              <w:t>再生气</w:t>
            </w:r>
          </w:p>
        </w:tc>
        <w:tc>
          <w:tcPr>
            <w:tcW w:w="781" w:type="dxa"/>
            <w:noWrap w:val="0"/>
            <w:vAlign w:val="center"/>
          </w:tcPr>
          <w:p w14:paraId="2D41AC90">
            <w:pPr>
              <w:jc w:val="center"/>
              <w:rPr>
                <w:sz w:val="21"/>
                <w:szCs w:val="21"/>
                <w:highlight w:val="none"/>
              </w:rPr>
            </w:pPr>
            <w:r>
              <w:rPr>
                <w:sz w:val="21"/>
                <w:szCs w:val="21"/>
                <w:highlight w:val="none"/>
              </w:rPr>
              <w:t>NMHC</w:t>
            </w:r>
          </w:p>
        </w:tc>
        <w:tc>
          <w:tcPr>
            <w:tcW w:w="1064" w:type="dxa"/>
            <w:noWrap w:val="0"/>
            <w:vAlign w:val="center"/>
          </w:tcPr>
          <w:p w14:paraId="2A2BD6D0">
            <w:pPr>
              <w:pStyle w:val="6"/>
              <w:ind w:firstLine="0" w:firstLineChars="0"/>
              <w:jc w:val="center"/>
              <w:rPr>
                <w:rFonts w:ascii="Times New Roman"/>
                <w:kern w:val="2"/>
                <w:sz w:val="21"/>
                <w:szCs w:val="21"/>
                <w:highlight w:val="none"/>
              </w:rPr>
            </w:pPr>
            <w:r>
              <w:rPr>
                <w:rFonts w:ascii="Times New Roman"/>
                <w:kern w:val="2"/>
                <w:sz w:val="21"/>
                <w:szCs w:val="21"/>
                <w:highlight w:val="none"/>
                <w:lang w:val="pt-BR"/>
              </w:rPr>
              <w:t>/</w:t>
            </w:r>
          </w:p>
        </w:tc>
        <w:tc>
          <w:tcPr>
            <w:tcW w:w="695" w:type="dxa"/>
            <w:noWrap w:val="0"/>
            <w:vAlign w:val="center"/>
          </w:tcPr>
          <w:p w14:paraId="0CB07ECE">
            <w:pPr>
              <w:jc w:val="center"/>
              <w:rPr>
                <w:rFonts w:hint="default" w:eastAsia="宋体"/>
                <w:sz w:val="21"/>
                <w:szCs w:val="21"/>
                <w:highlight w:val="none"/>
                <w:lang w:val="en-US" w:eastAsia="zh-CN"/>
              </w:rPr>
            </w:pPr>
            <w:r>
              <w:rPr>
                <w:rFonts w:hint="eastAsia"/>
                <w:sz w:val="21"/>
                <w:szCs w:val="21"/>
                <w:highlight w:val="none"/>
                <w:lang w:val="en-US" w:eastAsia="zh-CN"/>
              </w:rPr>
              <w:t>1.41</w:t>
            </w:r>
          </w:p>
        </w:tc>
        <w:tc>
          <w:tcPr>
            <w:tcW w:w="988" w:type="dxa"/>
            <w:noWrap w:val="0"/>
            <w:vAlign w:val="center"/>
          </w:tcPr>
          <w:p w14:paraId="793D2C3C">
            <w:pPr>
              <w:pStyle w:val="6"/>
              <w:ind w:firstLine="0" w:firstLineChars="0"/>
              <w:jc w:val="center"/>
              <w:rPr>
                <w:rFonts w:ascii="Times New Roman"/>
                <w:sz w:val="21"/>
                <w:szCs w:val="21"/>
                <w:highlight w:val="none"/>
              </w:rPr>
            </w:pPr>
            <w:r>
              <w:rPr>
                <w:rFonts w:ascii="Times New Roman"/>
                <w:kern w:val="2"/>
                <w:sz w:val="21"/>
                <w:szCs w:val="21"/>
                <w:highlight w:val="none"/>
                <w:lang w:val="pt-BR"/>
              </w:rPr>
              <w:t>/</w:t>
            </w:r>
          </w:p>
        </w:tc>
        <w:tc>
          <w:tcPr>
            <w:tcW w:w="396" w:type="dxa"/>
            <w:noWrap w:val="0"/>
            <w:vAlign w:val="center"/>
          </w:tcPr>
          <w:p w14:paraId="000EC673">
            <w:pPr>
              <w:pStyle w:val="6"/>
              <w:ind w:firstLine="0" w:firstLineChars="0"/>
              <w:jc w:val="center"/>
              <w:rPr>
                <w:rFonts w:ascii="Times New Roman"/>
                <w:kern w:val="2"/>
                <w:sz w:val="21"/>
                <w:szCs w:val="21"/>
                <w:highlight w:val="none"/>
              </w:rPr>
            </w:pPr>
            <w:r>
              <w:rPr>
                <w:rFonts w:ascii="Times New Roman"/>
                <w:kern w:val="2"/>
                <w:sz w:val="21"/>
                <w:szCs w:val="21"/>
                <w:highlight w:val="none"/>
              </w:rPr>
              <w:t>1</w:t>
            </w:r>
          </w:p>
        </w:tc>
        <w:tc>
          <w:tcPr>
            <w:tcW w:w="531" w:type="dxa"/>
            <w:noWrap w:val="0"/>
            <w:vAlign w:val="center"/>
          </w:tcPr>
          <w:p w14:paraId="171739F1">
            <w:pPr>
              <w:pStyle w:val="6"/>
              <w:ind w:firstLine="0" w:firstLineChars="0"/>
              <w:jc w:val="center"/>
              <w:rPr>
                <w:rFonts w:ascii="Times New Roman"/>
                <w:kern w:val="2"/>
                <w:sz w:val="21"/>
                <w:szCs w:val="21"/>
                <w:highlight w:val="none"/>
              </w:rPr>
            </w:pPr>
            <w:r>
              <w:rPr>
                <w:rFonts w:ascii="Times New Roman"/>
                <w:kern w:val="2"/>
                <w:sz w:val="21"/>
                <w:szCs w:val="21"/>
                <w:highlight w:val="none"/>
              </w:rPr>
              <w:t>90</w:t>
            </w:r>
          </w:p>
        </w:tc>
        <w:tc>
          <w:tcPr>
            <w:tcW w:w="717" w:type="dxa"/>
            <w:noWrap w:val="0"/>
            <w:vAlign w:val="center"/>
          </w:tcPr>
          <w:p w14:paraId="56F30689">
            <w:pPr>
              <w:pStyle w:val="6"/>
              <w:ind w:firstLine="0" w:firstLineChars="0"/>
              <w:jc w:val="center"/>
              <w:rPr>
                <w:rFonts w:ascii="Times New Roman"/>
                <w:kern w:val="2"/>
                <w:sz w:val="21"/>
                <w:szCs w:val="21"/>
                <w:highlight w:val="none"/>
              </w:rPr>
            </w:pPr>
            <w:r>
              <w:rPr>
                <w:rFonts w:ascii="Times New Roman"/>
                <w:kern w:val="2"/>
                <w:sz w:val="21"/>
                <w:szCs w:val="21"/>
                <w:highlight w:val="none"/>
              </w:rPr>
              <w:t>1.1</w:t>
            </w:r>
          </w:p>
        </w:tc>
        <w:tc>
          <w:tcPr>
            <w:tcW w:w="696" w:type="dxa"/>
            <w:noWrap w:val="0"/>
            <w:vAlign w:val="center"/>
          </w:tcPr>
          <w:p w14:paraId="64E8B6F2">
            <w:pPr>
              <w:spacing w:line="240" w:lineRule="auto"/>
              <w:jc w:val="center"/>
              <w:rPr>
                <w:rFonts w:hint="default" w:eastAsia="宋体"/>
                <w:sz w:val="21"/>
                <w:szCs w:val="21"/>
                <w:highlight w:val="none"/>
                <w:lang w:val="en-US" w:eastAsia="zh-CN"/>
              </w:rPr>
            </w:pPr>
            <w:r>
              <w:rPr>
                <w:rFonts w:hint="eastAsia"/>
                <w:sz w:val="21"/>
                <w:szCs w:val="21"/>
                <w:highlight w:val="none"/>
                <w:lang w:val="en-US" w:eastAsia="zh-CN"/>
              </w:rPr>
              <w:t>120</w:t>
            </w:r>
          </w:p>
        </w:tc>
        <w:tc>
          <w:tcPr>
            <w:tcW w:w="1107" w:type="dxa"/>
            <w:noWrap w:val="0"/>
            <w:vAlign w:val="center"/>
          </w:tcPr>
          <w:p w14:paraId="40C392A2">
            <w:pPr>
              <w:jc w:val="center"/>
              <w:rPr>
                <w:sz w:val="21"/>
                <w:szCs w:val="21"/>
                <w:highlight w:val="none"/>
              </w:rPr>
            </w:pPr>
            <w:r>
              <w:rPr>
                <w:sz w:val="21"/>
                <w:szCs w:val="21"/>
                <w:highlight w:val="none"/>
              </w:rPr>
              <w:t>去除效率≥97%</w:t>
            </w:r>
          </w:p>
        </w:tc>
        <w:tc>
          <w:tcPr>
            <w:tcW w:w="689" w:type="dxa"/>
            <w:noWrap w:val="0"/>
            <w:vAlign w:val="center"/>
          </w:tcPr>
          <w:p w14:paraId="1953C0EA">
            <w:pPr>
              <w:pStyle w:val="6"/>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3069" w:type="dxa"/>
            <w:noWrap w:val="0"/>
            <w:vAlign w:val="center"/>
          </w:tcPr>
          <w:p w14:paraId="6F64EDF9">
            <w:pPr>
              <w:pStyle w:val="6"/>
              <w:ind w:firstLine="0" w:firstLineChars="0"/>
              <w:jc w:val="center"/>
              <w:rPr>
                <w:rFonts w:ascii="Times New Roman"/>
                <w:kern w:val="2"/>
                <w:sz w:val="21"/>
                <w:szCs w:val="21"/>
                <w:highlight w:val="none"/>
              </w:rPr>
            </w:pPr>
            <w:r>
              <w:rPr>
                <w:rFonts w:ascii="Times New Roman"/>
                <w:kern w:val="2"/>
                <w:sz w:val="21"/>
                <w:szCs w:val="21"/>
                <w:highlight w:val="none"/>
              </w:rPr>
              <w:t>《大气污染物综合排放标准》（GB16297-1996）</w:t>
            </w:r>
          </w:p>
        </w:tc>
      </w:tr>
      <w:tr w14:paraId="56E81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noWrap w:val="0"/>
            <w:vAlign w:val="center"/>
          </w:tcPr>
          <w:p w14:paraId="2E8B4311">
            <w:pPr>
              <w:widowControl/>
              <w:snapToGrid w:val="0"/>
              <w:jc w:val="center"/>
              <w:rPr>
                <w:sz w:val="21"/>
                <w:szCs w:val="21"/>
                <w:highlight w:val="none"/>
              </w:rPr>
            </w:pPr>
          </w:p>
        </w:tc>
        <w:tc>
          <w:tcPr>
            <w:tcW w:w="898" w:type="dxa"/>
            <w:noWrap w:val="0"/>
            <w:vAlign w:val="center"/>
          </w:tcPr>
          <w:p w14:paraId="57260A39">
            <w:pPr>
              <w:pStyle w:val="6"/>
              <w:ind w:firstLine="0" w:firstLineChars="0"/>
              <w:jc w:val="center"/>
              <w:rPr>
                <w:rFonts w:ascii="Times New Roman"/>
                <w:kern w:val="2"/>
                <w:sz w:val="21"/>
                <w:szCs w:val="21"/>
                <w:highlight w:val="none"/>
              </w:rPr>
            </w:pPr>
            <w:r>
              <w:rPr>
                <w:rFonts w:ascii="Times New Roman"/>
                <w:kern w:val="2"/>
                <w:sz w:val="21"/>
                <w:szCs w:val="21"/>
                <w:highlight w:val="none"/>
              </w:rPr>
              <w:t>加氢精制单元</w:t>
            </w:r>
          </w:p>
        </w:tc>
        <w:tc>
          <w:tcPr>
            <w:tcW w:w="1202" w:type="dxa"/>
            <w:noWrap w:val="0"/>
            <w:vAlign w:val="center"/>
          </w:tcPr>
          <w:p w14:paraId="1191B025">
            <w:pPr>
              <w:pStyle w:val="6"/>
              <w:ind w:firstLine="0" w:firstLineChars="0"/>
              <w:jc w:val="center"/>
              <w:rPr>
                <w:rFonts w:ascii="Times New Roman"/>
                <w:kern w:val="2"/>
                <w:sz w:val="21"/>
                <w:szCs w:val="21"/>
                <w:highlight w:val="none"/>
              </w:rPr>
            </w:pPr>
            <w:r>
              <w:rPr>
                <w:rFonts w:ascii="Times New Roman"/>
                <w:kern w:val="2"/>
                <w:sz w:val="21"/>
                <w:szCs w:val="21"/>
                <w:highlight w:val="none"/>
              </w:rPr>
              <w:t>加热炉烟气</w:t>
            </w:r>
          </w:p>
        </w:tc>
        <w:tc>
          <w:tcPr>
            <w:tcW w:w="781" w:type="dxa"/>
            <w:noWrap w:val="0"/>
            <w:vAlign w:val="center"/>
          </w:tcPr>
          <w:p w14:paraId="4286F818">
            <w:pPr>
              <w:jc w:val="center"/>
              <w:rPr>
                <w:sz w:val="21"/>
                <w:szCs w:val="21"/>
                <w:highlight w:val="none"/>
              </w:rPr>
            </w:pPr>
            <w:r>
              <w:rPr>
                <w:sz w:val="21"/>
                <w:szCs w:val="21"/>
                <w:highlight w:val="none"/>
              </w:rPr>
              <w:t>烟尘</w:t>
            </w:r>
          </w:p>
          <w:p w14:paraId="7387428A">
            <w:pPr>
              <w:jc w:val="center"/>
              <w:rPr>
                <w:sz w:val="21"/>
                <w:szCs w:val="21"/>
                <w:highlight w:val="none"/>
              </w:rPr>
            </w:pPr>
            <w:r>
              <w:rPr>
                <w:sz w:val="21"/>
                <w:szCs w:val="21"/>
                <w:highlight w:val="none"/>
              </w:rPr>
              <w:t>NOx</w:t>
            </w:r>
          </w:p>
        </w:tc>
        <w:tc>
          <w:tcPr>
            <w:tcW w:w="1064" w:type="dxa"/>
            <w:noWrap w:val="0"/>
            <w:vAlign w:val="center"/>
          </w:tcPr>
          <w:p w14:paraId="31E1CD0B">
            <w:pPr>
              <w:pStyle w:val="6"/>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36473</w:t>
            </w:r>
          </w:p>
        </w:tc>
        <w:tc>
          <w:tcPr>
            <w:tcW w:w="695" w:type="dxa"/>
            <w:noWrap w:val="0"/>
            <w:vAlign w:val="center"/>
          </w:tcPr>
          <w:p w14:paraId="58544960">
            <w:pPr>
              <w:jc w:val="center"/>
              <w:rPr>
                <w:rFonts w:hint="default" w:eastAsia="宋体"/>
                <w:sz w:val="21"/>
                <w:szCs w:val="21"/>
                <w:highlight w:val="none"/>
                <w:lang w:val="en-US" w:eastAsia="zh-CN"/>
              </w:rPr>
            </w:pPr>
            <w:r>
              <w:rPr>
                <w:rFonts w:hint="eastAsia"/>
                <w:sz w:val="21"/>
                <w:szCs w:val="21"/>
                <w:highlight w:val="none"/>
                <w:lang w:val="en-US" w:eastAsia="zh-CN"/>
              </w:rPr>
              <w:t>4.5</w:t>
            </w:r>
          </w:p>
          <w:p w14:paraId="6205A2CC">
            <w:pPr>
              <w:jc w:val="center"/>
              <w:rPr>
                <w:rFonts w:hint="default" w:eastAsia="宋体"/>
                <w:sz w:val="21"/>
                <w:szCs w:val="21"/>
                <w:highlight w:val="none"/>
                <w:lang w:val="en-US" w:eastAsia="zh-CN"/>
              </w:rPr>
            </w:pPr>
            <w:r>
              <w:rPr>
                <w:rFonts w:hint="eastAsia"/>
                <w:sz w:val="21"/>
                <w:szCs w:val="21"/>
                <w:highlight w:val="none"/>
                <w:lang w:val="en-US" w:eastAsia="zh-CN"/>
              </w:rPr>
              <w:t>53</w:t>
            </w:r>
          </w:p>
        </w:tc>
        <w:tc>
          <w:tcPr>
            <w:tcW w:w="988" w:type="dxa"/>
            <w:noWrap w:val="0"/>
            <w:vAlign w:val="center"/>
          </w:tcPr>
          <w:p w14:paraId="1B416DBD">
            <w:pPr>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0.14</w:t>
            </w:r>
          </w:p>
          <w:p w14:paraId="033A3FD0">
            <w:pPr>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1.6</w:t>
            </w:r>
          </w:p>
        </w:tc>
        <w:tc>
          <w:tcPr>
            <w:tcW w:w="396" w:type="dxa"/>
            <w:noWrap w:val="0"/>
            <w:vAlign w:val="center"/>
          </w:tcPr>
          <w:p w14:paraId="0E5F4496">
            <w:pPr>
              <w:pStyle w:val="6"/>
              <w:ind w:firstLine="0" w:firstLineChars="0"/>
              <w:jc w:val="center"/>
              <w:rPr>
                <w:rFonts w:ascii="Times New Roman"/>
                <w:kern w:val="2"/>
                <w:sz w:val="21"/>
                <w:szCs w:val="21"/>
                <w:highlight w:val="none"/>
              </w:rPr>
            </w:pPr>
            <w:r>
              <w:rPr>
                <w:rFonts w:ascii="Times New Roman"/>
                <w:kern w:val="2"/>
                <w:sz w:val="21"/>
                <w:szCs w:val="21"/>
                <w:highlight w:val="none"/>
              </w:rPr>
              <w:t>1</w:t>
            </w:r>
          </w:p>
        </w:tc>
        <w:tc>
          <w:tcPr>
            <w:tcW w:w="531" w:type="dxa"/>
            <w:noWrap w:val="0"/>
            <w:vAlign w:val="center"/>
          </w:tcPr>
          <w:p w14:paraId="251C32A5">
            <w:pPr>
              <w:pStyle w:val="6"/>
              <w:ind w:firstLine="0" w:firstLineChars="0"/>
              <w:jc w:val="center"/>
              <w:rPr>
                <w:rFonts w:ascii="Times New Roman"/>
                <w:kern w:val="2"/>
                <w:sz w:val="21"/>
                <w:szCs w:val="21"/>
                <w:highlight w:val="none"/>
              </w:rPr>
            </w:pPr>
            <w:r>
              <w:rPr>
                <w:rFonts w:ascii="Times New Roman"/>
                <w:kern w:val="2"/>
                <w:sz w:val="21"/>
                <w:szCs w:val="21"/>
                <w:highlight w:val="none"/>
              </w:rPr>
              <w:t>50</w:t>
            </w:r>
          </w:p>
        </w:tc>
        <w:tc>
          <w:tcPr>
            <w:tcW w:w="717" w:type="dxa"/>
            <w:noWrap w:val="0"/>
            <w:vAlign w:val="center"/>
          </w:tcPr>
          <w:p w14:paraId="59708393">
            <w:pPr>
              <w:pStyle w:val="6"/>
              <w:ind w:firstLine="0" w:firstLineChars="0"/>
              <w:jc w:val="center"/>
              <w:rPr>
                <w:rFonts w:ascii="Times New Roman"/>
                <w:kern w:val="2"/>
                <w:sz w:val="21"/>
                <w:szCs w:val="21"/>
                <w:highlight w:val="none"/>
              </w:rPr>
            </w:pPr>
            <w:r>
              <w:rPr>
                <w:rFonts w:ascii="Times New Roman"/>
                <w:kern w:val="2"/>
                <w:sz w:val="21"/>
                <w:szCs w:val="21"/>
                <w:highlight w:val="none"/>
              </w:rPr>
              <w:t>1.7</w:t>
            </w:r>
          </w:p>
        </w:tc>
        <w:tc>
          <w:tcPr>
            <w:tcW w:w="696" w:type="dxa"/>
            <w:noWrap w:val="0"/>
            <w:vAlign w:val="center"/>
          </w:tcPr>
          <w:p w14:paraId="7E08A6C3">
            <w:pPr>
              <w:jc w:val="center"/>
              <w:rPr>
                <w:sz w:val="21"/>
                <w:szCs w:val="21"/>
                <w:highlight w:val="none"/>
              </w:rPr>
            </w:pPr>
            <w:r>
              <w:rPr>
                <w:sz w:val="21"/>
                <w:szCs w:val="21"/>
                <w:highlight w:val="none"/>
              </w:rPr>
              <w:t>20</w:t>
            </w:r>
          </w:p>
          <w:p w14:paraId="54C13554">
            <w:pPr>
              <w:jc w:val="center"/>
              <w:rPr>
                <w:sz w:val="21"/>
                <w:szCs w:val="21"/>
                <w:highlight w:val="none"/>
              </w:rPr>
            </w:pPr>
            <w:r>
              <w:rPr>
                <w:sz w:val="21"/>
                <w:szCs w:val="21"/>
                <w:highlight w:val="none"/>
              </w:rPr>
              <w:t>1</w:t>
            </w:r>
            <w:r>
              <w:rPr>
                <w:rFonts w:hint="eastAsia"/>
                <w:sz w:val="21"/>
                <w:szCs w:val="21"/>
                <w:highlight w:val="none"/>
                <w:lang w:val="en-US" w:eastAsia="zh-CN"/>
              </w:rPr>
              <w:t>5</w:t>
            </w:r>
            <w:r>
              <w:rPr>
                <w:sz w:val="21"/>
                <w:szCs w:val="21"/>
                <w:highlight w:val="none"/>
              </w:rPr>
              <w:t>0</w:t>
            </w:r>
          </w:p>
        </w:tc>
        <w:tc>
          <w:tcPr>
            <w:tcW w:w="1107" w:type="dxa"/>
            <w:noWrap w:val="0"/>
            <w:vAlign w:val="center"/>
          </w:tcPr>
          <w:p w14:paraId="75C62112">
            <w:pPr>
              <w:jc w:val="center"/>
              <w:rPr>
                <w:sz w:val="21"/>
                <w:szCs w:val="21"/>
                <w:highlight w:val="none"/>
              </w:rPr>
            </w:pPr>
            <w:r>
              <w:rPr>
                <w:sz w:val="21"/>
                <w:szCs w:val="21"/>
                <w:highlight w:val="none"/>
              </w:rPr>
              <w:t>/</w:t>
            </w:r>
          </w:p>
          <w:p w14:paraId="42CF99D5">
            <w:pPr>
              <w:jc w:val="center"/>
              <w:rPr>
                <w:sz w:val="21"/>
                <w:szCs w:val="21"/>
                <w:highlight w:val="none"/>
              </w:rPr>
            </w:pPr>
            <w:r>
              <w:rPr>
                <w:sz w:val="21"/>
                <w:szCs w:val="21"/>
                <w:highlight w:val="none"/>
              </w:rPr>
              <w:t>/</w:t>
            </w:r>
          </w:p>
        </w:tc>
        <w:tc>
          <w:tcPr>
            <w:tcW w:w="689" w:type="dxa"/>
            <w:noWrap w:val="0"/>
            <w:vAlign w:val="center"/>
          </w:tcPr>
          <w:p w14:paraId="3BD1BB46">
            <w:pPr>
              <w:pStyle w:val="6"/>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3069" w:type="dxa"/>
            <w:noWrap w:val="0"/>
            <w:vAlign w:val="center"/>
          </w:tcPr>
          <w:p w14:paraId="5C9FF80F">
            <w:pPr>
              <w:pStyle w:val="6"/>
              <w:ind w:firstLine="0" w:firstLineChars="0"/>
              <w:jc w:val="center"/>
              <w:rPr>
                <w:rFonts w:ascii="Times New Roman"/>
                <w:kern w:val="2"/>
                <w:sz w:val="21"/>
                <w:szCs w:val="21"/>
                <w:highlight w:val="none"/>
              </w:rPr>
            </w:pPr>
            <w:r>
              <w:rPr>
                <w:rFonts w:ascii="Times New Roman"/>
                <w:kern w:val="2"/>
                <w:sz w:val="21"/>
                <w:szCs w:val="21"/>
                <w:highlight w:val="none"/>
              </w:rPr>
              <w:t>《石油炼制工业污染物排放标准》（GB31570-2015）表4大气污染物特别排放限值</w:t>
            </w:r>
          </w:p>
        </w:tc>
      </w:tr>
      <w:tr w14:paraId="700D5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noWrap w:val="0"/>
            <w:vAlign w:val="center"/>
          </w:tcPr>
          <w:p w14:paraId="3CA2AC7D">
            <w:pPr>
              <w:widowControl/>
              <w:snapToGrid w:val="0"/>
              <w:jc w:val="center"/>
              <w:rPr>
                <w:sz w:val="21"/>
                <w:szCs w:val="21"/>
                <w:highlight w:val="none"/>
              </w:rPr>
            </w:pPr>
          </w:p>
        </w:tc>
        <w:tc>
          <w:tcPr>
            <w:tcW w:w="898" w:type="dxa"/>
            <w:noWrap w:val="0"/>
            <w:vAlign w:val="center"/>
          </w:tcPr>
          <w:p w14:paraId="0092C427">
            <w:pPr>
              <w:pStyle w:val="6"/>
              <w:ind w:firstLine="0" w:firstLineChars="0"/>
              <w:jc w:val="center"/>
              <w:rPr>
                <w:rFonts w:ascii="Times New Roman"/>
                <w:kern w:val="2"/>
                <w:sz w:val="21"/>
                <w:szCs w:val="21"/>
                <w:highlight w:val="none"/>
              </w:rPr>
            </w:pPr>
            <w:r>
              <w:rPr>
                <w:rFonts w:ascii="Times New Roman"/>
                <w:kern w:val="2"/>
                <w:sz w:val="21"/>
                <w:szCs w:val="21"/>
                <w:highlight w:val="none"/>
              </w:rPr>
              <w:t>加氢裂化单元</w:t>
            </w:r>
          </w:p>
        </w:tc>
        <w:tc>
          <w:tcPr>
            <w:tcW w:w="1202" w:type="dxa"/>
            <w:noWrap w:val="0"/>
            <w:vAlign w:val="center"/>
          </w:tcPr>
          <w:p w14:paraId="43E5FB18">
            <w:pPr>
              <w:pStyle w:val="6"/>
              <w:ind w:firstLine="0" w:firstLineChars="0"/>
              <w:jc w:val="center"/>
              <w:rPr>
                <w:rFonts w:ascii="Times New Roman"/>
                <w:kern w:val="2"/>
                <w:sz w:val="21"/>
                <w:szCs w:val="21"/>
                <w:highlight w:val="none"/>
              </w:rPr>
            </w:pPr>
            <w:r>
              <w:rPr>
                <w:rFonts w:ascii="Times New Roman"/>
                <w:kern w:val="2"/>
                <w:sz w:val="21"/>
                <w:szCs w:val="21"/>
                <w:highlight w:val="none"/>
              </w:rPr>
              <w:t>加热炉烟气</w:t>
            </w:r>
          </w:p>
        </w:tc>
        <w:tc>
          <w:tcPr>
            <w:tcW w:w="781" w:type="dxa"/>
            <w:noWrap w:val="0"/>
            <w:vAlign w:val="center"/>
          </w:tcPr>
          <w:p w14:paraId="36DBF9AD">
            <w:pPr>
              <w:jc w:val="center"/>
              <w:rPr>
                <w:sz w:val="21"/>
                <w:szCs w:val="21"/>
                <w:highlight w:val="none"/>
              </w:rPr>
            </w:pPr>
            <w:r>
              <w:rPr>
                <w:sz w:val="21"/>
                <w:szCs w:val="21"/>
                <w:highlight w:val="none"/>
              </w:rPr>
              <w:t>烟尘</w:t>
            </w:r>
          </w:p>
          <w:p w14:paraId="454CAB83">
            <w:pPr>
              <w:jc w:val="center"/>
              <w:rPr>
                <w:sz w:val="21"/>
                <w:szCs w:val="21"/>
                <w:highlight w:val="none"/>
              </w:rPr>
            </w:pPr>
            <w:r>
              <w:rPr>
                <w:sz w:val="21"/>
                <w:szCs w:val="21"/>
                <w:highlight w:val="none"/>
              </w:rPr>
              <w:t>NOx</w:t>
            </w:r>
          </w:p>
        </w:tc>
        <w:tc>
          <w:tcPr>
            <w:tcW w:w="1064" w:type="dxa"/>
            <w:noWrap w:val="0"/>
            <w:vAlign w:val="center"/>
          </w:tcPr>
          <w:p w14:paraId="69BE97AB">
            <w:pPr>
              <w:pStyle w:val="6"/>
              <w:ind w:firstLine="0" w:firstLineChars="0"/>
              <w:jc w:val="center"/>
              <w:rPr>
                <w:rFonts w:hint="default" w:ascii="Times New Roman" w:eastAsia="宋体"/>
                <w:kern w:val="2"/>
                <w:sz w:val="21"/>
                <w:szCs w:val="21"/>
                <w:highlight w:val="none"/>
                <w:lang w:val="en-US" w:eastAsia="zh-CN"/>
              </w:rPr>
            </w:pPr>
            <w:r>
              <w:rPr>
                <w:rFonts w:ascii="Times New Roman"/>
                <w:kern w:val="2"/>
                <w:sz w:val="21"/>
                <w:szCs w:val="21"/>
                <w:highlight w:val="none"/>
              </w:rPr>
              <w:t>4</w:t>
            </w:r>
            <w:r>
              <w:rPr>
                <w:rFonts w:hint="eastAsia" w:ascii="Times New Roman"/>
                <w:kern w:val="2"/>
                <w:sz w:val="21"/>
                <w:szCs w:val="21"/>
                <w:highlight w:val="none"/>
                <w:lang w:val="en-US" w:eastAsia="zh-CN"/>
              </w:rPr>
              <w:t>2876</w:t>
            </w:r>
          </w:p>
        </w:tc>
        <w:tc>
          <w:tcPr>
            <w:tcW w:w="695" w:type="dxa"/>
            <w:noWrap w:val="0"/>
            <w:vAlign w:val="center"/>
          </w:tcPr>
          <w:p w14:paraId="3D197495">
            <w:pPr>
              <w:jc w:val="center"/>
              <w:rPr>
                <w:rFonts w:hint="default" w:eastAsia="宋体"/>
                <w:sz w:val="21"/>
                <w:szCs w:val="21"/>
                <w:highlight w:val="none"/>
                <w:lang w:val="en-US" w:eastAsia="zh-CN"/>
              </w:rPr>
            </w:pPr>
            <w:r>
              <w:rPr>
                <w:rFonts w:hint="eastAsia"/>
                <w:sz w:val="21"/>
                <w:szCs w:val="21"/>
                <w:highlight w:val="none"/>
                <w:lang w:val="en-US" w:eastAsia="zh-CN"/>
              </w:rPr>
              <w:t>3.2</w:t>
            </w:r>
          </w:p>
          <w:p w14:paraId="203C1C8A">
            <w:pPr>
              <w:jc w:val="center"/>
              <w:rPr>
                <w:rFonts w:hint="default" w:eastAsia="宋体"/>
                <w:sz w:val="21"/>
                <w:szCs w:val="21"/>
                <w:highlight w:val="none"/>
                <w:lang w:val="en-US" w:eastAsia="zh-CN"/>
              </w:rPr>
            </w:pPr>
            <w:r>
              <w:rPr>
                <w:rFonts w:hint="eastAsia"/>
                <w:sz w:val="21"/>
                <w:szCs w:val="21"/>
                <w:highlight w:val="none"/>
                <w:lang w:val="en-US" w:eastAsia="zh-CN"/>
              </w:rPr>
              <w:t>54</w:t>
            </w:r>
          </w:p>
        </w:tc>
        <w:tc>
          <w:tcPr>
            <w:tcW w:w="988" w:type="dxa"/>
            <w:noWrap w:val="0"/>
            <w:vAlign w:val="center"/>
          </w:tcPr>
          <w:p w14:paraId="107EEEF9">
            <w:pPr>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0.12</w:t>
            </w:r>
          </w:p>
          <w:p w14:paraId="3F056B66">
            <w:pPr>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2.0</w:t>
            </w:r>
          </w:p>
        </w:tc>
        <w:tc>
          <w:tcPr>
            <w:tcW w:w="396" w:type="dxa"/>
            <w:noWrap w:val="0"/>
            <w:vAlign w:val="center"/>
          </w:tcPr>
          <w:p w14:paraId="526F6974">
            <w:pPr>
              <w:pStyle w:val="6"/>
              <w:ind w:firstLine="0" w:firstLineChars="0"/>
              <w:jc w:val="center"/>
              <w:rPr>
                <w:rFonts w:ascii="Times New Roman"/>
                <w:kern w:val="2"/>
                <w:sz w:val="21"/>
                <w:szCs w:val="21"/>
                <w:highlight w:val="none"/>
              </w:rPr>
            </w:pPr>
            <w:r>
              <w:rPr>
                <w:rFonts w:ascii="Times New Roman"/>
                <w:kern w:val="2"/>
                <w:sz w:val="21"/>
                <w:szCs w:val="21"/>
                <w:highlight w:val="none"/>
              </w:rPr>
              <w:t>1</w:t>
            </w:r>
          </w:p>
        </w:tc>
        <w:tc>
          <w:tcPr>
            <w:tcW w:w="531" w:type="dxa"/>
            <w:noWrap w:val="0"/>
            <w:vAlign w:val="center"/>
          </w:tcPr>
          <w:p w14:paraId="6667183F">
            <w:pPr>
              <w:pStyle w:val="6"/>
              <w:ind w:firstLine="0" w:firstLineChars="0"/>
              <w:jc w:val="center"/>
              <w:rPr>
                <w:rFonts w:ascii="Times New Roman"/>
                <w:kern w:val="2"/>
                <w:sz w:val="21"/>
                <w:szCs w:val="21"/>
                <w:highlight w:val="none"/>
              </w:rPr>
            </w:pPr>
            <w:r>
              <w:rPr>
                <w:rFonts w:ascii="Times New Roman"/>
                <w:kern w:val="2"/>
                <w:sz w:val="21"/>
                <w:szCs w:val="21"/>
                <w:highlight w:val="none"/>
              </w:rPr>
              <w:t>53</w:t>
            </w:r>
          </w:p>
        </w:tc>
        <w:tc>
          <w:tcPr>
            <w:tcW w:w="717" w:type="dxa"/>
            <w:noWrap w:val="0"/>
            <w:vAlign w:val="center"/>
          </w:tcPr>
          <w:p w14:paraId="2221AB4A">
            <w:pPr>
              <w:pStyle w:val="6"/>
              <w:ind w:firstLine="0" w:firstLineChars="0"/>
              <w:jc w:val="center"/>
              <w:rPr>
                <w:rFonts w:ascii="Times New Roman"/>
                <w:kern w:val="2"/>
                <w:sz w:val="21"/>
                <w:szCs w:val="21"/>
                <w:highlight w:val="none"/>
              </w:rPr>
            </w:pPr>
            <w:r>
              <w:rPr>
                <w:rFonts w:ascii="Times New Roman"/>
                <w:kern w:val="2"/>
                <w:sz w:val="21"/>
                <w:szCs w:val="21"/>
                <w:highlight w:val="none"/>
              </w:rPr>
              <w:t>1.4</w:t>
            </w:r>
          </w:p>
        </w:tc>
        <w:tc>
          <w:tcPr>
            <w:tcW w:w="696" w:type="dxa"/>
            <w:noWrap w:val="0"/>
            <w:vAlign w:val="center"/>
          </w:tcPr>
          <w:p w14:paraId="04BCA769">
            <w:pPr>
              <w:jc w:val="center"/>
              <w:rPr>
                <w:sz w:val="21"/>
                <w:szCs w:val="21"/>
                <w:highlight w:val="none"/>
              </w:rPr>
            </w:pPr>
            <w:r>
              <w:rPr>
                <w:sz w:val="21"/>
                <w:szCs w:val="21"/>
                <w:highlight w:val="none"/>
              </w:rPr>
              <w:t>20</w:t>
            </w:r>
          </w:p>
          <w:p w14:paraId="746F2E8C">
            <w:pPr>
              <w:jc w:val="center"/>
              <w:rPr>
                <w:sz w:val="21"/>
                <w:szCs w:val="21"/>
                <w:highlight w:val="none"/>
              </w:rPr>
            </w:pPr>
            <w:r>
              <w:rPr>
                <w:sz w:val="21"/>
                <w:szCs w:val="21"/>
                <w:highlight w:val="none"/>
              </w:rPr>
              <w:t>1</w:t>
            </w:r>
            <w:r>
              <w:rPr>
                <w:rFonts w:hint="eastAsia"/>
                <w:sz w:val="21"/>
                <w:szCs w:val="21"/>
                <w:highlight w:val="none"/>
                <w:lang w:val="en-US" w:eastAsia="zh-CN"/>
              </w:rPr>
              <w:t>5</w:t>
            </w:r>
            <w:r>
              <w:rPr>
                <w:sz w:val="21"/>
                <w:szCs w:val="21"/>
                <w:highlight w:val="none"/>
              </w:rPr>
              <w:t>0</w:t>
            </w:r>
          </w:p>
        </w:tc>
        <w:tc>
          <w:tcPr>
            <w:tcW w:w="1107" w:type="dxa"/>
            <w:noWrap w:val="0"/>
            <w:vAlign w:val="center"/>
          </w:tcPr>
          <w:p w14:paraId="501126A8">
            <w:pPr>
              <w:jc w:val="center"/>
              <w:rPr>
                <w:sz w:val="21"/>
                <w:szCs w:val="21"/>
                <w:highlight w:val="none"/>
              </w:rPr>
            </w:pPr>
            <w:r>
              <w:rPr>
                <w:sz w:val="21"/>
                <w:szCs w:val="21"/>
                <w:highlight w:val="none"/>
              </w:rPr>
              <w:t>/</w:t>
            </w:r>
          </w:p>
          <w:p w14:paraId="5C2129FA">
            <w:pPr>
              <w:jc w:val="center"/>
              <w:rPr>
                <w:sz w:val="21"/>
                <w:szCs w:val="21"/>
                <w:highlight w:val="none"/>
              </w:rPr>
            </w:pPr>
            <w:r>
              <w:rPr>
                <w:sz w:val="21"/>
                <w:szCs w:val="21"/>
                <w:highlight w:val="none"/>
              </w:rPr>
              <w:t>/</w:t>
            </w:r>
          </w:p>
        </w:tc>
        <w:tc>
          <w:tcPr>
            <w:tcW w:w="689" w:type="dxa"/>
            <w:noWrap w:val="0"/>
            <w:vAlign w:val="center"/>
          </w:tcPr>
          <w:p w14:paraId="4F7C273A">
            <w:pPr>
              <w:pStyle w:val="6"/>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3069" w:type="dxa"/>
            <w:noWrap w:val="0"/>
            <w:vAlign w:val="center"/>
          </w:tcPr>
          <w:p w14:paraId="1EC12430">
            <w:pPr>
              <w:pStyle w:val="6"/>
              <w:ind w:firstLine="0" w:firstLineChars="0"/>
              <w:jc w:val="center"/>
              <w:rPr>
                <w:rFonts w:ascii="Times New Roman"/>
                <w:kern w:val="2"/>
                <w:sz w:val="21"/>
                <w:szCs w:val="21"/>
                <w:highlight w:val="none"/>
              </w:rPr>
            </w:pPr>
            <w:r>
              <w:rPr>
                <w:rFonts w:ascii="Times New Roman"/>
                <w:kern w:val="2"/>
                <w:sz w:val="21"/>
                <w:szCs w:val="21"/>
                <w:highlight w:val="none"/>
              </w:rPr>
              <w:t>《石油炼制工业污染物排放标准》（GB31570-2015）表4大气污染物特别排放限值</w:t>
            </w:r>
          </w:p>
        </w:tc>
      </w:tr>
      <w:tr w14:paraId="6E8E6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noWrap w:val="0"/>
            <w:vAlign w:val="center"/>
          </w:tcPr>
          <w:p w14:paraId="03790D8A">
            <w:pPr>
              <w:widowControl/>
              <w:snapToGrid w:val="0"/>
              <w:jc w:val="center"/>
              <w:rPr>
                <w:sz w:val="21"/>
                <w:szCs w:val="21"/>
                <w:highlight w:val="none"/>
              </w:rPr>
            </w:pPr>
          </w:p>
        </w:tc>
        <w:tc>
          <w:tcPr>
            <w:tcW w:w="898" w:type="dxa"/>
            <w:noWrap w:val="0"/>
            <w:vAlign w:val="center"/>
          </w:tcPr>
          <w:p w14:paraId="3320FE5C">
            <w:pPr>
              <w:pStyle w:val="6"/>
              <w:ind w:firstLine="0" w:firstLineChars="0"/>
              <w:jc w:val="center"/>
              <w:rPr>
                <w:rFonts w:ascii="Times New Roman"/>
                <w:kern w:val="2"/>
                <w:sz w:val="21"/>
                <w:szCs w:val="21"/>
                <w:highlight w:val="none"/>
              </w:rPr>
            </w:pPr>
            <w:r>
              <w:rPr>
                <w:rFonts w:ascii="Times New Roman"/>
                <w:kern w:val="2"/>
                <w:sz w:val="21"/>
                <w:szCs w:val="21"/>
                <w:highlight w:val="none"/>
              </w:rPr>
              <w:t>尾气转化单元</w:t>
            </w:r>
          </w:p>
        </w:tc>
        <w:tc>
          <w:tcPr>
            <w:tcW w:w="1202" w:type="dxa"/>
            <w:noWrap w:val="0"/>
            <w:vAlign w:val="center"/>
          </w:tcPr>
          <w:p w14:paraId="101764A9">
            <w:pPr>
              <w:pStyle w:val="6"/>
              <w:ind w:firstLine="0" w:firstLineChars="0"/>
              <w:jc w:val="center"/>
              <w:rPr>
                <w:rFonts w:ascii="Times New Roman"/>
                <w:kern w:val="2"/>
                <w:sz w:val="21"/>
                <w:szCs w:val="21"/>
                <w:highlight w:val="none"/>
              </w:rPr>
            </w:pPr>
            <w:r>
              <w:rPr>
                <w:rFonts w:ascii="Times New Roman"/>
                <w:kern w:val="2"/>
                <w:sz w:val="21"/>
                <w:szCs w:val="21"/>
                <w:highlight w:val="none"/>
              </w:rPr>
              <w:t>加热炉烟气</w:t>
            </w:r>
          </w:p>
        </w:tc>
        <w:tc>
          <w:tcPr>
            <w:tcW w:w="781" w:type="dxa"/>
            <w:noWrap w:val="0"/>
            <w:vAlign w:val="center"/>
          </w:tcPr>
          <w:p w14:paraId="759E33C6">
            <w:pPr>
              <w:jc w:val="center"/>
              <w:rPr>
                <w:sz w:val="21"/>
                <w:szCs w:val="21"/>
                <w:highlight w:val="none"/>
              </w:rPr>
            </w:pPr>
            <w:r>
              <w:rPr>
                <w:sz w:val="21"/>
                <w:szCs w:val="21"/>
                <w:highlight w:val="none"/>
              </w:rPr>
              <w:t>烟尘</w:t>
            </w:r>
          </w:p>
          <w:p w14:paraId="7B42AB14">
            <w:pPr>
              <w:jc w:val="center"/>
              <w:rPr>
                <w:sz w:val="21"/>
                <w:szCs w:val="21"/>
                <w:highlight w:val="none"/>
              </w:rPr>
            </w:pPr>
            <w:r>
              <w:rPr>
                <w:sz w:val="21"/>
                <w:szCs w:val="21"/>
                <w:highlight w:val="none"/>
              </w:rPr>
              <w:t>NOx</w:t>
            </w:r>
          </w:p>
        </w:tc>
        <w:tc>
          <w:tcPr>
            <w:tcW w:w="1064" w:type="dxa"/>
            <w:noWrap w:val="0"/>
            <w:vAlign w:val="center"/>
          </w:tcPr>
          <w:p w14:paraId="41467606">
            <w:pPr>
              <w:pStyle w:val="6"/>
              <w:ind w:firstLine="0" w:firstLineChars="0"/>
              <w:jc w:val="center"/>
              <w:rPr>
                <w:rFonts w:hint="default" w:ascii="Times New Roman" w:eastAsia="宋体"/>
                <w:kern w:val="2"/>
                <w:sz w:val="21"/>
                <w:szCs w:val="21"/>
                <w:highlight w:val="none"/>
                <w:lang w:val="en-US" w:eastAsia="zh-CN"/>
              </w:rPr>
            </w:pPr>
            <w:r>
              <w:rPr>
                <w:rFonts w:hint="eastAsia" w:ascii="Times New Roman"/>
                <w:sz w:val="21"/>
                <w:szCs w:val="21"/>
                <w:highlight w:val="none"/>
                <w:lang w:val="en-US" w:eastAsia="zh-CN"/>
              </w:rPr>
              <w:t>29041</w:t>
            </w:r>
          </w:p>
        </w:tc>
        <w:tc>
          <w:tcPr>
            <w:tcW w:w="695" w:type="dxa"/>
            <w:noWrap w:val="0"/>
            <w:vAlign w:val="center"/>
          </w:tcPr>
          <w:p w14:paraId="47032CB0">
            <w:pPr>
              <w:jc w:val="center"/>
              <w:rPr>
                <w:rFonts w:hint="default" w:eastAsia="宋体"/>
                <w:sz w:val="21"/>
                <w:szCs w:val="21"/>
                <w:highlight w:val="none"/>
                <w:lang w:val="en-US" w:eastAsia="zh-CN"/>
              </w:rPr>
            </w:pPr>
            <w:r>
              <w:rPr>
                <w:rFonts w:hint="eastAsia"/>
                <w:sz w:val="21"/>
                <w:szCs w:val="21"/>
                <w:highlight w:val="none"/>
                <w:lang w:val="en-US" w:eastAsia="zh-CN"/>
              </w:rPr>
              <w:t>3.6</w:t>
            </w:r>
          </w:p>
          <w:p w14:paraId="7D8137F3">
            <w:pPr>
              <w:jc w:val="center"/>
              <w:rPr>
                <w:rFonts w:hint="default" w:eastAsia="宋体"/>
                <w:sz w:val="21"/>
                <w:szCs w:val="21"/>
                <w:highlight w:val="none"/>
                <w:lang w:val="en-US" w:eastAsia="zh-CN"/>
              </w:rPr>
            </w:pPr>
            <w:r>
              <w:rPr>
                <w:rFonts w:hint="eastAsia"/>
                <w:sz w:val="21"/>
                <w:szCs w:val="21"/>
                <w:highlight w:val="none"/>
                <w:lang w:val="en-US" w:eastAsia="zh-CN"/>
              </w:rPr>
              <w:t>70</w:t>
            </w:r>
          </w:p>
        </w:tc>
        <w:tc>
          <w:tcPr>
            <w:tcW w:w="988" w:type="dxa"/>
            <w:noWrap w:val="0"/>
            <w:vAlign w:val="center"/>
          </w:tcPr>
          <w:p w14:paraId="4D68EFBC">
            <w:pPr>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0.065</w:t>
            </w:r>
          </w:p>
          <w:p w14:paraId="439F867D">
            <w:pPr>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1.3</w:t>
            </w:r>
          </w:p>
        </w:tc>
        <w:tc>
          <w:tcPr>
            <w:tcW w:w="396" w:type="dxa"/>
            <w:noWrap w:val="0"/>
            <w:vAlign w:val="center"/>
          </w:tcPr>
          <w:p w14:paraId="05BFAA99">
            <w:pPr>
              <w:pStyle w:val="6"/>
              <w:ind w:firstLine="0" w:firstLineChars="0"/>
              <w:jc w:val="center"/>
              <w:rPr>
                <w:rFonts w:ascii="Times New Roman"/>
                <w:kern w:val="2"/>
                <w:sz w:val="21"/>
                <w:szCs w:val="21"/>
                <w:highlight w:val="none"/>
              </w:rPr>
            </w:pPr>
            <w:r>
              <w:rPr>
                <w:rFonts w:ascii="Times New Roman"/>
                <w:kern w:val="2"/>
                <w:sz w:val="21"/>
                <w:szCs w:val="21"/>
                <w:highlight w:val="none"/>
              </w:rPr>
              <w:t>1</w:t>
            </w:r>
          </w:p>
        </w:tc>
        <w:tc>
          <w:tcPr>
            <w:tcW w:w="531" w:type="dxa"/>
            <w:noWrap w:val="0"/>
            <w:vAlign w:val="center"/>
          </w:tcPr>
          <w:p w14:paraId="29B22FB1">
            <w:pPr>
              <w:pStyle w:val="6"/>
              <w:ind w:firstLine="0" w:firstLineChars="0"/>
              <w:jc w:val="center"/>
              <w:rPr>
                <w:rFonts w:ascii="Times New Roman"/>
                <w:kern w:val="2"/>
                <w:sz w:val="21"/>
                <w:szCs w:val="21"/>
                <w:highlight w:val="none"/>
              </w:rPr>
            </w:pPr>
            <w:r>
              <w:rPr>
                <w:rFonts w:ascii="Times New Roman"/>
                <w:kern w:val="2"/>
                <w:sz w:val="21"/>
                <w:szCs w:val="21"/>
                <w:highlight w:val="none"/>
              </w:rPr>
              <w:t>60</w:t>
            </w:r>
          </w:p>
        </w:tc>
        <w:tc>
          <w:tcPr>
            <w:tcW w:w="717" w:type="dxa"/>
            <w:noWrap w:val="0"/>
            <w:vAlign w:val="center"/>
          </w:tcPr>
          <w:p w14:paraId="7FBD8865">
            <w:pPr>
              <w:pStyle w:val="6"/>
              <w:ind w:firstLine="0" w:firstLineChars="0"/>
              <w:jc w:val="center"/>
              <w:rPr>
                <w:rFonts w:ascii="Times New Roman"/>
                <w:kern w:val="2"/>
                <w:sz w:val="21"/>
                <w:szCs w:val="21"/>
                <w:highlight w:val="none"/>
              </w:rPr>
            </w:pPr>
            <w:r>
              <w:rPr>
                <w:rFonts w:ascii="Times New Roman"/>
                <w:kern w:val="2"/>
                <w:sz w:val="21"/>
                <w:szCs w:val="21"/>
                <w:highlight w:val="none"/>
              </w:rPr>
              <w:t>0.8</w:t>
            </w:r>
          </w:p>
        </w:tc>
        <w:tc>
          <w:tcPr>
            <w:tcW w:w="696" w:type="dxa"/>
            <w:noWrap w:val="0"/>
            <w:vAlign w:val="center"/>
          </w:tcPr>
          <w:p w14:paraId="3F3BDDB4">
            <w:pPr>
              <w:jc w:val="center"/>
              <w:rPr>
                <w:sz w:val="21"/>
                <w:szCs w:val="21"/>
                <w:highlight w:val="none"/>
              </w:rPr>
            </w:pPr>
            <w:r>
              <w:rPr>
                <w:sz w:val="21"/>
                <w:szCs w:val="21"/>
                <w:highlight w:val="none"/>
              </w:rPr>
              <w:t>20</w:t>
            </w:r>
          </w:p>
          <w:p w14:paraId="4193FB12">
            <w:pPr>
              <w:jc w:val="center"/>
              <w:rPr>
                <w:sz w:val="21"/>
                <w:szCs w:val="21"/>
                <w:highlight w:val="none"/>
              </w:rPr>
            </w:pPr>
            <w:r>
              <w:rPr>
                <w:sz w:val="21"/>
                <w:szCs w:val="21"/>
                <w:highlight w:val="none"/>
              </w:rPr>
              <w:t>1</w:t>
            </w:r>
            <w:r>
              <w:rPr>
                <w:rFonts w:hint="eastAsia"/>
                <w:sz w:val="21"/>
                <w:szCs w:val="21"/>
                <w:highlight w:val="none"/>
                <w:lang w:val="en-US" w:eastAsia="zh-CN"/>
              </w:rPr>
              <w:t>5</w:t>
            </w:r>
            <w:r>
              <w:rPr>
                <w:sz w:val="21"/>
                <w:szCs w:val="21"/>
                <w:highlight w:val="none"/>
              </w:rPr>
              <w:t>0</w:t>
            </w:r>
          </w:p>
        </w:tc>
        <w:tc>
          <w:tcPr>
            <w:tcW w:w="1107" w:type="dxa"/>
            <w:noWrap w:val="0"/>
            <w:vAlign w:val="center"/>
          </w:tcPr>
          <w:p w14:paraId="5A43DC15">
            <w:pPr>
              <w:jc w:val="center"/>
              <w:rPr>
                <w:sz w:val="21"/>
                <w:szCs w:val="21"/>
                <w:highlight w:val="none"/>
              </w:rPr>
            </w:pPr>
            <w:r>
              <w:rPr>
                <w:sz w:val="21"/>
                <w:szCs w:val="21"/>
                <w:highlight w:val="none"/>
              </w:rPr>
              <w:t>/</w:t>
            </w:r>
          </w:p>
          <w:p w14:paraId="17ADBBE9">
            <w:pPr>
              <w:jc w:val="center"/>
              <w:rPr>
                <w:sz w:val="21"/>
                <w:szCs w:val="21"/>
                <w:highlight w:val="none"/>
              </w:rPr>
            </w:pPr>
            <w:r>
              <w:rPr>
                <w:sz w:val="21"/>
                <w:szCs w:val="21"/>
                <w:highlight w:val="none"/>
              </w:rPr>
              <w:t>/</w:t>
            </w:r>
          </w:p>
        </w:tc>
        <w:tc>
          <w:tcPr>
            <w:tcW w:w="689" w:type="dxa"/>
            <w:noWrap w:val="0"/>
            <w:vAlign w:val="center"/>
          </w:tcPr>
          <w:p w14:paraId="30AB6439">
            <w:pPr>
              <w:pStyle w:val="6"/>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3069" w:type="dxa"/>
            <w:noWrap w:val="0"/>
            <w:vAlign w:val="center"/>
          </w:tcPr>
          <w:p w14:paraId="267BBD46">
            <w:pPr>
              <w:pStyle w:val="6"/>
              <w:ind w:firstLine="0" w:firstLineChars="0"/>
              <w:jc w:val="center"/>
              <w:rPr>
                <w:rFonts w:ascii="Times New Roman"/>
                <w:kern w:val="2"/>
                <w:sz w:val="21"/>
                <w:szCs w:val="21"/>
                <w:highlight w:val="none"/>
              </w:rPr>
            </w:pPr>
            <w:r>
              <w:rPr>
                <w:rFonts w:ascii="Times New Roman"/>
                <w:kern w:val="2"/>
                <w:sz w:val="21"/>
                <w:szCs w:val="21"/>
                <w:highlight w:val="none"/>
              </w:rPr>
              <w:t>《石油炼制工业污染物排放标准》（GB31570-2015）表4大气污染物特别排放限值</w:t>
            </w:r>
          </w:p>
        </w:tc>
      </w:tr>
      <w:tr w14:paraId="542DF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4" w:type="dxa"/>
            <w:gridSpan w:val="2"/>
            <w:noWrap w:val="0"/>
            <w:vAlign w:val="center"/>
          </w:tcPr>
          <w:p w14:paraId="73CC1FCF">
            <w:pPr>
              <w:pStyle w:val="6"/>
              <w:ind w:firstLine="0" w:firstLineChars="0"/>
              <w:jc w:val="center"/>
              <w:rPr>
                <w:rFonts w:hint="eastAsia" w:ascii="Times New Roman" w:eastAsia="宋体"/>
                <w:kern w:val="2"/>
                <w:sz w:val="21"/>
                <w:szCs w:val="21"/>
                <w:highlight w:val="none"/>
                <w:lang w:val="en-US" w:eastAsia="zh-CN"/>
              </w:rPr>
            </w:pPr>
            <w:r>
              <w:rPr>
                <w:rFonts w:ascii="Times New Roman"/>
                <w:kern w:val="2"/>
                <w:sz w:val="21"/>
                <w:szCs w:val="21"/>
                <w:highlight w:val="none"/>
              </w:rPr>
              <w:t>污水处理</w:t>
            </w:r>
            <w:r>
              <w:rPr>
                <w:rFonts w:hint="eastAsia" w:ascii="Times New Roman"/>
                <w:kern w:val="2"/>
                <w:sz w:val="21"/>
                <w:szCs w:val="21"/>
                <w:highlight w:val="none"/>
                <w:lang w:val="en-US" w:eastAsia="zh-CN"/>
              </w:rPr>
              <w:t>厂</w:t>
            </w:r>
          </w:p>
        </w:tc>
        <w:tc>
          <w:tcPr>
            <w:tcW w:w="1202" w:type="dxa"/>
            <w:noWrap w:val="0"/>
            <w:vAlign w:val="center"/>
          </w:tcPr>
          <w:p w14:paraId="06B78EF8">
            <w:pPr>
              <w:pStyle w:val="6"/>
              <w:ind w:firstLine="0" w:firstLineChars="0"/>
              <w:jc w:val="center"/>
              <w:rPr>
                <w:rFonts w:ascii="Times New Roman"/>
                <w:kern w:val="2"/>
                <w:sz w:val="21"/>
                <w:szCs w:val="21"/>
                <w:highlight w:val="none"/>
              </w:rPr>
            </w:pPr>
            <w:r>
              <w:rPr>
                <w:rFonts w:ascii="Times New Roman"/>
                <w:kern w:val="2"/>
                <w:sz w:val="21"/>
                <w:szCs w:val="21"/>
                <w:highlight w:val="none"/>
              </w:rPr>
              <w:t>臭气</w:t>
            </w:r>
          </w:p>
        </w:tc>
        <w:tc>
          <w:tcPr>
            <w:tcW w:w="781" w:type="dxa"/>
            <w:noWrap w:val="0"/>
            <w:vAlign w:val="center"/>
          </w:tcPr>
          <w:p w14:paraId="37A64C51">
            <w:pPr>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H</w:t>
            </w:r>
            <w:r>
              <w:rPr>
                <w:rFonts w:ascii="Times New Roman" w:hAnsi="Times New Roman" w:eastAsia="宋体" w:cs="Times New Roman"/>
                <w:sz w:val="21"/>
                <w:szCs w:val="21"/>
                <w:highlight w:val="none"/>
                <w:vertAlign w:val="subscript"/>
              </w:rPr>
              <w:t>2</w:t>
            </w:r>
            <w:r>
              <w:rPr>
                <w:rFonts w:ascii="Times New Roman" w:hAnsi="Times New Roman" w:eastAsia="宋体" w:cs="Times New Roman"/>
                <w:sz w:val="21"/>
                <w:szCs w:val="21"/>
                <w:highlight w:val="none"/>
              </w:rPr>
              <w:t>S</w:t>
            </w:r>
          </w:p>
          <w:p w14:paraId="70031F76">
            <w:pPr>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NH</w:t>
            </w:r>
            <w:r>
              <w:rPr>
                <w:rFonts w:ascii="Times New Roman" w:hAnsi="Times New Roman" w:eastAsia="宋体" w:cs="Times New Roman"/>
                <w:sz w:val="21"/>
                <w:szCs w:val="21"/>
                <w:highlight w:val="none"/>
                <w:vertAlign w:val="subscript"/>
              </w:rPr>
              <w:t>3</w:t>
            </w:r>
          </w:p>
          <w:p w14:paraId="44839797">
            <w:pPr>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臭气</w:t>
            </w:r>
          </w:p>
          <w:p w14:paraId="24D032F4">
            <w:pPr>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非甲烷总烃</w:t>
            </w:r>
          </w:p>
        </w:tc>
        <w:tc>
          <w:tcPr>
            <w:tcW w:w="1064" w:type="dxa"/>
            <w:noWrap w:val="0"/>
            <w:vAlign w:val="center"/>
          </w:tcPr>
          <w:p w14:paraId="5F02B530">
            <w:pPr>
              <w:pStyle w:val="6"/>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24824</w:t>
            </w:r>
          </w:p>
        </w:tc>
        <w:tc>
          <w:tcPr>
            <w:tcW w:w="695" w:type="dxa"/>
            <w:noWrap w:val="0"/>
            <w:vAlign w:val="center"/>
          </w:tcPr>
          <w:p w14:paraId="57216A83">
            <w:pPr>
              <w:jc w:val="center"/>
              <w:rPr>
                <w:rFonts w:hint="default" w:eastAsia="宋体"/>
                <w:sz w:val="21"/>
                <w:szCs w:val="21"/>
                <w:highlight w:val="none"/>
                <w:lang w:val="en-US" w:eastAsia="zh-CN"/>
              </w:rPr>
            </w:pPr>
            <w:r>
              <w:rPr>
                <w:rFonts w:hint="eastAsia"/>
                <w:sz w:val="21"/>
                <w:szCs w:val="21"/>
                <w:highlight w:val="none"/>
                <w:lang w:val="en-US" w:eastAsia="zh-CN"/>
              </w:rPr>
              <w:t>0.341</w:t>
            </w:r>
          </w:p>
          <w:p w14:paraId="41B289FA">
            <w:pPr>
              <w:jc w:val="center"/>
              <w:rPr>
                <w:rFonts w:hint="default" w:eastAsia="宋体"/>
                <w:sz w:val="21"/>
                <w:szCs w:val="21"/>
                <w:highlight w:val="none"/>
                <w:lang w:val="en-US" w:eastAsia="zh-CN"/>
              </w:rPr>
            </w:pPr>
            <w:r>
              <w:rPr>
                <w:rFonts w:hint="eastAsia"/>
                <w:sz w:val="21"/>
                <w:szCs w:val="21"/>
                <w:highlight w:val="none"/>
                <w:lang w:val="en-US" w:eastAsia="zh-CN"/>
              </w:rPr>
              <w:t>0.9</w:t>
            </w:r>
          </w:p>
          <w:p w14:paraId="1B04B1A9">
            <w:pPr>
              <w:jc w:val="center"/>
              <w:rPr>
                <w:rFonts w:hint="eastAsia"/>
                <w:sz w:val="21"/>
                <w:szCs w:val="21"/>
                <w:highlight w:val="none"/>
                <w:lang w:val="en-US" w:eastAsia="zh-CN"/>
              </w:rPr>
            </w:pPr>
            <w:r>
              <w:rPr>
                <w:rFonts w:hint="eastAsia"/>
                <w:sz w:val="21"/>
                <w:szCs w:val="21"/>
                <w:highlight w:val="none"/>
                <w:lang w:val="en-US" w:eastAsia="zh-CN"/>
              </w:rPr>
              <w:t>282</w:t>
            </w:r>
          </w:p>
          <w:p w14:paraId="0F0A3448">
            <w:pPr>
              <w:jc w:val="center"/>
              <w:rPr>
                <w:rFonts w:hint="default"/>
                <w:sz w:val="21"/>
                <w:szCs w:val="21"/>
                <w:highlight w:val="none"/>
                <w:lang w:val="en-US" w:eastAsia="zh-CN"/>
              </w:rPr>
            </w:pPr>
            <w:r>
              <w:rPr>
                <w:rFonts w:hint="eastAsia"/>
                <w:sz w:val="21"/>
                <w:szCs w:val="21"/>
                <w:highlight w:val="none"/>
                <w:lang w:val="en-US" w:eastAsia="zh-CN"/>
              </w:rPr>
              <w:t>2.1</w:t>
            </w:r>
          </w:p>
        </w:tc>
        <w:tc>
          <w:tcPr>
            <w:tcW w:w="988" w:type="dxa"/>
            <w:noWrap w:val="0"/>
            <w:vAlign w:val="center"/>
          </w:tcPr>
          <w:p w14:paraId="42A1C601">
            <w:pPr>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8.5×10</w:t>
            </w:r>
            <w:r>
              <w:rPr>
                <w:rFonts w:hint="eastAsia" w:ascii="Times New Roman" w:hAnsi="Times New Roman" w:eastAsia="宋体" w:cs="Times New Roman"/>
                <w:sz w:val="21"/>
                <w:szCs w:val="21"/>
                <w:highlight w:val="none"/>
                <w:vertAlign w:val="superscript"/>
                <w:lang w:val="en-US" w:eastAsia="zh-CN"/>
              </w:rPr>
              <w:t>-3</w:t>
            </w:r>
          </w:p>
          <w:p w14:paraId="415AF5A3">
            <w:pPr>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0.02</w:t>
            </w:r>
          </w:p>
          <w:p w14:paraId="60F35D14">
            <w:pPr>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w:t>
            </w:r>
          </w:p>
          <w:p w14:paraId="18F626C2">
            <w:pPr>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5.2×10</w:t>
            </w:r>
            <w:r>
              <w:rPr>
                <w:rFonts w:hint="eastAsia" w:ascii="Times New Roman" w:hAnsi="Times New Roman" w:eastAsia="宋体" w:cs="Times New Roman"/>
                <w:sz w:val="21"/>
                <w:szCs w:val="21"/>
                <w:highlight w:val="none"/>
                <w:vertAlign w:val="superscript"/>
                <w:lang w:val="en-US" w:eastAsia="zh-CN"/>
              </w:rPr>
              <w:t>-2</w:t>
            </w:r>
          </w:p>
        </w:tc>
        <w:tc>
          <w:tcPr>
            <w:tcW w:w="396" w:type="dxa"/>
            <w:noWrap w:val="0"/>
            <w:vAlign w:val="center"/>
          </w:tcPr>
          <w:p w14:paraId="4ECD6B3E">
            <w:pPr>
              <w:pStyle w:val="6"/>
              <w:ind w:firstLine="0" w:firstLineChars="0"/>
              <w:jc w:val="center"/>
              <w:rPr>
                <w:rFonts w:ascii="Times New Roman"/>
                <w:kern w:val="2"/>
                <w:sz w:val="21"/>
                <w:szCs w:val="21"/>
                <w:highlight w:val="none"/>
              </w:rPr>
            </w:pPr>
            <w:r>
              <w:rPr>
                <w:rFonts w:ascii="Times New Roman"/>
                <w:kern w:val="2"/>
                <w:sz w:val="21"/>
                <w:szCs w:val="21"/>
                <w:highlight w:val="none"/>
              </w:rPr>
              <w:t>1</w:t>
            </w:r>
          </w:p>
        </w:tc>
        <w:tc>
          <w:tcPr>
            <w:tcW w:w="531" w:type="dxa"/>
            <w:noWrap w:val="0"/>
            <w:vAlign w:val="center"/>
          </w:tcPr>
          <w:p w14:paraId="3B357028">
            <w:pPr>
              <w:pStyle w:val="6"/>
              <w:ind w:firstLine="0" w:firstLineChars="0"/>
              <w:jc w:val="center"/>
              <w:rPr>
                <w:rFonts w:ascii="Times New Roman"/>
                <w:kern w:val="2"/>
                <w:sz w:val="21"/>
                <w:szCs w:val="21"/>
                <w:highlight w:val="none"/>
              </w:rPr>
            </w:pPr>
            <w:r>
              <w:rPr>
                <w:rFonts w:ascii="Times New Roman"/>
                <w:kern w:val="2"/>
                <w:sz w:val="21"/>
                <w:szCs w:val="21"/>
                <w:highlight w:val="none"/>
              </w:rPr>
              <w:t>25</w:t>
            </w:r>
          </w:p>
        </w:tc>
        <w:tc>
          <w:tcPr>
            <w:tcW w:w="717" w:type="dxa"/>
            <w:noWrap w:val="0"/>
            <w:vAlign w:val="center"/>
          </w:tcPr>
          <w:p w14:paraId="594EB4AB">
            <w:pPr>
              <w:pStyle w:val="6"/>
              <w:ind w:firstLine="0" w:firstLineChars="0"/>
              <w:jc w:val="center"/>
              <w:rPr>
                <w:rFonts w:ascii="Times New Roman"/>
                <w:kern w:val="2"/>
                <w:sz w:val="21"/>
                <w:szCs w:val="21"/>
                <w:highlight w:val="none"/>
              </w:rPr>
            </w:pPr>
            <w:r>
              <w:rPr>
                <w:rFonts w:ascii="Times New Roman"/>
                <w:kern w:val="2"/>
                <w:sz w:val="21"/>
                <w:szCs w:val="21"/>
                <w:highlight w:val="none"/>
              </w:rPr>
              <w:t>0.3</w:t>
            </w:r>
          </w:p>
        </w:tc>
        <w:tc>
          <w:tcPr>
            <w:tcW w:w="696" w:type="dxa"/>
            <w:noWrap w:val="0"/>
            <w:vAlign w:val="center"/>
          </w:tcPr>
          <w:p w14:paraId="05646E6C">
            <w:pPr>
              <w:jc w:val="center"/>
              <w:rPr>
                <w:sz w:val="21"/>
                <w:szCs w:val="21"/>
                <w:highlight w:val="none"/>
                <w:lang w:val="pt-BR"/>
              </w:rPr>
            </w:pPr>
            <w:r>
              <w:rPr>
                <w:sz w:val="21"/>
                <w:szCs w:val="21"/>
                <w:highlight w:val="none"/>
                <w:lang w:val="pt-BR"/>
              </w:rPr>
              <w:t>/</w:t>
            </w:r>
          </w:p>
          <w:p w14:paraId="055E0006">
            <w:pPr>
              <w:jc w:val="center"/>
              <w:rPr>
                <w:sz w:val="21"/>
                <w:szCs w:val="21"/>
                <w:highlight w:val="none"/>
                <w:lang w:val="pt-BR"/>
              </w:rPr>
            </w:pPr>
            <w:r>
              <w:rPr>
                <w:sz w:val="21"/>
                <w:szCs w:val="21"/>
                <w:highlight w:val="none"/>
                <w:lang w:val="pt-BR"/>
              </w:rPr>
              <w:t>/</w:t>
            </w:r>
          </w:p>
          <w:p w14:paraId="4A13CE48">
            <w:pPr>
              <w:jc w:val="center"/>
              <w:rPr>
                <w:rFonts w:hint="eastAsia"/>
                <w:sz w:val="21"/>
                <w:szCs w:val="21"/>
                <w:highlight w:val="none"/>
                <w:lang w:val="en-US" w:eastAsia="zh-CN"/>
              </w:rPr>
            </w:pPr>
            <w:r>
              <w:rPr>
                <w:rFonts w:hint="eastAsia"/>
                <w:sz w:val="21"/>
                <w:szCs w:val="21"/>
                <w:highlight w:val="none"/>
                <w:lang w:val="en-US" w:eastAsia="zh-CN"/>
              </w:rPr>
              <w:t>4000</w:t>
            </w:r>
          </w:p>
          <w:p w14:paraId="51ECB03F">
            <w:pPr>
              <w:jc w:val="center"/>
              <w:rPr>
                <w:rFonts w:hint="default"/>
                <w:sz w:val="21"/>
                <w:szCs w:val="21"/>
                <w:highlight w:val="none"/>
                <w:lang w:val="en-US" w:eastAsia="zh-CN"/>
              </w:rPr>
            </w:pPr>
            <w:r>
              <w:rPr>
                <w:rFonts w:hint="eastAsia"/>
                <w:sz w:val="21"/>
                <w:szCs w:val="21"/>
                <w:highlight w:val="none"/>
                <w:lang w:val="en-US" w:eastAsia="zh-CN"/>
              </w:rPr>
              <w:t>120</w:t>
            </w:r>
          </w:p>
        </w:tc>
        <w:tc>
          <w:tcPr>
            <w:tcW w:w="1107" w:type="dxa"/>
            <w:noWrap w:val="0"/>
            <w:vAlign w:val="center"/>
          </w:tcPr>
          <w:p w14:paraId="2E03BBB3">
            <w:pPr>
              <w:jc w:val="center"/>
              <w:rPr>
                <w:rFonts w:hint="default" w:eastAsia="宋体"/>
                <w:sz w:val="21"/>
                <w:szCs w:val="21"/>
                <w:highlight w:val="none"/>
                <w:lang w:val="en-US" w:eastAsia="zh-CN"/>
              </w:rPr>
            </w:pPr>
            <w:r>
              <w:rPr>
                <w:rFonts w:hint="eastAsia"/>
                <w:sz w:val="21"/>
                <w:szCs w:val="21"/>
                <w:highlight w:val="none"/>
                <w:lang w:val="en-US" w:eastAsia="zh-CN"/>
              </w:rPr>
              <w:t>0.58</w:t>
            </w:r>
          </w:p>
          <w:p w14:paraId="081C651C">
            <w:pPr>
              <w:jc w:val="center"/>
              <w:rPr>
                <w:rFonts w:hint="default" w:eastAsia="宋体"/>
                <w:sz w:val="21"/>
                <w:szCs w:val="21"/>
                <w:highlight w:val="none"/>
                <w:lang w:val="en-US" w:eastAsia="zh-CN"/>
              </w:rPr>
            </w:pPr>
            <w:r>
              <w:rPr>
                <w:rFonts w:hint="eastAsia"/>
                <w:sz w:val="21"/>
                <w:szCs w:val="21"/>
                <w:highlight w:val="none"/>
                <w:lang w:val="en-US" w:eastAsia="zh-CN"/>
              </w:rPr>
              <w:t>8.7</w:t>
            </w:r>
          </w:p>
          <w:p w14:paraId="56AE3226">
            <w:pPr>
              <w:jc w:val="center"/>
              <w:rPr>
                <w:rFonts w:hint="eastAsia"/>
                <w:sz w:val="21"/>
                <w:szCs w:val="21"/>
                <w:highlight w:val="none"/>
                <w:lang w:val="en-US" w:eastAsia="zh-CN"/>
              </w:rPr>
            </w:pPr>
            <w:r>
              <w:rPr>
                <w:rFonts w:hint="eastAsia"/>
                <w:sz w:val="21"/>
                <w:szCs w:val="21"/>
                <w:highlight w:val="none"/>
                <w:lang w:val="en-US" w:eastAsia="zh-CN"/>
              </w:rPr>
              <w:t>/</w:t>
            </w:r>
          </w:p>
          <w:p w14:paraId="311F9AF8">
            <w:pPr>
              <w:jc w:val="center"/>
              <w:rPr>
                <w:rFonts w:hint="default"/>
                <w:sz w:val="21"/>
                <w:szCs w:val="21"/>
                <w:highlight w:val="none"/>
                <w:lang w:val="en-US" w:eastAsia="zh-CN"/>
              </w:rPr>
            </w:pPr>
            <w:r>
              <w:rPr>
                <w:rFonts w:hint="eastAsia"/>
                <w:sz w:val="21"/>
                <w:szCs w:val="21"/>
                <w:highlight w:val="none"/>
                <w:lang w:val="en-US" w:eastAsia="zh-CN"/>
              </w:rPr>
              <w:t>17</w:t>
            </w:r>
          </w:p>
        </w:tc>
        <w:tc>
          <w:tcPr>
            <w:tcW w:w="689" w:type="dxa"/>
            <w:noWrap w:val="0"/>
            <w:vAlign w:val="center"/>
          </w:tcPr>
          <w:p w14:paraId="39945A73">
            <w:pPr>
              <w:jc w:val="center"/>
              <w:rPr>
                <w:sz w:val="21"/>
                <w:szCs w:val="21"/>
                <w:highlight w:val="none"/>
                <w:lang w:val="pt-BR"/>
              </w:rPr>
            </w:pPr>
            <w:r>
              <w:rPr>
                <w:sz w:val="21"/>
                <w:szCs w:val="21"/>
                <w:highlight w:val="none"/>
              </w:rPr>
              <w:t>达标</w:t>
            </w:r>
          </w:p>
          <w:p w14:paraId="080267B7">
            <w:pPr>
              <w:pStyle w:val="6"/>
              <w:ind w:firstLine="0" w:firstLineChars="0"/>
              <w:jc w:val="center"/>
              <w:rPr>
                <w:rFonts w:ascii="Times New Roman"/>
                <w:kern w:val="2"/>
                <w:sz w:val="21"/>
                <w:szCs w:val="21"/>
                <w:highlight w:val="none"/>
              </w:rPr>
            </w:pPr>
            <w:r>
              <w:rPr>
                <w:rFonts w:ascii="Times New Roman"/>
                <w:kern w:val="2"/>
                <w:sz w:val="21"/>
                <w:szCs w:val="21"/>
                <w:highlight w:val="none"/>
              </w:rPr>
              <w:t>达标</w:t>
            </w:r>
          </w:p>
          <w:p w14:paraId="2801B56D">
            <w:pPr>
              <w:pStyle w:val="6"/>
              <w:ind w:firstLine="0" w:firstLineChars="0"/>
              <w:jc w:val="center"/>
              <w:rPr>
                <w:rFonts w:ascii="Times New Roman"/>
                <w:kern w:val="2"/>
                <w:sz w:val="21"/>
                <w:szCs w:val="21"/>
                <w:highlight w:val="none"/>
              </w:rPr>
            </w:pPr>
            <w:r>
              <w:rPr>
                <w:rFonts w:ascii="Times New Roman"/>
                <w:kern w:val="2"/>
                <w:sz w:val="21"/>
                <w:szCs w:val="21"/>
                <w:highlight w:val="none"/>
              </w:rPr>
              <w:t>达标</w:t>
            </w:r>
          </w:p>
          <w:p w14:paraId="28378C1A">
            <w:pPr>
              <w:pStyle w:val="7"/>
              <w:ind w:left="0" w:leftChars="0" w:firstLine="0" w:firstLineChars="0"/>
              <w:jc w:val="center"/>
              <w:rPr>
                <w:sz w:val="21"/>
                <w:szCs w:val="21"/>
                <w:highlight w:val="none"/>
              </w:rPr>
            </w:pPr>
            <w:r>
              <w:rPr>
                <w:rFonts w:ascii="Times New Roman"/>
                <w:kern w:val="2"/>
                <w:sz w:val="21"/>
                <w:szCs w:val="21"/>
                <w:highlight w:val="none"/>
              </w:rPr>
              <w:t>达标</w:t>
            </w:r>
          </w:p>
        </w:tc>
        <w:tc>
          <w:tcPr>
            <w:tcW w:w="3069" w:type="dxa"/>
            <w:noWrap w:val="0"/>
            <w:vAlign w:val="center"/>
          </w:tcPr>
          <w:p w14:paraId="1723CBDE">
            <w:pPr>
              <w:jc w:val="center"/>
              <w:rPr>
                <w:rFonts w:hint="eastAsia" w:eastAsia="宋体"/>
                <w:sz w:val="21"/>
                <w:szCs w:val="21"/>
                <w:highlight w:val="none"/>
                <w:lang w:val="en-US" w:eastAsia="zh-CN"/>
              </w:rPr>
            </w:pPr>
            <w:r>
              <w:rPr>
                <w:sz w:val="21"/>
                <w:szCs w:val="21"/>
                <w:highlight w:val="none"/>
              </w:rPr>
              <w:t>《恶臭污染物排放标准》（GB14554-93）二级标准</w:t>
            </w:r>
            <w:r>
              <w:rPr>
                <w:rFonts w:hint="eastAsia"/>
                <w:sz w:val="21"/>
                <w:szCs w:val="21"/>
                <w:highlight w:val="none"/>
                <w:lang w:eastAsia="zh-CN"/>
              </w:rPr>
              <w:t>；</w:t>
            </w:r>
            <w:r>
              <w:rPr>
                <w:sz w:val="21"/>
                <w:szCs w:val="21"/>
                <w:highlight w:val="none"/>
              </w:rPr>
              <w:t>《大气污染物综合排放标准》（GB16297-1996）表2二级标准</w:t>
            </w:r>
            <w:r>
              <w:rPr>
                <w:rFonts w:hint="eastAsia"/>
                <w:sz w:val="21"/>
                <w:szCs w:val="21"/>
                <w:highlight w:val="none"/>
                <w:lang w:eastAsia="zh-CN"/>
              </w:rPr>
              <w:t>。</w:t>
            </w:r>
          </w:p>
        </w:tc>
      </w:tr>
    </w:tbl>
    <w:p w14:paraId="6E26523E">
      <w:pPr>
        <w:spacing w:line="360" w:lineRule="auto"/>
        <w:ind w:firstLine="480"/>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火炬气：</w:t>
      </w:r>
    </w:p>
    <w:p w14:paraId="629DECFD">
      <w:pPr>
        <w:pStyle w:val="11"/>
        <w:spacing w:line="343" w:lineRule="auto"/>
        <w:ind w:right="372" w:firstLine="480" w:firstLineChars="200"/>
        <w:jc w:val="both"/>
        <w:rPr>
          <w:rFonts w:hint="default" w:ascii="Times New Roman" w:hAnsi="Times New Roman" w:eastAsia="宋体" w:cs="Times New Roman"/>
          <w:sz w:val="24"/>
          <w:szCs w:val="24"/>
          <w:highlight w:val="none"/>
        </w:rPr>
      </w:pPr>
      <w:r>
        <w:rPr>
          <w:rFonts w:hint="default" w:ascii="Times New Roman" w:hAnsi="Times New Roman" w:eastAsia="宋体" w:cs="Times New Roman"/>
          <w:kern w:val="2"/>
          <w:sz w:val="24"/>
          <w:szCs w:val="24"/>
          <w:highlight w:val="none"/>
          <w:lang w:val="en-US" w:eastAsia="zh-CN" w:bidi="ar-SA"/>
        </w:rPr>
        <w:t>（</w:t>
      </w:r>
      <w:r>
        <w:rPr>
          <w:rFonts w:hint="eastAsia" w:ascii="Times New Roman" w:hAnsi="Times New Roman" w:eastAsia="宋体" w:cs="Times New Roman"/>
          <w:kern w:val="2"/>
          <w:sz w:val="24"/>
          <w:szCs w:val="24"/>
          <w:highlight w:val="none"/>
          <w:lang w:val="en-US" w:eastAsia="zh-CN" w:bidi="ar-SA"/>
        </w:rPr>
        <w:t>1</w:t>
      </w:r>
      <w:r>
        <w:rPr>
          <w:rFonts w:hint="default" w:ascii="Times New Roman" w:hAnsi="Times New Roman" w:eastAsia="宋体" w:cs="Times New Roman"/>
          <w:kern w:val="2"/>
          <w:sz w:val="24"/>
          <w:szCs w:val="24"/>
          <w:highlight w:val="none"/>
          <w:lang w:val="en-US" w:eastAsia="zh-CN" w:bidi="ar-SA"/>
        </w:rPr>
        <w:t>）含烃低压火炬系统：</w:t>
      </w:r>
      <w:r>
        <w:rPr>
          <w:rFonts w:hint="eastAsia" w:ascii="Times New Roman" w:hAnsi="Times New Roman" w:cs="Times New Roman"/>
          <w:kern w:val="2"/>
          <w:sz w:val="24"/>
          <w:szCs w:val="24"/>
          <w:highlight w:val="none"/>
          <w:lang w:val="en-US" w:eastAsia="zh-CN" w:bidi="ar-SA"/>
        </w:rPr>
        <w:t>主要</w:t>
      </w:r>
      <w:r>
        <w:rPr>
          <w:rFonts w:hint="default" w:ascii="Times New Roman" w:hAnsi="Times New Roman" w:eastAsia="宋体" w:cs="Times New Roman"/>
          <w:sz w:val="24"/>
          <w:szCs w:val="24"/>
          <w:highlight w:val="none"/>
        </w:rPr>
        <w:t>来自净化装置、化学品合成装置、化学品</w:t>
      </w:r>
      <w:r>
        <w:rPr>
          <w:rFonts w:hint="default" w:ascii="Times New Roman" w:hAnsi="Times New Roman" w:eastAsia="宋体" w:cs="Times New Roman"/>
          <w:spacing w:val="-8"/>
          <w:sz w:val="24"/>
          <w:szCs w:val="24"/>
          <w:highlight w:val="none"/>
        </w:rPr>
        <w:t>加工</w:t>
      </w:r>
      <w:r>
        <w:rPr>
          <w:rFonts w:hint="eastAsia" w:ascii="Times New Roman" w:hAnsi="Times New Roman" w:cs="Times New Roman"/>
          <w:spacing w:val="-8"/>
          <w:sz w:val="24"/>
          <w:szCs w:val="24"/>
          <w:highlight w:val="none"/>
          <w:lang w:eastAsia="zh-CN"/>
        </w:rPr>
        <w:t>装置</w:t>
      </w:r>
      <w:r>
        <w:rPr>
          <w:rFonts w:hint="default" w:ascii="Times New Roman" w:hAnsi="Times New Roman" w:eastAsia="宋体" w:cs="Times New Roman"/>
          <w:spacing w:val="-8"/>
          <w:sz w:val="24"/>
          <w:szCs w:val="24"/>
          <w:highlight w:val="none"/>
        </w:rPr>
        <w:t>、事故状态下排放的火炬气，火炬气中主要有氢气、一氧化碳、甲烷</w:t>
      </w:r>
      <w:r>
        <w:rPr>
          <w:rFonts w:hint="eastAsia" w:ascii="Times New Roman" w:hAnsi="Times New Roman" w:cs="Times New Roman"/>
          <w:spacing w:val="-8"/>
          <w:sz w:val="24"/>
          <w:szCs w:val="24"/>
          <w:highlight w:val="none"/>
          <w:lang w:eastAsia="zh-CN"/>
        </w:rPr>
        <w:t>等</w:t>
      </w:r>
      <w:r>
        <w:rPr>
          <w:rFonts w:hint="default" w:ascii="Times New Roman" w:hAnsi="Times New Roman" w:eastAsia="宋体" w:cs="Times New Roman"/>
          <w:spacing w:val="-8"/>
          <w:sz w:val="24"/>
          <w:szCs w:val="24"/>
          <w:highlight w:val="none"/>
        </w:rPr>
        <w:t>。设计</w:t>
      </w:r>
      <w:r>
        <w:rPr>
          <w:rFonts w:hint="default" w:ascii="Times New Roman" w:hAnsi="Times New Roman" w:eastAsia="宋体" w:cs="Times New Roman"/>
          <w:spacing w:val="-22"/>
          <w:sz w:val="24"/>
          <w:szCs w:val="24"/>
          <w:highlight w:val="none"/>
        </w:rPr>
        <w:t>排放量</w:t>
      </w:r>
      <w:r>
        <w:rPr>
          <w:rFonts w:hint="default" w:ascii="Times New Roman" w:hAnsi="Times New Roman" w:eastAsia="宋体" w:cs="Times New Roman"/>
          <w:sz w:val="24"/>
          <w:szCs w:val="24"/>
          <w:highlight w:val="none"/>
        </w:rPr>
        <w:t>445690Nm</w:t>
      </w:r>
      <w:r>
        <w:rPr>
          <w:rFonts w:hint="eastAsia" w:ascii="Times New Roman" w:hAnsi="Times New Roman" w:cs="Times New Roman"/>
          <w:sz w:val="24"/>
          <w:szCs w:val="24"/>
          <w:highlight w:val="none"/>
          <w:vertAlign w:val="superscript"/>
          <w:lang w:val="en-US" w:eastAsia="zh-CN"/>
        </w:rPr>
        <w:t>3</w:t>
      </w:r>
      <w:r>
        <w:rPr>
          <w:rFonts w:hint="default" w:ascii="Times New Roman" w:hAnsi="Times New Roman" w:eastAsia="宋体" w:cs="Times New Roman"/>
          <w:sz w:val="24"/>
          <w:szCs w:val="24"/>
          <w:highlight w:val="none"/>
        </w:rPr>
        <w:t>/h</w:t>
      </w:r>
      <w:r>
        <w:rPr>
          <w:rFonts w:hint="default" w:ascii="Times New Roman" w:hAnsi="Times New Roman" w:eastAsia="宋体" w:cs="Times New Roman"/>
          <w:spacing w:val="-11"/>
          <w:sz w:val="24"/>
          <w:szCs w:val="24"/>
          <w:highlight w:val="none"/>
        </w:rPr>
        <w:t>，界区背压</w:t>
      </w:r>
      <w:r>
        <w:rPr>
          <w:rFonts w:hint="default" w:ascii="Times New Roman" w:hAnsi="Times New Roman" w:eastAsia="宋体" w:cs="Times New Roman"/>
          <w:sz w:val="24"/>
          <w:szCs w:val="24"/>
          <w:highlight w:val="none"/>
        </w:rPr>
        <w:t>30KPaG</w:t>
      </w:r>
      <w:r>
        <w:rPr>
          <w:rFonts w:hint="default" w:ascii="Times New Roman" w:hAnsi="Times New Roman" w:eastAsia="宋体" w:cs="Times New Roman"/>
          <w:spacing w:val="-11"/>
          <w:sz w:val="24"/>
          <w:szCs w:val="24"/>
          <w:highlight w:val="none"/>
        </w:rPr>
        <w:t>，设计温度</w:t>
      </w:r>
      <w:r>
        <w:rPr>
          <w:rFonts w:hint="default" w:ascii="Times New Roman" w:hAnsi="Times New Roman" w:eastAsia="宋体" w:cs="Times New Roman"/>
          <w:sz w:val="24"/>
          <w:szCs w:val="24"/>
          <w:highlight w:val="none"/>
        </w:rPr>
        <w:t>260℃。</w:t>
      </w:r>
    </w:p>
    <w:p w14:paraId="40DA5691">
      <w:pPr>
        <w:pStyle w:val="11"/>
        <w:spacing w:before="1" w:line="345" w:lineRule="auto"/>
        <w:ind w:right="363" w:firstLine="480" w:firstLineChars="200"/>
        <w:rPr>
          <w:highlight w:val="none"/>
        </w:rPr>
      </w:pPr>
      <w:r>
        <w:rPr>
          <w:rFonts w:hint="default" w:ascii="Times New Roman" w:hAnsi="Times New Roman" w:eastAsia="宋体" w:cs="Times New Roman"/>
          <w:sz w:val="24"/>
          <w:szCs w:val="24"/>
          <w:highlight w:val="none"/>
        </w:rPr>
        <w:t>（</w:t>
      </w:r>
      <w:r>
        <w:rPr>
          <w:rFonts w:hint="eastAsia" w:ascii="Times New Roman" w:hAnsi="Times New Roman" w:cs="Times New Roman"/>
          <w:kern w:val="2"/>
          <w:sz w:val="24"/>
          <w:szCs w:val="24"/>
          <w:highlight w:val="none"/>
          <w:lang w:val="en-US" w:eastAsia="zh-CN" w:bidi="ar-SA"/>
        </w:rPr>
        <w:t>2</w:t>
      </w:r>
      <w:r>
        <w:rPr>
          <w:rFonts w:hint="default" w:ascii="Times New Roman" w:hAnsi="Times New Roman" w:eastAsia="宋体" w:cs="Times New Roman"/>
          <w:kern w:val="2"/>
          <w:sz w:val="24"/>
          <w:szCs w:val="24"/>
          <w:highlight w:val="none"/>
          <w:lang w:val="en-US" w:eastAsia="zh-CN" w:bidi="ar-SA"/>
        </w:rPr>
        <w:t>）湿酸性气火炬系</w:t>
      </w:r>
      <w:r>
        <w:rPr>
          <w:rFonts w:hint="default" w:ascii="Times New Roman" w:hAnsi="Times New Roman" w:eastAsia="宋体" w:cs="Times New Roman"/>
          <w:sz w:val="24"/>
          <w:szCs w:val="24"/>
          <w:highlight w:val="none"/>
        </w:rPr>
        <w:t>统：主要为来自煤气化、CO变换、硫回收等装置事故时排放的湿酸性气，</w:t>
      </w:r>
      <w:r>
        <w:rPr>
          <w:rFonts w:hint="eastAsia" w:ascii="Times New Roman" w:hAnsi="Times New Roman" w:cs="Times New Roman"/>
          <w:sz w:val="24"/>
          <w:szCs w:val="24"/>
          <w:highlight w:val="none"/>
          <w:lang w:eastAsia="zh-CN"/>
        </w:rPr>
        <w:t>其</w:t>
      </w:r>
      <w:r>
        <w:rPr>
          <w:rFonts w:hint="default" w:ascii="Times New Roman" w:hAnsi="Times New Roman" w:eastAsia="宋体" w:cs="Times New Roman"/>
          <w:sz w:val="24"/>
          <w:szCs w:val="24"/>
          <w:highlight w:val="none"/>
        </w:rPr>
        <w:t>中</w:t>
      </w:r>
      <w:r>
        <w:rPr>
          <w:rFonts w:hint="eastAsia" w:ascii="Times New Roman" w:hAnsi="Times New Roman" w:cs="Times New Roman"/>
          <w:sz w:val="24"/>
          <w:szCs w:val="24"/>
          <w:highlight w:val="none"/>
          <w:lang w:eastAsia="zh-CN"/>
        </w:rPr>
        <w:t>包括</w:t>
      </w:r>
      <w:r>
        <w:rPr>
          <w:rFonts w:hint="default" w:ascii="Times New Roman" w:hAnsi="Times New Roman" w:eastAsia="宋体" w:cs="Times New Roman"/>
          <w:sz w:val="24"/>
          <w:szCs w:val="24"/>
          <w:highlight w:val="none"/>
        </w:rPr>
        <w:t>硫化氢、</w:t>
      </w:r>
      <w:r>
        <w:rPr>
          <w:rFonts w:hint="default" w:ascii="Times New Roman" w:hAnsi="Times New Roman" w:eastAsia="宋体" w:cs="Times New Roman"/>
          <w:kern w:val="2"/>
          <w:sz w:val="24"/>
          <w:szCs w:val="24"/>
          <w:highlight w:val="none"/>
          <w:lang w:val="en-US" w:eastAsia="zh-CN" w:bidi="ar-SA"/>
        </w:rPr>
        <w:t>水、二氧化碳</w:t>
      </w:r>
      <w:r>
        <w:rPr>
          <w:rFonts w:hint="eastAsia" w:ascii="Times New Roman" w:hAnsi="Times New Roman" w:cs="Times New Roman"/>
          <w:kern w:val="2"/>
          <w:sz w:val="24"/>
          <w:szCs w:val="24"/>
          <w:highlight w:val="none"/>
          <w:lang w:val="en-US" w:eastAsia="zh-CN" w:bidi="ar-SA"/>
        </w:rPr>
        <w:t>等</w:t>
      </w:r>
      <w:r>
        <w:rPr>
          <w:rFonts w:hint="default" w:ascii="Times New Roman" w:hAnsi="Times New Roman" w:eastAsia="宋体" w:cs="Times New Roman"/>
          <w:kern w:val="2"/>
          <w:sz w:val="24"/>
          <w:szCs w:val="24"/>
          <w:highlight w:val="none"/>
          <w:lang w:val="en-US" w:eastAsia="zh-CN" w:bidi="ar-SA"/>
        </w:rPr>
        <w:t>。</w:t>
      </w:r>
      <w:r>
        <w:rPr>
          <w:rFonts w:hint="default" w:ascii="Times New Roman" w:hAnsi="Times New Roman" w:eastAsia="宋体" w:cs="Times New Roman"/>
          <w:sz w:val="24"/>
          <w:szCs w:val="24"/>
          <w:highlight w:val="none"/>
        </w:rPr>
        <w:t>设计排放量34946Nm</w:t>
      </w:r>
      <w:r>
        <w:rPr>
          <w:rFonts w:hint="eastAsia" w:ascii="Times New Roman" w:hAnsi="Times New Roman" w:cs="Times New Roman"/>
          <w:sz w:val="24"/>
          <w:szCs w:val="24"/>
          <w:highlight w:val="none"/>
          <w:vertAlign w:val="superscript"/>
          <w:lang w:val="en-US" w:eastAsia="zh-CN"/>
        </w:rPr>
        <w:t>3</w:t>
      </w:r>
      <w:r>
        <w:rPr>
          <w:rFonts w:hint="default" w:ascii="Times New Roman" w:hAnsi="Times New Roman" w:eastAsia="宋体" w:cs="Times New Roman"/>
          <w:sz w:val="24"/>
          <w:szCs w:val="24"/>
          <w:highlight w:val="none"/>
        </w:rPr>
        <w:t>/h，界区背压20KPaG，设计温度200℃。</w:t>
      </w:r>
    </w:p>
    <w:p w14:paraId="0C88D2CB">
      <w:pPr>
        <w:ind w:firstLine="420"/>
        <w:jc w:val="center"/>
        <w:rPr>
          <w:szCs w:val="21"/>
          <w:highlight w:val="none"/>
        </w:rPr>
      </w:pPr>
      <w:r>
        <w:rPr>
          <w:b/>
          <w:bCs/>
          <w:szCs w:val="21"/>
          <w:highlight w:val="none"/>
        </w:rPr>
        <w:t>表</w:t>
      </w:r>
      <w:r>
        <w:rPr>
          <w:rFonts w:hint="eastAsia"/>
          <w:b/>
          <w:bCs/>
          <w:szCs w:val="21"/>
          <w:highlight w:val="none"/>
          <w:lang w:val="en-US" w:eastAsia="zh-CN"/>
        </w:rPr>
        <w:t xml:space="preserve">3-6   </w:t>
      </w:r>
      <w:r>
        <w:rPr>
          <w:b/>
          <w:bCs/>
          <w:szCs w:val="21"/>
          <w:highlight w:val="none"/>
        </w:rPr>
        <w:t>现有项目废水污染物排放及采取的环保措施一览表</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3"/>
        <w:gridCol w:w="1936"/>
        <w:gridCol w:w="2162"/>
        <w:gridCol w:w="1706"/>
        <w:gridCol w:w="1119"/>
        <w:gridCol w:w="1506"/>
        <w:gridCol w:w="510"/>
        <w:gridCol w:w="3640"/>
      </w:tblGrid>
      <w:tr w14:paraId="36B62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8" w:type="pct"/>
            <w:gridSpan w:val="2"/>
            <w:vMerge w:val="restart"/>
            <w:noWrap w:val="0"/>
            <w:vAlign w:val="center"/>
          </w:tcPr>
          <w:p w14:paraId="4A55CBB7">
            <w:pPr>
              <w:widowControl/>
              <w:snapToGrid w:val="0"/>
              <w:jc w:val="center"/>
              <w:rPr>
                <w:sz w:val="21"/>
                <w:szCs w:val="21"/>
                <w:highlight w:val="none"/>
              </w:rPr>
            </w:pPr>
            <w:r>
              <w:rPr>
                <w:sz w:val="21"/>
                <w:szCs w:val="21"/>
                <w:highlight w:val="none"/>
              </w:rPr>
              <w:t>装置名称</w:t>
            </w:r>
          </w:p>
        </w:tc>
        <w:tc>
          <w:tcPr>
            <w:tcW w:w="794" w:type="pct"/>
            <w:vMerge w:val="restart"/>
            <w:noWrap w:val="0"/>
            <w:vAlign w:val="center"/>
          </w:tcPr>
          <w:p w14:paraId="10336F24">
            <w:pPr>
              <w:widowControl/>
              <w:snapToGrid w:val="0"/>
              <w:jc w:val="center"/>
              <w:rPr>
                <w:sz w:val="21"/>
                <w:szCs w:val="21"/>
                <w:highlight w:val="none"/>
              </w:rPr>
            </w:pPr>
            <w:r>
              <w:rPr>
                <w:sz w:val="21"/>
                <w:szCs w:val="21"/>
                <w:highlight w:val="none"/>
              </w:rPr>
              <w:t>污染源名称</w:t>
            </w:r>
          </w:p>
        </w:tc>
        <w:tc>
          <w:tcPr>
            <w:tcW w:w="628" w:type="pct"/>
            <w:vMerge w:val="restart"/>
            <w:noWrap w:val="0"/>
            <w:vAlign w:val="center"/>
          </w:tcPr>
          <w:p w14:paraId="2D80AB3D">
            <w:pPr>
              <w:widowControl/>
              <w:snapToGrid w:val="0"/>
              <w:jc w:val="center"/>
              <w:rPr>
                <w:sz w:val="21"/>
                <w:szCs w:val="21"/>
                <w:highlight w:val="none"/>
              </w:rPr>
            </w:pPr>
            <w:r>
              <w:rPr>
                <w:sz w:val="21"/>
                <w:szCs w:val="21"/>
                <w:highlight w:val="none"/>
              </w:rPr>
              <w:t>产生量（m</w:t>
            </w:r>
            <w:r>
              <w:rPr>
                <w:sz w:val="21"/>
                <w:szCs w:val="21"/>
                <w:highlight w:val="none"/>
                <w:vertAlign w:val="superscript"/>
              </w:rPr>
              <w:t>3</w:t>
            </w:r>
            <w:r>
              <w:rPr>
                <w:sz w:val="21"/>
                <w:szCs w:val="21"/>
                <w:highlight w:val="none"/>
              </w:rPr>
              <w:t>/h）</w:t>
            </w:r>
          </w:p>
        </w:tc>
        <w:tc>
          <w:tcPr>
            <w:tcW w:w="941" w:type="pct"/>
            <w:gridSpan w:val="2"/>
            <w:noWrap w:val="0"/>
            <w:vAlign w:val="center"/>
          </w:tcPr>
          <w:p w14:paraId="76B6393A">
            <w:pPr>
              <w:widowControl/>
              <w:snapToGrid w:val="0"/>
              <w:jc w:val="center"/>
              <w:rPr>
                <w:sz w:val="21"/>
                <w:szCs w:val="21"/>
                <w:highlight w:val="none"/>
              </w:rPr>
            </w:pPr>
            <w:r>
              <w:rPr>
                <w:sz w:val="21"/>
                <w:szCs w:val="21"/>
                <w:highlight w:val="none"/>
              </w:rPr>
              <w:t>主要污染物</w:t>
            </w:r>
          </w:p>
        </w:tc>
        <w:tc>
          <w:tcPr>
            <w:tcW w:w="190" w:type="pct"/>
            <w:vMerge w:val="restart"/>
            <w:noWrap w:val="0"/>
            <w:vAlign w:val="center"/>
          </w:tcPr>
          <w:p w14:paraId="188262DD">
            <w:pPr>
              <w:widowControl/>
              <w:snapToGrid w:val="0"/>
              <w:jc w:val="center"/>
              <w:rPr>
                <w:sz w:val="21"/>
                <w:szCs w:val="21"/>
                <w:highlight w:val="none"/>
              </w:rPr>
            </w:pPr>
            <w:r>
              <w:rPr>
                <w:sz w:val="21"/>
                <w:szCs w:val="21"/>
                <w:highlight w:val="none"/>
              </w:rPr>
              <w:t>排放</w:t>
            </w:r>
          </w:p>
          <w:p w14:paraId="36058FEC">
            <w:pPr>
              <w:widowControl/>
              <w:snapToGrid w:val="0"/>
              <w:jc w:val="center"/>
              <w:rPr>
                <w:sz w:val="21"/>
                <w:szCs w:val="21"/>
                <w:highlight w:val="none"/>
              </w:rPr>
            </w:pPr>
            <w:r>
              <w:rPr>
                <w:sz w:val="21"/>
                <w:szCs w:val="21"/>
                <w:highlight w:val="none"/>
              </w:rPr>
              <w:t>规律</w:t>
            </w:r>
          </w:p>
        </w:tc>
        <w:tc>
          <w:tcPr>
            <w:tcW w:w="1336" w:type="pct"/>
            <w:vMerge w:val="restart"/>
            <w:noWrap w:val="0"/>
            <w:vAlign w:val="center"/>
          </w:tcPr>
          <w:p w14:paraId="4334C42E">
            <w:pPr>
              <w:widowControl/>
              <w:snapToGrid w:val="0"/>
              <w:jc w:val="center"/>
              <w:rPr>
                <w:sz w:val="21"/>
                <w:szCs w:val="21"/>
                <w:highlight w:val="none"/>
              </w:rPr>
            </w:pPr>
            <w:r>
              <w:rPr>
                <w:sz w:val="21"/>
                <w:szCs w:val="21"/>
                <w:highlight w:val="none"/>
              </w:rPr>
              <w:t>治理措施</w:t>
            </w:r>
          </w:p>
        </w:tc>
      </w:tr>
      <w:tr w14:paraId="7A214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108" w:type="pct"/>
            <w:gridSpan w:val="2"/>
            <w:vMerge w:val="continue"/>
            <w:noWrap w:val="0"/>
            <w:vAlign w:val="center"/>
          </w:tcPr>
          <w:p w14:paraId="7589BA56">
            <w:pPr>
              <w:widowControl/>
              <w:snapToGrid w:val="0"/>
              <w:jc w:val="center"/>
              <w:rPr>
                <w:sz w:val="21"/>
                <w:szCs w:val="21"/>
                <w:highlight w:val="none"/>
              </w:rPr>
            </w:pPr>
          </w:p>
        </w:tc>
        <w:tc>
          <w:tcPr>
            <w:tcW w:w="794" w:type="pct"/>
            <w:vMerge w:val="continue"/>
            <w:noWrap w:val="0"/>
            <w:vAlign w:val="center"/>
          </w:tcPr>
          <w:p w14:paraId="4439D53B">
            <w:pPr>
              <w:widowControl/>
              <w:snapToGrid w:val="0"/>
              <w:jc w:val="center"/>
              <w:rPr>
                <w:sz w:val="21"/>
                <w:szCs w:val="21"/>
                <w:highlight w:val="none"/>
              </w:rPr>
            </w:pPr>
          </w:p>
        </w:tc>
        <w:tc>
          <w:tcPr>
            <w:tcW w:w="628" w:type="pct"/>
            <w:vMerge w:val="continue"/>
            <w:noWrap w:val="0"/>
            <w:vAlign w:val="center"/>
          </w:tcPr>
          <w:p w14:paraId="5AB92D24">
            <w:pPr>
              <w:widowControl/>
              <w:snapToGrid w:val="0"/>
              <w:jc w:val="center"/>
              <w:rPr>
                <w:sz w:val="21"/>
                <w:szCs w:val="21"/>
                <w:highlight w:val="none"/>
              </w:rPr>
            </w:pPr>
          </w:p>
        </w:tc>
        <w:tc>
          <w:tcPr>
            <w:tcW w:w="413" w:type="pct"/>
            <w:noWrap w:val="0"/>
            <w:vAlign w:val="center"/>
          </w:tcPr>
          <w:p w14:paraId="08AA49DD">
            <w:pPr>
              <w:widowControl/>
              <w:snapToGrid w:val="0"/>
              <w:jc w:val="center"/>
              <w:rPr>
                <w:sz w:val="21"/>
                <w:szCs w:val="21"/>
                <w:highlight w:val="none"/>
              </w:rPr>
            </w:pPr>
            <w:r>
              <w:rPr>
                <w:sz w:val="21"/>
                <w:szCs w:val="21"/>
                <w:highlight w:val="none"/>
              </w:rPr>
              <w:t>名称</w:t>
            </w:r>
          </w:p>
        </w:tc>
        <w:tc>
          <w:tcPr>
            <w:tcW w:w="528" w:type="pct"/>
            <w:noWrap w:val="0"/>
            <w:vAlign w:val="center"/>
          </w:tcPr>
          <w:p w14:paraId="52ED19DE">
            <w:pPr>
              <w:widowControl/>
              <w:snapToGrid w:val="0"/>
              <w:jc w:val="center"/>
              <w:rPr>
                <w:rFonts w:hint="eastAsia" w:eastAsia="宋体"/>
                <w:sz w:val="21"/>
                <w:szCs w:val="21"/>
                <w:highlight w:val="none"/>
                <w:lang w:eastAsia="zh-CN"/>
              </w:rPr>
            </w:pPr>
            <w:r>
              <w:rPr>
                <w:sz w:val="21"/>
                <w:szCs w:val="21"/>
                <w:highlight w:val="none"/>
              </w:rPr>
              <w:t>排放浓度</w:t>
            </w:r>
            <w:r>
              <w:rPr>
                <w:rFonts w:hint="eastAsia"/>
                <w:sz w:val="21"/>
                <w:szCs w:val="21"/>
                <w:highlight w:val="none"/>
                <w:lang w:eastAsia="zh-CN"/>
              </w:rPr>
              <w:t>（</w:t>
            </w:r>
            <w:r>
              <w:rPr>
                <w:sz w:val="21"/>
                <w:szCs w:val="21"/>
                <w:highlight w:val="none"/>
              </w:rPr>
              <w:t>mg/L</w:t>
            </w:r>
            <w:r>
              <w:rPr>
                <w:rFonts w:hint="eastAsia"/>
                <w:sz w:val="21"/>
                <w:szCs w:val="21"/>
                <w:highlight w:val="none"/>
                <w:lang w:eastAsia="zh-CN"/>
              </w:rPr>
              <w:t>）</w:t>
            </w:r>
          </w:p>
        </w:tc>
        <w:tc>
          <w:tcPr>
            <w:tcW w:w="190" w:type="pct"/>
            <w:vMerge w:val="continue"/>
            <w:noWrap w:val="0"/>
            <w:vAlign w:val="center"/>
          </w:tcPr>
          <w:p w14:paraId="0741546D">
            <w:pPr>
              <w:widowControl/>
              <w:snapToGrid w:val="0"/>
              <w:jc w:val="center"/>
              <w:rPr>
                <w:sz w:val="21"/>
                <w:szCs w:val="21"/>
                <w:highlight w:val="none"/>
              </w:rPr>
            </w:pPr>
          </w:p>
        </w:tc>
        <w:tc>
          <w:tcPr>
            <w:tcW w:w="1336" w:type="pct"/>
            <w:vMerge w:val="continue"/>
            <w:noWrap w:val="0"/>
            <w:vAlign w:val="center"/>
          </w:tcPr>
          <w:p w14:paraId="4C5CC580">
            <w:pPr>
              <w:widowControl/>
              <w:snapToGrid w:val="0"/>
              <w:jc w:val="center"/>
              <w:rPr>
                <w:sz w:val="21"/>
                <w:szCs w:val="21"/>
                <w:highlight w:val="none"/>
              </w:rPr>
            </w:pPr>
          </w:p>
        </w:tc>
      </w:tr>
      <w:tr w14:paraId="703F4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restart"/>
            <w:noWrap w:val="0"/>
            <w:vAlign w:val="center"/>
          </w:tcPr>
          <w:p w14:paraId="7F1BA40D">
            <w:pPr>
              <w:widowControl/>
              <w:snapToGrid w:val="0"/>
              <w:jc w:val="center"/>
              <w:rPr>
                <w:sz w:val="21"/>
                <w:szCs w:val="21"/>
                <w:highlight w:val="none"/>
              </w:rPr>
            </w:pPr>
            <w:r>
              <w:rPr>
                <w:sz w:val="21"/>
                <w:szCs w:val="21"/>
                <w:highlight w:val="none"/>
              </w:rPr>
              <w:t>煤气化装置</w:t>
            </w:r>
          </w:p>
        </w:tc>
        <w:tc>
          <w:tcPr>
            <w:tcW w:w="712" w:type="pct"/>
            <w:noWrap w:val="0"/>
            <w:vAlign w:val="center"/>
          </w:tcPr>
          <w:p w14:paraId="3B08CA18">
            <w:pPr>
              <w:widowControl/>
              <w:snapToGrid w:val="0"/>
              <w:jc w:val="center"/>
              <w:rPr>
                <w:sz w:val="21"/>
                <w:szCs w:val="21"/>
                <w:highlight w:val="none"/>
              </w:rPr>
            </w:pPr>
            <w:r>
              <w:rPr>
                <w:sz w:val="21"/>
                <w:szCs w:val="21"/>
                <w:highlight w:val="none"/>
              </w:rPr>
              <w:t>粉煤气化（渣及灰水处理单元）</w:t>
            </w:r>
          </w:p>
        </w:tc>
        <w:tc>
          <w:tcPr>
            <w:tcW w:w="794" w:type="pct"/>
            <w:noWrap w:val="0"/>
            <w:vAlign w:val="center"/>
          </w:tcPr>
          <w:p w14:paraId="58A9D656">
            <w:pPr>
              <w:widowControl/>
              <w:snapToGrid w:val="0"/>
              <w:jc w:val="center"/>
              <w:rPr>
                <w:sz w:val="21"/>
                <w:szCs w:val="21"/>
                <w:highlight w:val="none"/>
              </w:rPr>
            </w:pPr>
            <w:r>
              <w:rPr>
                <w:sz w:val="21"/>
                <w:szCs w:val="21"/>
                <w:highlight w:val="none"/>
              </w:rPr>
              <w:t>粉煤气化废水</w:t>
            </w:r>
          </w:p>
        </w:tc>
        <w:tc>
          <w:tcPr>
            <w:tcW w:w="628" w:type="pct"/>
            <w:noWrap w:val="0"/>
            <w:vAlign w:val="center"/>
          </w:tcPr>
          <w:p w14:paraId="4BC95B52">
            <w:pPr>
              <w:widowControl/>
              <w:snapToGrid w:val="0"/>
              <w:jc w:val="center"/>
              <w:rPr>
                <w:sz w:val="21"/>
                <w:szCs w:val="21"/>
                <w:highlight w:val="none"/>
              </w:rPr>
            </w:pPr>
            <w:r>
              <w:rPr>
                <w:sz w:val="21"/>
                <w:szCs w:val="21"/>
                <w:highlight w:val="none"/>
              </w:rPr>
              <w:t>600</w:t>
            </w:r>
          </w:p>
        </w:tc>
        <w:tc>
          <w:tcPr>
            <w:tcW w:w="413" w:type="pct"/>
            <w:noWrap w:val="0"/>
            <w:vAlign w:val="center"/>
          </w:tcPr>
          <w:p w14:paraId="5FC13ED0">
            <w:pPr>
              <w:widowControl/>
              <w:snapToGrid w:val="0"/>
              <w:jc w:val="center"/>
              <w:rPr>
                <w:sz w:val="21"/>
                <w:szCs w:val="21"/>
                <w:highlight w:val="none"/>
              </w:rPr>
            </w:pPr>
            <w:r>
              <w:rPr>
                <w:sz w:val="21"/>
                <w:szCs w:val="21"/>
                <w:highlight w:val="none"/>
              </w:rPr>
              <w:t>氨氮</w:t>
            </w:r>
          </w:p>
          <w:p w14:paraId="32B6DCD7">
            <w:pPr>
              <w:widowControl/>
              <w:snapToGrid w:val="0"/>
              <w:jc w:val="center"/>
              <w:rPr>
                <w:sz w:val="21"/>
                <w:szCs w:val="21"/>
                <w:highlight w:val="none"/>
              </w:rPr>
            </w:pPr>
            <w:r>
              <w:rPr>
                <w:sz w:val="21"/>
                <w:szCs w:val="21"/>
                <w:highlight w:val="none"/>
              </w:rPr>
              <w:t>SS</w:t>
            </w:r>
          </w:p>
          <w:p w14:paraId="0932A089">
            <w:pPr>
              <w:widowControl/>
              <w:snapToGrid w:val="0"/>
              <w:jc w:val="center"/>
              <w:rPr>
                <w:sz w:val="21"/>
                <w:szCs w:val="21"/>
                <w:highlight w:val="none"/>
              </w:rPr>
            </w:pPr>
            <w:r>
              <w:rPr>
                <w:sz w:val="21"/>
                <w:szCs w:val="21"/>
                <w:highlight w:val="none"/>
              </w:rPr>
              <w:t>BOD</w:t>
            </w:r>
          </w:p>
          <w:p w14:paraId="0FBC68EF">
            <w:pPr>
              <w:widowControl/>
              <w:snapToGrid w:val="0"/>
              <w:jc w:val="center"/>
              <w:rPr>
                <w:sz w:val="21"/>
                <w:szCs w:val="21"/>
                <w:highlight w:val="none"/>
              </w:rPr>
            </w:pPr>
            <w:r>
              <w:rPr>
                <w:sz w:val="21"/>
                <w:szCs w:val="21"/>
                <w:highlight w:val="none"/>
              </w:rPr>
              <w:t>COD</w:t>
            </w:r>
          </w:p>
          <w:p w14:paraId="3E80A7EF">
            <w:pPr>
              <w:widowControl/>
              <w:snapToGrid w:val="0"/>
              <w:jc w:val="center"/>
              <w:rPr>
                <w:sz w:val="21"/>
                <w:szCs w:val="21"/>
                <w:highlight w:val="none"/>
              </w:rPr>
            </w:pPr>
            <w:r>
              <w:rPr>
                <w:sz w:val="21"/>
                <w:szCs w:val="21"/>
                <w:highlight w:val="none"/>
              </w:rPr>
              <w:t>TDS</w:t>
            </w:r>
          </w:p>
          <w:p w14:paraId="1E615C56">
            <w:pPr>
              <w:widowControl/>
              <w:snapToGrid w:val="0"/>
              <w:jc w:val="center"/>
              <w:rPr>
                <w:sz w:val="21"/>
                <w:szCs w:val="21"/>
                <w:highlight w:val="none"/>
              </w:rPr>
            </w:pPr>
            <w:r>
              <w:rPr>
                <w:sz w:val="21"/>
                <w:szCs w:val="21"/>
                <w:highlight w:val="none"/>
              </w:rPr>
              <w:t>Cl</w:t>
            </w:r>
            <w:r>
              <w:rPr>
                <w:sz w:val="21"/>
                <w:szCs w:val="21"/>
                <w:highlight w:val="none"/>
                <w:vertAlign w:val="superscript"/>
              </w:rPr>
              <w:t>-</w:t>
            </w:r>
          </w:p>
          <w:p w14:paraId="6625DA4F">
            <w:pPr>
              <w:widowControl/>
              <w:snapToGrid w:val="0"/>
              <w:jc w:val="center"/>
              <w:rPr>
                <w:sz w:val="21"/>
                <w:szCs w:val="21"/>
                <w:highlight w:val="none"/>
              </w:rPr>
            </w:pPr>
            <w:r>
              <w:rPr>
                <w:sz w:val="21"/>
                <w:szCs w:val="21"/>
                <w:highlight w:val="none"/>
              </w:rPr>
              <w:t>PH</w:t>
            </w:r>
          </w:p>
          <w:p w14:paraId="64EE62EB">
            <w:pPr>
              <w:widowControl/>
              <w:snapToGrid w:val="0"/>
              <w:jc w:val="center"/>
              <w:rPr>
                <w:sz w:val="21"/>
                <w:szCs w:val="21"/>
                <w:highlight w:val="none"/>
              </w:rPr>
            </w:pPr>
            <w:r>
              <w:rPr>
                <w:sz w:val="21"/>
                <w:szCs w:val="21"/>
                <w:highlight w:val="none"/>
              </w:rPr>
              <w:t>CN</w:t>
            </w:r>
            <w:r>
              <w:rPr>
                <w:sz w:val="21"/>
                <w:szCs w:val="21"/>
                <w:highlight w:val="none"/>
                <w:vertAlign w:val="superscript"/>
              </w:rPr>
              <w:t>-</w:t>
            </w:r>
          </w:p>
          <w:p w14:paraId="5A004AF5">
            <w:pPr>
              <w:widowControl/>
              <w:snapToGrid w:val="0"/>
              <w:jc w:val="center"/>
              <w:rPr>
                <w:sz w:val="21"/>
                <w:szCs w:val="21"/>
                <w:highlight w:val="none"/>
              </w:rPr>
            </w:pPr>
            <w:r>
              <w:rPr>
                <w:sz w:val="21"/>
                <w:szCs w:val="21"/>
                <w:highlight w:val="none"/>
              </w:rPr>
              <w:t>硬度</w:t>
            </w:r>
          </w:p>
          <w:p w14:paraId="526C117B">
            <w:pPr>
              <w:widowControl/>
              <w:snapToGrid w:val="0"/>
              <w:jc w:val="center"/>
              <w:rPr>
                <w:sz w:val="21"/>
                <w:szCs w:val="21"/>
                <w:highlight w:val="none"/>
              </w:rPr>
            </w:pPr>
            <w:r>
              <w:rPr>
                <w:sz w:val="21"/>
                <w:szCs w:val="21"/>
                <w:highlight w:val="none"/>
              </w:rPr>
              <w:t>碱度</w:t>
            </w:r>
          </w:p>
          <w:p w14:paraId="36195A5F">
            <w:pPr>
              <w:widowControl/>
              <w:snapToGrid w:val="0"/>
              <w:jc w:val="center"/>
              <w:rPr>
                <w:sz w:val="21"/>
                <w:szCs w:val="21"/>
                <w:highlight w:val="none"/>
              </w:rPr>
            </w:pPr>
            <w:r>
              <w:rPr>
                <w:sz w:val="21"/>
                <w:szCs w:val="21"/>
                <w:highlight w:val="none"/>
              </w:rPr>
              <w:t>硫化物</w:t>
            </w:r>
          </w:p>
        </w:tc>
        <w:tc>
          <w:tcPr>
            <w:tcW w:w="528" w:type="pct"/>
            <w:noWrap w:val="0"/>
            <w:vAlign w:val="center"/>
          </w:tcPr>
          <w:p w14:paraId="05350EA0">
            <w:pPr>
              <w:widowControl/>
              <w:snapToGrid w:val="0"/>
              <w:jc w:val="center"/>
              <w:rPr>
                <w:sz w:val="21"/>
                <w:szCs w:val="21"/>
                <w:highlight w:val="none"/>
              </w:rPr>
            </w:pPr>
            <w:r>
              <w:rPr>
                <w:sz w:val="21"/>
                <w:szCs w:val="21"/>
                <w:highlight w:val="none"/>
              </w:rPr>
              <w:t>&lt;200</w:t>
            </w:r>
          </w:p>
          <w:p w14:paraId="29C99BED">
            <w:pPr>
              <w:widowControl/>
              <w:snapToGrid w:val="0"/>
              <w:jc w:val="center"/>
              <w:rPr>
                <w:sz w:val="21"/>
                <w:szCs w:val="21"/>
                <w:highlight w:val="none"/>
              </w:rPr>
            </w:pPr>
            <w:r>
              <w:rPr>
                <w:sz w:val="21"/>
                <w:szCs w:val="21"/>
                <w:highlight w:val="none"/>
              </w:rPr>
              <w:t>&lt;100</w:t>
            </w:r>
          </w:p>
          <w:p w14:paraId="7B50D03E">
            <w:pPr>
              <w:widowControl/>
              <w:snapToGrid w:val="0"/>
              <w:jc w:val="center"/>
              <w:rPr>
                <w:sz w:val="21"/>
                <w:szCs w:val="21"/>
                <w:highlight w:val="none"/>
              </w:rPr>
            </w:pPr>
            <w:r>
              <w:rPr>
                <w:sz w:val="21"/>
                <w:szCs w:val="21"/>
                <w:highlight w:val="none"/>
              </w:rPr>
              <w:t>&lt;200</w:t>
            </w:r>
          </w:p>
          <w:p w14:paraId="3116BF71">
            <w:pPr>
              <w:widowControl/>
              <w:snapToGrid w:val="0"/>
              <w:jc w:val="center"/>
              <w:rPr>
                <w:sz w:val="21"/>
                <w:szCs w:val="21"/>
                <w:highlight w:val="none"/>
              </w:rPr>
            </w:pPr>
            <w:r>
              <w:rPr>
                <w:sz w:val="21"/>
                <w:szCs w:val="21"/>
                <w:highlight w:val="none"/>
              </w:rPr>
              <w:t>&lt;300</w:t>
            </w:r>
          </w:p>
          <w:p w14:paraId="5692E29F">
            <w:pPr>
              <w:widowControl/>
              <w:snapToGrid w:val="0"/>
              <w:jc w:val="center"/>
              <w:rPr>
                <w:sz w:val="21"/>
                <w:szCs w:val="21"/>
                <w:highlight w:val="none"/>
              </w:rPr>
            </w:pPr>
            <w:r>
              <w:rPr>
                <w:sz w:val="21"/>
                <w:szCs w:val="21"/>
                <w:highlight w:val="none"/>
              </w:rPr>
              <w:t>&lt;2000</w:t>
            </w:r>
          </w:p>
          <w:p w14:paraId="65A51C52">
            <w:pPr>
              <w:widowControl/>
              <w:snapToGrid w:val="0"/>
              <w:jc w:val="center"/>
              <w:rPr>
                <w:sz w:val="21"/>
                <w:szCs w:val="21"/>
                <w:highlight w:val="none"/>
              </w:rPr>
            </w:pPr>
            <w:r>
              <w:rPr>
                <w:sz w:val="21"/>
                <w:szCs w:val="21"/>
                <w:highlight w:val="none"/>
              </w:rPr>
              <w:t>&lt;500</w:t>
            </w:r>
          </w:p>
          <w:p w14:paraId="30C31C4A">
            <w:pPr>
              <w:widowControl/>
              <w:snapToGrid w:val="0"/>
              <w:jc w:val="center"/>
              <w:rPr>
                <w:sz w:val="21"/>
                <w:szCs w:val="21"/>
                <w:highlight w:val="none"/>
              </w:rPr>
            </w:pPr>
            <w:r>
              <w:rPr>
                <w:sz w:val="21"/>
                <w:szCs w:val="21"/>
                <w:highlight w:val="none"/>
              </w:rPr>
              <w:t>7~9</w:t>
            </w:r>
          </w:p>
          <w:p w14:paraId="33F24F27">
            <w:pPr>
              <w:widowControl/>
              <w:snapToGrid w:val="0"/>
              <w:jc w:val="center"/>
              <w:rPr>
                <w:sz w:val="21"/>
                <w:szCs w:val="21"/>
                <w:highlight w:val="none"/>
              </w:rPr>
            </w:pPr>
            <w:r>
              <w:rPr>
                <w:sz w:val="21"/>
                <w:szCs w:val="21"/>
                <w:highlight w:val="none"/>
              </w:rPr>
              <w:t>&lt;10</w:t>
            </w:r>
          </w:p>
          <w:p w14:paraId="3CE3FAE4">
            <w:pPr>
              <w:widowControl/>
              <w:snapToGrid w:val="0"/>
              <w:jc w:val="center"/>
              <w:rPr>
                <w:sz w:val="21"/>
                <w:szCs w:val="21"/>
                <w:highlight w:val="none"/>
              </w:rPr>
            </w:pPr>
            <w:r>
              <w:rPr>
                <w:sz w:val="21"/>
                <w:szCs w:val="21"/>
                <w:highlight w:val="none"/>
              </w:rPr>
              <w:t>&lt;1200</w:t>
            </w:r>
          </w:p>
          <w:p w14:paraId="77581EDA">
            <w:pPr>
              <w:widowControl/>
              <w:snapToGrid w:val="0"/>
              <w:jc w:val="center"/>
              <w:rPr>
                <w:sz w:val="21"/>
                <w:szCs w:val="21"/>
                <w:highlight w:val="none"/>
              </w:rPr>
            </w:pPr>
            <w:r>
              <w:rPr>
                <w:sz w:val="21"/>
                <w:szCs w:val="21"/>
                <w:highlight w:val="none"/>
              </w:rPr>
              <w:t>&lt;700</w:t>
            </w:r>
          </w:p>
          <w:p w14:paraId="48865F38">
            <w:pPr>
              <w:widowControl/>
              <w:snapToGrid w:val="0"/>
              <w:jc w:val="center"/>
              <w:rPr>
                <w:sz w:val="21"/>
                <w:szCs w:val="21"/>
                <w:highlight w:val="none"/>
              </w:rPr>
            </w:pPr>
            <w:r>
              <w:rPr>
                <w:sz w:val="21"/>
                <w:szCs w:val="21"/>
                <w:highlight w:val="none"/>
              </w:rPr>
              <w:t>10</w:t>
            </w:r>
          </w:p>
        </w:tc>
        <w:tc>
          <w:tcPr>
            <w:tcW w:w="190" w:type="pct"/>
            <w:noWrap w:val="0"/>
            <w:vAlign w:val="center"/>
          </w:tcPr>
          <w:p w14:paraId="071834AB">
            <w:pPr>
              <w:widowControl/>
              <w:snapToGrid w:val="0"/>
              <w:jc w:val="center"/>
              <w:rPr>
                <w:sz w:val="21"/>
                <w:szCs w:val="21"/>
                <w:highlight w:val="none"/>
              </w:rPr>
            </w:pPr>
            <w:r>
              <w:rPr>
                <w:sz w:val="21"/>
                <w:szCs w:val="21"/>
                <w:highlight w:val="none"/>
              </w:rPr>
              <w:t>连续</w:t>
            </w:r>
          </w:p>
        </w:tc>
        <w:tc>
          <w:tcPr>
            <w:tcW w:w="1336" w:type="pct"/>
            <w:noWrap w:val="0"/>
            <w:vAlign w:val="center"/>
          </w:tcPr>
          <w:p w14:paraId="0AEA9421">
            <w:pPr>
              <w:widowControl/>
              <w:snapToGrid w:val="0"/>
              <w:jc w:val="center"/>
              <w:rPr>
                <w:rFonts w:hint="eastAsia" w:eastAsia="宋体"/>
                <w:sz w:val="21"/>
                <w:szCs w:val="21"/>
                <w:highlight w:val="none"/>
                <w:lang w:eastAsia="zh-CN"/>
              </w:rPr>
            </w:pPr>
            <w:r>
              <w:rPr>
                <w:sz w:val="21"/>
                <w:szCs w:val="21"/>
                <w:highlight w:val="none"/>
              </w:rPr>
              <w:t>去厂内</w:t>
            </w:r>
            <w:r>
              <w:rPr>
                <w:rFonts w:hint="eastAsia"/>
                <w:sz w:val="21"/>
                <w:szCs w:val="21"/>
                <w:highlight w:val="none"/>
                <w:lang w:eastAsia="zh-CN"/>
              </w:rPr>
              <w:t>污水处理厂</w:t>
            </w:r>
          </w:p>
        </w:tc>
      </w:tr>
      <w:tr w14:paraId="65651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1DFF93AF">
            <w:pPr>
              <w:widowControl/>
              <w:snapToGrid w:val="0"/>
              <w:jc w:val="center"/>
              <w:rPr>
                <w:sz w:val="21"/>
                <w:szCs w:val="21"/>
                <w:highlight w:val="none"/>
              </w:rPr>
            </w:pPr>
          </w:p>
        </w:tc>
        <w:tc>
          <w:tcPr>
            <w:tcW w:w="712" w:type="pct"/>
            <w:noWrap w:val="0"/>
            <w:vAlign w:val="center"/>
          </w:tcPr>
          <w:p w14:paraId="2B81DCA6">
            <w:pPr>
              <w:widowControl/>
              <w:snapToGrid w:val="0"/>
              <w:jc w:val="center"/>
              <w:rPr>
                <w:sz w:val="21"/>
                <w:szCs w:val="21"/>
                <w:highlight w:val="none"/>
              </w:rPr>
            </w:pPr>
            <w:r>
              <w:rPr>
                <w:sz w:val="21"/>
                <w:szCs w:val="21"/>
                <w:highlight w:val="none"/>
              </w:rPr>
              <w:t>粉煤气化（公用工程）</w:t>
            </w:r>
          </w:p>
        </w:tc>
        <w:tc>
          <w:tcPr>
            <w:tcW w:w="794" w:type="pct"/>
            <w:noWrap w:val="0"/>
            <w:vAlign w:val="center"/>
          </w:tcPr>
          <w:p w14:paraId="4C1D4C9C">
            <w:pPr>
              <w:widowControl/>
              <w:snapToGrid w:val="0"/>
              <w:jc w:val="center"/>
              <w:rPr>
                <w:sz w:val="21"/>
                <w:szCs w:val="21"/>
                <w:highlight w:val="none"/>
              </w:rPr>
            </w:pPr>
            <w:r>
              <w:rPr>
                <w:sz w:val="21"/>
                <w:szCs w:val="21"/>
                <w:highlight w:val="none"/>
              </w:rPr>
              <w:t>汽包排污</w:t>
            </w:r>
          </w:p>
        </w:tc>
        <w:tc>
          <w:tcPr>
            <w:tcW w:w="628" w:type="pct"/>
            <w:noWrap w:val="0"/>
            <w:vAlign w:val="center"/>
          </w:tcPr>
          <w:p w14:paraId="275A129D">
            <w:pPr>
              <w:widowControl/>
              <w:snapToGrid w:val="0"/>
              <w:jc w:val="center"/>
              <w:rPr>
                <w:sz w:val="21"/>
                <w:szCs w:val="21"/>
                <w:highlight w:val="none"/>
              </w:rPr>
            </w:pPr>
            <w:r>
              <w:rPr>
                <w:sz w:val="21"/>
                <w:szCs w:val="21"/>
                <w:highlight w:val="none"/>
              </w:rPr>
              <w:t>0.5</w:t>
            </w:r>
          </w:p>
        </w:tc>
        <w:tc>
          <w:tcPr>
            <w:tcW w:w="413" w:type="pct"/>
            <w:noWrap w:val="0"/>
            <w:vAlign w:val="center"/>
          </w:tcPr>
          <w:p w14:paraId="0D75E66C">
            <w:pPr>
              <w:widowControl/>
              <w:snapToGrid w:val="0"/>
              <w:jc w:val="center"/>
              <w:rPr>
                <w:sz w:val="21"/>
                <w:szCs w:val="21"/>
                <w:highlight w:val="none"/>
              </w:rPr>
            </w:pPr>
            <w:r>
              <w:rPr>
                <w:sz w:val="21"/>
                <w:szCs w:val="21"/>
                <w:highlight w:val="none"/>
              </w:rPr>
              <w:t>TDS</w:t>
            </w:r>
          </w:p>
        </w:tc>
        <w:tc>
          <w:tcPr>
            <w:tcW w:w="528" w:type="pct"/>
            <w:noWrap w:val="0"/>
            <w:vAlign w:val="center"/>
          </w:tcPr>
          <w:p w14:paraId="7F09DAD1">
            <w:pPr>
              <w:widowControl/>
              <w:snapToGrid w:val="0"/>
              <w:jc w:val="center"/>
              <w:rPr>
                <w:sz w:val="21"/>
                <w:szCs w:val="21"/>
                <w:highlight w:val="none"/>
              </w:rPr>
            </w:pPr>
            <w:r>
              <w:rPr>
                <w:sz w:val="21"/>
                <w:szCs w:val="21"/>
                <w:highlight w:val="none"/>
              </w:rPr>
              <w:t>17</w:t>
            </w:r>
          </w:p>
        </w:tc>
        <w:tc>
          <w:tcPr>
            <w:tcW w:w="190" w:type="pct"/>
            <w:noWrap w:val="0"/>
            <w:vAlign w:val="center"/>
          </w:tcPr>
          <w:p w14:paraId="7640EA44">
            <w:pPr>
              <w:widowControl/>
              <w:snapToGrid w:val="0"/>
              <w:jc w:val="center"/>
              <w:rPr>
                <w:sz w:val="21"/>
                <w:szCs w:val="21"/>
                <w:highlight w:val="none"/>
              </w:rPr>
            </w:pPr>
            <w:r>
              <w:rPr>
                <w:sz w:val="21"/>
                <w:szCs w:val="21"/>
                <w:highlight w:val="none"/>
              </w:rPr>
              <w:t>连续</w:t>
            </w:r>
          </w:p>
        </w:tc>
        <w:tc>
          <w:tcPr>
            <w:tcW w:w="1336" w:type="pct"/>
            <w:noWrap w:val="0"/>
            <w:vAlign w:val="center"/>
          </w:tcPr>
          <w:p w14:paraId="69CB8A0D">
            <w:pPr>
              <w:widowControl/>
              <w:snapToGrid w:val="0"/>
              <w:jc w:val="center"/>
              <w:rPr>
                <w:rFonts w:hint="eastAsia" w:eastAsia="宋体"/>
                <w:sz w:val="21"/>
                <w:szCs w:val="21"/>
                <w:highlight w:val="none"/>
                <w:lang w:eastAsia="zh-CN"/>
              </w:rPr>
            </w:pPr>
            <w:r>
              <w:rPr>
                <w:sz w:val="21"/>
                <w:szCs w:val="21"/>
                <w:highlight w:val="none"/>
              </w:rPr>
              <w:t>去第三循环水</w:t>
            </w:r>
            <w:r>
              <w:rPr>
                <w:rFonts w:hint="eastAsia"/>
                <w:sz w:val="21"/>
                <w:szCs w:val="21"/>
                <w:highlight w:val="none"/>
                <w:lang w:eastAsia="zh-CN"/>
              </w:rPr>
              <w:t>厂</w:t>
            </w:r>
          </w:p>
        </w:tc>
      </w:tr>
      <w:tr w14:paraId="0DF05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59FB4AB4">
            <w:pPr>
              <w:widowControl/>
              <w:snapToGrid w:val="0"/>
              <w:jc w:val="center"/>
              <w:rPr>
                <w:sz w:val="21"/>
                <w:szCs w:val="21"/>
                <w:highlight w:val="none"/>
              </w:rPr>
            </w:pPr>
          </w:p>
        </w:tc>
        <w:tc>
          <w:tcPr>
            <w:tcW w:w="712" w:type="pct"/>
            <w:noWrap w:val="0"/>
            <w:vAlign w:val="center"/>
          </w:tcPr>
          <w:p w14:paraId="2430FDAE">
            <w:pPr>
              <w:widowControl/>
              <w:snapToGrid w:val="0"/>
              <w:jc w:val="center"/>
              <w:rPr>
                <w:sz w:val="21"/>
                <w:szCs w:val="21"/>
                <w:highlight w:val="none"/>
              </w:rPr>
            </w:pPr>
            <w:r>
              <w:rPr>
                <w:sz w:val="21"/>
                <w:szCs w:val="21"/>
                <w:highlight w:val="none"/>
              </w:rPr>
              <w:t>水煤浆气化</w:t>
            </w:r>
          </w:p>
        </w:tc>
        <w:tc>
          <w:tcPr>
            <w:tcW w:w="794" w:type="pct"/>
            <w:noWrap w:val="0"/>
            <w:vAlign w:val="center"/>
          </w:tcPr>
          <w:p w14:paraId="2D7FEF1F">
            <w:pPr>
              <w:widowControl/>
              <w:snapToGrid w:val="0"/>
              <w:jc w:val="center"/>
              <w:rPr>
                <w:sz w:val="21"/>
                <w:szCs w:val="21"/>
                <w:highlight w:val="none"/>
              </w:rPr>
            </w:pPr>
            <w:r>
              <w:rPr>
                <w:sz w:val="21"/>
                <w:szCs w:val="21"/>
                <w:highlight w:val="none"/>
              </w:rPr>
              <w:t>水煤浆气化废水</w:t>
            </w:r>
          </w:p>
        </w:tc>
        <w:tc>
          <w:tcPr>
            <w:tcW w:w="628" w:type="pct"/>
            <w:noWrap w:val="0"/>
            <w:vAlign w:val="center"/>
          </w:tcPr>
          <w:p w14:paraId="1090A428">
            <w:pPr>
              <w:widowControl/>
              <w:snapToGrid w:val="0"/>
              <w:jc w:val="center"/>
              <w:rPr>
                <w:sz w:val="21"/>
                <w:szCs w:val="21"/>
                <w:highlight w:val="none"/>
              </w:rPr>
            </w:pPr>
            <w:r>
              <w:rPr>
                <w:sz w:val="21"/>
                <w:szCs w:val="21"/>
                <w:highlight w:val="none"/>
              </w:rPr>
              <w:t>100.14</w:t>
            </w:r>
          </w:p>
        </w:tc>
        <w:tc>
          <w:tcPr>
            <w:tcW w:w="413" w:type="pct"/>
            <w:noWrap w:val="0"/>
            <w:vAlign w:val="center"/>
          </w:tcPr>
          <w:p w14:paraId="6F9545BB">
            <w:pPr>
              <w:widowControl/>
              <w:snapToGrid w:val="0"/>
              <w:jc w:val="center"/>
              <w:rPr>
                <w:sz w:val="21"/>
                <w:szCs w:val="21"/>
                <w:highlight w:val="none"/>
              </w:rPr>
            </w:pPr>
            <w:r>
              <w:rPr>
                <w:sz w:val="21"/>
                <w:szCs w:val="21"/>
                <w:highlight w:val="none"/>
              </w:rPr>
              <w:t>氨氮</w:t>
            </w:r>
          </w:p>
          <w:p w14:paraId="1EC02D07">
            <w:pPr>
              <w:widowControl/>
              <w:snapToGrid w:val="0"/>
              <w:jc w:val="center"/>
              <w:rPr>
                <w:sz w:val="21"/>
                <w:szCs w:val="21"/>
                <w:highlight w:val="none"/>
              </w:rPr>
            </w:pPr>
            <w:r>
              <w:rPr>
                <w:sz w:val="21"/>
                <w:szCs w:val="21"/>
                <w:highlight w:val="none"/>
              </w:rPr>
              <w:t>SS</w:t>
            </w:r>
          </w:p>
          <w:p w14:paraId="55296054">
            <w:pPr>
              <w:widowControl/>
              <w:snapToGrid w:val="0"/>
              <w:jc w:val="center"/>
              <w:rPr>
                <w:sz w:val="21"/>
                <w:szCs w:val="21"/>
                <w:highlight w:val="none"/>
              </w:rPr>
            </w:pPr>
            <w:r>
              <w:rPr>
                <w:sz w:val="21"/>
                <w:szCs w:val="21"/>
                <w:highlight w:val="none"/>
              </w:rPr>
              <w:t>BOD</w:t>
            </w:r>
          </w:p>
          <w:p w14:paraId="60FEDDE2">
            <w:pPr>
              <w:widowControl/>
              <w:snapToGrid w:val="0"/>
              <w:jc w:val="center"/>
              <w:rPr>
                <w:sz w:val="21"/>
                <w:szCs w:val="21"/>
                <w:highlight w:val="none"/>
              </w:rPr>
            </w:pPr>
            <w:r>
              <w:rPr>
                <w:sz w:val="21"/>
                <w:szCs w:val="21"/>
                <w:highlight w:val="none"/>
              </w:rPr>
              <w:t>COD</w:t>
            </w:r>
          </w:p>
          <w:p w14:paraId="5F819CD3">
            <w:pPr>
              <w:widowControl/>
              <w:snapToGrid w:val="0"/>
              <w:jc w:val="center"/>
              <w:rPr>
                <w:sz w:val="21"/>
                <w:szCs w:val="21"/>
                <w:highlight w:val="none"/>
              </w:rPr>
            </w:pPr>
            <w:r>
              <w:rPr>
                <w:sz w:val="21"/>
                <w:szCs w:val="21"/>
                <w:highlight w:val="none"/>
              </w:rPr>
              <w:t>TDS</w:t>
            </w:r>
          </w:p>
          <w:p w14:paraId="3A2AB98C">
            <w:pPr>
              <w:widowControl/>
              <w:snapToGrid w:val="0"/>
              <w:jc w:val="center"/>
              <w:rPr>
                <w:sz w:val="21"/>
                <w:szCs w:val="21"/>
                <w:highlight w:val="none"/>
              </w:rPr>
            </w:pPr>
            <w:r>
              <w:rPr>
                <w:sz w:val="21"/>
                <w:szCs w:val="21"/>
                <w:highlight w:val="none"/>
              </w:rPr>
              <w:t>Cl</w:t>
            </w:r>
            <w:r>
              <w:rPr>
                <w:sz w:val="21"/>
                <w:szCs w:val="21"/>
                <w:highlight w:val="none"/>
                <w:vertAlign w:val="superscript"/>
              </w:rPr>
              <w:t>-</w:t>
            </w:r>
          </w:p>
          <w:p w14:paraId="3640CA4B">
            <w:pPr>
              <w:widowControl/>
              <w:snapToGrid w:val="0"/>
              <w:jc w:val="center"/>
              <w:rPr>
                <w:sz w:val="21"/>
                <w:szCs w:val="21"/>
                <w:highlight w:val="none"/>
              </w:rPr>
            </w:pPr>
            <w:r>
              <w:rPr>
                <w:sz w:val="21"/>
                <w:szCs w:val="21"/>
                <w:highlight w:val="none"/>
              </w:rPr>
              <w:t>PH</w:t>
            </w:r>
          </w:p>
          <w:p w14:paraId="0E849CF6">
            <w:pPr>
              <w:widowControl/>
              <w:snapToGrid w:val="0"/>
              <w:jc w:val="center"/>
              <w:rPr>
                <w:sz w:val="21"/>
                <w:szCs w:val="21"/>
                <w:highlight w:val="none"/>
              </w:rPr>
            </w:pPr>
            <w:r>
              <w:rPr>
                <w:sz w:val="21"/>
                <w:szCs w:val="21"/>
                <w:highlight w:val="none"/>
              </w:rPr>
              <w:t>CN</w:t>
            </w:r>
            <w:r>
              <w:rPr>
                <w:sz w:val="21"/>
                <w:szCs w:val="21"/>
                <w:highlight w:val="none"/>
                <w:vertAlign w:val="superscript"/>
              </w:rPr>
              <w:t>-</w:t>
            </w:r>
          </w:p>
          <w:p w14:paraId="1CF0B579">
            <w:pPr>
              <w:widowControl/>
              <w:snapToGrid w:val="0"/>
              <w:jc w:val="center"/>
              <w:rPr>
                <w:sz w:val="21"/>
                <w:szCs w:val="21"/>
                <w:highlight w:val="none"/>
              </w:rPr>
            </w:pPr>
            <w:r>
              <w:rPr>
                <w:sz w:val="21"/>
                <w:szCs w:val="21"/>
                <w:highlight w:val="none"/>
              </w:rPr>
              <w:t>硬度</w:t>
            </w:r>
          </w:p>
          <w:p w14:paraId="4B4C5128">
            <w:pPr>
              <w:widowControl/>
              <w:snapToGrid w:val="0"/>
              <w:jc w:val="center"/>
              <w:rPr>
                <w:sz w:val="21"/>
                <w:szCs w:val="21"/>
                <w:highlight w:val="none"/>
              </w:rPr>
            </w:pPr>
            <w:r>
              <w:rPr>
                <w:sz w:val="21"/>
                <w:szCs w:val="21"/>
                <w:highlight w:val="none"/>
              </w:rPr>
              <w:t>碱度</w:t>
            </w:r>
          </w:p>
          <w:p w14:paraId="34C4E183">
            <w:pPr>
              <w:widowControl/>
              <w:snapToGrid w:val="0"/>
              <w:jc w:val="center"/>
              <w:rPr>
                <w:sz w:val="21"/>
                <w:szCs w:val="21"/>
                <w:highlight w:val="none"/>
              </w:rPr>
            </w:pPr>
            <w:r>
              <w:rPr>
                <w:sz w:val="21"/>
                <w:szCs w:val="21"/>
                <w:highlight w:val="none"/>
              </w:rPr>
              <w:t>硫化物</w:t>
            </w:r>
          </w:p>
        </w:tc>
        <w:tc>
          <w:tcPr>
            <w:tcW w:w="528" w:type="pct"/>
            <w:noWrap w:val="0"/>
            <w:vAlign w:val="center"/>
          </w:tcPr>
          <w:p w14:paraId="02461707">
            <w:pPr>
              <w:widowControl/>
              <w:snapToGrid w:val="0"/>
              <w:jc w:val="center"/>
              <w:rPr>
                <w:sz w:val="21"/>
                <w:szCs w:val="21"/>
                <w:highlight w:val="none"/>
              </w:rPr>
            </w:pPr>
            <w:r>
              <w:rPr>
                <w:sz w:val="21"/>
                <w:szCs w:val="21"/>
                <w:highlight w:val="none"/>
              </w:rPr>
              <w:t>200~300</w:t>
            </w:r>
          </w:p>
          <w:p w14:paraId="778F6808">
            <w:pPr>
              <w:widowControl/>
              <w:snapToGrid w:val="0"/>
              <w:jc w:val="center"/>
              <w:rPr>
                <w:sz w:val="21"/>
                <w:szCs w:val="21"/>
                <w:highlight w:val="none"/>
              </w:rPr>
            </w:pPr>
            <w:r>
              <w:rPr>
                <w:sz w:val="21"/>
                <w:szCs w:val="21"/>
                <w:highlight w:val="none"/>
              </w:rPr>
              <w:t>&lt;100</w:t>
            </w:r>
          </w:p>
          <w:p w14:paraId="721F9AD0">
            <w:pPr>
              <w:widowControl/>
              <w:snapToGrid w:val="0"/>
              <w:jc w:val="center"/>
              <w:rPr>
                <w:sz w:val="21"/>
                <w:szCs w:val="21"/>
                <w:highlight w:val="none"/>
              </w:rPr>
            </w:pPr>
            <w:r>
              <w:rPr>
                <w:sz w:val="21"/>
                <w:szCs w:val="21"/>
                <w:highlight w:val="none"/>
              </w:rPr>
              <w:t>250~600</w:t>
            </w:r>
          </w:p>
          <w:p w14:paraId="0EF33F7E">
            <w:pPr>
              <w:widowControl/>
              <w:snapToGrid w:val="0"/>
              <w:jc w:val="center"/>
              <w:rPr>
                <w:sz w:val="21"/>
                <w:szCs w:val="21"/>
                <w:highlight w:val="none"/>
              </w:rPr>
            </w:pPr>
            <w:r>
              <w:rPr>
                <w:sz w:val="21"/>
                <w:szCs w:val="21"/>
                <w:highlight w:val="none"/>
              </w:rPr>
              <w:t>500~1000</w:t>
            </w:r>
          </w:p>
          <w:p w14:paraId="025C3EE1">
            <w:pPr>
              <w:widowControl/>
              <w:snapToGrid w:val="0"/>
              <w:jc w:val="center"/>
              <w:rPr>
                <w:sz w:val="21"/>
                <w:szCs w:val="21"/>
                <w:highlight w:val="none"/>
              </w:rPr>
            </w:pPr>
            <w:r>
              <w:rPr>
                <w:sz w:val="21"/>
                <w:szCs w:val="21"/>
                <w:highlight w:val="none"/>
              </w:rPr>
              <w:t>&lt;3200</w:t>
            </w:r>
          </w:p>
          <w:p w14:paraId="387261A0">
            <w:pPr>
              <w:widowControl/>
              <w:snapToGrid w:val="0"/>
              <w:jc w:val="center"/>
              <w:rPr>
                <w:sz w:val="21"/>
                <w:szCs w:val="21"/>
                <w:highlight w:val="none"/>
              </w:rPr>
            </w:pPr>
            <w:r>
              <w:rPr>
                <w:sz w:val="21"/>
                <w:szCs w:val="21"/>
                <w:highlight w:val="none"/>
              </w:rPr>
              <w:t>&lt;300</w:t>
            </w:r>
          </w:p>
          <w:p w14:paraId="5961501D">
            <w:pPr>
              <w:widowControl/>
              <w:snapToGrid w:val="0"/>
              <w:jc w:val="center"/>
              <w:rPr>
                <w:sz w:val="21"/>
                <w:szCs w:val="21"/>
                <w:highlight w:val="none"/>
              </w:rPr>
            </w:pPr>
            <w:r>
              <w:rPr>
                <w:sz w:val="21"/>
                <w:szCs w:val="21"/>
                <w:highlight w:val="none"/>
              </w:rPr>
              <w:t>7~8</w:t>
            </w:r>
          </w:p>
          <w:p w14:paraId="1EA8A663">
            <w:pPr>
              <w:widowControl/>
              <w:snapToGrid w:val="0"/>
              <w:jc w:val="center"/>
              <w:rPr>
                <w:sz w:val="21"/>
                <w:szCs w:val="21"/>
                <w:highlight w:val="none"/>
              </w:rPr>
            </w:pPr>
            <w:r>
              <w:rPr>
                <w:sz w:val="21"/>
                <w:szCs w:val="21"/>
                <w:highlight w:val="none"/>
              </w:rPr>
              <w:t>&lt;0.5</w:t>
            </w:r>
          </w:p>
          <w:p w14:paraId="3EDB0204">
            <w:pPr>
              <w:widowControl/>
              <w:snapToGrid w:val="0"/>
              <w:jc w:val="center"/>
              <w:rPr>
                <w:sz w:val="21"/>
                <w:szCs w:val="21"/>
                <w:highlight w:val="none"/>
              </w:rPr>
            </w:pPr>
            <w:r>
              <w:rPr>
                <w:sz w:val="21"/>
                <w:szCs w:val="21"/>
                <w:highlight w:val="none"/>
              </w:rPr>
              <w:t>&lt;450</w:t>
            </w:r>
          </w:p>
          <w:p w14:paraId="7FDDDE34">
            <w:pPr>
              <w:widowControl/>
              <w:snapToGrid w:val="0"/>
              <w:jc w:val="center"/>
              <w:rPr>
                <w:sz w:val="21"/>
                <w:szCs w:val="21"/>
                <w:highlight w:val="none"/>
              </w:rPr>
            </w:pPr>
            <w:r>
              <w:rPr>
                <w:sz w:val="21"/>
                <w:szCs w:val="21"/>
                <w:highlight w:val="none"/>
              </w:rPr>
              <w:t>&lt;700</w:t>
            </w:r>
          </w:p>
          <w:p w14:paraId="0D7681A1">
            <w:pPr>
              <w:widowControl/>
              <w:snapToGrid w:val="0"/>
              <w:jc w:val="center"/>
              <w:rPr>
                <w:sz w:val="21"/>
                <w:szCs w:val="21"/>
                <w:highlight w:val="none"/>
              </w:rPr>
            </w:pPr>
            <w:r>
              <w:rPr>
                <w:sz w:val="21"/>
                <w:szCs w:val="21"/>
                <w:highlight w:val="none"/>
              </w:rPr>
              <w:t>9</w:t>
            </w:r>
          </w:p>
        </w:tc>
        <w:tc>
          <w:tcPr>
            <w:tcW w:w="190" w:type="pct"/>
            <w:noWrap w:val="0"/>
            <w:vAlign w:val="center"/>
          </w:tcPr>
          <w:p w14:paraId="24DB1D3A">
            <w:pPr>
              <w:widowControl/>
              <w:snapToGrid w:val="0"/>
              <w:jc w:val="center"/>
              <w:rPr>
                <w:sz w:val="21"/>
                <w:szCs w:val="21"/>
                <w:highlight w:val="none"/>
              </w:rPr>
            </w:pPr>
            <w:r>
              <w:rPr>
                <w:sz w:val="21"/>
                <w:szCs w:val="21"/>
                <w:highlight w:val="none"/>
              </w:rPr>
              <w:t>连续</w:t>
            </w:r>
          </w:p>
        </w:tc>
        <w:tc>
          <w:tcPr>
            <w:tcW w:w="1336" w:type="pct"/>
            <w:noWrap w:val="0"/>
            <w:vAlign w:val="center"/>
          </w:tcPr>
          <w:p w14:paraId="5CB05FE6">
            <w:pPr>
              <w:widowControl/>
              <w:snapToGrid w:val="0"/>
              <w:jc w:val="center"/>
              <w:rPr>
                <w:rFonts w:hint="eastAsia" w:eastAsia="宋体"/>
                <w:sz w:val="21"/>
                <w:szCs w:val="21"/>
                <w:highlight w:val="none"/>
                <w:lang w:eastAsia="zh-CN"/>
              </w:rPr>
            </w:pPr>
            <w:r>
              <w:rPr>
                <w:sz w:val="21"/>
                <w:szCs w:val="21"/>
                <w:highlight w:val="none"/>
              </w:rPr>
              <w:t>去厂内</w:t>
            </w:r>
            <w:r>
              <w:rPr>
                <w:rFonts w:hint="eastAsia"/>
                <w:sz w:val="21"/>
                <w:szCs w:val="21"/>
                <w:highlight w:val="none"/>
                <w:lang w:eastAsia="zh-CN"/>
              </w:rPr>
              <w:t>污水处理厂</w:t>
            </w:r>
          </w:p>
        </w:tc>
      </w:tr>
      <w:tr w14:paraId="7A743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restart"/>
            <w:noWrap w:val="0"/>
            <w:vAlign w:val="center"/>
          </w:tcPr>
          <w:p w14:paraId="409AD4FC">
            <w:pPr>
              <w:widowControl/>
              <w:snapToGrid w:val="0"/>
              <w:jc w:val="center"/>
              <w:rPr>
                <w:sz w:val="21"/>
                <w:szCs w:val="21"/>
                <w:highlight w:val="none"/>
              </w:rPr>
            </w:pPr>
            <w:r>
              <w:rPr>
                <w:sz w:val="21"/>
                <w:szCs w:val="21"/>
                <w:highlight w:val="none"/>
              </w:rPr>
              <w:t>净化</w:t>
            </w:r>
          </w:p>
          <w:p w14:paraId="6A188015">
            <w:pPr>
              <w:widowControl/>
              <w:snapToGrid w:val="0"/>
              <w:jc w:val="center"/>
              <w:rPr>
                <w:sz w:val="21"/>
                <w:szCs w:val="21"/>
                <w:highlight w:val="none"/>
              </w:rPr>
            </w:pPr>
            <w:r>
              <w:rPr>
                <w:sz w:val="21"/>
                <w:szCs w:val="21"/>
                <w:highlight w:val="none"/>
              </w:rPr>
              <w:t>装置</w:t>
            </w:r>
          </w:p>
        </w:tc>
        <w:tc>
          <w:tcPr>
            <w:tcW w:w="712" w:type="pct"/>
            <w:vMerge w:val="restart"/>
            <w:noWrap w:val="0"/>
            <w:vAlign w:val="center"/>
          </w:tcPr>
          <w:p w14:paraId="2770C7DC">
            <w:pPr>
              <w:widowControl/>
              <w:snapToGrid w:val="0"/>
              <w:jc w:val="center"/>
              <w:rPr>
                <w:sz w:val="21"/>
                <w:szCs w:val="21"/>
                <w:highlight w:val="none"/>
              </w:rPr>
            </w:pPr>
            <w:r>
              <w:rPr>
                <w:sz w:val="21"/>
                <w:szCs w:val="21"/>
                <w:highlight w:val="none"/>
              </w:rPr>
              <w:t>CO变换单元</w:t>
            </w:r>
          </w:p>
        </w:tc>
        <w:tc>
          <w:tcPr>
            <w:tcW w:w="794" w:type="pct"/>
            <w:noWrap w:val="0"/>
            <w:vAlign w:val="center"/>
          </w:tcPr>
          <w:p w14:paraId="5D673553">
            <w:pPr>
              <w:widowControl/>
              <w:snapToGrid w:val="0"/>
              <w:jc w:val="center"/>
              <w:rPr>
                <w:sz w:val="21"/>
                <w:szCs w:val="21"/>
                <w:highlight w:val="none"/>
              </w:rPr>
            </w:pPr>
            <w:r>
              <w:rPr>
                <w:sz w:val="21"/>
                <w:szCs w:val="21"/>
                <w:highlight w:val="none"/>
              </w:rPr>
              <w:t>高温</w:t>
            </w:r>
          </w:p>
          <w:p w14:paraId="6A6881D1">
            <w:pPr>
              <w:widowControl/>
              <w:snapToGrid w:val="0"/>
              <w:jc w:val="center"/>
              <w:rPr>
                <w:sz w:val="21"/>
                <w:szCs w:val="21"/>
                <w:highlight w:val="none"/>
              </w:rPr>
            </w:pPr>
            <w:r>
              <w:rPr>
                <w:sz w:val="21"/>
                <w:szCs w:val="21"/>
                <w:highlight w:val="none"/>
              </w:rPr>
              <w:t>冷凝液</w:t>
            </w:r>
          </w:p>
        </w:tc>
        <w:tc>
          <w:tcPr>
            <w:tcW w:w="628" w:type="pct"/>
            <w:noWrap w:val="0"/>
            <w:vAlign w:val="center"/>
          </w:tcPr>
          <w:p w14:paraId="372AAEE0">
            <w:pPr>
              <w:widowControl/>
              <w:snapToGrid w:val="0"/>
              <w:jc w:val="center"/>
              <w:rPr>
                <w:sz w:val="21"/>
                <w:szCs w:val="21"/>
                <w:highlight w:val="none"/>
              </w:rPr>
            </w:pPr>
            <w:r>
              <w:rPr>
                <w:sz w:val="21"/>
                <w:szCs w:val="21"/>
                <w:highlight w:val="none"/>
              </w:rPr>
              <w:t>正常</w:t>
            </w:r>
            <w:r>
              <w:rPr>
                <w:rFonts w:hint="eastAsia"/>
                <w:sz w:val="21"/>
                <w:szCs w:val="21"/>
                <w:highlight w:val="none"/>
                <w:lang w:eastAsia="zh-CN"/>
              </w:rPr>
              <w:t>值</w:t>
            </w:r>
            <w:r>
              <w:rPr>
                <w:sz w:val="21"/>
                <w:szCs w:val="21"/>
                <w:highlight w:val="none"/>
              </w:rPr>
              <w:t>：240.4</w:t>
            </w:r>
          </w:p>
          <w:p w14:paraId="2AFBF531">
            <w:pPr>
              <w:widowControl/>
              <w:snapToGrid w:val="0"/>
              <w:jc w:val="center"/>
              <w:rPr>
                <w:sz w:val="21"/>
                <w:szCs w:val="21"/>
                <w:highlight w:val="none"/>
              </w:rPr>
            </w:pPr>
            <w:r>
              <w:rPr>
                <w:rFonts w:hint="eastAsia"/>
                <w:sz w:val="21"/>
                <w:szCs w:val="21"/>
                <w:highlight w:val="none"/>
                <w:lang w:eastAsia="zh-CN"/>
              </w:rPr>
              <w:t>最大值</w:t>
            </w:r>
            <w:r>
              <w:rPr>
                <w:sz w:val="21"/>
                <w:szCs w:val="21"/>
                <w:highlight w:val="none"/>
              </w:rPr>
              <w:t>：260</w:t>
            </w:r>
          </w:p>
        </w:tc>
        <w:tc>
          <w:tcPr>
            <w:tcW w:w="413" w:type="pct"/>
            <w:noWrap w:val="0"/>
            <w:vAlign w:val="center"/>
          </w:tcPr>
          <w:p w14:paraId="64B581B1">
            <w:pPr>
              <w:widowControl/>
              <w:snapToGrid w:val="0"/>
              <w:jc w:val="center"/>
              <w:rPr>
                <w:sz w:val="21"/>
                <w:szCs w:val="21"/>
                <w:highlight w:val="none"/>
              </w:rPr>
            </w:pPr>
            <w:r>
              <w:rPr>
                <w:sz w:val="21"/>
                <w:szCs w:val="21"/>
                <w:highlight w:val="none"/>
              </w:rPr>
              <w:t>H</w:t>
            </w:r>
            <w:r>
              <w:rPr>
                <w:sz w:val="21"/>
                <w:szCs w:val="21"/>
                <w:highlight w:val="none"/>
                <w:vertAlign w:val="subscript"/>
              </w:rPr>
              <w:t>2</w:t>
            </w:r>
          </w:p>
          <w:p w14:paraId="4D5A201E">
            <w:pPr>
              <w:widowControl/>
              <w:snapToGrid w:val="0"/>
              <w:jc w:val="center"/>
              <w:rPr>
                <w:sz w:val="21"/>
                <w:szCs w:val="21"/>
                <w:highlight w:val="none"/>
              </w:rPr>
            </w:pPr>
            <w:r>
              <w:rPr>
                <w:sz w:val="21"/>
                <w:szCs w:val="21"/>
                <w:highlight w:val="none"/>
              </w:rPr>
              <w:t>CO</w:t>
            </w:r>
          </w:p>
          <w:p w14:paraId="4D0DCB63">
            <w:pPr>
              <w:widowControl/>
              <w:snapToGrid w:val="0"/>
              <w:jc w:val="center"/>
              <w:rPr>
                <w:sz w:val="21"/>
                <w:szCs w:val="21"/>
                <w:highlight w:val="none"/>
              </w:rPr>
            </w:pPr>
            <w:r>
              <w:rPr>
                <w:sz w:val="21"/>
                <w:szCs w:val="21"/>
                <w:highlight w:val="none"/>
              </w:rPr>
              <w:t>CO</w:t>
            </w:r>
            <w:r>
              <w:rPr>
                <w:sz w:val="21"/>
                <w:szCs w:val="21"/>
                <w:highlight w:val="none"/>
                <w:vertAlign w:val="subscript"/>
              </w:rPr>
              <w:t>2</w:t>
            </w:r>
          </w:p>
          <w:p w14:paraId="1A74387A">
            <w:pPr>
              <w:widowControl/>
              <w:snapToGrid w:val="0"/>
              <w:jc w:val="center"/>
              <w:rPr>
                <w:sz w:val="21"/>
                <w:szCs w:val="21"/>
                <w:highlight w:val="none"/>
              </w:rPr>
            </w:pPr>
            <w:r>
              <w:rPr>
                <w:sz w:val="21"/>
                <w:szCs w:val="21"/>
                <w:highlight w:val="none"/>
              </w:rPr>
              <w:t>硫化物</w:t>
            </w:r>
          </w:p>
          <w:p w14:paraId="7EF6978D">
            <w:pPr>
              <w:widowControl/>
              <w:snapToGrid w:val="0"/>
              <w:jc w:val="center"/>
              <w:rPr>
                <w:sz w:val="21"/>
                <w:szCs w:val="21"/>
                <w:highlight w:val="none"/>
              </w:rPr>
            </w:pPr>
            <w:r>
              <w:rPr>
                <w:sz w:val="21"/>
                <w:szCs w:val="21"/>
                <w:highlight w:val="none"/>
              </w:rPr>
              <w:t>NH</w:t>
            </w:r>
            <w:r>
              <w:rPr>
                <w:sz w:val="21"/>
                <w:szCs w:val="21"/>
                <w:highlight w:val="none"/>
                <w:vertAlign w:val="subscript"/>
              </w:rPr>
              <w:t>3</w:t>
            </w:r>
          </w:p>
        </w:tc>
        <w:tc>
          <w:tcPr>
            <w:tcW w:w="528" w:type="pct"/>
            <w:noWrap w:val="0"/>
            <w:vAlign w:val="center"/>
          </w:tcPr>
          <w:p w14:paraId="4A711506">
            <w:pPr>
              <w:widowControl/>
              <w:snapToGrid w:val="0"/>
              <w:jc w:val="center"/>
              <w:rPr>
                <w:sz w:val="21"/>
                <w:szCs w:val="21"/>
                <w:highlight w:val="none"/>
                <w:lang w:val="es-ES"/>
              </w:rPr>
            </w:pPr>
            <w:r>
              <w:rPr>
                <w:sz w:val="21"/>
                <w:szCs w:val="21"/>
                <w:highlight w:val="none"/>
                <w:lang w:val="es-ES"/>
              </w:rPr>
              <w:t>0.000145mol%</w:t>
            </w:r>
          </w:p>
          <w:p w14:paraId="79EA9580">
            <w:pPr>
              <w:widowControl/>
              <w:snapToGrid w:val="0"/>
              <w:jc w:val="center"/>
              <w:rPr>
                <w:sz w:val="21"/>
                <w:szCs w:val="21"/>
                <w:highlight w:val="none"/>
                <w:lang w:val="es-ES"/>
              </w:rPr>
            </w:pPr>
            <w:r>
              <w:rPr>
                <w:sz w:val="21"/>
                <w:szCs w:val="21"/>
                <w:highlight w:val="none"/>
                <w:lang w:val="es-ES"/>
              </w:rPr>
              <w:t>0.000212mol%</w:t>
            </w:r>
          </w:p>
          <w:p w14:paraId="7565E096">
            <w:pPr>
              <w:widowControl/>
              <w:snapToGrid w:val="0"/>
              <w:jc w:val="center"/>
              <w:rPr>
                <w:sz w:val="21"/>
                <w:szCs w:val="21"/>
                <w:highlight w:val="none"/>
                <w:lang w:val="es-ES"/>
              </w:rPr>
            </w:pPr>
            <w:r>
              <w:rPr>
                <w:sz w:val="21"/>
                <w:szCs w:val="21"/>
                <w:highlight w:val="none"/>
                <w:lang w:val="es-ES"/>
              </w:rPr>
              <w:t>0.000767mol%</w:t>
            </w:r>
          </w:p>
          <w:p w14:paraId="456FE763">
            <w:pPr>
              <w:widowControl/>
              <w:snapToGrid w:val="0"/>
              <w:jc w:val="center"/>
              <w:rPr>
                <w:sz w:val="21"/>
                <w:szCs w:val="21"/>
                <w:highlight w:val="none"/>
                <w:lang w:val="es-ES"/>
              </w:rPr>
            </w:pPr>
            <w:r>
              <w:rPr>
                <w:sz w:val="21"/>
                <w:szCs w:val="21"/>
                <w:highlight w:val="none"/>
                <w:lang w:val="es-ES"/>
              </w:rPr>
              <w:t>0.00005mol%</w:t>
            </w:r>
          </w:p>
          <w:p w14:paraId="1C6D1061">
            <w:pPr>
              <w:widowControl/>
              <w:snapToGrid w:val="0"/>
              <w:jc w:val="center"/>
              <w:rPr>
                <w:sz w:val="21"/>
                <w:szCs w:val="21"/>
                <w:highlight w:val="none"/>
                <w:lang w:val="es-ES"/>
              </w:rPr>
            </w:pPr>
            <w:r>
              <w:rPr>
                <w:sz w:val="21"/>
                <w:szCs w:val="21"/>
                <w:highlight w:val="none"/>
                <w:lang w:val="es-ES"/>
              </w:rPr>
              <w:t>0.00003mol%</w:t>
            </w:r>
          </w:p>
        </w:tc>
        <w:tc>
          <w:tcPr>
            <w:tcW w:w="190" w:type="pct"/>
            <w:noWrap w:val="0"/>
            <w:vAlign w:val="center"/>
          </w:tcPr>
          <w:p w14:paraId="5750E091">
            <w:pPr>
              <w:widowControl/>
              <w:snapToGrid w:val="0"/>
              <w:jc w:val="center"/>
              <w:rPr>
                <w:sz w:val="21"/>
                <w:szCs w:val="21"/>
                <w:highlight w:val="none"/>
              </w:rPr>
            </w:pPr>
            <w:r>
              <w:rPr>
                <w:sz w:val="21"/>
                <w:szCs w:val="21"/>
                <w:highlight w:val="none"/>
              </w:rPr>
              <w:t>连续</w:t>
            </w:r>
          </w:p>
        </w:tc>
        <w:tc>
          <w:tcPr>
            <w:tcW w:w="1336" w:type="pct"/>
            <w:noWrap w:val="0"/>
            <w:vAlign w:val="center"/>
          </w:tcPr>
          <w:p w14:paraId="316EAC30">
            <w:pPr>
              <w:widowControl/>
              <w:snapToGrid w:val="0"/>
              <w:jc w:val="center"/>
              <w:rPr>
                <w:sz w:val="21"/>
                <w:szCs w:val="21"/>
                <w:highlight w:val="none"/>
              </w:rPr>
            </w:pPr>
            <w:r>
              <w:rPr>
                <w:sz w:val="21"/>
                <w:szCs w:val="21"/>
                <w:highlight w:val="none"/>
              </w:rPr>
              <w:t>去粉煤气化装置</w:t>
            </w:r>
          </w:p>
        </w:tc>
      </w:tr>
      <w:tr w14:paraId="26F23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3F05714D">
            <w:pPr>
              <w:widowControl/>
              <w:snapToGrid w:val="0"/>
              <w:jc w:val="center"/>
              <w:rPr>
                <w:sz w:val="21"/>
                <w:szCs w:val="21"/>
                <w:highlight w:val="none"/>
              </w:rPr>
            </w:pPr>
          </w:p>
        </w:tc>
        <w:tc>
          <w:tcPr>
            <w:tcW w:w="712" w:type="pct"/>
            <w:vMerge w:val="continue"/>
            <w:noWrap w:val="0"/>
            <w:vAlign w:val="center"/>
          </w:tcPr>
          <w:p w14:paraId="1CBCE243">
            <w:pPr>
              <w:widowControl/>
              <w:snapToGrid w:val="0"/>
              <w:jc w:val="center"/>
              <w:rPr>
                <w:sz w:val="21"/>
                <w:szCs w:val="21"/>
                <w:highlight w:val="none"/>
              </w:rPr>
            </w:pPr>
          </w:p>
        </w:tc>
        <w:tc>
          <w:tcPr>
            <w:tcW w:w="794" w:type="pct"/>
            <w:noWrap w:val="0"/>
            <w:vAlign w:val="center"/>
          </w:tcPr>
          <w:p w14:paraId="344C9346">
            <w:pPr>
              <w:widowControl/>
              <w:snapToGrid w:val="0"/>
              <w:jc w:val="center"/>
              <w:rPr>
                <w:sz w:val="21"/>
                <w:szCs w:val="21"/>
                <w:highlight w:val="none"/>
              </w:rPr>
            </w:pPr>
            <w:r>
              <w:rPr>
                <w:sz w:val="21"/>
                <w:szCs w:val="21"/>
                <w:highlight w:val="none"/>
              </w:rPr>
              <w:t>低温</w:t>
            </w:r>
          </w:p>
          <w:p w14:paraId="2B75A6E6">
            <w:pPr>
              <w:widowControl/>
              <w:snapToGrid w:val="0"/>
              <w:jc w:val="center"/>
              <w:rPr>
                <w:sz w:val="21"/>
                <w:szCs w:val="21"/>
                <w:highlight w:val="none"/>
              </w:rPr>
            </w:pPr>
            <w:r>
              <w:rPr>
                <w:sz w:val="21"/>
                <w:szCs w:val="21"/>
                <w:highlight w:val="none"/>
              </w:rPr>
              <w:t>冷凝液</w:t>
            </w:r>
          </w:p>
        </w:tc>
        <w:tc>
          <w:tcPr>
            <w:tcW w:w="628" w:type="pct"/>
            <w:noWrap w:val="0"/>
            <w:vAlign w:val="center"/>
          </w:tcPr>
          <w:p w14:paraId="042FA18E">
            <w:pPr>
              <w:widowControl/>
              <w:snapToGrid w:val="0"/>
              <w:jc w:val="center"/>
              <w:rPr>
                <w:sz w:val="21"/>
                <w:szCs w:val="21"/>
                <w:highlight w:val="none"/>
              </w:rPr>
            </w:pPr>
            <w:r>
              <w:rPr>
                <w:sz w:val="21"/>
                <w:szCs w:val="21"/>
                <w:highlight w:val="none"/>
              </w:rPr>
              <w:t>正常</w:t>
            </w:r>
            <w:r>
              <w:rPr>
                <w:rFonts w:hint="eastAsia"/>
                <w:sz w:val="21"/>
                <w:szCs w:val="21"/>
                <w:highlight w:val="none"/>
                <w:lang w:eastAsia="zh-CN"/>
              </w:rPr>
              <w:t>值</w:t>
            </w:r>
            <w:r>
              <w:rPr>
                <w:sz w:val="21"/>
                <w:szCs w:val="21"/>
                <w:highlight w:val="none"/>
              </w:rPr>
              <w:t>：193</w:t>
            </w:r>
          </w:p>
          <w:p w14:paraId="7D6ADEAA">
            <w:pPr>
              <w:widowControl/>
              <w:snapToGrid w:val="0"/>
              <w:jc w:val="center"/>
              <w:rPr>
                <w:sz w:val="21"/>
                <w:szCs w:val="21"/>
                <w:highlight w:val="none"/>
              </w:rPr>
            </w:pPr>
            <w:r>
              <w:rPr>
                <w:rFonts w:hint="eastAsia"/>
                <w:sz w:val="21"/>
                <w:szCs w:val="21"/>
                <w:highlight w:val="none"/>
                <w:lang w:eastAsia="zh-CN"/>
              </w:rPr>
              <w:t>最大值</w:t>
            </w:r>
            <w:r>
              <w:rPr>
                <w:sz w:val="21"/>
                <w:szCs w:val="21"/>
                <w:highlight w:val="none"/>
              </w:rPr>
              <w:t>：234</w:t>
            </w:r>
          </w:p>
        </w:tc>
        <w:tc>
          <w:tcPr>
            <w:tcW w:w="413" w:type="pct"/>
            <w:noWrap w:val="0"/>
            <w:vAlign w:val="center"/>
          </w:tcPr>
          <w:p w14:paraId="1DC0E9CE">
            <w:pPr>
              <w:widowControl/>
              <w:snapToGrid w:val="0"/>
              <w:jc w:val="center"/>
              <w:rPr>
                <w:sz w:val="21"/>
                <w:szCs w:val="21"/>
                <w:highlight w:val="none"/>
                <w:vertAlign w:val="subscript"/>
              </w:rPr>
            </w:pPr>
            <w:r>
              <w:rPr>
                <w:sz w:val="21"/>
                <w:szCs w:val="21"/>
                <w:highlight w:val="none"/>
              </w:rPr>
              <w:t>NH</w:t>
            </w:r>
            <w:r>
              <w:rPr>
                <w:sz w:val="21"/>
                <w:szCs w:val="21"/>
                <w:highlight w:val="none"/>
                <w:vertAlign w:val="subscript"/>
              </w:rPr>
              <w:t>3</w:t>
            </w:r>
          </w:p>
          <w:p w14:paraId="6F6B1EE7">
            <w:pPr>
              <w:widowControl/>
              <w:snapToGrid w:val="0"/>
              <w:jc w:val="center"/>
              <w:rPr>
                <w:sz w:val="21"/>
                <w:szCs w:val="21"/>
                <w:highlight w:val="none"/>
              </w:rPr>
            </w:pPr>
            <w:r>
              <w:rPr>
                <w:sz w:val="21"/>
                <w:szCs w:val="21"/>
                <w:highlight w:val="none"/>
              </w:rPr>
              <w:t>HCN</w:t>
            </w:r>
          </w:p>
        </w:tc>
        <w:tc>
          <w:tcPr>
            <w:tcW w:w="528" w:type="pct"/>
            <w:noWrap w:val="0"/>
            <w:vAlign w:val="center"/>
          </w:tcPr>
          <w:p w14:paraId="39510108">
            <w:pPr>
              <w:widowControl/>
              <w:snapToGrid w:val="0"/>
              <w:jc w:val="center"/>
              <w:rPr>
                <w:sz w:val="21"/>
                <w:szCs w:val="21"/>
                <w:highlight w:val="none"/>
              </w:rPr>
            </w:pPr>
            <w:r>
              <w:rPr>
                <w:sz w:val="21"/>
                <w:szCs w:val="21"/>
                <w:highlight w:val="none"/>
              </w:rPr>
              <w:t>50ppm</w:t>
            </w:r>
          </w:p>
          <w:p w14:paraId="323DBFE1">
            <w:pPr>
              <w:widowControl/>
              <w:snapToGrid w:val="0"/>
              <w:jc w:val="center"/>
              <w:rPr>
                <w:sz w:val="21"/>
                <w:szCs w:val="21"/>
                <w:highlight w:val="none"/>
              </w:rPr>
            </w:pPr>
            <w:r>
              <w:rPr>
                <w:sz w:val="21"/>
                <w:szCs w:val="21"/>
                <w:highlight w:val="none"/>
              </w:rPr>
              <w:t>1ppm</w:t>
            </w:r>
          </w:p>
        </w:tc>
        <w:tc>
          <w:tcPr>
            <w:tcW w:w="190" w:type="pct"/>
            <w:noWrap w:val="0"/>
            <w:vAlign w:val="center"/>
          </w:tcPr>
          <w:p w14:paraId="5361968A">
            <w:pPr>
              <w:widowControl/>
              <w:snapToGrid w:val="0"/>
              <w:jc w:val="center"/>
              <w:rPr>
                <w:sz w:val="21"/>
                <w:szCs w:val="21"/>
                <w:highlight w:val="none"/>
              </w:rPr>
            </w:pPr>
            <w:r>
              <w:rPr>
                <w:sz w:val="21"/>
                <w:szCs w:val="21"/>
                <w:highlight w:val="none"/>
              </w:rPr>
              <w:t>连续</w:t>
            </w:r>
          </w:p>
        </w:tc>
        <w:tc>
          <w:tcPr>
            <w:tcW w:w="1336" w:type="pct"/>
            <w:noWrap w:val="0"/>
            <w:vAlign w:val="center"/>
          </w:tcPr>
          <w:p w14:paraId="742A689A">
            <w:pPr>
              <w:widowControl/>
              <w:snapToGrid w:val="0"/>
              <w:jc w:val="center"/>
              <w:rPr>
                <w:sz w:val="21"/>
                <w:szCs w:val="21"/>
                <w:highlight w:val="none"/>
              </w:rPr>
            </w:pPr>
            <w:r>
              <w:rPr>
                <w:sz w:val="21"/>
                <w:szCs w:val="21"/>
                <w:highlight w:val="none"/>
              </w:rPr>
              <w:t>去酸水汽提单元</w:t>
            </w:r>
          </w:p>
        </w:tc>
      </w:tr>
      <w:tr w14:paraId="704B1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4355265E">
            <w:pPr>
              <w:widowControl/>
              <w:snapToGrid w:val="0"/>
              <w:jc w:val="center"/>
              <w:rPr>
                <w:sz w:val="21"/>
                <w:szCs w:val="21"/>
                <w:highlight w:val="none"/>
              </w:rPr>
            </w:pPr>
          </w:p>
        </w:tc>
        <w:tc>
          <w:tcPr>
            <w:tcW w:w="712" w:type="pct"/>
            <w:vMerge w:val="restart"/>
            <w:noWrap w:val="0"/>
            <w:vAlign w:val="center"/>
          </w:tcPr>
          <w:p w14:paraId="7475B5FB">
            <w:pPr>
              <w:widowControl/>
              <w:snapToGrid w:val="0"/>
              <w:jc w:val="center"/>
              <w:rPr>
                <w:sz w:val="21"/>
                <w:szCs w:val="21"/>
                <w:highlight w:val="none"/>
              </w:rPr>
            </w:pPr>
            <w:r>
              <w:rPr>
                <w:sz w:val="21"/>
                <w:szCs w:val="21"/>
                <w:highlight w:val="none"/>
              </w:rPr>
              <w:t>低温甲醇洗单元</w:t>
            </w:r>
          </w:p>
        </w:tc>
        <w:tc>
          <w:tcPr>
            <w:tcW w:w="794" w:type="pct"/>
            <w:noWrap w:val="0"/>
            <w:vAlign w:val="center"/>
          </w:tcPr>
          <w:p w14:paraId="4069D6C9">
            <w:pPr>
              <w:widowControl/>
              <w:snapToGrid w:val="0"/>
              <w:jc w:val="center"/>
              <w:rPr>
                <w:sz w:val="21"/>
                <w:szCs w:val="21"/>
                <w:highlight w:val="none"/>
              </w:rPr>
            </w:pPr>
            <w:r>
              <w:rPr>
                <w:sz w:val="21"/>
                <w:szCs w:val="21"/>
                <w:highlight w:val="none"/>
              </w:rPr>
              <w:t>洗氨废水</w:t>
            </w:r>
          </w:p>
        </w:tc>
        <w:tc>
          <w:tcPr>
            <w:tcW w:w="628" w:type="pct"/>
            <w:noWrap w:val="0"/>
            <w:vAlign w:val="center"/>
          </w:tcPr>
          <w:p w14:paraId="72827906">
            <w:pPr>
              <w:widowControl/>
              <w:snapToGrid w:val="0"/>
              <w:jc w:val="center"/>
              <w:rPr>
                <w:sz w:val="21"/>
                <w:szCs w:val="21"/>
                <w:highlight w:val="none"/>
              </w:rPr>
            </w:pPr>
            <w:r>
              <w:rPr>
                <w:sz w:val="21"/>
                <w:szCs w:val="21"/>
                <w:highlight w:val="none"/>
              </w:rPr>
              <w:t>16.12</w:t>
            </w:r>
          </w:p>
        </w:tc>
        <w:tc>
          <w:tcPr>
            <w:tcW w:w="413" w:type="pct"/>
            <w:noWrap w:val="0"/>
            <w:vAlign w:val="center"/>
          </w:tcPr>
          <w:p w14:paraId="46B58866">
            <w:pPr>
              <w:widowControl/>
              <w:snapToGrid w:val="0"/>
              <w:jc w:val="center"/>
              <w:rPr>
                <w:sz w:val="21"/>
                <w:szCs w:val="21"/>
                <w:highlight w:val="none"/>
              </w:rPr>
            </w:pPr>
            <w:r>
              <w:rPr>
                <w:sz w:val="21"/>
                <w:szCs w:val="21"/>
                <w:highlight w:val="none"/>
              </w:rPr>
              <w:t>硫化物</w:t>
            </w:r>
          </w:p>
          <w:p w14:paraId="78C4B6EB">
            <w:pPr>
              <w:widowControl/>
              <w:snapToGrid w:val="0"/>
              <w:jc w:val="center"/>
              <w:rPr>
                <w:sz w:val="21"/>
                <w:szCs w:val="21"/>
                <w:highlight w:val="none"/>
              </w:rPr>
            </w:pPr>
            <w:r>
              <w:rPr>
                <w:sz w:val="21"/>
                <w:szCs w:val="21"/>
                <w:highlight w:val="none"/>
              </w:rPr>
              <w:t>NH</w:t>
            </w:r>
            <w:r>
              <w:rPr>
                <w:sz w:val="21"/>
                <w:szCs w:val="21"/>
                <w:highlight w:val="none"/>
                <w:vertAlign w:val="subscript"/>
              </w:rPr>
              <w:t>3</w:t>
            </w:r>
          </w:p>
        </w:tc>
        <w:tc>
          <w:tcPr>
            <w:tcW w:w="528" w:type="pct"/>
            <w:noWrap w:val="0"/>
            <w:vAlign w:val="center"/>
          </w:tcPr>
          <w:p w14:paraId="5C43E32E">
            <w:pPr>
              <w:widowControl/>
              <w:snapToGrid w:val="0"/>
              <w:jc w:val="center"/>
              <w:rPr>
                <w:sz w:val="21"/>
                <w:szCs w:val="21"/>
                <w:highlight w:val="none"/>
              </w:rPr>
            </w:pPr>
            <w:r>
              <w:rPr>
                <w:sz w:val="21"/>
                <w:szCs w:val="21"/>
                <w:highlight w:val="none"/>
              </w:rPr>
              <w:t>0.000127mol%</w:t>
            </w:r>
          </w:p>
          <w:p w14:paraId="12514E41">
            <w:pPr>
              <w:widowControl/>
              <w:snapToGrid w:val="0"/>
              <w:jc w:val="center"/>
              <w:rPr>
                <w:sz w:val="21"/>
                <w:szCs w:val="21"/>
                <w:highlight w:val="none"/>
              </w:rPr>
            </w:pPr>
            <w:r>
              <w:rPr>
                <w:sz w:val="21"/>
                <w:szCs w:val="21"/>
                <w:highlight w:val="none"/>
              </w:rPr>
              <w:t>0.000565mol%</w:t>
            </w:r>
          </w:p>
        </w:tc>
        <w:tc>
          <w:tcPr>
            <w:tcW w:w="190" w:type="pct"/>
            <w:noWrap w:val="0"/>
            <w:vAlign w:val="center"/>
          </w:tcPr>
          <w:p w14:paraId="77B9F823">
            <w:pPr>
              <w:widowControl/>
              <w:snapToGrid w:val="0"/>
              <w:jc w:val="center"/>
              <w:rPr>
                <w:sz w:val="21"/>
                <w:szCs w:val="21"/>
                <w:highlight w:val="none"/>
              </w:rPr>
            </w:pPr>
            <w:r>
              <w:rPr>
                <w:sz w:val="21"/>
                <w:szCs w:val="21"/>
                <w:highlight w:val="none"/>
              </w:rPr>
              <w:t>连续</w:t>
            </w:r>
          </w:p>
        </w:tc>
        <w:tc>
          <w:tcPr>
            <w:tcW w:w="1336" w:type="pct"/>
            <w:noWrap w:val="0"/>
            <w:vAlign w:val="center"/>
          </w:tcPr>
          <w:p w14:paraId="5B2519DF">
            <w:pPr>
              <w:widowControl/>
              <w:snapToGrid w:val="0"/>
              <w:jc w:val="center"/>
              <w:rPr>
                <w:sz w:val="21"/>
                <w:szCs w:val="21"/>
                <w:highlight w:val="none"/>
              </w:rPr>
            </w:pPr>
            <w:r>
              <w:rPr>
                <w:sz w:val="21"/>
                <w:szCs w:val="21"/>
                <w:highlight w:val="none"/>
              </w:rPr>
              <w:t>去酸水汽提单元</w:t>
            </w:r>
          </w:p>
        </w:tc>
      </w:tr>
      <w:tr w14:paraId="5D1AC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3EC0A874">
            <w:pPr>
              <w:widowControl/>
              <w:snapToGrid w:val="0"/>
              <w:jc w:val="center"/>
              <w:rPr>
                <w:sz w:val="21"/>
                <w:szCs w:val="21"/>
                <w:highlight w:val="none"/>
              </w:rPr>
            </w:pPr>
          </w:p>
        </w:tc>
        <w:tc>
          <w:tcPr>
            <w:tcW w:w="712" w:type="pct"/>
            <w:vMerge w:val="continue"/>
            <w:noWrap w:val="0"/>
            <w:vAlign w:val="center"/>
          </w:tcPr>
          <w:p w14:paraId="2520EFC1">
            <w:pPr>
              <w:widowControl/>
              <w:snapToGrid w:val="0"/>
              <w:jc w:val="center"/>
              <w:rPr>
                <w:sz w:val="21"/>
                <w:szCs w:val="21"/>
                <w:highlight w:val="none"/>
              </w:rPr>
            </w:pPr>
          </w:p>
        </w:tc>
        <w:tc>
          <w:tcPr>
            <w:tcW w:w="794" w:type="pct"/>
            <w:noWrap w:val="0"/>
            <w:vAlign w:val="center"/>
          </w:tcPr>
          <w:p w14:paraId="72DA0838">
            <w:pPr>
              <w:widowControl/>
              <w:snapToGrid w:val="0"/>
              <w:jc w:val="center"/>
              <w:rPr>
                <w:sz w:val="21"/>
                <w:szCs w:val="21"/>
                <w:highlight w:val="none"/>
              </w:rPr>
            </w:pPr>
            <w:r>
              <w:rPr>
                <w:sz w:val="21"/>
                <w:szCs w:val="21"/>
                <w:highlight w:val="none"/>
              </w:rPr>
              <w:t>废水</w:t>
            </w:r>
          </w:p>
        </w:tc>
        <w:tc>
          <w:tcPr>
            <w:tcW w:w="628" w:type="pct"/>
            <w:noWrap w:val="0"/>
            <w:vAlign w:val="center"/>
          </w:tcPr>
          <w:p w14:paraId="4EA2E4A5">
            <w:pPr>
              <w:widowControl/>
              <w:snapToGrid w:val="0"/>
              <w:jc w:val="center"/>
              <w:rPr>
                <w:sz w:val="21"/>
                <w:szCs w:val="21"/>
                <w:highlight w:val="none"/>
              </w:rPr>
            </w:pPr>
            <w:r>
              <w:rPr>
                <w:sz w:val="21"/>
                <w:szCs w:val="21"/>
                <w:highlight w:val="none"/>
              </w:rPr>
              <w:t>15.7</w:t>
            </w:r>
          </w:p>
        </w:tc>
        <w:tc>
          <w:tcPr>
            <w:tcW w:w="413" w:type="pct"/>
            <w:noWrap w:val="0"/>
            <w:vAlign w:val="center"/>
          </w:tcPr>
          <w:p w14:paraId="5D50032A">
            <w:pPr>
              <w:widowControl/>
              <w:snapToGrid w:val="0"/>
              <w:jc w:val="center"/>
              <w:rPr>
                <w:sz w:val="21"/>
                <w:szCs w:val="21"/>
                <w:highlight w:val="none"/>
              </w:rPr>
            </w:pPr>
            <w:r>
              <w:rPr>
                <w:sz w:val="21"/>
                <w:szCs w:val="21"/>
                <w:highlight w:val="none"/>
              </w:rPr>
              <w:t>COD</w:t>
            </w:r>
          </w:p>
          <w:p w14:paraId="6A8887F3">
            <w:pPr>
              <w:widowControl/>
              <w:snapToGrid w:val="0"/>
              <w:jc w:val="center"/>
              <w:rPr>
                <w:sz w:val="21"/>
                <w:szCs w:val="21"/>
                <w:highlight w:val="none"/>
              </w:rPr>
            </w:pPr>
            <w:r>
              <w:rPr>
                <w:sz w:val="21"/>
                <w:szCs w:val="21"/>
                <w:highlight w:val="none"/>
              </w:rPr>
              <w:t>BOD</w:t>
            </w:r>
          </w:p>
          <w:p w14:paraId="454D86CB">
            <w:pPr>
              <w:widowControl/>
              <w:snapToGrid w:val="0"/>
              <w:jc w:val="center"/>
              <w:rPr>
                <w:sz w:val="21"/>
                <w:szCs w:val="21"/>
                <w:highlight w:val="none"/>
              </w:rPr>
            </w:pPr>
            <w:r>
              <w:rPr>
                <w:sz w:val="21"/>
                <w:szCs w:val="21"/>
                <w:highlight w:val="none"/>
              </w:rPr>
              <w:t>CH</w:t>
            </w:r>
            <w:r>
              <w:rPr>
                <w:sz w:val="21"/>
                <w:szCs w:val="21"/>
                <w:highlight w:val="none"/>
                <w:vertAlign w:val="subscript"/>
              </w:rPr>
              <w:t>3</w:t>
            </w:r>
            <w:r>
              <w:rPr>
                <w:sz w:val="21"/>
                <w:szCs w:val="21"/>
                <w:highlight w:val="none"/>
              </w:rPr>
              <w:t>OH</w:t>
            </w:r>
          </w:p>
        </w:tc>
        <w:tc>
          <w:tcPr>
            <w:tcW w:w="528" w:type="pct"/>
            <w:noWrap w:val="0"/>
            <w:vAlign w:val="center"/>
          </w:tcPr>
          <w:p w14:paraId="53897B28">
            <w:pPr>
              <w:widowControl/>
              <w:snapToGrid w:val="0"/>
              <w:jc w:val="center"/>
              <w:rPr>
                <w:sz w:val="21"/>
                <w:szCs w:val="21"/>
                <w:highlight w:val="none"/>
              </w:rPr>
            </w:pPr>
            <w:r>
              <w:rPr>
                <w:sz w:val="21"/>
                <w:szCs w:val="21"/>
                <w:highlight w:val="none"/>
              </w:rPr>
              <w:t>150</w:t>
            </w:r>
          </w:p>
          <w:p w14:paraId="14AFF1A6">
            <w:pPr>
              <w:widowControl/>
              <w:snapToGrid w:val="0"/>
              <w:jc w:val="center"/>
              <w:rPr>
                <w:sz w:val="21"/>
                <w:szCs w:val="21"/>
                <w:highlight w:val="none"/>
              </w:rPr>
            </w:pPr>
            <w:r>
              <w:rPr>
                <w:sz w:val="21"/>
                <w:szCs w:val="21"/>
                <w:highlight w:val="none"/>
              </w:rPr>
              <w:t>77</w:t>
            </w:r>
          </w:p>
          <w:p w14:paraId="44901D33">
            <w:pPr>
              <w:widowControl/>
              <w:snapToGrid w:val="0"/>
              <w:jc w:val="center"/>
              <w:rPr>
                <w:sz w:val="21"/>
                <w:szCs w:val="21"/>
                <w:highlight w:val="none"/>
              </w:rPr>
            </w:pPr>
            <w:r>
              <w:rPr>
                <w:sz w:val="21"/>
                <w:szCs w:val="21"/>
                <w:highlight w:val="none"/>
              </w:rPr>
              <w:t>0.007029mol%</w:t>
            </w:r>
          </w:p>
        </w:tc>
        <w:tc>
          <w:tcPr>
            <w:tcW w:w="190" w:type="pct"/>
            <w:noWrap w:val="0"/>
            <w:vAlign w:val="center"/>
          </w:tcPr>
          <w:p w14:paraId="264DE20B">
            <w:pPr>
              <w:widowControl/>
              <w:snapToGrid w:val="0"/>
              <w:jc w:val="center"/>
              <w:rPr>
                <w:sz w:val="21"/>
                <w:szCs w:val="21"/>
                <w:highlight w:val="none"/>
              </w:rPr>
            </w:pPr>
            <w:r>
              <w:rPr>
                <w:sz w:val="21"/>
                <w:szCs w:val="21"/>
                <w:highlight w:val="none"/>
              </w:rPr>
              <w:t>连续</w:t>
            </w:r>
          </w:p>
        </w:tc>
        <w:tc>
          <w:tcPr>
            <w:tcW w:w="1336" w:type="pct"/>
            <w:noWrap w:val="0"/>
            <w:vAlign w:val="center"/>
          </w:tcPr>
          <w:p w14:paraId="64371D68">
            <w:pPr>
              <w:widowControl/>
              <w:snapToGrid w:val="0"/>
              <w:jc w:val="center"/>
              <w:rPr>
                <w:rFonts w:hint="eastAsia" w:eastAsia="宋体"/>
                <w:sz w:val="21"/>
                <w:szCs w:val="21"/>
                <w:highlight w:val="none"/>
                <w:lang w:eastAsia="zh-CN"/>
              </w:rPr>
            </w:pPr>
            <w:r>
              <w:rPr>
                <w:sz w:val="21"/>
                <w:szCs w:val="21"/>
                <w:highlight w:val="none"/>
              </w:rPr>
              <w:t>送厂内</w:t>
            </w:r>
            <w:r>
              <w:rPr>
                <w:rFonts w:hint="eastAsia"/>
                <w:sz w:val="21"/>
                <w:szCs w:val="21"/>
                <w:highlight w:val="none"/>
                <w:lang w:eastAsia="zh-CN"/>
              </w:rPr>
              <w:t>污水处理厂</w:t>
            </w:r>
          </w:p>
        </w:tc>
      </w:tr>
      <w:tr w14:paraId="405A1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3F735A3D">
            <w:pPr>
              <w:widowControl/>
              <w:snapToGrid w:val="0"/>
              <w:jc w:val="center"/>
              <w:rPr>
                <w:sz w:val="21"/>
                <w:szCs w:val="21"/>
                <w:highlight w:val="none"/>
              </w:rPr>
            </w:pPr>
          </w:p>
        </w:tc>
        <w:tc>
          <w:tcPr>
            <w:tcW w:w="712" w:type="pct"/>
            <w:vMerge w:val="restart"/>
            <w:noWrap w:val="0"/>
            <w:vAlign w:val="center"/>
          </w:tcPr>
          <w:p w14:paraId="6A618CC9">
            <w:pPr>
              <w:widowControl/>
              <w:snapToGrid w:val="0"/>
              <w:jc w:val="center"/>
              <w:rPr>
                <w:sz w:val="21"/>
                <w:szCs w:val="21"/>
                <w:highlight w:val="none"/>
              </w:rPr>
            </w:pPr>
            <w:r>
              <w:rPr>
                <w:sz w:val="21"/>
                <w:szCs w:val="21"/>
                <w:highlight w:val="none"/>
              </w:rPr>
              <w:t>硫回收单元</w:t>
            </w:r>
          </w:p>
        </w:tc>
        <w:tc>
          <w:tcPr>
            <w:tcW w:w="794" w:type="pct"/>
            <w:noWrap w:val="0"/>
            <w:vAlign w:val="center"/>
          </w:tcPr>
          <w:p w14:paraId="17B4D71D">
            <w:pPr>
              <w:widowControl/>
              <w:snapToGrid w:val="0"/>
              <w:jc w:val="center"/>
              <w:rPr>
                <w:sz w:val="21"/>
                <w:szCs w:val="21"/>
                <w:highlight w:val="none"/>
              </w:rPr>
            </w:pPr>
            <w:r>
              <w:rPr>
                <w:sz w:val="21"/>
                <w:szCs w:val="21"/>
                <w:highlight w:val="none"/>
              </w:rPr>
              <w:t>酸性水1（含甲醇）</w:t>
            </w:r>
          </w:p>
        </w:tc>
        <w:tc>
          <w:tcPr>
            <w:tcW w:w="628" w:type="pct"/>
            <w:noWrap w:val="0"/>
            <w:vAlign w:val="center"/>
          </w:tcPr>
          <w:p w14:paraId="1A47FB85">
            <w:pPr>
              <w:widowControl/>
              <w:snapToGrid w:val="0"/>
              <w:jc w:val="center"/>
              <w:rPr>
                <w:sz w:val="21"/>
                <w:szCs w:val="21"/>
                <w:highlight w:val="none"/>
              </w:rPr>
            </w:pPr>
            <w:r>
              <w:rPr>
                <w:sz w:val="21"/>
                <w:szCs w:val="21"/>
                <w:highlight w:val="none"/>
              </w:rPr>
              <w:t>1.8</w:t>
            </w:r>
          </w:p>
        </w:tc>
        <w:tc>
          <w:tcPr>
            <w:tcW w:w="413" w:type="pct"/>
            <w:noWrap w:val="0"/>
            <w:vAlign w:val="center"/>
          </w:tcPr>
          <w:p w14:paraId="788BFC04">
            <w:pPr>
              <w:widowControl/>
              <w:snapToGrid w:val="0"/>
              <w:jc w:val="center"/>
              <w:rPr>
                <w:sz w:val="21"/>
                <w:szCs w:val="21"/>
                <w:highlight w:val="none"/>
              </w:rPr>
            </w:pPr>
            <w:r>
              <w:rPr>
                <w:sz w:val="21"/>
                <w:szCs w:val="21"/>
                <w:highlight w:val="none"/>
              </w:rPr>
              <w:t>CH</w:t>
            </w:r>
            <w:r>
              <w:rPr>
                <w:sz w:val="21"/>
                <w:szCs w:val="21"/>
                <w:highlight w:val="none"/>
                <w:vertAlign w:val="subscript"/>
              </w:rPr>
              <w:t>3</w:t>
            </w:r>
            <w:r>
              <w:rPr>
                <w:sz w:val="21"/>
                <w:szCs w:val="21"/>
                <w:highlight w:val="none"/>
              </w:rPr>
              <w:t>OH</w:t>
            </w:r>
          </w:p>
          <w:p w14:paraId="4333ED94">
            <w:pPr>
              <w:widowControl/>
              <w:snapToGrid w:val="0"/>
              <w:jc w:val="center"/>
              <w:rPr>
                <w:sz w:val="21"/>
                <w:szCs w:val="21"/>
                <w:highlight w:val="none"/>
              </w:rPr>
            </w:pPr>
            <w:r>
              <w:rPr>
                <w:sz w:val="21"/>
                <w:szCs w:val="21"/>
                <w:highlight w:val="none"/>
              </w:rPr>
              <w:t>CO</w:t>
            </w:r>
            <w:r>
              <w:rPr>
                <w:sz w:val="21"/>
                <w:szCs w:val="21"/>
                <w:highlight w:val="none"/>
                <w:vertAlign w:val="subscript"/>
              </w:rPr>
              <w:t>2</w:t>
            </w:r>
          </w:p>
          <w:p w14:paraId="3FCF14CB">
            <w:pPr>
              <w:widowControl/>
              <w:snapToGrid w:val="0"/>
              <w:jc w:val="center"/>
              <w:rPr>
                <w:sz w:val="21"/>
                <w:szCs w:val="21"/>
                <w:highlight w:val="none"/>
              </w:rPr>
            </w:pPr>
            <w:r>
              <w:rPr>
                <w:sz w:val="21"/>
                <w:szCs w:val="21"/>
                <w:highlight w:val="none"/>
              </w:rPr>
              <w:t>硫化物</w:t>
            </w:r>
          </w:p>
        </w:tc>
        <w:tc>
          <w:tcPr>
            <w:tcW w:w="528" w:type="pct"/>
            <w:noWrap w:val="0"/>
            <w:vAlign w:val="center"/>
          </w:tcPr>
          <w:p w14:paraId="112083EC">
            <w:pPr>
              <w:widowControl/>
              <w:snapToGrid w:val="0"/>
              <w:jc w:val="center"/>
              <w:rPr>
                <w:sz w:val="21"/>
                <w:szCs w:val="21"/>
                <w:highlight w:val="none"/>
              </w:rPr>
            </w:pPr>
            <w:r>
              <w:rPr>
                <w:sz w:val="21"/>
                <w:szCs w:val="21"/>
                <w:highlight w:val="none"/>
              </w:rPr>
              <w:t>0.0019mol%</w:t>
            </w:r>
          </w:p>
          <w:p w14:paraId="15AD2109">
            <w:pPr>
              <w:widowControl/>
              <w:snapToGrid w:val="0"/>
              <w:jc w:val="center"/>
              <w:rPr>
                <w:sz w:val="21"/>
                <w:szCs w:val="21"/>
                <w:highlight w:val="none"/>
              </w:rPr>
            </w:pPr>
            <w:r>
              <w:rPr>
                <w:sz w:val="21"/>
                <w:szCs w:val="21"/>
                <w:highlight w:val="none"/>
              </w:rPr>
              <w:t>0.0185mol%</w:t>
            </w:r>
          </w:p>
          <w:p w14:paraId="5505211D">
            <w:pPr>
              <w:widowControl/>
              <w:snapToGrid w:val="0"/>
              <w:jc w:val="center"/>
              <w:rPr>
                <w:sz w:val="21"/>
                <w:szCs w:val="21"/>
                <w:highlight w:val="none"/>
              </w:rPr>
            </w:pPr>
            <w:r>
              <w:rPr>
                <w:sz w:val="21"/>
                <w:szCs w:val="21"/>
                <w:highlight w:val="none"/>
              </w:rPr>
              <w:t>0.0409mol%</w:t>
            </w:r>
          </w:p>
        </w:tc>
        <w:tc>
          <w:tcPr>
            <w:tcW w:w="190" w:type="pct"/>
            <w:noWrap w:val="0"/>
            <w:vAlign w:val="center"/>
          </w:tcPr>
          <w:p w14:paraId="43593852">
            <w:pPr>
              <w:widowControl/>
              <w:snapToGrid w:val="0"/>
              <w:jc w:val="center"/>
              <w:rPr>
                <w:sz w:val="21"/>
                <w:szCs w:val="21"/>
                <w:highlight w:val="none"/>
              </w:rPr>
            </w:pPr>
            <w:r>
              <w:rPr>
                <w:sz w:val="21"/>
                <w:szCs w:val="21"/>
                <w:highlight w:val="none"/>
              </w:rPr>
              <w:t>连续</w:t>
            </w:r>
          </w:p>
        </w:tc>
        <w:tc>
          <w:tcPr>
            <w:tcW w:w="1336" w:type="pct"/>
            <w:noWrap w:val="0"/>
            <w:vAlign w:val="center"/>
          </w:tcPr>
          <w:p w14:paraId="61ACD4BD">
            <w:pPr>
              <w:widowControl/>
              <w:snapToGrid w:val="0"/>
              <w:jc w:val="center"/>
              <w:rPr>
                <w:rFonts w:hint="eastAsia" w:eastAsia="宋体"/>
                <w:sz w:val="21"/>
                <w:szCs w:val="21"/>
                <w:highlight w:val="none"/>
                <w:lang w:eastAsia="zh-CN"/>
              </w:rPr>
            </w:pPr>
            <w:r>
              <w:rPr>
                <w:sz w:val="21"/>
                <w:szCs w:val="21"/>
                <w:highlight w:val="none"/>
              </w:rPr>
              <w:t>去厂内</w:t>
            </w:r>
            <w:r>
              <w:rPr>
                <w:rFonts w:hint="eastAsia"/>
                <w:sz w:val="21"/>
                <w:szCs w:val="21"/>
                <w:highlight w:val="none"/>
                <w:lang w:eastAsia="zh-CN"/>
              </w:rPr>
              <w:t>污水处理厂</w:t>
            </w:r>
          </w:p>
        </w:tc>
      </w:tr>
      <w:tr w14:paraId="034B9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7C9C7DBC">
            <w:pPr>
              <w:widowControl/>
              <w:snapToGrid w:val="0"/>
              <w:jc w:val="center"/>
              <w:rPr>
                <w:sz w:val="21"/>
                <w:szCs w:val="21"/>
                <w:highlight w:val="none"/>
              </w:rPr>
            </w:pPr>
          </w:p>
        </w:tc>
        <w:tc>
          <w:tcPr>
            <w:tcW w:w="712" w:type="pct"/>
            <w:vMerge w:val="continue"/>
            <w:noWrap w:val="0"/>
            <w:vAlign w:val="center"/>
          </w:tcPr>
          <w:p w14:paraId="6F569F06">
            <w:pPr>
              <w:widowControl/>
              <w:snapToGrid w:val="0"/>
              <w:jc w:val="center"/>
              <w:rPr>
                <w:sz w:val="21"/>
                <w:szCs w:val="21"/>
                <w:highlight w:val="none"/>
              </w:rPr>
            </w:pPr>
          </w:p>
        </w:tc>
        <w:tc>
          <w:tcPr>
            <w:tcW w:w="794" w:type="pct"/>
            <w:noWrap w:val="0"/>
            <w:vAlign w:val="center"/>
          </w:tcPr>
          <w:p w14:paraId="5DB0392F">
            <w:pPr>
              <w:widowControl/>
              <w:snapToGrid w:val="0"/>
              <w:jc w:val="center"/>
              <w:rPr>
                <w:sz w:val="21"/>
                <w:szCs w:val="21"/>
                <w:highlight w:val="none"/>
              </w:rPr>
            </w:pPr>
            <w:r>
              <w:rPr>
                <w:sz w:val="21"/>
                <w:szCs w:val="21"/>
                <w:highlight w:val="none"/>
              </w:rPr>
              <w:t>酸性水2（含氨）</w:t>
            </w:r>
          </w:p>
        </w:tc>
        <w:tc>
          <w:tcPr>
            <w:tcW w:w="628" w:type="pct"/>
            <w:noWrap w:val="0"/>
            <w:vAlign w:val="center"/>
          </w:tcPr>
          <w:p w14:paraId="318E2C48">
            <w:pPr>
              <w:widowControl/>
              <w:snapToGrid w:val="0"/>
              <w:jc w:val="center"/>
              <w:rPr>
                <w:sz w:val="21"/>
                <w:szCs w:val="21"/>
                <w:highlight w:val="none"/>
              </w:rPr>
            </w:pPr>
            <w:r>
              <w:rPr>
                <w:sz w:val="21"/>
                <w:szCs w:val="21"/>
                <w:highlight w:val="none"/>
              </w:rPr>
              <w:t>0.177</w:t>
            </w:r>
          </w:p>
        </w:tc>
        <w:tc>
          <w:tcPr>
            <w:tcW w:w="413" w:type="pct"/>
            <w:noWrap w:val="0"/>
            <w:vAlign w:val="center"/>
          </w:tcPr>
          <w:p w14:paraId="0F61BA94">
            <w:pPr>
              <w:widowControl/>
              <w:snapToGrid w:val="0"/>
              <w:jc w:val="center"/>
              <w:rPr>
                <w:sz w:val="21"/>
                <w:szCs w:val="21"/>
                <w:highlight w:val="none"/>
              </w:rPr>
            </w:pPr>
            <w:r>
              <w:rPr>
                <w:sz w:val="21"/>
                <w:szCs w:val="21"/>
                <w:highlight w:val="none"/>
              </w:rPr>
              <w:t>NH</w:t>
            </w:r>
            <w:r>
              <w:rPr>
                <w:sz w:val="21"/>
                <w:szCs w:val="21"/>
                <w:highlight w:val="none"/>
                <w:vertAlign w:val="subscript"/>
              </w:rPr>
              <w:t>3</w:t>
            </w:r>
          </w:p>
          <w:p w14:paraId="4B57DD3A">
            <w:pPr>
              <w:widowControl/>
              <w:snapToGrid w:val="0"/>
              <w:jc w:val="center"/>
              <w:rPr>
                <w:sz w:val="21"/>
                <w:szCs w:val="21"/>
                <w:highlight w:val="none"/>
              </w:rPr>
            </w:pPr>
            <w:r>
              <w:rPr>
                <w:sz w:val="21"/>
                <w:szCs w:val="21"/>
                <w:highlight w:val="none"/>
              </w:rPr>
              <w:t>CO</w:t>
            </w:r>
            <w:r>
              <w:rPr>
                <w:sz w:val="21"/>
                <w:szCs w:val="21"/>
                <w:highlight w:val="none"/>
                <w:vertAlign w:val="subscript"/>
              </w:rPr>
              <w:t>2</w:t>
            </w:r>
          </w:p>
          <w:p w14:paraId="535A9C07">
            <w:pPr>
              <w:widowControl/>
              <w:snapToGrid w:val="0"/>
              <w:jc w:val="center"/>
              <w:rPr>
                <w:sz w:val="21"/>
                <w:szCs w:val="21"/>
                <w:highlight w:val="none"/>
              </w:rPr>
            </w:pPr>
            <w:r>
              <w:rPr>
                <w:sz w:val="21"/>
                <w:szCs w:val="21"/>
                <w:highlight w:val="none"/>
              </w:rPr>
              <w:t>硫化物</w:t>
            </w:r>
          </w:p>
        </w:tc>
        <w:tc>
          <w:tcPr>
            <w:tcW w:w="528" w:type="pct"/>
            <w:noWrap w:val="0"/>
            <w:vAlign w:val="center"/>
          </w:tcPr>
          <w:p w14:paraId="3E672B48">
            <w:pPr>
              <w:widowControl/>
              <w:snapToGrid w:val="0"/>
              <w:jc w:val="center"/>
              <w:rPr>
                <w:sz w:val="21"/>
                <w:szCs w:val="21"/>
                <w:highlight w:val="none"/>
              </w:rPr>
            </w:pPr>
            <w:r>
              <w:rPr>
                <w:sz w:val="21"/>
                <w:szCs w:val="21"/>
                <w:highlight w:val="none"/>
              </w:rPr>
              <w:t>0.0494mol%</w:t>
            </w:r>
          </w:p>
          <w:p w14:paraId="1F1DDC03">
            <w:pPr>
              <w:widowControl/>
              <w:snapToGrid w:val="0"/>
              <w:jc w:val="center"/>
              <w:rPr>
                <w:sz w:val="21"/>
                <w:szCs w:val="21"/>
                <w:highlight w:val="none"/>
              </w:rPr>
            </w:pPr>
            <w:r>
              <w:rPr>
                <w:sz w:val="21"/>
                <w:szCs w:val="21"/>
                <w:highlight w:val="none"/>
              </w:rPr>
              <w:t>0.0196mol%</w:t>
            </w:r>
          </w:p>
          <w:p w14:paraId="56AF622D">
            <w:pPr>
              <w:widowControl/>
              <w:snapToGrid w:val="0"/>
              <w:jc w:val="center"/>
              <w:rPr>
                <w:sz w:val="21"/>
                <w:szCs w:val="21"/>
                <w:highlight w:val="none"/>
              </w:rPr>
            </w:pPr>
            <w:r>
              <w:rPr>
                <w:sz w:val="21"/>
                <w:szCs w:val="21"/>
                <w:highlight w:val="none"/>
              </w:rPr>
              <w:t>0.0027mol%</w:t>
            </w:r>
          </w:p>
        </w:tc>
        <w:tc>
          <w:tcPr>
            <w:tcW w:w="190" w:type="pct"/>
            <w:noWrap w:val="0"/>
            <w:vAlign w:val="center"/>
          </w:tcPr>
          <w:p w14:paraId="611532FB">
            <w:pPr>
              <w:widowControl/>
              <w:snapToGrid w:val="0"/>
              <w:jc w:val="center"/>
              <w:rPr>
                <w:sz w:val="21"/>
                <w:szCs w:val="21"/>
                <w:highlight w:val="none"/>
              </w:rPr>
            </w:pPr>
            <w:r>
              <w:rPr>
                <w:sz w:val="21"/>
                <w:szCs w:val="21"/>
                <w:highlight w:val="none"/>
              </w:rPr>
              <w:t>间断</w:t>
            </w:r>
          </w:p>
        </w:tc>
        <w:tc>
          <w:tcPr>
            <w:tcW w:w="1336" w:type="pct"/>
            <w:noWrap w:val="0"/>
            <w:vAlign w:val="center"/>
          </w:tcPr>
          <w:p w14:paraId="01E4F58E">
            <w:pPr>
              <w:widowControl/>
              <w:snapToGrid w:val="0"/>
              <w:jc w:val="center"/>
              <w:rPr>
                <w:sz w:val="21"/>
                <w:szCs w:val="21"/>
                <w:highlight w:val="none"/>
              </w:rPr>
            </w:pPr>
            <w:r>
              <w:rPr>
                <w:sz w:val="21"/>
                <w:szCs w:val="21"/>
                <w:highlight w:val="none"/>
              </w:rPr>
              <w:t>送酸性水汽提单元</w:t>
            </w:r>
          </w:p>
        </w:tc>
      </w:tr>
      <w:tr w14:paraId="0DB35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1846658A">
            <w:pPr>
              <w:widowControl/>
              <w:snapToGrid w:val="0"/>
              <w:jc w:val="center"/>
              <w:rPr>
                <w:sz w:val="21"/>
                <w:szCs w:val="21"/>
                <w:highlight w:val="none"/>
              </w:rPr>
            </w:pPr>
          </w:p>
        </w:tc>
        <w:tc>
          <w:tcPr>
            <w:tcW w:w="712" w:type="pct"/>
            <w:vMerge w:val="restart"/>
            <w:noWrap w:val="0"/>
            <w:vAlign w:val="center"/>
          </w:tcPr>
          <w:p w14:paraId="1186B5A3">
            <w:pPr>
              <w:widowControl/>
              <w:snapToGrid w:val="0"/>
              <w:jc w:val="center"/>
              <w:rPr>
                <w:sz w:val="21"/>
                <w:szCs w:val="21"/>
                <w:highlight w:val="none"/>
              </w:rPr>
            </w:pPr>
            <w:r>
              <w:rPr>
                <w:sz w:val="21"/>
                <w:szCs w:val="21"/>
                <w:highlight w:val="none"/>
              </w:rPr>
              <w:t>酸性水汽提</w:t>
            </w:r>
          </w:p>
          <w:p w14:paraId="1CB1B846">
            <w:pPr>
              <w:widowControl/>
              <w:snapToGrid w:val="0"/>
              <w:jc w:val="center"/>
              <w:rPr>
                <w:sz w:val="21"/>
                <w:szCs w:val="21"/>
                <w:highlight w:val="none"/>
              </w:rPr>
            </w:pPr>
            <w:r>
              <w:rPr>
                <w:sz w:val="21"/>
                <w:szCs w:val="21"/>
                <w:highlight w:val="none"/>
              </w:rPr>
              <w:t>单元</w:t>
            </w:r>
          </w:p>
        </w:tc>
        <w:tc>
          <w:tcPr>
            <w:tcW w:w="794" w:type="pct"/>
            <w:noWrap w:val="0"/>
            <w:vAlign w:val="center"/>
          </w:tcPr>
          <w:p w14:paraId="5A4A5581">
            <w:pPr>
              <w:widowControl/>
              <w:snapToGrid w:val="0"/>
              <w:jc w:val="center"/>
              <w:rPr>
                <w:sz w:val="21"/>
                <w:szCs w:val="21"/>
                <w:highlight w:val="none"/>
              </w:rPr>
            </w:pPr>
            <w:r>
              <w:rPr>
                <w:sz w:val="21"/>
                <w:szCs w:val="21"/>
                <w:highlight w:val="none"/>
              </w:rPr>
              <w:t>塔顶凝液</w:t>
            </w:r>
          </w:p>
        </w:tc>
        <w:tc>
          <w:tcPr>
            <w:tcW w:w="628" w:type="pct"/>
            <w:noWrap w:val="0"/>
            <w:vAlign w:val="center"/>
          </w:tcPr>
          <w:p w14:paraId="4EE86492">
            <w:pPr>
              <w:widowControl/>
              <w:snapToGrid w:val="0"/>
              <w:jc w:val="center"/>
              <w:rPr>
                <w:sz w:val="21"/>
                <w:szCs w:val="21"/>
                <w:highlight w:val="none"/>
              </w:rPr>
            </w:pPr>
            <w:r>
              <w:rPr>
                <w:sz w:val="21"/>
                <w:szCs w:val="21"/>
                <w:highlight w:val="none"/>
              </w:rPr>
              <w:t>正常</w:t>
            </w:r>
            <w:r>
              <w:rPr>
                <w:rFonts w:hint="eastAsia"/>
                <w:sz w:val="21"/>
                <w:szCs w:val="21"/>
                <w:highlight w:val="none"/>
                <w:lang w:eastAsia="zh-CN"/>
              </w:rPr>
              <w:t>值</w:t>
            </w:r>
            <w:r>
              <w:rPr>
                <w:sz w:val="21"/>
                <w:szCs w:val="21"/>
                <w:highlight w:val="none"/>
              </w:rPr>
              <w:t>：8.8</w:t>
            </w:r>
          </w:p>
          <w:p w14:paraId="7C89E18B">
            <w:pPr>
              <w:widowControl/>
              <w:snapToGrid w:val="0"/>
              <w:jc w:val="center"/>
              <w:rPr>
                <w:sz w:val="21"/>
                <w:szCs w:val="21"/>
                <w:highlight w:val="none"/>
              </w:rPr>
            </w:pPr>
            <w:r>
              <w:rPr>
                <w:sz w:val="21"/>
                <w:szCs w:val="21"/>
                <w:highlight w:val="none"/>
              </w:rPr>
              <w:t>最大</w:t>
            </w:r>
            <w:r>
              <w:rPr>
                <w:rFonts w:hint="eastAsia"/>
                <w:sz w:val="21"/>
                <w:szCs w:val="21"/>
                <w:highlight w:val="none"/>
                <w:lang w:eastAsia="zh-CN"/>
              </w:rPr>
              <w:t>值</w:t>
            </w:r>
            <w:r>
              <w:rPr>
                <w:sz w:val="21"/>
                <w:szCs w:val="21"/>
                <w:highlight w:val="none"/>
              </w:rPr>
              <w:t>：29</w:t>
            </w:r>
          </w:p>
        </w:tc>
        <w:tc>
          <w:tcPr>
            <w:tcW w:w="413" w:type="pct"/>
            <w:noWrap w:val="0"/>
            <w:vAlign w:val="center"/>
          </w:tcPr>
          <w:p w14:paraId="580B9322">
            <w:pPr>
              <w:widowControl/>
              <w:snapToGrid w:val="0"/>
              <w:jc w:val="center"/>
              <w:rPr>
                <w:sz w:val="21"/>
                <w:szCs w:val="21"/>
                <w:highlight w:val="none"/>
              </w:rPr>
            </w:pPr>
            <w:r>
              <w:rPr>
                <w:sz w:val="21"/>
                <w:szCs w:val="21"/>
                <w:highlight w:val="none"/>
              </w:rPr>
              <w:t>CO</w:t>
            </w:r>
            <w:r>
              <w:rPr>
                <w:sz w:val="21"/>
                <w:szCs w:val="21"/>
                <w:highlight w:val="none"/>
                <w:vertAlign w:val="subscript"/>
              </w:rPr>
              <w:t>2</w:t>
            </w:r>
          </w:p>
          <w:p w14:paraId="70063AA3">
            <w:pPr>
              <w:widowControl/>
              <w:snapToGrid w:val="0"/>
              <w:jc w:val="center"/>
              <w:rPr>
                <w:sz w:val="21"/>
                <w:szCs w:val="21"/>
                <w:highlight w:val="none"/>
              </w:rPr>
            </w:pPr>
            <w:r>
              <w:rPr>
                <w:sz w:val="21"/>
                <w:szCs w:val="21"/>
                <w:highlight w:val="none"/>
              </w:rPr>
              <w:t>硫化物</w:t>
            </w:r>
          </w:p>
          <w:p w14:paraId="76106766">
            <w:pPr>
              <w:widowControl/>
              <w:snapToGrid w:val="0"/>
              <w:jc w:val="center"/>
              <w:rPr>
                <w:sz w:val="21"/>
                <w:szCs w:val="21"/>
                <w:highlight w:val="none"/>
                <w:vertAlign w:val="subscript"/>
              </w:rPr>
            </w:pPr>
            <w:r>
              <w:rPr>
                <w:sz w:val="21"/>
                <w:szCs w:val="21"/>
                <w:highlight w:val="none"/>
              </w:rPr>
              <w:t>NH</w:t>
            </w:r>
            <w:r>
              <w:rPr>
                <w:sz w:val="21"/>
                <w:szCs w:val="21"/>
                <w:highlight w:val="none"/>
                <w:vertAlign w:val="subscript"/>
              </w:rPr>
              <w:t>3</w:t>
            </w:r>
          </w:p>
        </w:tc>
        <w:tc>
          <w:tcPr>
            <w:tcW w:w="528" w:type="pct"/>
            <w:noWrap w:val="0"/>
            <w:vAlign w:val="center"/>
          </w:tcPr>
          <w:p w14:paraId="424913F0">
            <w:pPr>
              <w:widowControl/>
              <w:snapToGrid w:val="0"/>
              <w:jc w:val="center"/>
              <w:rPr>
                <w:sz w:val="21"/>
                <w:szCs w:val="21"/>
                <w:highlight w:val="none"/>
              </w:rPr>
            </w:pPr>
            <w:r>
              <w:rPr>
                <w:sz w:val="21"/>
                <w:szCs w:val="21"/>
                <w:highlight w:val="none"/>
              </w:rPr>
              <w:t>18ppm</w:t>
            </w:r>
          </w:p>
          <w:p w14:paraId="744E991E">
            <w:pPr>
              <w:widowControl/>
              <w:snapToGrid w:val="0"/>
              <w:jc w:val="center"/>
              <w:rPr>
                <w:sz w:val="21"/>
                <w:szCs w:val="21"/>
                <w:highlight w:val="none"/>
              </w:rPr>
            </w:pPr>
            <w:r>
              <w:rPr>
                <w:sz w:val="21"/>
                <w:szCs w:val="21"/>
                <w:highlight w:val="none"/>
              </w:rPr>
              <w:t>＜10ppm</w:t>
            </w:r>
          </w:p>
          <w:p w14:paraId="1A2D02D3">
            <w:pPr>
              <w:widowControl/>
              <w:snapToGrid w:val="0"/>
              <w:jc w:val="center"/>
              <w:rPr>
                <w:sz w:val="21"/>
                <w:szCs w:val="21"/>
                <w:highlight w:val="none"/>
              </w:rPr>
            </w:pPr>
            <w:r>
              <w:rPr>
                <w:sz w:val="21"/>
                <w:szCs w:val="21"/>
                <w:highlight w:val="none"/>
              </w:rPr>
              <w:t>0.004</w:t>
            </w:r>
          </w:p>
        </w:tc>
        <w:tc>
          <w:tcPr>
            <w:tcW w:w="190" w:type="pct"/>
            <w:noWrap w:val="0"/>
            <w:vAlign w:val="center"/>
          </w:tcPr>
          <w:p w14:paraId="58C492D8">
            <w:pPr>
              <w:widowControl/>
              <w:snapToGrid w:val="0"/>
              <w:jc w:val="center"/>
              <w:rPr>
                <w:sz w:val="21"/>
                <w:szCs w:val="21"/>
                <w:highlight w:val="none"/>
              </w:rPr>
            </w:pPr>
            <w:r>
              <w:rPr>
                <w:sz w:val="21"/>
                <w:szCs w:val="21"/>
                <w:highlight w:val="none"/>
              </w:rPr>
              <w:t>连续</w:t>
            </w:r>
          </w:p>
        </w:tc>
        <w:tc>
          <w:tcPr>
            <w:tcW w:w="1336" w:type="pct"/>
            <w:noWrap w:val="0"/>
            <w:vAlign w:val="center"/>
          </w:tcPr>
          <w:p w14:paraId="6A4336B9">
            <w:pPr>
              <w:widowControl/>
              <w:snapToGrid w:val="0"/>
              <w:jc w:val="center"/>
              <w:rPr>
                <w:sz w:val="21"/>
                <w:szCs w:val="21"/>
                <w:highlight w:val="none"/>
              </w:rPr>
            </w:pPr>
            <w:r>
              <w:rPr>
                <w:sz w:val="21"/>
                <w:szCs w:val="21"/>
                <w:highlight w:val="none"/>
              </w:rPr>
              <w:t>去水煤浆气化装置</w:t>
            </w:r>
          </w:p>
        </w:tc>
      </w:tr>
      <w:tr w14:paraId="7D848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1A49320E">
            <w:pPr>
              <w:widowControl/>
              <w:snapToGrid w:val="0"/>
              <w:jc w:val="center"/>
              <w:rPr>
                <w:sz w:val="21"/>
                <w:szCs w:val="21"/>
                <w:highlight w:val="none"/>
              </w:rPr>
            </w:pPr>
          </w:p>
        </w:tc>
        <w:tc>
          <w:tcPr>
            <w:tcW w:w="712" w:type="pct"/>
            <w:vMerge w:val="continue"/>
            <w:noWrap w:val="0"/>
            <w:vAlign w:val="center"/>
          </w:tcPr>
          <w:p w14:paraId="43740D88">
            <w:pPr>
              <w:widowControl/>
              <w:snapToGrid w:val="0"/>
              <w:jc w:val="center"/>
              <w:rPr>
                <w:sz w:val="21"/>
                <w:szCs w:val="21"/>
                <w:highlight w:val="none"/>
              </w:rPr>
            </w:pPr>
          </w:p>
        </w:tc>
        <w:tc>
          <w:tcPr>
            <w:tcW w:w="794" w:type="pct"/>
            <w:noWrap w:val="0"/>
            <w:vAlign w:val="center"/>
          </w:tcPr>
          <w:p w14:paraId="2C06DEAC">
            <w:pPr>
              <w:widowControl/>
              <w:snapToGrid w:val="0"/>
              <w:jc w:val="center"/>
              <w:rPr>
                <w:sz w:val="21"/>
                <w:szCs w:val="21"/>
                <w:highlight w:val="none"/>
              </w:rPr>
            </w:pPr>
            <w:r>
              <w:rPr>
                <w:sz w:val="21"/>
                <w:szCs w:val="21"/>
                <w:highlight w:val="none"/>
              </w:rPr>
              <w:t>塔底汽提凝液</w:t>
            </w:r>
          </w:p>
        </w:tc>
        <w:tc>
          <w:tcPr>
            <w:tcW w:w="628" w:type="pct"/>
            <w:noWrap w:val="0"/>
            <w:vAlign w:val="center"/>
          </w:tcPr>
          <w:p w14:paraId="3C7BC2A2">
            <w:pPr>
              <w:widowControl/>
              <w:snapToGrid w:val="0"/>
              <w:jc w:val="center"/>
              <w:rPr>
                <w:sz w:val="21"/>
                <w:szCs w:val="21"/>
                <w:highlight w:val="none"/>
              </w:rPr>
            </w:pPr>
            <w:r>
              <w:rPr>
                <w:sz w:val="21"/>
                <w:szCs w:val="21"/>
                <w:highlight w:val="none"/>
              </w:rPr>
              <w:t>236.2</w:t>
            </w:r>
          </w:p>
        </w:tc>
        <w:tc>
          <w:tcPr>
            <w:tcW w:w="413" w:type="pct"/>
            <w:noWrap w:val="0"/>
            <w:vAlign w:val="center"/>
          </w:tcPr>
          <w:p w14:paraId="70C7196B">
            <w:pPr>
              <w:widowControl/>
              <w:snapToGrid w:val="0"/>
              <w:jc w:val="center"/>
              <w:rPr>
                <w:sz w:val="21"/>
                <w:szCs w:val="21"/>
                <w:highlight w:val="none"/>
              </w:rPr>
            </w:pPr>
            <w:r>
              <w:rPr>
                <w:sz w:val="21"/>
                <w:szCs w:val="21"/>
                <w:highlight w:val="none"/>
              </w:rPr>
              <w:t>H</w:t>
            </w:r>
            <w:r>
              <w:rPr>
                <w:sz w:val="21"/>
                <w:szCs w:val="21"/>
                <w:highlight w:val="none"/>
                <w:vertAlign w:val="subscript"/>
              </w:rPr>
              <w:t>2</w:t>
            </w:r>
          </w:p>
          <w:p w14:paraId="7F8BF282">
            <w:pPr>
              <w:widowControl/>
              <w:snapToGrid w:val="0"/>
              <w:jc w:val="center"/>
              <w:rPr>
                <w:sz w:val="21"/>
                <w:szCs w:val="21"/>
                <w:highlight w:val="none"/>
              </w:rPr>
            </w:pPr>
            <w:r>
              <w:rPr>
                <w:sz w:val="21"/>
                <w:szCs w:val="21"/>
                <w:highlight w:val="none"/>
              </w:rPr>
              <w:t>CO</w:t>
            </w:r>
          </w:p>
          <w:p w14:paraId="1707C89F">
            <w:pPr>
              <w:widowControl/>
              <w:snapToGrid w:val="0"/>
              <w:jc w:val="center"/>
              <w:rPr>
                <w:sz w:val="21"/>
                <w:szCs w:val="21"/>
                <w:highlight w:val="none"/>
              </w:rPr>
            </w:pPr>
            <w:r>
              <w:rPr>
                <w:sz w:val="21"/>
                <w:szCs w:val="21"/>
                <w:highlight w:val="none"/>
              </w:rPr>
              <w:t>CO</w:t>
            </w:r>
            <w:r>
              <w:rPr>
                <w:sz w:val="21"/>
                <w:szCs w:val="21"/>
                <w:highlight w:val="none"/>
                <w:vertAlign w:val="subscript"/>
              </w:rPr>
              <w:t>2</w:t>
            </w:r>
          </w:p>
          <w:p w14:paraId="6A33C130">
            <w:pPr>
              <w:widowControl/>
              <w:snapToGrid w:val="0"/>
              <w:jc w:val="center"/>
              <w:rPr>
                <w:sz w:val="21"/>
                <w:szCs w:val="21"/>
                <w:highlight w:val="none"/>
              </w:rPr>
            </w:pPr>
            <w:r>
              <w:rPr>
                <w:sz w:val="21"/>
                <w:szCs w:val="21"/>
                <w:highlight w:val="none"/>
              </w:rPr>
              <w:t>硫化物</w:t>
            </w:r>
          </w:p>
          <w:p w14:paraId="0E6DF205">
            <w:pPr>
              <w:widowControl/>
              <w:snapToGrid w:val="0"/>
              <w:jc w:val="center"/>
              <w:rPr>
                <w:sz w:val="21"/>
                <w:szCs w:val="21"/>
                <w:highlight w:val="none"/>
              </w:rPr>
            </w:pPr>
            <w:r>
              <w:rPr>
                <w:sz w:val="21"/>
                <w:szCs w:val="21"/>
                <w:highlight w:val="none"/>
              </w:rPr>
              <w:t>NH</w:t>
            </w:r>
            <w:r>
              <w:rPr>
                <w:sz w:val="21"/>
                <w:szCs w:val="21"/>
                <w:highlight w:val="none"/>
                <w:vertAlign w:val="subscript"/>
              </w:rPr>
              <w:t>3</w:t>
            </w:r>
          </w:p>
        </w:tc>
        <w:tc>
          <w:tcPr>
            <w:tcW w:w="528" w:type="pct"/>
            <w:noWrap w:val="0"/>
            <w:vAlign w:val="center"/>
          </w:tcPr>
          <w:p w14:paraId="17762245">
            <w:pPr>
              <w:widowControl/>
              <w:snapToGrid w:val="0"/>
              <w:jc w:val="center"/>
              <w:rPr>
                <w:sz w:val="21"/>
                <w:szCs w:val="21"/>
                <w:highlight w:val="none"/>
                <w:lang w:val="pt-BR"/>
              </w:rPr>
            </w:pPr>
            <w:r>
              <w:rPr>
                <w:sz w:val="21"/>
                <w:szCs w:val="21"/>
                <w:highlight w:val="none"/>
                <w:lang w:val="pt-BR"/>
              </w:rPr>
              <w:t>3.49E-55mol%</w:t>
            </w:r>
          </w:p>
          <w:p w14:paraId="59E07012">
            <w:pPr>
              <w:widowControl/>
              <w:snapToGrid w:val="0"/>
              <w:jc w:val="center"/>
              <w:rPr>
                <w:sz w:val="21"/>
                <w:szCs w:val="21"/>
                <w:highlight w:val="none"/>
                <w:lang w:val="pt-BR"/>
              </w:rPr>
            </w:pPr>
            <w:r>
              <w:rPr>
                <w:sz w:val="21"/>
                <w:szCs w:val="21"/>
                <w:highlight w:val="none"/>
                <w:lang w:val="pt-BR"/>
              </w:rPr>
              <w:t>9.43E-56mol%</w:t>
            </w:r>
          </w:p>
          <w:p w14:paraId="118292A2">
            <w:pPr>
              <w:widowControl/>
              <w:snapToGrid w:val="0"/>
              <w:jc w:val="center"/>
              <w:rPr>
                <w:sz w:val="21"/>
                <w:szCs w:val="21"/>
                <w:highlight w:val="none"/>
                <w:lang w:val="pt-BR"/>
              </w:rPr>
            </w:pPr>
            <w:r>
              <w:rPr>
                <w:sz w:val="21"/>
                <w:szCs w:val="21"/>
                <w:highlight w:val="none"/>
                <w:lang w:val="pt-BR"/>
              </w:rPr>
              <w:t>4.08E-39mol%</w:t>
            </w:r>
          </w:p>
          <w:p w14:paraId="73A67A7D">
            <w:pPr>
              <w:widowControl/>
              <w:snapToGrid w:val="0"/>
              <w:jc w:val="center"/>
              <w:rPr>
                <w:sz w:val="21"/>
                <w:szCs w:val="21"/>
                <w:highlight w:val="none"/>
                <w:lang w:val="pt-BR"/>
              </w:rPr>
            </w:pPr>
            <w:r>
              <w:rPr>
                <w:sz w:val="21"/>
                <w:szCs w:val="21"/>
                <w:highlight w:val="none"/>
                <w:lang w:val="pt-BR"/>
              </w:rPr>
              <w:t>0.000005</w:t>
            </w:r>
            <w:r>
              <w:rPr>
                <w:sz w:val="21"/>
                <w:szCs w:val="21"/>
                <w:highlight w:val="none"/>
                <w:lang w:val="es-ES"/>
              </w:rPr>
              <w:t>mol%</w:t>
            </w:r>
          </w:p>
          <w:p w14:paraId="0CB8ABA1">
            <w:pPr>
              <w:widowControl/>
              <w:snapToGrid w:val="0"/>
              <w:jc w:val="center"/>
              <w:rPr>
                <w:sz w:val="21"/>
                <w:szCs w:val="21"/>
                <w:highlight w:val="none"/>
                <w:lang w:val="pt-BR"/>
              </w:rPr>
            </w:pPr>
            <w:r>
              <w:rPr>
                <w:sz w:val="21"/>
                <w:szCs w:val="21"/>
                <w:highlight w:val="none"/>
                <w:lang w:val="pt-BR"/>
              </w:rPr>
              <w:t>0.00002</w:t>
            </w:r>
            <w:r>
              <w:rPr>
                <w:sz w:val="21"/>
                <w:szCs w:val="21"/>
                <w:highlight w:val="none"/>
                <w:lang w:val="es-ES"/>
              </w:rPr>
              <w:t>mol%</w:t>
            </w:r>
          </w:p>
        </w:tc>
        <w:tc>
          <w:tcPr>
            <w:tcW w:w="190" w:type="pct"/>
            <w:noWrap w:val="0"/>
            <w:vAlign w:val="center"/>
          </w:tcPr>
          <w:p w14:paraId="56BBC99A">
            <w:pPr>
              <w:widowControl/>
              <w:snapToGrid w:val="0"/>
              <w:jc w:val="center"/>
              <w:rPr>
                <w:sz w:val="21"/>
                <w:szCs w:val="21"/>
                <w:highlight w:val="none"/>
              </w:rPr>
            </w:pPr>
            <w:r>
              <w:rPr>
                <w:sz w:val="21"/>
                <w:szCs w:val="21"/>
                <w:highlight w:val="none"/>
              </w:rPr>
              <w:t>连续</w:t>
            </w:r>
          </w:p>
        </w:tc>
        <w:tc>
          <w:tcPr>
            <w:tcW w:w="1336" w:type="pct"/>
            <w:noWrap w:val="0"/>
            <w:vAlign w:val="center"/>
          </w:tcPr>
          <w:p w14:paraId="4E5DBA7E">
            <w:pPr>
              <w:widowControl/>
              <w:snapToGrid w:val="0"/>
              <w:jc w:val="center"/>
              <w:rPr>
                <w:sz w:val="21"/>
                <w:szCs w:val="21"/>
                <w:highlight w:val="none"/>
              </w:rPr>
            </w:pPr>
            <w:r>
              <w:rPr>
                <w:sz w:val="21"/>
                <w:szCs w:val="21"/>
                <w:highlight w:val="none"/>
              </w:rPr>
              <w:t>去粉煤气化装置</w:t>
            </w:r>
          </w:p>
        </w:tc>
      </w:tr>
      <w:tr w14:paraId="1218E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51E223BC">
            <w:pPr>
              <w:widowControl/>
              <w:snapToGrid w:val="0"/>
              <w:jc w:val="center"/>
              <w:rPr>
                <w:sz w:val="21"/>
                <w:szCs w:val="21"/>
                <w:highlight w:val="none"/>
              </w:rPr>
            </w:pPr>
          </w:p>
        </w:tc>
        <w:tc>
          <w:tcPr>
            <w:tcW w:w="1506" w:type="pct"/>
            <w:gridSpan w:val="2"/>
            <w:noWrap w:val="0"/>
            <w:vAlign w:val="center"/>
          </w:tcPr>
          <w:p w14:paraId="1C38CFAE">
            <w:pPr>
              <w:widowControl/>
              <w:snapToGrid w:val="0"/>
              <w:jc w:val="center"/>
              <w:rPr>
                <w:sz w:val="21"/>
                <w:szCs w:val="21"/>
                <w:highlight w:val="none"/>
              </w:rPr>
            </w:pPr>
            <w:r>
              <w:rPr>
                <w:sz w:val="21"/>
                <w:szCs w:val="21"/>
                <w:highlight w:val="none"/>
              </w:rPr>
              <w:t>废热锅炉排污</w:t>
            </w:r>
          </w:p>
        </w:tc>
        <w:tc>
          <w:tcPr>
            <w:tcW w:w="628" w:type="pct"/>
            <w:noWrap w:val="0"/>
            <w:vAlign w:val="center"/>
          </w:tcPr>
          <w:p w14:paraId="44880224">
            <w:pPr>
              <w:widowControl/>
              <w:snapToGrid w:val="0"/>
              <w:jc w:val="center"/>
              <w:rPr>
                <w:sz w:val="21"/>
                <w:szCs w:val="21"/>
                <w:highlight w:val="none"/>
              </w:rPr>
            </w:pPr>
            <w:r>
              <w:rPr>
                <w:sz w:val="21"/>
                <w:szCs w:val="21"/>
                <w:highlight w:val="none"/>
              </w:rPr>
              <w:t>15.3</w:t>
            </w:r>
          </w:p>
        </w:tc>
        <w:tc>
          <w:tcPr>
            <w:tcW w:w="413" w:type="pct"/>
            <w:noWrap w:val="0"/>
            <w:vAlign w:val="center"/>
          </w:tcPr>
          <w:p w14:paraId="19E97B66">
            <w:pPr>
              <w:widowControl/>
              <w:snapToGrid w:val="0"/>
              <w:jc w:val="center"/>
              <w:rPr>
                <w:sz w:val="21"/>
                <w:szCs w:val="21"/>
                <w:highlight w:val="none"/>
              </w:rPr>
            </w:pPr>
            <w:r>
              <w:rPr>
                <w:sz w:val="21"/>
                <w:szCs w:val="21"/>
                <w:highlight w:val="none"/>
              </w:rPr>
              <w:t>Na</w:t>
            </w:r>
            <w:r>
              <w:rPr>
                <w:sz w:val="21"/>
                <w:szCs w:val="21"/>
                <w:highlight w:val="none"/>
                <w:vertAlign w:val="superscript"/>
              </w:rPr>
              <w:t>+</w:t>
            </w:r>
          </w:p>
          <w:p w14:paraId="71B33DF1">
            <w:pPr>
              <w:widowControl/>
              <w:snapToGrid w:val="0"/>
              <w:jc w:val="center"/>
              <w:rPr>
                <w:sz w:val="21"/>
                <w:szCs w:val="21"/>
                <w:highlight w:val="none"/>
              </w:rPr>
            </w:pPr>
            <w:r>
              <w:rPr>
                <w:sz w:val="21"/>
                <w:szCs w:val="21"/>
                <w:highlight w:val="none"/>
              </w:rPr>
              <w:t>Cl</w:t>
            </w:r>
            <w:r>
              <w:rPr>
                <w:sz w:val="21"/>
                <w:szCs w:val="21"/>
                <w:highlight w:val="none"/>
                <w:vertAlign w:val="superscript"/>
              </w:rPr>
              <w:t>-</w:t>
            </w:r>
          </w:p>
          <w:p w14:paraId="1635FE54">
            <w:pPr>
              <w:widowControl/>
              <w:snapToGrid w:val="0"/>
              <w:jc w:val="center"/>
              <w:rPr>
                <w:sz w:val="21"/>
                <w:szCs w:val="21"/>
                <w:highlight w:val="none"/>
              </w:rPr>
            </w:pPr>
            <w:r>
              <w:rPr>
                <w:sz w:val="21"/>
                <w:szCs w:val="21"/>
                <w:highlight w:val="none"/>
              </w:rPr>
              <w:t>TDS</w:t>
            </w:r>
          </w:p>
        </w:tc>
        <w:tc>
          <w:tcPr>
            <w:tcW w:w="528" w:type="pct"/>
            <w:noWrap w:val="0"/>
            <w:vAlign w:val="center"/>
          </w:tcPr>
          <w:p w14:paraId="2DF39E52">
            <w:pPr>
              <w:widowControl/>
              <w:snapToGrid w:val="0"/>
              <w:jc w:val="center"/>
              <w:rPr>
                <w:sz w:val="21"/>
                <w:szCs w:val="21"/>
                <w:highlight w:val="none"/>
              </w:rPr>
            </w:pPr>
            <w:r>
              <w:rPr>
                <w:sz w:val="21"/>
                <w:szCs w:val="21"/>
                <w:highlight w:val="none"/>
              </w:rPr>
              <w:t>6.5</w:t>
            </w:r>
          </w:p>
          <w:p w14:paraId="2BBAA698">
            <w:pPr>
              <w:widowControl/>
              <w:snapToGrid w:val="0"/>
              <w:jc w:val="center"/>
              <w:rPr>
                <w:sz w:val="21"/>
                <w:szCs w:val="21"/>
                <w:highlight w:val="none"/>
              </w:rPr>
            </w:pPr>
            <w:r>
              <w:rPr>
                <w:sz w:val="21"/>
                <w:szCs w:val="21"/>
                <w:highlight w:val="none"/>
              </w:rPr>
              <w:t>10</w:t>
            </w:r>
          </w:p>
          <w:p w14:paraId="6E90E189">
            <w:pPr>
              <w:widowControl/>
              <w:snapToGrid w:val="0"/>
              <w:jc w:val="center"/>
              <w:rPr>
                <w:sz w:val="21"/>
                <w:szCs w:val="21"/>
                <w:highlight w:val="none"/>
              </w:rPr>
            </w:pPr>
            <w:r>
              <w:rPr>
                <w:sz w:val="21"/>
                <w:szCs w:val="21"/>
                <w:highlight w:val="none"/>
              </w:rPr>
              <w:t>17</w:t>
            </w:r>
          </w:p>
        </w:tc>
        <w:tc>
          <w:tcPr>
            <w:tcW w:w="190" w:type="pct"/>
            <w:noWrap w:val="0"/>
            <w:vAlign w:val="center"/>
          </w:tcPr>
          <w:p w14:paraId="03D756B6">
            <w:pPr>
              <w:widowControl/>
              <w:snapToGrid w:val="0"/>
              <w:jc w:val="center"/>
              <w:rPr>
                <w:sz w:val="21"/>
                <w:szCs w:val="21"/>
                <w:highlight w:val="none"/>
              </w:rPr>
            </w:pPr>
            <w:r>
              <w:rPr>
                <w:sz w:val="21"/>
                <w:szCs w:val="21"/>
                <w:highlight w:val="none"/>
              </w:rPr>
              <w:t>连续</w:t>
            </w:r>
          </w:p>
        </w:tc>
        <w:tc>
          <w:tcPr>
            <w:tcW w:w="1336" w:type="pct"/>
            <w:noWrap w:val="0"/>
            <w:vAlign w:val="center"/>
          </w:tcPr>
          <w:p w14:paraId="6F28802F">
            <w:pPr>
              <w:widowControl/>
              <w:snapToGrid w:val="0"/>
              <w:jc w:val="center"/>
              <w:rPr>
                <w:rFonts w:hint="eastAsia" w:eastAsia="宋体"/>
                <w:sz w:val="21"/>
                <w:szCs w:val="21"/>
                <w:highlight w:val="none"/>
                <w:lang w:eastAsia="zh-CN"/>
              </w:rPr>
            </w:pPr>
            <w:r>
              <w:rPr>
                <w:sz w:val="21"/>
                <w:szCs w:val="21"/>
                <w:highlight w:val="none"/>
              </w:rPr>
              <w:t>去第三循环水</w:t>
            </w:r>
            <w:r>
              <w:rPr>
                <w:rFonts w:hint="eastAsia"/>
                <w:sz w:val="21"/>
                <w:szCs w:val="21"/>
                <w:highlight w:val="none"/>
                <w:lang w:eastAsia="zh-CN"/>
              </w:rPr>
              <w:t>厂</w:t>
            </w:r>
          </w:p>
        </w:tc>
      </w:tr>
      <w:tr w14:paraId="6F99C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restart"/>
            <w:noWrap w:val="0"/>
            <w:vAlign w:val="center"/>
          </w:tcPr>
          <w:p w14:paraId="16103CBF">
            <w:pPr>
              <w:widowControl/>
              <w:snapToGrid w:val="0"/>
              <w:jc w:val="center"/>
              <w:rPr>
                <w:sz w:val="21"/>
                <w:szCs w:val="21"/>
                <w:highlight w:val="none"/>
              </w:rPr>
            </w:pPr>
            <w:r>
              <w:rPr>
                <w:sz w:val="21"/>
                <w:szCs w:val="21"/>
                <w:highlight w:val="none"/>
              </w:rPr>
              <w:t>化学品合成装置</w:t>
            </w:r>
          </w:p>
        </w:tc>
        <w:tc>
          <w:tcPr>
            <w:tcW w:w="712" w:type="pct"/>
            <w:vMerge w:val="restart"/>
            <w:noWrap w:val="0"/>
            <w:vAlign w:val="center"/>
          </w:tcPr>
          <w:p w14:paraId="3091CEFB">
            <w:pPr>
              <w:widowControl/>
              <w:snapToGrid w:val="0"/>
              <w:jc w:val="center"/>
              <w:rPr>
                <w:sz w:val="21"/>
                <w:szCs w:val="21"/>
                <w:highlight w:val="none"/>
              </w:rPr>
            </w:pPr>
            <w:r>
              <w:rPr>
                <w:sz w:val="21"/>
                <w:szCs w:val="21"/>
                <w:highlight w:val="none"/>
              </w:rPr>
              <w:t>费托合成</w:t>
            </w:r>
          </w:p>
          <w:p w14:paraId="520B3D77">
            <w:pPr>
              <w:widowControl/>
              <w:snapToGrid w:val="0"/>
              <w:jc w:val="center"/>
              <w:rPr>
                <w:sz w:val="21"/>
                <w:szCs w:val="21"/>
                <w:highlight w:val="none"/>
              </w:rPr>
            </w:pPr>
            <w:r>
              <w:rPr>
                <w:sz w:val="21"/>
                <w:szCs w:val="21"/>
                <w:highlight w:val="none"/>
              </w:rPr>
              <w:t>单元</w:t>
            </w:r>
          </w:p>
        </w:tc>
        <w:tc>
          <w:tcPr>
            <w:tcW w:w="794" w:type="pct"/>
            <w:noWrap w:val="0"/>
            <w:vAlign w:val="center"/>
          </w:tcPr>
          <w:p w14:paraId="1E24645A">
            <w:pPr>
              <w:widowControl/>
              <w:snapToGrid w:val="0"/>
              <w:jc w:val="center"/>
              <w:rPr>
                <w:sz w:val="21"/>
                <w:szCs w:val="21"/>
                <w:highlight w:val="none"/>
              </w:rPr>
            </w:pPr>
            <w:r>
              <w:rPr>
                <w:sz w:val="21"/>
                <w:szCs w:val="21"/>
                <w:highlight w:val="none"/>
              </w:rPr>
              <w:t>合成水</w:t>
            </w:r>
          </w:p>
        </w:tc>
        <w:tc>
          <w:tcPr>
            <w:tcW w:w="628" w:type="pct"/>
            <w:noWrap w:val="0"/>
            <w:vAlign w:val="center"/>
          </w:tcPr>
          <w:p w14:paraId="03852E1F">
            <w:pPr>
              <w:widowControl/>
              <w:snapToGrid w:val="0"/>
              <w:jc w:val="center"/>
              <w:rPr>
                <w:sz w:val="21"/>
                <w:szCs w:val="21"/>
                <w:highlight w:val="none"/>
              </w:rPr>
            </w:pPr>
            <w:r>
              <w:rPr>
                <w:sz w:val="21"/>
                <w:szCs w:val="21"/>
                <w:highlight w:val="none"/>
              </w:rPr>
              <w:t>165.2</w:t>
            </w:r>
          </w:p>
        </w:tc>
        <w:tc>
          <w:tcPr>
            <w:tcW w:w="413" w:type="pct"/>
            <w:noWrap w:val="0"/>
            <w:vAlign w:val="center"/>
          </w:tcPr>
          <w:p w14:paraId="563906F7">
            <w:pPr>
              <w:widowControl/>
              <w:snapToGrid w:val="0"/>
              <w:jc w:val="center"/>
              <w:rPr>
                <w:sz w:val="21"/>
                <w:szCs w:val="21"/>
                <w:highlight w:val="none"/>
              </w:rPr>
            </w:pPr>
            <w:r>
              <w:rPr>
                <w:sz w:val="21"/>
                <w:szCs w:val="21"/>
                <w:highlight w:val="none"/>
              </w:rPr>
              <w:t>油</w:t>
            </w:r>
          </w:p>
        </w:tc>
        <w:tc>
          <w:tcPr>
            <w:tcW w:w="528" w:type="pct"/>
            <w:noWrap w:val="0"/>
            <w:vAlign w:val="center"/>
          </w:tcPr>
          <w:p w14:paraId="6946F862">
            <w:pPr>
              <w:widowControl/>
              <w:snapToGrid w:val="0"/>
              <w:jc w:val="center"/>
              <w:rPr>
                <w:sz w:val="21"/>
                <w:szCs w:val="21"/>
                <w:highlight w:val="none"/>
              </w:rPr>
            </w:pPr>
            <w:r>
              <w:rPr>
                <w:sz w:val="21"/>
                <w:szCs w:val="21"/>
                <w:highlight w:val="none"/>
              </w:rPr>
              <w:t>＜2000ppm</w:t>
            </w:r>
          </w:p>
        </w:tc>
        <w:tc>
          <w:tcPr>
            <w:tcW w:w="190" w:type="pct"/>
            <w:noWrap w:val="0"/>
            <w:vAlign w:val="center"/>
          </w:tcPr>
          <w:p w14:paraId="0A0D2031">
            <w:pPr>
              <w:widowControl/>
              <w:snapToGrid w:val="0"/>
              <w:jc w:val="center"/>
              <w:rPr>
                <w:sz w:val="21"/>
                <w:szCs w:val="21"/>
                <w:highlight w:val="none"/>
              </w:rPr>
            </w:pPr>
            <w:r>
              <w:rPr>
                <w:sz w:val="21"/>
                <w:szCs w:val="21"/>
                <w:highlight w:val="none"/>
              </w:rPr>
              <w:t>连续</w:t>
            </w:r>
          </w:p>
        </w:tc>
        <w:tc>
          <w:tcPr>
            <w:tcW w:w="1336" w:type="pct"/>
            <w:vMerge w:val="restart"/>
            <w:noWrap w:val="0"/>
            <w:vAlign w:val="center"/>
          </w:tcPr>
          <w:p w14:paraId="1EEF822A">
            <w:pPr>
              <w:widowControl/>
              <w:snapToGrid w:val="0"/>
              <w:jc w:val="center"/>
              <w:rPr>
                <w:sz w:val="21"/>
                <w:szCs w:val="21"/>
                <w:highlight w:val="none"/>
              </w:rPr>
            </w:pPr>
            <w:r>
              <w:rPr>
                <w:sz w:val="21"/>
                <w:szCs w:val="21"/>
                <w:highlight w:val="none"/>
              </w:rPr>
              <w:t>去化学品加工装置合成水处理单元</w:t>
            </w:r>
          </w:p>
        </w:tc>
      </w:tr>
      <w:tr w14:paraId="34C58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16DCF681">
            <w:pPr>
              <w:widowControl/>
              <w:snapToGrid w:val="0"/>
              <w:jc w:val="center"/>
              <w:rPr>
                <w:sz w:val="21"/>
                <w:szCs w:val="21"/>
                <w:highlight w:val="none"/>
              </w:rPr>
            </w:pPr>
          </w:p>
        </w:tc>
        <w:tc>
          <w:tcPr>
            <w:tcW w:w="712" w:type="pct"/>
            <w:vMerge w:val="continue"/>
            <w:noWrap w:val="0"/>
            <w:vAlign w:val="center"/>
          </w:tcPr>
          <w:p w14:paraId="302A33EB">
            <w:pPr>
              <w:widowControl/>
              <w:snapToGrid w:val="0"/>
              <w:jc w:val="center"/>
              <w:rPr>
                <w:sz w:val="21"/>
                <w:szCs w:val="21"/>
                <w:highlight w:val="none"/>
              </w:rPr>
            </w:pPr>
          </w:p>
        </w:tc>
        <w:tc>
          <w:tcPr>
            <w:tcW w:w="794" w:type="pct"/>
            <w:noWrap w:val="0"/>
            <w:vAlign w:val="center"/>
          </w:tcPr>
          <w:p w14:paraId="28BEE2E2">
            <w:pPr>
              <w:widowControl/>
              <w:snapToGrid w:val="0"/>
              <w:jc w:val="center"/>
              <w:rPr>
                <w:sz w:val="21"/>
                <w:szCs w:val="21"/>
                <w:highlight w:val="none"/>
              </w:rPr>
            </w:pPr>
            <w:r>
              <w:rPr>
                <w:sz w:val="21"/>
                <w:szCs w:val="21"/>
                <w:highlight w:val="none"/>
              </w:rPr>
              <w:t>汽提凝液</w:t>
            </w:r>
          </w:p>
        </w:tc>
        <w:tc>
          <w:tcPr>
            <w:tcW w:w="628" w:type="pct"/>
            <w:noWrap w:val="0"/>
            <w:vAlign w:val="center"/>
          </w:tcPr>
          <w:p w14:paraId="709F1187">
            <w:pPr>
              <w:widowControl/>
              <w:snapToGrid w:val="0"/>
              <w:jc w:val="center"/>
              <w:rPr>
                <w:sz w:val="21"/>
                <w:szCs w:val="21"/>
                <w:highlight w:val="none"/>
              </w:rPr>
            </w:pPr>
            <w:r>
              <w:rPr>
                <w:sz w:val="21"/>
                <w:szCs w:val="21"/>
                <w:highlight w:val="none"/>
              </w:rPr>
              <w:t>2.9</w:t>
            </w:r>
          </w:p>
        </w:tc>
        <w:tc>
          <w:tcPr>
            <w:tcW w:w="413" w:type="pct"/>
            <w:noWrap w:val="0"/>
            <w:vAlign w:val="center"/>
          </w:tcPr>
          <w:p w14:paraId="5FA04158">
            <w:pPr>
              <w:widowControl/>
              <w:snapToGrid w:val="0"/>
              <w:jc w:val="center"/>
              <w:rPr>
                <w:sz w:val="21"/>
                <w:szCs w:val="21"/>
                <w:highlight w:val="none"/>
              </w:rPr>
            </w:pPr>
            <w:r>
              <w:rPr>
                <w:sz w:val="21"/>
                <w:szCs w:val="21"/>
                <w:highlight w:val="none"/>
              </w:rPr>
              <w:t>低碳烃</w:t>
            </w:r>
          </w:p>
          <w:p w14:paraId="4C44937B">
            <w:pPr>
              <w:widowControl/>
              <w:snapToGrid w:val="0"/>
              <w:jc w:val="center"/>
              <w:rPr>
                <w:sz w:val="21"/>
                <w:szCs w:val="21"/>
                <w:highlight w:val="none"/>
              </w:rPr>
            </w:pPr>
            <w:r>
              <w:rPr>
                <w:sz w:val="21"/>
                <w:szCs w:val="21"/>
                <w:highlight w:val="none"/>
              </w:rPr>
              <w:t>重质中间产品</w:t>
            </w:r>
          </w:p>
        </w:tc>
        <w:tc>
          <w:tcPr>
            <w:tcW w:w="528" w:type="pct"/>
            <w:noWrap w:val="0"/>
            <w:vAlign w:val="center"/>
          </w:tcPr>
          <w:p w14:paraId="0D54EF0F">
            <w:pPr>
              <w:widowControl/>
              <w:snapToGrid w:val="0"/>
              <w:jc w:val="center"/>
              <w:rPr>
                <w:sz w:val="21"/>
                <w:szCs w:val="21"/>
                <w:highlight w:val="none"/>
              </w:rPr>
            </w:pPr>
            <w:r>
              <w:rPr>
                <w:sz w:val="21"/>
                <w:szCs w:val="21"/>
                <w:highlight w:val="none"/>
              </w:rPr>
              <w:t>0.1</w:t>
            </w:r>
            <w:r>
              <w:rPr>
                <w:sz w:val="21"/>
                <w:szCs w:val="21"/>
                <w:highlight w:val="none"/>
                <w:lang w:val="es-ES"/>
              </w:rPr>
              <w:t>mol%</w:t>
            </w:r>
          </w:p>
          <w:p w14:paraId="759FD0ED">
            <w:pPr>
              <w:widowControl/>
              <w:snapToGrid w:val="0"/>
              <w:jc w:val="center"/>
              <w:rPr>
                <w:sz w:val="21"/>
                <w:szCs w:val="21"/>
                <w:highlight w:val="none"/>
              </w:rPr>
            </w:pPr>
            <w:r>
              <w:rPr>
                <w:sz w:val="21"/>
                <w:szCs w:val="21"/>
                <w:highlight w:val="none"/>
              </w:rPr>
              <w:t>0.4</w:t>
            </w:r>
            <w:r>
              <w:rPr>
                <w:sz w:val="21"/>
                <w:szCs w:val="21"/>
                <w:highlight w:val="none"/>
                <w:lang w:val="es-ES"/>
              </w:rPr>
              <w:t>mol%</w:t>
            </w:r>
          </w:p>
        </w:tc>
        <w:tc>
          <w:tcPr>
            <w:tcW w:w="190" w:type="pct"/>
            <w:noWrap w:val="0"/>
            <w:vAlign w:val="center"/>
          </w:tcPr>
          <w:p w14:paraId="06E29B9B">
            <w:pPr>
              <w:widowControl/>
              <w:snapToGrid w:val="0"/>
              <w:jc w:val="center"/>
              <w:rPr>
                <w:sz w:val="21"/>
                <w:szCs w:val="21"/>
                <w:highlight w:val="none"/>
              </w:rPr>
            </w:pPr>
            <w:r>
              <w:rPr>
                <w:sz w:val="21"/>
                <w:szCs w:val="21"/>
                <w:highlight w:val="none"/>
              </w:rPr>
              <w:t>连续</w:t>
            </w:r>
          </w:p>
        </w:tc>
        <w:tc>
          <w:tcPr>
            <w:tcW w:w="1336" w:type="pct"/>
            <w:vMerge w:val="continue"/>
            <w:noWrap w:val="0"/>
            <w:vAlign w:val="center"/>
          </w:tcPr>
          <w:p w14:paraId="4CD57ABE">
            <w:pPr>
              <w:widowControl/>
              <w:snapToGrid w:val="0"/>
              <w:jc w:val="center"/>
              <w:rPr>
                <w:sz w:val="21"/>
                <w:szCs w:val="21"/>
                <w:highlight w:val="none"/>
              </w:rPr>
            </w:pPr>
          </w:p>
        </w:tc>
      </w:tr>
      <w:tr w14:paraId="6A054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2D454972">
            <w:pPr>
              <w:widowControl/>
              <w:snapToGrid w:val="0"/>
              <w:jc w:val="center"/>
              <w:rPr>
                <w:sz w:val="21"/>
                <w:szCs w:val="21"/>
                <w:highlight w:val="none"/>
              </w:rPr>
            </w:pPr>
          </w:p>
        </w:tc>
        <w:tc>
          <w:tcPr>
            <w:tcW w:w="1506" w:type="pct"/>
            <w:gridSpan w:val="2"/>
            <w:noWrap w:val="0"/>
            <w:vAlign w:val="center"/>
          </w:tcPr>
          <w:p w14:paraId="42823E31">
            <w:pPr>
              <w:widowControl/>
              <w:snapToGrid w:val="0"/>
              <w:jc w:val="center"/>
              <w:rPr>
                <w:sz w:val="21"/>
                <w:szCs w:val="21"/>
                <w:highlight w:val="none"/>
              </w:rPr>
            </w:pPr>
            <w:r>
              <w:rPr>
                <w:sz w:val="21"/>
                <w:szCs w:val="21"/>
                <w:highlight w:val="none"/>
              </w:rPr>
              <w:t>汽包排污</w:t>
            </w:r>
          </w:p>
        </w:tc>
        <w:tc>
          <w:tcPr>
            <w:tcW w:w="628" w:type="pct"/>
            <w:noWrap w:val="0"/>
            <w:vAlign w:val="center"/>
          </w:tcPr>
          <w:p w14:paraId="3C38B4D7">
            <w:pPr>
              <w:widowControl/>
              <w:snapToGrid w:val="0"/>
              <w:jc w:val="center"/>
              <w:rPr>
                <w:sz w:val="21"/>
                <w:szCs w:val="21"/>
                <w:highlight w:val="none"/>
              </w:rPr>
            </w:pPr>
            <w:r>
              <w:rPr>
                <w:sz w:val="21"/>
                <w:szCs w:val="21"/>
                <w:highlight w:val="none"/>
              </w:rPr>
              <w:t>10</w:t>
            </w:r>
          </w:p>
        </w:tc>
        <w:tc>
          <w:tcPr>
            <w:tcW w:w="413" w:type="pct"/>
            <w:noWrap w:val="0"/>
            <w:vAlign w:val="center"/>
          </w:tcPr>
          <w:p w14:paraId="6BACD4AE">
            <w:pPr>
              <w:widowControl/>
              <w:snapToGrid w:val="0"/>
              <w:jc w:val="center"/>
              <w:rPr>
                <w:sz w:val="21"/>
                <w:szCs w:val="21"/>
                <w:highlight w:val="none"/>
              </w:rPr>
            </w:pPr>
            <w:r>
              <w:rPr>
                <w:sz w:val="21"/>
                <w:szCs w:val="21"/>
                <w:highlight w:val="none"/>
              </w:rPr>
              <w:t>Na</w:t>
            </w:r>
            <w:r>
              <w:rPr>
                <w:sz w:val="21"/>
                <w:szCs w:val="21"/>
                <w:highlight w:val="none"/>
                <w:vertAlign w:val="superscript"/>
              </w:rPr>
              <w:t>+</w:t>
            </w:r>
          </w:p>
          <w:p w14:paraId="0FBF9297">
            <w:pPr>
              <w:widowControl/>
              <w:snapToGrid w:val="0"/>
              <w:jc w:val="center"/>
              <w:rPr>
                <w:sz w:val="21"/>
                <w:szCs w:val="21"/>
                <w:highlight w:val="none"/>
              </w:rPr>
            </w:pPr>
            <w:r>
              <w:rPr>
                <w:sz w:val="21"/>
                <w:szCs w:val="21"/>
                <w:highlight w:val="none"/>
              </w:rPr>
              <w:t>Cl</w:t>
            </w:r>
            <w:r>
              <w:rPr>
                <w:sz w:val="21"/>
                <w:szCs w:val="21"/>
                <w:highlight w:val="none"/>
                <w:vertAlign w:val="superscript"/>
              </w:rPr>
              <w:t>-</w:t>
            </w:r>
          </w:p>
          <w:p w14:paraId="4E5EC0C3">
            <w:pPr>
              <w:widowControl/>
              <w:snapToGrid w:val="0"/>
              <w:jc w:val="center"/>
              <w:rPr>
                <w:sz w:val="21"/>
                <w:szCs w:val="21"/>
                <w:highlight w:val="none"/>
              </w:rPr>
            </w:pPr>
            <w:r>
              <w:rPr>
                <w:sz w:val="21"/>
                <w:szCs w:val="21"/>
                <w:highlight w:val="none"/>
              </w:rPr>
              <w:t>TDS</w:t>
            </w:r>
          </w:p>
        </w:tc>
        <w:tc>
          <w:tcPr>
            <w:tcW w:w="528" w:type="pct"/>
            <w:noWrap w:val="0"/>
            <w:vAlign w:val="center"/>
          </w:tcPr>
          <w:p w14:paraId="20AD23BA">
            <w:pPr>
              <w:widowControl/>
              <w:snapToGrid w:val="0"/>
              <w:jc w:val="center"/>
              <w:rPr>
                <w:sz w:val="21"/>
                <w:szCs w:val="21"/>
                <w:highlight w:val="none"/>
              </w:rPr>
            </w:pPr>
            <w:r>
              <w:rPr>
                <w:sz w:val="21"/>
                <w:szCs w:val="21"/>
                <w:highlight w:val="none"/>
              </w:rPr>
              <w:t>6.5</w:t>
            </w:r>
          </w:p>
          <w:p w14:paraId="5E5B7DA5">
            <w:pPr>
              <w:widowControl/>
              <w:snapToGrid w:val="0"/>
              <w:jc w:val="center"/>
              <w:rPr>
                <w:sz w:val="21"/>
                <w:szCs w:val="21"/>
                <w:highlight w:val="none"/>
              </w:rPr>
            </w:pPr>
            <w:r>
              <w:rPr>
                <w:sz w:val="21"/>
                <w:szCs w:val="21"/>
                <w:highlight w:val="none"/>
              </w:rPr>
              <w:t>10</w:t>
            </w:r>
          </w:p>
          <w:p w14:paraId="02EE9CD9">
            <w:pPr>
              <w:widowControl/>
              <w:snapToGrid w:val="0"/>
              <w:jc w:val="center"/>
              <w:rPr>
                <w:sz w:val="21"/>
                <w:szCs w:val="21"/>
                <w:highlight w:val="none"/>
              </w:rPr>
            </w:pPr>
            <w:r>
              <w:rPr>
                <w:sz w:val="21"/>
                <w:szCs w:val="21"/>
                <w:highlight w:val="none"/>
              </w:rPr>
              <w:t>17</w:t>
            </w:r>
          </w:p>
        </w:tc>
        <w:tc>
          <w:tcPr>
            <w:tcW w:w="190" w:type="pct"/>
            <w:noWrap w:val="0"/>
            <w:vAlign w:val="center"/>
          </w:tcPr>
          <w:p w14:paraId="239C6CDC">
            <w:pPr>
              <w:widowControl/>
              <w:snapToGrid w:val="0"/>
              <w:jc w:val="center"/>
              <w:rPr>
                <w:sz w:val="21"/>
                <w:szCs w:val="21"/>
                <w:highlight w:val="none"/>
              </w:rPr>
            </w:pPr>
            <w:r>
              <w:rPr>
                <w:sz w:val="21"/>
                <w:szCs w:val="21"/>
                <w:highlight w:val="none"/>
              </w:rPr>
              <w:t>连续</w:t>
            </w:r>
          </w:p>
        </w:tc>
        <w:tc>
          <w:tcPr>
            <w:tcW w:w="1336" w:type="pct"/>
            <w:noWrap w:val="0"/>
            <w:vAlign w:val="center"/>
          </w:tcPr>
          <w:p w14:paraId="591A4C5F">
            <w:pPr>
              <w:widowControl/>
              <w:snapToGrid w:val="0"/>
              <w:jc w:val="center"/>
              <w:rPr>
                <w:rFonts w:hint="eastAsia" w:eastAsia="宋体"/>
                <w:sz w:val="21"/>
                <w:szCs w:val="21"/>
                <w:highlight w:val="none"/>
                <w:lang w:eastAsia="zh-CN"/>
              </w:rPr>
            </w:pPr>
            <w:r>
              <w:rPr>
                <w:sz w:val="21"/>
                <w:szCs w:val="21"/>
                <w:highlight w:val="none"/>
              </w:rPr>
              <w:t>去第三循环水</w:t>
            </w:r>
            <w:r>
              <w:rPr>
                <w:rFonts w:hint="eastAsia"/>
                <w:sz w:val="21"/>
                <w:szCs w:val="21"/>
                <w:highlight w:val="none"/>
                <w:lang w:eastAsia="zh-CN"/>
              </w:rPr>
              <w:t>厂</w:t>
            </w:r>
          </w:p>
        </w:tc>
      </w:tr>
      <w:tr w14:paraId="3F554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restart"/>
            <w:noWrap w:val="0"/>
            <w:vAlign w:val="center"/>
          </w:tcPr>
          <w:p w14:paraId="7A5B8579">
            <w:pPr>
              <w:widowControl/>
              <w:snapToGrid w:val="0"/>
              <w:jc w:val="center"/>
              <w:rPr>
                <w:sz w:val="21"/>
                <w:szCs w:val="21"/>
                <w:highlight w:val="none"/>
              </w:rPr>
            </w:pPr>
            <w:r>
              <w:rPr>
                <w:sz w:val="21"/>
                <w:szCs w:val="21"/>
                <w:highlight w:val="none"/>
              </w:rPr>
              <w:t>化学品加工装置</w:t>
            </w:r>
          </w:p>
        </w:tc>
        <w:tc>
          <w:tcPr>
            <w:tcW w:w="712" w:type="pct"/>
            <w:vMerge w:val="restart"/>
            <w:noWrap w:val="0"/>
            <w:vAlign w:val="center"/>
          </w:tcPr>
          <w:p w14:paraId="3432246A">
            <w:pPr>
              <w:widowControl/>
              <w:snapToGrid w:val="0"/>
              <w:jc w:val="center"/>
              <w:rPr>
                <w:sz w:val="21"/>
                <w:szCs w:val="21"/>
                <w:highlight w:val="none"/>
              </w:rPr>
            </w:pPr>
            <w:r>
              <w:rPr>
                <w:sz w:val="21"/>
                <w:szCs w:val="21"/>
                <w:highlight w:val="none"/>
              </w:rPr>
              <w:t>加氢精制单元</w:t>
            </w:r>
          </w:p>
        </w:tc>
        <w:tc>
          <w:tcPr>
            <w:tcW w:w="2104" w:type="dxa"/>
            <w:noWrap w:val="0"/>
            <w:vAlign w:val="center"/>
          </w:tcPr>
          <w:p w14:paraId="1357694E">
            <w:pPr>
              <w:widowControl/>
              <w:snapToGrid w:val="0"/>
              <w:jc w:val="center"/>
              <w:rPr>
                <w:sz w:val="21"/>
                <w:szCs w:val="21"/>
                <w:highlight w:val="none"/>
              </w:rPr>
            </w:pPr>
            <w:r>
              <w:rPr>
                <w:sz w:val="21"/>
                <w:szCs w:val="21"/>
                <w:highlight w:val="none"/>
              </w:rPr>
              <w:t>冷低压分离器排</w:t>
            </w:r>
            <w:r>
              <w:rPr>
                <w:rFonts w:hint="eastAsia"/>
                <w:sz w:val="21"/>
                <w:szCs w:val="21"/>
                <w:highlight w:val="none"/>
                <w:lang w:eastAsia="zh-CN"/>
              </w:rPr>
              <w:t>放</w:t>
            </w:r>
            <w:r>
              <w:rPr>
                <w:sz w:val="21"/>
                <w:szCs w:val="21"/>
                <w:highlight w:val="none"/>
              </w:rPr>
              <w:t>含硫含油污水</w:t>
            </w:r>
          </w:p>
        </w:tc>
        <w:tc>
          <w:tcPr>
            <w:tcW w:w="628" w:type="pct"/>
            <w:noWrap w:val="0"/>
            <w:vAlign w:val="center"/>
          </w:tcPr>
          <w:p w14:paraId="2D06BF55">
            <w:pPr>
              <w:widowControl/>
              <w:snapToGrid w:val="0"/>
              <w:jc w:val="center"/>
              <w:rPr>
                <w:sz w:val="21"/>
                <w:szCs w:val="21"/>
                <w:highlight w:val="none"/>
              </w:rPr>
            </w:pPr>
            <w:r>
              <w:rPr>
                <w:sz w:val="21"/>
                <w:szCs w:val="21"/>
                <w:highlight w:val="none"/>
              </w:rPr>
              <w:t>正常</w:t>
            </w:r>
            <w:r>
              <w:rPr>
                <w:rFonts w:hint="eastAsia"/>
                <w:sz w:val="21"/>
                <w:szCs w:val="21"/>
                <w:highlight w:val="none"/>
                <w:lang w:eastAsia="zh-CN"/>
              </w:rPr>
              <w:t>值</w:t>
            </w:r>
            <w:r>
              <w:rPr>
                <w:sz w:val="21"/>
                <w:szCs w:val="21"/>
                <w:highlight w:val="none"/>
              </w:rPr>
              <w:t>：1.3</w:t>
            </w:r>
          </w:p>
          <w:p w14:paraId="1652D886">
            <w:pPr>
              <w:widowControl/>
              <w:snapToGrid w:val="0"/>
              <w:jc w:val="center"/>
              <w:rPr>
                <w:sz w:val="21"/>
                <w:szCs w:val="21"/>
                <w:highlight w:val="none"/>
              </w:rPr>
            </w:pPr>
            <w:r>
              <w:rPr>
                <w:sz w:val="21"/>
                <w:szCs w:val="21"/>
                <w:highlight w:val="none"/>
              </w:rPr>
              <w:t>最大</w:t>
            </w:r>
            <w:r>
              <w:rPr>
                <w:rFonts w:hint="eastAsia"/>
                <w:sz w:val="21"/>
                <w:szCs w:val="21"/>
                <w:highlight w:val="none"/>
                <w:lang w:eastAsia="zh-CN"/>
              </w:rPr>
              <w:t>值</w:t>
            </w:r>
            <w:r>
              <w:rPr>
                <w:sz w:val="21"/>
                <w:szCs w:val="21"/>
                <w:highlight w:val="none"/>
              </w:rPr>
              <w:t>：1.7</w:t>
            </w:r>
          </w:p>
        </w:tc>
        <w:tc>
          <w:tcPr>
            <w:tcW w:w="413" w:type="pct"/>
            <w:noWrap w:val="0"/>
            <w:vAlign w:val="center"/>
          </w:tcPr>
          <w:p w14:paraId="6AB08B15">
            <w:pPr>
              <w:widowControl/>
              <w:snapToGrid w:val="0"/>
              <w:jc w:val="center"/>
              <w:rPr>
                <w:sz w:val="21"/>
                <w:szCs w:val="21"/>
                <w:highlight w:val="none"/>
              </w:rPr>
            </w:pPr>
            <w:r>
              <w:rPr>
                <w:sz w:val="21"/>
                <w:szCs w:val="21"/>
                <w:highlight w:val="none"/>
              </w:rPr>
              <w:t>PH</w:t>
            </w:r>
          </w:p>
          <w:p w14:paraId="4E703378">
            <w:pPr>
              <w:widowControl/>
              <w:snapToGrid w:val="0"/>
              <w:jc w:val="center"/>
              <w:rPr>
                <w:sz w:val="21"/>
                <w:szCs w:val="21"/>
                <w:highlight w:val="none"/>
              </w:rPr>
            </w:pPr>
            <w:r>
              <w:rPr>
                <w:sz w:val="21"/>
                <w:szCs w:val="21"/>
                <w:highlight w:val="none"/>
              </w:rPr>
              <w:t>COD</w:t>
            </w:r>
          </w:p>
          <w:p w14:paraId="6204ED3E">
            <w:pPr>
              <w:widowControl/>
              <w:snapToGrid w:val="0"/>
              <w:jc w:val="center"/>
              <w:rPr>
                <w:sz w:val="21"/>
                <w:szCs w:val="21"/>
                <w:highlight w:val="none"/>
              </w:rPr>
            </w:pPr>
            <w:r>
              <w:rPr>
                <w:sz w:val="21"/>
                <w:szCs w:val="21"/>
                <w:highlight w:val="none"/>
              </w:rPr>
              <w:t>油</w:t>
            </w:r>
          </w:p>
          <w:p w14:paraId="1C3F9EE2">
            <w:pPr>
              <w:widowControl/>
              <w:snapToGrid w:val="0"/>
              <w:jc w:val="center"/>
              <w:rPr>
                <w:sz w:val="21"/>
                <w:szCs w:val="21"/>
                <w:highlight w:val="none"/>
              </w:rPr>
            </w:pPr>
            <w:r>
              <w:rPr>
                <w:sz w:val="21"/>
                <w:szCs w:val="21"/>
                <w:highlight w:val="none"/>
              </w:rPr>
              <w:t>硫化物</w:t>
            </w:r>
          </w:p>
        </w:tc>
        <w:tc>
          <w:tcPr>
            <w:tcW w:w="528" w:type="pct"/>
            <w:noWrap w:val="0"/>
            <w:vAlign w:val="center"/>
          </w:tcPr>
          <w:p w14:paraId="0F6B6D40">
            <w:pPr>
              <w:widowControl/>
              <w:snapToGrid w:val="0"/>
              <w:jc w:val="center"/>
              <w:rPr>
                <w:sz w:val="21"/>
                <w:szCs w:val="21"/>
                <w:highlight w:val="none"/>
              </w:rPr>
            </w:pPr>
            <w:r>
              <w:rPr>
                <w:sz w:val="21"/>
                <w:szCs w:val="21"/>
                <w:highlight w:val="none"/>
              </w:rPr>
              <w:t>6~8</w:t>
            </w:r>
          </w:p>
          <w:p w14:paraId="3AC52A39">
            <w:pPr>
              <w:widowControl/>
              <w:snapToGrid w:val="0"/>
              <w:jc w:val="center"/>
              <w:rPr>
                <w:sz w:val="21"/>
                <w:szCs w:val="21"/>
                <w:highlight w:val="none"/>
              </w:rPr>
            </w:pPr>
            <w:r>
              <w:rPr>
                <w:sz w:val="21"/>
                <w:szCs w:val="21"/>
                <w:highlight w:val="none"/>
              </w:rPr>
              <w:t>&lt;700</w:t>
            </w:r>
          </w:p>
          <w:p w14:paraId="486DAB77">
            <w:pPr>
              <w:widowControl/>
              <w:snapToGrid w:val="0"/>
              <w:jc w:val="center"/>
              <w:rPr>
                <w:sz w:val="21"/>
                <w:szCs w:val="21"/>
                <w:highlight w:val="none"/>
              </w:rPr>
            </w:pPr>
            <w:r>
              <w:rPr>
                <w:sz w:val="21"/>
                <w:szCs w:val="21"/>
                <w:highlight w:val="none"/>
              </w:rPr>
              <w:t>50</w:t>
            </w:r>
          </w:p>
          <w:p w14:paraId="0CDD71F9">
            <w:pPr>
              <w:widowControl/>
              <w:snapToGrid w:val="0"/>
              <w:jc w:val="center"/>
              <w:rPr>
                <w:sz w:val="21"/>
                <w:szCs w:val="21"/>
                <w:highlight w:val="none"/>
              </w:rPr>
            </w:pPr>
            <w:r>
              <w:rPr>
                <w:sz w:val="21"/>
                <w:szCs w:val="21"/>
                <w:highlight w:val="none"/>
              </w:rPr>
              <w:t>100</w:t>
            </w:r>
          </w:p>
        </w:tc>
        <w:tc>
          <w:tcPr>
            <w:tcW w:w="190" w:type="pct"/>
            <w:noWrap w:val="0"/>
            <w:vAlign w:val="center"/>
          </w:tcPr>
          <w:p w14:paraId="4F051899">
            <w:pPr>
              <w:widowControl/>
              <w:snapToGrid w:val="0"/>
              <w:jc w:val="center"/>
              <w:rPr>
                <w:sz w:val="21"/>
                <w:szCs w:val="21"/>
                <w:highlight w:val="none"/>
              </w:rPr>
            </w:pPr>
            <w:r>
              <w:rPr>
                <w:sz w:val="21"/>
                <w:szCs w:val="21"/>
                <w:highlight w:val="none"/>
              </w:rPr>
              <w:t>连续</w:t>
            </w:r>
          </w:p>
        </w:tc>
        <w:tc>
          <w:tcPr>
            <w:tcW w:w="1336" w:type="pct"/>
            <w:vMerge w:val="restart"/>
            <w:noWrap w:val="0"/>
            <w:vAlign w:val="center"/>
          </w:tcPr>
          <w:p w14:paraId="74C9C073">
            <w:pPr>
              <w:widowControl/>
              <w:snapToGrid w:val="0"/>
              <w:jc w:val="center"/>
              <w:rPr>
                <w:sz w:val="21"/>
                <w:szCs w:val="21"/>
                <w:highlight w:val="none"/>
              </w:rPr>
            </w:pPr>
            <w:r>
              <w:rPr>
                <w:sz w:val="21"/>
                <w:szCs w:val="21"/>
                <w:highlight w:val="none"/>
              </w:rPr>
              <w:t>送净化装置酸性水汽提单元</w:t>
            </w:r>
          </w:p>
        </w:tc>
      </w:tr>
      <w:tr w14:paraId="63597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3788A8DB">
            <w:pPr>
              <w:widowControl/>
              <w:snapToGrid w:val="0"/>
              <w:jc w:val="center"/>
              <w:rPr>
                <w:sz w:val="21"/>
                <w:szCs w:val="21"/>
                <w:highlight w:val="none"/>
              </w:rPr>
            </w:pPr>
          </w:p>
        </w:tc>
        <w:tc>
          <w:tcPr>
            <w:tcW w:w="712" w:type="pct"/>
            <w:vMerge w:val="continue"/>
            <w:noWrap w:val="0"/>
            <w:vAlign w:val="center"/>
          </w:tcPr>
          <w:p w14:paraId="2AC90D64">
            <w:pPr>
              <w:widowControl/>
              <w:snapToGrid w:val="0"/>
              <w:jc w:val="center"/>
              <w:rPr>
                <w:sz w:val="21"/>
                <w:szCs w:val="21"/>
                <w:highlight w:val="none"/>
              </w:rPr>
            </w:pPr>
          </w:p>
        </w:tc>
        <w:tc>
          <w:tcPr>
            <w:tcW w:w="2104" w:type="dxa"/>
            <w:noWrap w:val="0"/>
            <w:vAlign w:val="center"/>
          </w:tcPr>
          <w:p w14:paraId="15B95D31">
            <w:pPr>
              <w:widowControl/>
              <w:snapToGrid w:val="0"/>
              <w:jc w:val="center"/>
              <w:rPr>
                <w:sz w:val="21"/>
                <w:szCs w:val="21"/>
                <w:highlight w:val="none"/>
              </w:rPr>
            </w:pPr>
            <w:r>
              <w:rPr>
                <w:sz w:val="21"/>
                <w:szCs w:val="21"/>
                <w:highlight w:val="none"/>
              </w:rPr>
              <w:t>精制分馏塔顶回流罐排</w:t>
            </w:r>
            <w:r>
              <w:rPr>
                <w:rFonts w:hint="eastAsia"/>
                <w:sz w:val="21"/>
                <w:szCs w:val="21"/>
                <w:highlight w:val="none"/>
                <w:lang w:eastAsia="zh-CN"/>
              </w:rPr>
              <w:t>放</w:t>
            </w:r>
            <w:r>
              <w:rPr>
                <w:sz w:val="21"/>
                <w:szCs w:val="21"/>
                <w:highlight w:val="none"/>
              </w:rPr>
              <w:t>含硫含油污水</w:t>
            </w:r>
          </w:p>
        </w:tc>
        <w:tc>
          <w:tcPr>
            <w:tcW w:w="628" w:type="pct"/>
            <w:noWrap w:val="0"/>
            <w:vAlign w:val="center"/>
          </w:tcPr>
          <w:p w14:paraId="4EC20C53">
            <w:pPr>
              <w:widowControl/>
              <w:snapToGrid w:val="0"/>
              <w:jc w:val="center"/>
              <w:rPr>
                <w:sz w:val="21"/>
                <w:szCs w:val="21"/>
                <w:highlight w:val="none"/>
              </w:rPr>
            </w:pPr>
            <w:r>
              <w:rPr>
                <w:sz w:val="21"/>
                <w:szCs w:val="21"/>
                <w:highlight w:val="none"/>
              </w:rPr>
              <w:t>正常</w:t>
            </w:r>
            <w:r>
              <w:rPr>
                <w:rFonts w:hint="eastAsia"/>
                <w:sz w:val="21"/>
                <w:szCs w:val="21"/>
                <w:highlight w:val="none"/>
                <w:lang w:eastAsia="zh-CN"/>
              </w:rPr>
              <w:t>值</w:t>
            </w:r>
            <w:r>
              <w:rPr>
                <w:sz w:val="21"/>
                <w:szCs w:val="21"/>
                <w:highlight w:val="none"/>
              </w:rPr>
              <w:t>：2.0</w:t>
            </w:r>
          </w:p>
          <w:p w14:paraId="3014DA64">
            <w:pPr>
              <w:widowControl/>
              <w:snapToGrid w:val="0"/>
              <w:jc w:val="center"/>
              <w:rPr>
                <w:sz w:val="21"/>
                <w:szCs w:val="21"/>
                <w:highlight w:val="none"/>
              </w:rPr>
            </w:pPr>
            <w:r>
              <w:rPr>
                <w:sz w:val="21"/>
                <w:szCs w:val="21"/>
                <w:highlight w:val="none"/>
              </w:rPr>
              <w:t>最大</w:t>
            </w:r>
            <w:r>
              <w:rPr>
                <w:rFonts w:hint="eastAsia"/>
                <w:sz w:val="21"/>
                <w:szCs w:val="21"/>
                <w:highlight w:val="none"/>
                <w:lang w:eastAsia="zh-CN"/>
              </w:rPr>
              <w:t>值</w:t>
            </w:r>
            <w:r>
              <w:rPr>
                <w:sz w:val="21"/>
                <w:szCs w:val="21"/>
                <w:highlight w:val="none"/>
              </w:rPr>
              <w:t>：2.6</w:t>
            </w:r>
          </w:p>
        </w:tc>
        <w:tc>
          <w:tcPr>
            <w:tcW w:w="413" w:type="pct"/>
            <w:noWrap w:val="0"/>
            <w:vAlign w:val="center"/>
          </w:tcPr>
          <w:p w14:paraId="2086ABAA">
            <w:pPr>
              <w:widowControl/>
              <w:snapToGrid w:val="0"/>
              <w:jc w:val="center"/>
              <w:rPr>
                <w:sz w:val="21"/>
                <w:szCs w:val="21"/>
                <w:highlight w:val="none"/>
              </w:rPr>
            </w:pPr>
            <w:r>
              <w:rPr>
                <w:sz w:val="21"/>
                <w:szCs w:val="21"/>
                <w:highlight w:val="none"/>
              </w:rPr>
              <w:t>PH</w:t>
            </w:r>
          </w:p>
          <w:p w14:paraId="0C261E35">
            <w:pPr>
              <w:widowControl/>
              <w:snapToGrid w:val="0"/>
              <w:jc w:val="center"/>
              <w:rPr>
                <w:sz w:val="21"/>
                <w:szCs w:val="21"/>
                <w:highlight w:val="none"/>
              </w:rPr>
            </w:pPr>
            <w:r>
              <w:rPr>
                <w:sz w:val="21"/>
                <w:szCs w:val="21"/>
                <w:highlight w:val="none"/>
              </w:rPr>
              <w:t>COD</w:t>
            </w:r>
          </w:p>
          <w:p w14:paraId="165A57A1">
            <w:pPr>
              <w:widowControl/>
              <w:snapToGrid w:val="0"/>
              <w:jc w:val="center"/>
              <w:rPr>
                <w:sz w:val="21"/>
                <w:szCs w:val="21"/>
                <w:highlight w:val="none"/>
              </w:rPr>
            </w:pPr>
            <w:r>
              <w:rPr>
                <w:sz w:val="21"/>
                <w:szCs w:val="21"/>
                <w:highlight w:val="none"/>
              </w:rPr>
              <w:t>油</w:t>
            </w:r>
          </w:p>
          <w:p w14:paraId="0075872A">
            <w:pPr>
              <w:widowControl/>
              <w:snapToGrid w:val="0"/>
              <w:jc w:val="center"/>
              <w:rPr>
                <w:sz w:val="21"/>
                <w:szCs w:val="21"/>
                <w:highlight w:val="none"/>
              </w:rPr>
            </w:pPr>
            <w:r>
              <w:rPr>
                <w:sz w:val="21"/>
                <w:szCs w:val="21"/>
                <w:highlight w:val="none"/>
              </w:rPr>
              <w:t>硫化物</w:t>
            </w:r>
          </w:p>
        </w:tc>
        <w:tc>
          <w:tcPr>
            <w:tcW w:w="528" w:type="pct"/>
            <w:noWrap w:val="0"/>
            <w:vAlign w:val="center"/>
          </w:tcPr>
          <w:p w14:paraId="6BD03606">
            <w:pPr>
              <w:widowControl/>
              <w:snapToGrid w:val="0"/>
              <w:jc w:val="center"/>
              <w:rPr>
                <w:sz w:val="21"/>
                <w:szCs w:val="21"/>
                <w:highlight w:val="none"/>
              </w:rPr>
            </w:pPr>
            <w:r>
              <w:rPr>
                <w:sz w:val="21"/>
                <w:szCs w:val="21"/>
                <w:highlight w:val="none"/>
              </w:rPr>
              <w:t>6~8</w:t>
            </w:r>
          </w:p>
          <w:p w14:paraId="471E8D7B">
            <w:pPr>
              <w:widowControl/>
              <w:snapToGrid w:val="0"/>
              <w:jc w:val="center"/>
              <w:rPr>
                <w:sz w:val="21"/>
                <w:szCs w:val="21"/>
                <w:highlight w:val="none"/>
              </w:rPr>
            </w:pPr>
            <w:r>
              <w:rPr>
                <w:sz w:val="21"/>
                <w:szCs w:val="21"/>
                <w:highlight w:val="none"/>
              </w:rPr>
              <w:t>&lt;700</w:t>
            </w:r>
          </w:p>
          <w:p w14:paraId="5CB13537">
            <w:pPr>
              <w:widowControl/>
              <w:snapToGrid w:val="0"/>
              <w:jc w:val="center"/>
              <w:rPr>
                <w:sz w:val="21"/>
                <w:szCs w:val="21"/>
                <w:highlight w:val="none"/>
              </w:rPr>
            </w:pPr>
            <w:r>
              <w:rPr>
                <w:sz w:val="21"/>
                <w:szCs w:val="21"/>
                <w:highlight w:val="none"/>
              </w:rPr>
              <w:t>50</w:t>
            </w:r>
          </w:p>
          <w:p w14:paraId="7CDDACD5">
            <w:pPr>
              <w:widowControl/>
              <w:snapToGrid w:val="0"/>
              <w:jc w:val="center"/>
              <w:rPr>
                <w:sz w:val="21"/>
                <w:szCs w:val="21"/>
                <w:highlight w:val="none"/>
              </w:rPr>
            </w:pPr>
            <w:r>
              <w:rPr>
                <w:sz w:val="21"/>
                <w:szCs w:val="21"/>
                <w:highlight w:val="none"/>
              </w:rPr>
              <w:t>100</w:t>
            </w:r>
          </w:p>
        </w:tc>
        <w:tc>
          <w:tcPr>
            <w:tcW w:w="190" w:type="pct"/>
            <w:noWrap w:val="0"/>
            <w:vAlign w:val="center"/>
          </w:tcPr>
          <w:p w14:paraId="3ED5E6B1">
            <w:pPr>
              <w:widowControl/>
              <w:snapToGrid w:val="0"/>
              <w:jc w:val="center"/>
              <w:rPr>
                <w:sz w:val="21"/>
                <w:szCs w:val="21"/>
                <w:highlight w:val="none"/>
              </w:rPr>
            </w:pPr>
            <w:r>
              <w:rPr>
                <w:sz w:val="21"/>
                <w:szCs w:val="21"/>
                <w:highlight w:val="none"/>
              </w:rPr>
              <w:t>连续</w:t>
            </w:r>
          </w:p>
        </w:tc>
        <w:tc>
          <w:tcPr>
            <w:tcW w:w="1336" w:type="pct"/>
            <w:vMerge w:val="continue"/>
            <w:noWrap w:val="0"/>
            <w:vAlign w:val="center"/>
          </w:tcPr>
          <w:p w14:paraId="05548606">
            <w:pPr>
              <w:widowControl/>
              <w:snapToGrid w:val="0"/>
              <w:jc w:val="center"/>
              <w:rPr>
                <w:sz w:val="21"/>
                <w:szCs w:val="21"/>
                <w:highlight w:val="none"/>
              </w:rPr>
            </w:pPr>
          </w:p>
        </w:tc>
      </w:tr>
      <w:tr w14:paraId="5F442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10424207">
            <w:pPr>
              <w:widowControl/>
              <w:snapToGrid w:val="0"/>
              <w:jc w:val="center"/>
              <w:rPr>
                <w:sz w:val="21"/>
                <w:szCs w:val="21"/>
                <w:highlight w:val="none"/>
              </w:rPr>
            </w:pPr>
          </w:p>
        </w:tc>
        <w:tc>
          <w:tcPr>
            <w:tcW w:w="712" w:type="pct"/>
            <w:vMerge w:val="continue"/>
            <w:noWrap w:val="0"/>
            <w:vAlign w:val="center"/>
          </w:tcPr>
          <w:p w14:paraId="3C795843">
            <w:pPr>
              <w:widowControl/>
              <w:snapToGrid w:val="0"/>
              <w:jc w:val="center"/>
              <w:rPr>
                <w:sz w:val="21"/>
                <w:szCs w:val="21"/>
                <w:highlight w:val="none"/>
              </w:rPr>
            </w:pPr>
          </w:p>
        </w:tc>
        <w:tc>
          <w:tcPr>
            <w:tcW w:w="2104" w:type="dxa"/>
            <w:noWrap w:val="0"/>
            <w:vAlign w:val="center"/>
          </w:tcPr>
          <w:p w14:paraId="0E2F3B44">
            <w:pPr>
              <w:widowControl/>
              <w:snapToGrid w:val="0"/>
              <w:jc w:val="center"/>
              <w:rPr>
                <w:sz w:val="21"/>
                <w:szCs w:val="21"/>
                <w:highlight w:val="none"/>
              </w:rPr>
            </w:pPr>
            <w:r>
              <w:rPr>
                <w:sz w:val="21"/>
                <w:szCs w:val="21"/>
                <w:highlight w:val="none"/>
              </w:rPr>
              <w:t>精制减压塔顶分水罐排</w:t>
            </w:r>
            <w:r>
              <w:rPr>
                <w:rFonts w:hint="eastAsia"/>
                <w:sz w:val="21"/>
                <w:szCs w:val="21"/>
                <w:highlight w:val="none"/>
                <w:lang w:eastAsia="zh-CN"/>
              </w:rPr>
              <w:t>放</w:t>
            </w:r>
            <w:r>
              <w:rPr>
                <w:sz w:val="21"/>
                <w:szCs w:val="21"/>
                <w:highlight w:val="none"/>
              </w:rPr>
              <w:t>含油污水</w:t>
            </w:r>
          </w:p>
        </w:tc>
        <w:tc>
          <w:tcPr>
            <w:tcW w:w="628" w:type="pct"/>
            <w:noWrap w:val="0"/>
            <w:vAlign w:val="center"/>
          </w:tcPr>
          <w:p w14:paraId="0188C650">
            <w:pPr>
              <w:widowControl/>
              <w:snapToGrid w:val="0"/>
              <w:jc w:val="center"/>
              <w:rPr>
                <w:sz w:val="21"/>
                <w:szCs w:val="21"/>
                <w:highlight w:val="none"/>
              </w:rPr>
            </w:pPr>
            <w:r>
              <w:rPr>
                <w:sz w:val="21"/>
                <w:szCs w:val="21"/>
                <w:highlight w:val="none"/>
              </w:rPr>
              <w:t>正常</w:t>
            </w:r>
            <w:r>
              <w:rPr>
                <w:rFonts w:hint="eastAsia"/>
                <w:sz w:val="21"/>
                <w:szCs w:val="21"/>
                <w:highlight w:val="none"/>
                <w:lang w:eastAsia="zh-CN"/>
              </w:rPr>
              <w:t>值</w:t>
            </w:r>
            <w:r>
              <w:rPr>
                <w:sz w:val="21"/>
                <w:szCs w:val="21"/>
                <w:highlight w:val="none"/>
              </w:rPr>
              <w:t>：1.6</w:t>
            </w:r>
          </w:p>
          <w:p w14:paraId="26E60BDB">
            <w:pPr>
              <w:widowControl/>
              <w:snapToGrid w:val="0"/>
              <w:jc w:val="center"/>
              <w:rPr>
                <w:sz w:val="21"/>
                <w:szCs w:val="21"/>
                <w:highlight w:val="none"/>
              </w:rPr>
            </w:pPr>
            <w:r>
              <w:rPr>
                <w:sz w:val="21"/>
                <w:szCs w:val="21"/>
                <w:highlight w:val="none"/>
              </w:rPr>
              <w:t>最大</w:t>
            </w:r>
            <w:r>
              <w:rPr>
                <w:rFonts w:hint="eastAsia"/>
                <w:sz w:val="21"/>
                <w:szCs w:val="21"/>
                <w:highlight w:val="none"/>
                <w:lang w:eastAsia="zh-CN"/>
              </w:rPr>
              <w:t>值</w:t>
            </w:r>
            <w:r>
              <w:rPr>
                <w:sz w:val="21"/>
                <w:szCs w:val="21"/>
                <w:highlight w:val="none"/>
              </w:rPr>
              <w:t>：6.6</w:t>
            </w:r>
          </w:p>
        </w:tc>
        <w:tc>
          <w:tcPr>
            <w:tcW w:w="413" w:type="pct"/>
            <w:noWrap w:val="0"/>
            <w:vAlign w:val="center"/>
          </w:tcPr>
          <w:p w14:paraId="5981AA77">
            <w:pPr>
              <w:widowControl/>
              <w:snapToGrid w:val="0"/>
              <w:jc w:val="center"/>
              <w:rPr>
                <w:sz w:val="21"/>
                <w:szCs w:val="21"/>
                <w:highlight w:val="none"/>
              </w:rPr>
            </w:pPr>
            <w:r>
              <w:rPr>
                <w:sz w:val="21"/>
                <w:szCs w:val="21"/>
                <w:highlight w:val="none"/>
              </w:rPr>
              <w:t>PH</w:t>
            </w:r>
          </w:p>
          <w:p w14:paraId="1ADF4A12">
            <w:pPr>
              <w:widowControl/>
              <w:snapToGrid w:val="0"/>
              <w:jc w:val="center"/>
              <w:rPr>
                <w:sz w:val="21"/>
                <w:szCs w:val="21"/>
                <w:highlight w:val="none"/>
              </w:rPr>
            </w:pPr>
            <w:r>
              <w:rPr>
                <w:sz w:val="21"/>
                <w:szCs w:val="21"/>
                <w:highlight w:val="none"/>
              </w:rPr>
              <w:t>COD</w:t>
            </w:r>
          </w:p>
          <w:p w14:paraId="10C22EA0">
            <w:pPr>
              <w:widowControl/>
              <w:snapToGrid w:val="0"/>
              <w:jc w:val="center"/>
              <w:rPr>
                <w:sz w:val="21"/>
                <w:szCs w:val="21"/>
                <w:highlight w:val="none"/>
              </w:rPr>
            </w:pPr>
            <w:r>
              <w:rPr>
                <w:sz w:val="21"/>
                <w:szCs w:val="21"/>
                <w:highlight w:val="none"/>
              </w:rPr>
              <w:t>油</w:t>
            </w:r>
          </w:p>
        </w:tc>
        <w:tc>
          <w:tcPr>
            <w:tcW w:w="528" w:type="pct"/>
            <w:noWrap w:val="0"/>
            <w:vAlign w:val="center"/>
          </w:tcPr>
          <w:p w14:paraId="2A3257AF">
            <w:pPr>
              <w:widowControl/>
              <w:snapToGrid w:val="0"/>
              <w:jc w:val="center"/>
              <w:rPr>
                <w:sz w:val="21"/>
                <w:szCs w:val="21"/>
                <w:highlight w:val="none"/>
              </w:rPr>
            </w:pPr>
            <w:r>
              <w:rPr>
                <w:sz w:val="21"/>
                <w:szCs w:val="21"/>
                <w:highlight w:val="none"/>
              </w:rPr>
              <w:t>6~8</w:t>
            </w:r>
          </w:p>
          <w:p w14:paraId="6BB94423">
            <w:pPr>
              <w:widowControl/>
              <w:snapToGrid w:val="0"/>
              <w:jc w:val="center"/>
              <w:rPr>
                <w:sz w:val="21"/>
                <w:szCs w:val="21"/>
                <w:highlight w:val="none"/>
              </w:rPr>
            </w:pPr>
            <w:r>
              <w:rPr>
                <w:sz w:val="21"/>
                <w:szCs w:val="21"/>
                <w:highlight w:val="none"/>
              </w:rPr>
              <w:t>&lt;700</w:t>
            </w:r>
          </w:p>
          <w:p w14:paraId="120CA2EA">
            <w:pPr>
              <w:widowControl/>
              <w:snapToGrid w:val="0"/>
              <w:jc w:val="center"/>
              <w:rPr>
                <w:sz w:val="21"/>
                <w:szCs w:val="21"/>
                <w:highlight w:val="none"/>
              </w:rPr>
            </w:pPr>
            <w:r>
              <w:rPr>
                <w:sz w:val="21"/>
                <w:szCs w:val="21"/>
                <w:highlight w:val="none"/>
              </w:rPr>
              <w:t>1000</w:t>
            </w:r>
          </w:p>
        </w:tc>
        <w:tc>
          <w:tcPr>
            <w:tcW w:w="190" w:type="pct"/>
            <w:noWrap w:val="0"/>
            <w:vAlign w:val="center"/>
          </w:tcPr>
          <w:p w14:paraId="45BEF375">
            <w:pPr>
              <w:widowControl/>
              <w:snapToGrid w:val="0"/>
              <w:jc w:val="center"/>
              <w:rPr>
                <w:sz w:val="21"/>
                <w:szCs w:val="21"/>
                <w:highlight w:val="none"/>
              </w:rPr>
            </w:pPr>
            <w:r>
              <w:rPr>
                <w:sz w:val="21"/>
                <w:szCs w:val="21"/>
                <w:highlight w:val="none"/>
              </w:rPr>
              <w:t>连续</w:t>
            </w:r>
          </w:p>
        </w:tc>
        <w:tc>
          <w:tcPr>
            <w:tcW w:w="1336" w:type="pct"/>
            <w:noWrap w:val="0"/>
            <w:vAlign w:val="center"/>
          </w:tcPr>
          <w:p w14:paraId="715E7E8F">
            <w:pPr>
              <w:widowControl/>
              <w:snapToGrid w:val="0"/>
              <w:jc w:val="center"/>
              <w:rPr>
                <w:sz w:val="21"/>
                <w:szCs w:val="21"/>
                <w:highlight w:val="none"/>
              </w:rPr>
            </w:pPr>
            <w:r>
              <w:rPr>
                <w:sz w:val="21"/>
                <w:szCs w:val="21"/>
                <w:highlight w:val="none"/>
              </w:rPr>
              <w:t>去厂内</w:t>
            </w:r>
            <w:r>
              <w:rPr>
                <w:rFonts w:hint="eastAsia"/>
                <w:sz w:val="21"/>
                <w:szCs w:val="21"/>
                <w:highlight w:val="none"/>
                <w:lang w:eastAsia="zh-CN"/>
              </w:rPr>
              <w:t>污水处理厂进行</w:t>
            </w:r>
            <w:r>
              <w:rPr>
                <w:sz w:val="21"/>
                <w:szCs w:val="21"/>
                <w:highlight w:val="none"/>
              </w:rPr>
              <w:t>含油污水预处理</w:t>
            </w:r>
          </w:p>
        </w:tc>
      </w:tr>
      <w:tr w14:paraId="3CF24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72707421">
            <w:pPr>
              <w:widowControl/>
              <w:snapToGrid w:val="0"/>
              <w:jc w:val="center"/>
              <w:rPr>
                <w:sz w:val="21"/>
                <w:szCs w:val="21"/>
                <w:highlight w:val="none"/>
              </w:rPr>
            </w:pPr>
          </w:p>
        </w:tc>
        <w:tc>
          <w:tcPr>
            <w:tcW w:w="712" w:type="pct"/>
            <w:vMerge w:val="restart"/>
            <w:noWrap w:val="0"/>
            <w:vAlign w:val="center"/>
          </w:tcPr>
          <w:p w14:paraId="2F08158E">
            <w:pPr>
              <w:widowControl/>
              <w:snapToGrid w:val="0"/>
              <w:jc w:val="center"/>
              <w:rPr>
                <w:sz w:val="21"/>
                <w:szCs w:val="21"/>
                <w:highlight w:val="none"/>
              </w:rPr>
            </w:pPr>
            <w:r>
              <w:rPr>
                <w:sz w:val="21"/>
                <w:szCs w:val="21"/>
                <w:highlight w:val="none"/>
              </w:rPr>
              <w:t>加氢裂化单元</w:t>
            </w:r>
          </w:p>
        </w:tc>
        <w:tc>
          <w:tcPr>
            <w:tcW w:w="2104" w:type="dxa"/>
            <w:noWrap w:val="0"/>
            <w:vAlign w:val="center"/>
          </w:tcPr>
          <w:p w14:paraId="1B3C581E">
            <w:pPr>
              <w:widowControl/>
              <w:snapToGrid w:val="0"/>
              <w:jc w:val="center"/>
              <w:rPr>
                <w:sz w:val="21"/>
                <w:szCs w:val="21"/>
                <w:highlight w:val="none"/>
              </w:rPr>
            </w:pPr>
            <w:r>
              <w:rPr>
                <w:sz w:val="21"/>
                <w:szCs w:val="21"/>
                <w:highlight w:val="none"/>
              </w:rPr>
              <w:t>分馏塔顶罐排</w:t>
            </w:r>
            <w:r>
              <w:rPr>
                <w:rFonts w:hint="eastAsia"/>
                <w:sz w:val="21"/>
                <w:szCs w:val="21"/>
                <w:highlight w:val="none"/>
                <w:lang w:eastAsia="zh-CN"/>
              </w:rPr>
              <w:t>放</w:t>
            </w:r>
            <w:r>
              <w:rPr>
                <w:sz w:val="21"/>
                <w:szCs w:val="21"/>
                <w:highlight w:val="none"/>
              </w:rPr>
              <w:t>含硫含油污水</w:t>
            </w:r>
          </w:p>
        </w:tc>
        <w:tc>
          <w:tcPr>
            <w:tcW w:w="628" w:type="pct"/>
            <w:noWrap w:val="0"/>
            <w:vAlign w:val="center"/>
          </w:tcPr>
          <w:p w14:paraId="638ABEB7">
            <w:pPr>
              <w:widowControl/>
              <w:snapToGrid w:val="0"/>
              <w:jc w:val="center"/>
              <w:rPr>
                <w:sz w:val="21"/>
                <w:szCs w:val="21"/>
                <w:highlight w:val="none"/>
              </w:rPr>
            </w:pPr>
            <w:r>
              <w:rPr>
                <w:sz w:val="21"/>
                <w:szCs w:val="21"/>
                <w:highlight w:val="none"/>
              </w:rPr>
              <w:t>正常</w:t>
            </w:r>
            <w:r>
              <w:rPr>
                <w:rFonts w:hint="eastAsia"/>
                <w:sz w:val="21"/>
                <w:szCs w:val="21"/>
                <w:highlight w:val="none"/>
                <w:lang w:eastAsia="zh-CN"/>
              </w:rPr>
              <w:t>值</w:t>
            </w:r>
            <w:r>
              <w:rPr>
                <w:sz w:val="21"/>
                <w:szCs w:val="21"/>
                <w:highlight w:val="none"/>
              </w:rPr>
              <w:t>：3.38</w:t>
            </w:r>
          </w:p>
          <w:p w14:paraId="477900E4">
            <w:pPr>
              <w:widowControl/>
              <w:snapToGrid w:val="0"/>
              <w:jc w:val="center"/>
              <w:rPr>
                <w:sz w:val="21"/>
                <w:szCs w:val="21"/>
                <w:highlight w:val="none"/>
              </w:rPr>
            </w:pPr>
            <w:r>
              <w:rPr>
                <w:sz w:val="21"/>
                <w:szCs w:val="21"/>
                <w:highlight w:val="none"/>
              </w:rPr>
              <w:t>最大</w:t>
            </w:r>
            <w:r>
              <w:rPr>
                <w:rFonts w:hint="eastAsia"/>
                <w:sz w:val="21"/>
                <w:szCs w:val="21"/>
                <w:highlight w:val="none"/>
                <w:lang w:eastAsia="zh-CN"/>
              </w:rPr>
              <w:t>值</w:t>
            </w:r>
            <w:r>
              <w:rPr>
                <w:sz w:val="21"/>
                <w:szCs w:val="21"/>
                <w:highlight w:val="none"/>
              </w:rPr>
              <w:t>：5.23</w:t>
            </w:r>
          </w:p>
        </w:tc>
        <w:tc>
          <w:tcPr>
            <w:tcW w:w="413" w:type="pct"/>
            <w:noWrap w:val="0"/>
            <w:vAlign w:val="center"/>
          </w:tcPr>
          <w:p w14:paraId="003016AF">
            <w:pPr>
              <w:widowControl/>
              <w:snapToGrid w:val="0"/>
              <w:jc w:val="center"/>
              <w:rPr>
                <w:sz w:val="21"/>
                <w:szCs w:val="21"/>
                <w:highlight w:val="none"/>
              </w:rPr>
            </w:pPr>
            <w:r>
              <w:rPr>
                <w:sz w:val="21"/>
                <w:szCs w:val="21"/>
                <w:highlight w:val="none"/>
              </w:rPr>
              <w:t>PH</w:t>
            </w:r>
          </w:p>
          <w:p w14:paraId="16E613CB">
            <w:pPr>
              <w:widowControl/>
              <w:snapToGrid w:val="0"/>
              <w:jc w:val="center"/>
              <w:rPr>
                <w:sz w:val="21"/>
                <w:szCs w:val="21"/>
                <w:highlight w:val="none"/>
              </w:rPr>
            </w:pPr>
            <w:r>
              <w:rPr>
                <w:sz w:val="21"/>
                <w:szCs w:val="21"/>
                <w:highlight w:val="none"/>
              </w:rPr>
              <w:t>COD</w:t>
            </w:r>
          </w:p>
          <w:p w14:paraId="62A54B40">
            <w:pPr>
              <w:widowControl/>
              <w:snapToGrid w:val="0"/>
              <w:jc w:val="center"/>
              <w:rPr>
                <w:sz w:val="21"/>
                <w:szCs w:val="21"/>
                <w:highlight w:val="none"/>
              </w:rPr>
            </w:pPr>
            <w:r>
              <w:rPr>
                <w:sz w:val="21"/>
                <w:szCs w:val="21"/>
                <w:highlight w:val="none"/>
              </w:rPr>
              <w:t>油</w:t>
            </w:r>
          </w:p>
          <w:p w14:paraId="7FA6F3D2">
            <w:pPr>
              <w:widowControl/>
              <w:snapToGrid w:val="0"/>
              <w:jc w:val="center"/>
              <w:rPr>
                <w:sz w:val="21"/>
                <w:szCs w:val="21"/>
                <w:highlight w:val="none"/>
              </w:rPr>
            </w:pPr>
            <w:r>
              <w:rPr>
                <w:sz w:val="21"/>
                <w:szCs w:val="21"/>
                <w:highlight w:val="none"/>
              </w:rPr>
              <w:t>硫化物</w:t>
            </w:r>
          </w:p>
        </w:tc>
        <w:tc>
          <w:tcPr>
            <w:tcW w:w="528" w:type="pct"/>
            <w:noWrap w:val="0"/>
            <w:vAlign w:val="center"/>
          </w:tcPr>
          <w:p w14:paraId="4278C1CA">
            <w:pPr>
              <w:widowControl/>
              <w:snapToGrid w:val="0"/>
              <w:jc w:val="center"/>
              <w:rPr>
                <w:sz w:val="21"/>
                <w:szCs w:val="21"/>
                <w:highlight w:val="none"/>
              </w:rPr>
            </w:pPr>
            <w:r>
              <w:rPr>
                <w:sz w:val="21"/>
                <w:szCs w:val="21"/>
                <w:highlight w:val="none"/>
              </w:rPr>
              <w:t>6~8</w:t>
            </w:r>
          </w:p>
          <w:p w14:paraId="39809A3B">
            <w:pPr>
              <w:widowControl/>
              <w:snapToGrid w:val="0"/>
              <w:jc w:val="center"/>
              <w:rPr>
                <w:sz w:val="21"/>
                <w:szCs w:val="21"/>
                <w:highlight w:val="none"/>
              </w:rPr>
            </w:pPr>
            <w:r>
              <w:rPr>
                <w:sz w:val="21"/>
                <w:szCs w:val="21"/>
                <w:highlight w:val="none"/>
              </w:rPr>
              <w:t>700</w:t>
            </w:r>
          </w:p>
          <w:p w14:paraId="2A20EA15">
            <w:pPr>
              <w:widowControl/>
              <w:snapToGrid w:val="0"/>
              <w:jc w:val="center"/>
              <w:rPr>
                <w:sz w:val="21"/>
                <w:szCs w:val="21"/>
                <w:highlight w:val="none"/>
              </w:rPr>
            </w:pPr>
            <w:r>
              <w:rPr>
                <w:sz w:val="21"/>
                <w:szCs w:val="21"/>
                <w:highlight w:val="none"/>
              </w:rPr>
              <w:t>50</w:t>
            </w:r>
          </w:p>
          <w:p w14:paraId="70510788">
            <w:pPr>
              <w:widowControl/>
              <w:snapToGrid w:val="0"/>
              <w:jc w:val="center"/>
              <w:rPr>
                <w:sz w:val="21"/>
                <w:szCs w:val="21"/>
                <w:highlight w:val="none"/>
              </w:rPr>
            </w:pPr>
            <w:r>
              <w:rPr>
                <w:sz w:val="21"/>
                <w:szCs w:val="21"/>
                <w:highlight w:val="none"/>
              </w:rPr>
              <w:t>100</w:t>
            </w:r>
          </w:p>
        </w:tc>
        <w:tc>
          <w:tcPr>
            <w:tcW w:w="190" w:type="pct"/>
            <w:noWrap w:val="0"/>
            <w:vAlign w:val="center"/>
          </w:tcPr>
          <w:p w14:paraId="45EA28FC">
            <w:pPr>
              <w:widowControl/>
              <w:snapToGrid w:val="0"/>
              <w:jc w:val="center"/>
              <w:rPr>
                <w:sz w:val="21"/>
                <w:szCs w:val="21"/>
                <w:highlight w:val="none"/>
              </w:rPr>
            </w:pPr>
            <w:r>
              <w:rPr>
                <w:sz w:val="21"/>
                <w:szCs w:val="21"/>
                <w:highlight w:val="none"/>
              </w:rPr>
              <w:t>连续</w:t>
            </w:r>
          </w:p>
        </w:tc>
        <w:tc>
          <w:tcPr>
            <w:tcW w:w="1336" w:type="pct"/>
            <w:noWrap w:val="0"/>
            <w:vAlign w:val="center"/>
          </w:tcPr>
          <w:p w14:paraId="31793541">
            <w:pPr>
              <w:widowControl/>
              <w:snapToGrid w:val="0"/>
              <w:jc w:val="center"/>
              <w:rPr>
                <w:sz w:val="21"/>
                <w:szCs w:val="21"/>
                <w:highlight w:val="none"/>
              </w:rPr>
            </w:pPr>
            <w:r>
              <w:rPr>
                <w:sz w:val="21"/>
                <w:szCs w:val="21"/>
                <w:highlight w:val="none"/>
              </w:rPr>
              <w:t>送净化装置酸性水汽提单元</w:t>
            </w:r>
          </w:p>
        </w:tc>
      </w:tr>
      <w:tr w14:paraId="28D7C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2BB01010">
            <w:pPr>
              <w:widowControl/>
              <w:snapToGrid w:val="0"/>
              <w:jc w:val="center"/>
              <w:rPr>
                <w:sz w:val="21"/>
                <w:szCs w:val="21"/>
                <w:highlight w:val="none"/>
              </w:rPr>
            </w:pPr>
          </w:p>
        </w:tc>
        <w:tc>
          <w:tcPr>
            <w:tcW w:w="712" w:type="pct"/>
            <w:vMerge w:val="continue"/>
            <w:noWrap w:val="0"/>
            <w:vAlign w:val="center"/>
          </w:tcPr>
          <w:p w14:paraId="79E02F58">
            <w:pPr>
              <w:widowControl/>
              <w:snapToGrid w:val="0"/>
              <w:jc w:val="center"/>
              <w:rPr>
                <w:sz w:val="21"/>
                <w:szCs w:val="21"/>
                <w:highlight w:val="none"/>
              </w:rPr>
            </w:pPr>
          </w:p>
        </w:tc>
        <w:tc>
          <w:tcPr>
            <w:tcW w:w="2104" w:type="dxa"/>
            <w:noWrap w:val="0"/>
            <w:vAlign w:val="center"/>
          </w:tcPr>
          <w:p w14:paraId="794C2B75">
            <w:pPr>
              <w:widowControl/>
              <w:snapToGrid w:val="0"/>
              <w:jc w:val="center"/>
              <w:rPr>
                <w:sz w:val="21"/>
                <w:szCs w:val="21"/>
                <w:highlight w:val="none"/>
              </w:rPr>
            </w:pPr>
            <w:r>
              <w:rPr>
                <w:sz w:val="21"/>
                <w:szCs w:val="21"/>
                <w:highlight w:val="none"/>
              </w:rPr>
              <w:t>减压塔顶分水罐排</w:t>
            </w:r>
            <w:r>
              <w:rPr>
                <w:rFonts w:hint="eastAsia"/>
                <w:sz w:val="21"/>
                <w:szCs w:val="21"/>
                <w:highlight w:val="none"/>
                <w:lang w:eastAsia="zh-CN"/>
              </w:rPr>
              <w:t>放</w:t>
            </w:r>
            <w:r>
              <w:rPr>
                <w:sz w:val="21"/>
                <w:szCs w:val="21"/>
                <w:highlight w:val="none"/>
              </w:rPr>
              <w:t>含油污水</w:t>
            </w:r>
          </w:p>
        </w:tc>
        <w:tc>
          <w:tcPr>
            <w:tcW w:w="628" w:type="pct"/>
            <w:noWrap w:val="0"/>
            <w:vAlign w:val="center"/>
          </w:tcPr>
          <w:p w14:paraId="2E2BD9A7">
            <w:pPr>
              <w:widowControl/>
              <w:snapToGrid w:val="0"/>
              <w:jc w:val="center"/>
              <w:rPr>
                <w:sz w:val="21"/>
                <w:szCs w:val="21"/>
                <w:highlight w:val="none"/>
              </w:rPr>
            </w:pPr>
            <w:r>
              <w:rPr>
                <w:sz w:val="21"/>
                <w:szCs w:val="21"/>
                <w:highlight w:val="none"/>
              </w:rPr>
              <w:t>正常</w:t>
            </w:r>
            <w:r>
              <w:rPr>
                <w:rFonts w:hint="eastAsia"/>
                <w:sz w:val="21"/>
                <w:szCs w:val="21"/>
                <w:highlight w:val="none"/>
                <w:lang w:eastAsia="zh-CN"/>
              </w:rPr>
              <w:t>值</w:t>
            </w:r>
            <w:r>
              <w:rPr>
                <w:sz w:val="21"/>
                <w:szCs w:val="21"/>
                <w:highlight w:val="none"/>
              </w:rPr>
              <w:t>：1.757</w:t>
            </w:r>
          </w:p>
          <w:p w14:paraId="5E13A526">
            <w:pPr>
              <w:widowControl/>
              <w:snapToGrid w:val="0"/>
              <w:jc w:val="center"/>
              <w:rPr>
                <w:sz w:val="21"/>
                <w:szCs w:val="21"/>
                <w:highlight w:val="none"/>
              </w:rPr>
            </w:pPr>
            <w:r>
              <w:rPr>
                <w:sz w:val="21"/>
                <w:szCs w:val="21"/>
                <w:highlight w:val="none"/>
              </w:rPr>
              <w:t>最大</w:t>
            </w:r>
            <w:r>
              <w:rPr>
                <w:rFonts w:hint="eastAsia"/>
                <w:sz w:val="21"/>
                <w:szCs w:val="21"/>
                <w:highlight w:val="none"/>
                <w:lang w:eastAsia="zh-CN"/>
              </w:rPr>
              <w:t>值</w:t>
            </w:r>
            <w:r>
              <w:rPr>
                <w:sz w:val="21"/>
                <w:szCs w:val="21"/>
                <w:highlight w:val="none"/>
              </w:rPr>
              <w:t>：7.713</w:t>
            </w:r>
          </w:p>
        </w:tc>
        <w:tc>
          <w:tcPr>
            <w:tcW w:w="413" w:type="pct"/>
            <w:noWrap w:val="0"/>
            <w:vAlign w:val="center"/>
          </w:tcPr>
          <w:p w14:paraId="1269C0B4">
            <w:pPr>
              <w:widowControl/>
              <w:snapToGrid w:val="0"/>
              <w:jc w:val="center"/>
              <w:rPr>
                <w:sz w:val="21"/>
                <w:szCs w:val="21"/>
                <w:highlight w:val="none"/>
              </w:rPr>
            </w:pPr>
            <w:r>
              <w:rPr>
                <w:sz w:val="21"/>
                <w:szCs w:val="21"/>
                <w:highlight w:val="none"/>
              </w:rPr>
              <w:t>PH</w:t>
            </w:r>
          </w:p>
          <w:p w14:paraId="1204FC3A">
            <w:pPr>
              <w:widowControl/>
              <w:snapToGrid w:val="0"/>
              <w:jc w:val="center"/>
              <w:rPr>
                <w:sz w:val="21"/>
                <w:szCs w:val="21"/>
                <w:highlight w:val="none"/>
              </w:rPr>
            </w:pPr>
            <w:r>
              <w:rPr>
                <w:sz w:val="21"/>
                <w:szCs w:val="21"/>
                <w:highlight w:val="none"/>
              </w:rPr>
              <w:t>COD</w:t>
            </w:r>
          </w:p>
          <w:p w14:paraId="60573F2E">
            <w:pPr>
              <w:widowControl/>
              <w:snapToGrid w:val="0"/>
              <w:jc w:val="center"/>
              <w:rPr>
                <w:sz w:val="21"/>
                <w:szCs w:val="21"/>
                <w:highlight w:val="none"/>
              </w:rPr>
            </w:pPr>
            <w:r>
              <w:rPr>
                <w:sz w:val="21"/>
                <w:szCs w:val="21"/>
                <w:highlight w:val="none"/>
              </w:rPr>
              <w:t>油</w:t>
            </w:r>
          </w:p>
        </w:tc>
        <w:tc>
          <w:tcPr>
            <w:tcW w:w="528" w:type="pct"/>
            <w:noWrap w:val="0"/>
            <w:vAlign w:val="center"/>
          </w:tcPr>
          <w:p w14:paraId="00649187">
            <w:pPr>
              <w:widowControl/>
              <w:snapToGrid w:val="0"/>
              <w:jc w:val="center"/>
              <w:rPr>
                <w:sz w:val="21"/>
                <w:szCs w:val="21"/>
                <w:highlight w:val="none"/>
              </w:rPr>
            </w:pPr>
            <w:r>
              <w:rPr>
                <w:sz w:val="21"/>
                <w:szCs w:val="21"/>
                <w:highlight w:val="none"/>
              </w:rPr>
              <w:t>6~8</w:t>
            </w:r>
          </w:p>
          <w:p w14:paraId="3C3D31B9">
            <w:pPr>
              <w:widowControl/>
              <w:snapToGrid w:val="0"/>
              <w:jc w:val="center"/>
              <w:rPr>
                <w:sz w:val="21"/>
                <w:szCs w:val="21"/>
                <w:highlight w:val="none"/>
              </w:rPr>
            </w:pPr>
            <w:r>
              <w:rPr>
                <w:sz w:val="21"/>
                <w:szCs w:val="21"/>
                <w:highlight w:val="none"/>
              </w:rPr>
              <w:t>&lt;700</w:t>
            </w:r>
          </w:p>
          <w:p w14:paraId="635234C7">
            <w:pPr>
              <w:widowControl/>
              <w:snapToGrid w:val="0"/>
              <w:jc w:val="center"/>
              <w:rPr>
                <w:sz w:val="21"/>
                <w:szCs w:val="21"/>
                <w:highlight w:val="none"/>
              </w:rPr>
            </w:pPr>
            <w:r>
              <w:rPr>
                <w:sz w:val="21"/>
                <w:szCs w:val="21"/>
                <w:highlight w:val="none"/>
              </w:rPr>
              <w:t>1000</w:t>
            </w:r>
          </w:p>
        </w:tc>
        <w:tc>
          <w:tcPr>
            <w:tcW w:w="190" w:type="pct"/>
            <w:noWrap w:val="0"/>
            <w:vAlign w:val="center"/>
          </w:tcPr>
          <w:p w14:paraId="6F1EE345">
            <w:pPr>
              <w:widowControl/>
              <w:snapToGrid w:val="0"/>
              <w:jc w:val="center"/>
              <w:rPr>
                <w:sz w:val="21"/>
                <w:szCs w:val="21"/>
                <w:highlight w:val="none"/>
              </w:rPr>
            </w:pPr>
            <w:r>
              <w:rPr>
                <w:sz w:val="21"/>
                <w:szCs w:val="21"/>
                <w:highlight w:val="none"/>
              </w:rPr>
              <w:t>连续</w:t>
            </w:r>
          </w:p>
        </w:tc>
        <w:tc>
          <w:tcPr>
            <w:tcW w:w="1336" w:type="pct"/>
            <w:noWrap w:val="0"/>
            <w:vAlign w:val="center"/>
          </w:tcPr>
          <w:p w14:paraId="6491E40E">
            <w:pPr>
              <w:widowControl/>
              <w:snapToGrid w:val="0"/>
              <w:jc w:val="center"/>
              <w:rPr>
                <w:sz w:val="21"/>
                <w:szCs w:val="21"/>
                <w:highlight w:val="none"/>
              </w:rPr>
            </w:pPr>
            <w:r>
              <w:rPr>
                <w:sz w:val="21"/>
                <w:szCs w:val="21"/>
                <w:highlight w:val="none"/>
              </w:rPr>
              <w:t>去厂内</w:t>
            </w:r>
            <w:r>
              <w:rPr>
                <w:rFonts w:hint="eastAsia"/>
                <w:sz w:val="21"/>
                <w:szCs w:val="21"/>
                <w:highlight w:val="none"/>
                <w:lang w:eastAsia="zh-CN"/>
              </w:rPr>
              <w:t>污水处理厂进行</w:t>
            </w:r>
            <w:r>
              <w:rPr>
                <w:sz w:val="21"/>
                <w:szCs w:val="21"/>
                <w:highlight w:val="none"/>
              </w:rPr>
              <w:t>含油污水预处理</w:t>
            </w:r>
          </w:p>
        </w:tc>
      </w:tr>
      <w:tr w14:paraId="3CCD7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75FF1804">
            <w:pPr>
              <w:widowControl/>
              <w:snapToGrid w:val="0"/>
              <w:jc w:val="center"/>
              <w:rPr>
                <w:sz w:val="21"/>
                <w:szCs w:val="21"/>
                <w:highlight w:val="none"/>
              </w:rPr>
            </w:pPr>
          </w:p>
        </w:tc>
        <w:tc>
          <w:tcPr>
            <w:tcW w:w="712" w:type="pct"/>
            <w:vMerge w:val="continue"/>
            <w:noWrap w:val="0"/>
            <w:vAlign w:val="center"/>
          </w:tcPr>
          <w:p w14:paraId="545BA74C">
            <w:pPr>
              <w:widowControl/>
              <w:snapToGrid w:val="0"/>
              <w:jc w:val="center"/>
              <w:rPr>
                <w:sz w:val="21"/>
                <w:szCs w:val="21"/>
                <w:highlight w:val="none"/>
              </w:rPr>
            </w:pPr>
          </w:p>
        </w:tc>
        <w:tc>
          <w:tcPr>
            <w:tcW w:w="2104" w:type="dxa"/>
            <w:noWrap w:val="0"/>
            <w:vAlign w:val="center"/>
          </w:tcPr>
          <w:p w14:paraId="3724CBEF">
            <w:pPr>
              <w:widowControl/>
              <w:snapToGrid w:val="0"/>
              <w:jc w:val="center"/>
              <w:rPr>
                <w:sz w:val="21"/>
                <w:szCs w:val="21"/>
                <w:highlight w:val="none"/>
              </w:rPr>
            </w:pPr>
            <w:r>
              <w:rPr>
                <w:sz w:val="21"/>
                <w:szCs w:val="21"/>
                <w:highlight w:val="none"/>
              </w:rPr>
              <w:t>富气压缩机出口分液罐</w:t>
            </w:r>
          </w:p>
        </w:tc>
        <w:tc>
          <w:tcPr>
            <w:tcW w:w="628" w:type="pct"/>
            <w:noWrap w:val="0"/>
            <w:vAlign w:val="center"/>
          </w:tcPr>
          <w:p w14:paraId="4A78FA1A">
            <w:pPr>
              <w:widowControl/>
              <w:snapToGrid w:val="0"/>
              <w:jc w:val="center"/>
              <w:rPr>
                <w:sz w:val="21"/>
                <w:szCs w:val="21"/>
                <w:highlight w:val="none"/>
              </w:rPr>
            </w:pPr>
            <w:r>
              <w:rPr>
                <w:sz w:val="21"/>
                <w:szCs w:val="21"/>
                <w:highlight w:val="none"/>
              </w:rPr>
              <w:t>正常</w:t>
            </w:r>
            <w:r>
              <w:rPr>
                <w:rFonts w:hint="eastAsia"/>
                <w:sz w:val="21"/>
                <w:szCs w:val="21"/>
                <w:highlight w:val="none"/>
                <w:lang w:eastAsia="zh-CN"/>
              </w:rPr>
              <w:t>值</w:t>
            </w:r>
            <w:r>
              <w:rPr>
                <w:sz w:val="21"/>
                <w:szCs w:val="21"/>
                <w:highlight w:val="none"/>
              </w:rPr>
              <w:t>：0.092</w:t>
            </w:r>
          </w:p>
          <w:p w14:paraId="6F3BEF51">
            <w:pPr>
              <w:widowControl/>
              <w:snapToGrid w:val="0"/>
              <w:jc w:val="center"/>
              <w:rPr>
                <w:sz w:val="21"/>
                <w:szCs w:val="21"/>
                <w:highlight w:val="none"/>
              </w:rPr>
            </w:pPr>
            <w:r>
              <w:rPr>
                <w:sz w:val="21"/>
                <w:szCs w:val="21"/>
                <w:highlight w:val="none"/>
              </w:rPr>
              <w:t>最大</w:t>
            </w:r>
            <w:r>
              <w:rPr>
                <w:rFonts w:hint="eastAsia"/>
                <w:sz w:val="21"/>
                <w:szCs w:val="21"/>
                <w:highlight w:val="none"/>
                <w:lang w:eastAsia="zh-CN"/>
              </w:rPr>
              <w:t>值</w:t>
            </w:r>
            <w:r>
              <w:rPr>
                <w:sz w:val="21"/>
                <w:szCs w:val="21"/>
                <w:highlight w:val="none"/>
              </w:rPr>
              <w:t>：0.1</w:t>
            </w:r>
          </w:p>
        </w:tc>
        <w:tc>
          <w:tcPr>
            <w:tcW w:w="413" w:type="pct"/>
            <w:noWrap w:val="0"/>
            <w:vAlign w:val="center"/>
          </w:tcPr>
          <w:p w14:paraId="33703851">
            <w:pPr>
              <w:widowControl/>
              <w:snapToGrid w:val="0"/>
              <w:jc w:val="center"/>
              <w:rPr>
                <w:b/>
                <w:bCs/>
                <w:sz w:val="21"/>
                <w:szCs w:val="21"/>
                <w:highlight w:val="none"/>
              </w:rPr>
            </w:pPr>
            <w:r>
              <w:rPr>
                <w:sz w:val="21"/>
                <w:szCs w:val="21"/>
                <w:highlight w:val="none"/>
              </w:rPr>
              <w:t>PH</w:t>
            </w:r>
          </w:p>
          <w:p w14:paraId="32C2F23B">
            <w:pPr>
              <w:widowControl/>
              <w:snapToGrid w:val="0"/>
              <w:jc w:val="center"/>
              <w:rPr>
                <w:sz w:val="21"/>
                <w:szCs w:val="21"/>
                <w:highlight w:val="none"/>
              </w:rPr>
            </w:pPr>
            <w:r>
              <w:rPr>
                <w:bCs/>
                <w:sz w:val="21"/>
                <w:szCs w:val="21"/>
                <w:highlight w:val="none"/>
              </w:rPr>
              <w:t>C</w:t>
            </w:r>
            <w:r>
              <w:rPr>
                <w:sz w:val="21"/>
                <w:szCs w:val="21"/>
                <w:highlight w:val="none"/>
              </w:rPr>
              <w:t>OD</w:t>
            </w:r>
          </w:p>
          <w:p w14:paraId="3CCA3B0E">
            <w:pPr>
              <w:widowControl/>
              <w:snapToGrid w:val="0"/>
              <w:jc w:val="center"/>
              <w:rPr>
                <w:sz w:val="21"/>
                <w:szCs w:val="21"/>
                <w:highlight w:val="none"/>
              </w:rPr>
            </w:pPr>
            <w:r>
              <w:rPr>
                <w:sz w:val="21"/>
                <w:szCs w:val="21"/>
                <w:highlight w:val="none"/>
              </w:rPr>
              <w:t>油</w:t>
            </w:r>
          </w:p>
          <w:p w14:paraId="11144D4B">
            <w:pPr>
              <w:widowControl/>
              <w:snapToGrid w:val="0"/>
              <w:jc w:val="center"/>
              <w:rPr>
                <w:sz w:val="21"/>
                <w:szCs w:val="21"/>
                <w:highlight w:val="none"/>
              </w:rPr>
            </w:pPr>
            <w:r>
              <w:rPr>
                <w:sz w:val="21"/>
                <w:szCs w:val="21"/>
                <w:highlight w:val="none"/>
              </w:rPr>
              <w:t>硫化物</w:t>
            </w:r>
          </w:p>
        </w:tc>
        <w:tc>
          <w:tcPr>
            <w:tcW w:w="528" w:type="pct"/>
            <w:noWrap w:val="0"/>
            <w:vAlign w:val="center"/>
          </w:tcPr>
          <w:p w14:paraId="6003D9A4">
            <w:pPr>
              <w:widowControl/>
              <w:snapToGrid w:val="0"/>
              <w:jc w:val="center"/>
              <w:rPr>
                <w:sz w:val="21"/>
                <w:szCs w:val="21"/>
                <w:highlight w:val="none"/>
              </w:rPr>
            </w:pPr>
            <w:r>
              <w:rPr>
                <w:sz w:val="21"/>
                <w:szCs w:val="21"/>
                <w:highlight w:val="none"/>
              </w:rPr>
              <w:t>6~8</w:t>
            </w:r>
          </w:p>
          <w:p w14:paraId="4B473C7C">
            <w:pPr>
              <w:widowControl/>
              <w:snapToGrid w:val="0"/>
              <w:jc w:val="center"/>
              <w:rPr>
                <w:sz w:val="21"/>
                <w:szCs w:val="21"/>
                <w:highlight w:val="none"/>
              </w:rPr>
            </w:pPr>
            <w:r>
              <w:rPr>
                <w:sz w:val="21"/>
                <w:szCs w:val="21"/>
                <w:highlight w:val="none"/>
              </w:rPr>
              <w:t>&lt;700</w:t>
            </w:r>
          </w:p>
          <w:p w14:paraId="6EBF7BB1">
            <w:pPr>
              <w:widowControl/>
              <w:snapToGrid w:val="0"/>
              <w:jc w:val="center"/>
              <w:rPr>
                <w:sz w:val="21"/>
                <w:szCs w:val="21"/>
                <w:highlight w:val="none"/>
              </w:rPr>
            </w:pPr>
            <w:r>
              <w:rPr>
                <w:sz w:val="21"/>
                <w:szCs w:val="21"/>
                <w:highlight w:val="none"/>
              </w:rPr>
              <w:t>50</w:t>
            </w:r>
          </w:p>
          <w:p w14:paraId="27D228CF">
            <w:pPr>
              <w:widowControl/>
              <w:snapToGrid w:val="0"/>
              <w:jc w:val="center"/>
              <w:rPr>
                <w:sz w:val="21"/>
                <w:szCs w:val="21"/>
                <w:highlight w:val="none"/>
              </w:rPr>
            </w:pPr>
            <w:r>
              <w:rPr>
                <w:sz w:val="21"/>
                <w:szCs w:val="21"/>
                <w:highlight w:val="none"/>
              </w:rPr>
              <w:t>100</w:t>
            </w:r>
          </w:p>
        </w:tc>
        <w:tc>
          <w:tcPr>
            <w:tcW w:w="190" w:type="pct"/>
            <w:noWrap w:val="0"/>
            <w:vAlign w:val="center"/>
          </w:tcPr>
          <w:p w14:paraId="31177186">
            <w:pPr>
              <w:widowControl/>
              <w:snapToGrid w:val="0"/>
              <w:jc w:val="center"/>
              <w:rPr>
                <w:sz w:val="21"/>
                <w:szCs w:val="21"/>
                <w:highlight w:val="none"/>
              </w:rPr>
            </w:pPr>
            <w:r>
              <w:rPr>
                <w:sz w:val="21"/>
                <w:szCs w:val="21"/>
                <w:highlight w:val="none"/>
              </w:rPr>
              <w:t>连续</w:t>
            </w:r>
          </w:p>
        </w:tc>
        <w:tc>
          <w:tcPr>
            <w:tcW w:w="1336" w:type="pct"/>
            <w:vMerge w:val="restart"/>
            <w:noWrap w:val="0"/>
            <w:vAlign w:val="center"/>
          </w:tcPr>
          <w:p w14:paraId="72BF7B0B">
            <w:pPr>
              <w:widowControl/>
              <w:snapToGrid w:val="0"/>
              <w:jc w:val="center"/>
              <w:rPr>
                <w:sz w:val="21"/>
                <w:szCs w:val="21"/>
                <w:highlight w:val="none"/>
              </w:rPr>
            </w:pPr>
            <w:r>
              <w:rPr>
                <w:sz w:val="21"/>
                <w:szCs w:val="21"/>
                <w:highlight w:val="none"/>
              </w:rPr>
              <w:t>送净化装置酸性水汽提单元</w:t>
            </w:r>
          </w:p>
        </w:tc>
      </w:tr>
      <w:tr w14:paraId="76C71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354CD6F6">
            <w:pPr>
              <w:widowControl/>
              <w:snapToGrid w:val="0"/>
              <w:jc w:val="center"/>
              <w:rPr>
                <w:sz w:val="21"/>
                <w:szCs w:val="21"/>
                <w:highlight w:val="none"/>
              </w:rPr>
            </w:pPr>
          </w:p>
        </w:tc>
        <w:tc>
          <w:tcPr>
            <w:tcW w:w="712" w:type="pct"/>
            <w:vMerge w:val="continue"/>
            <w:noWrap w:val="0"/>
            <w:vAlign w:val="center"/>
          </w:tcPr>
          <w:p w14:paraId="1715397F">
            <w:pPr>
              <w:widowControl/>
              <w:snapToGrid w:val="0"/>
              <w:jc w:val="center"/>
              <w:rPr>
                <w:sz w:val="21"/>
                <w:szCs w:val="21"/>
                <w:highlight w:val="none"/>
              </w:rPr>
            </w:pPr>
          </w:p>
        </w:tc>
        <w:tc>
          <w:tcPr>
            <w:tcW w:w="2104" w:type="dxa"/>
            <w:noWrap w:val="0"/>
            <w:vAlign w:val="center"/>
          </w:tcPr>
          <w:p w14:paraId="57D4B104">
            <w:pPr>
              <w:widowControl/>
              <w:snapToGrid w:val="0"/>
              <w:jc w:val="center"/>
              <w:rPr>
                <w:sz w:val="21"/>
                <w:szCs w:val="21"/>
                <w:highlight w:val="none"/>
              </w:rPr>
            </w:pPr>
            <w:r>
              <w:rPr>
                <w:sz w:val="21"/>
                <w:szCs w:val="21"/>
                <w:highlight w:val="none"/>
              </w:rPr>
              <w:t>稳定塔顶回流罐排</w:t>
            </w:r>
            <w:r>
              <w:rPr>
                <w:rFonts w:hint="eastAsia"/>
                <w:sz w:val="21"/>
                <w:szCs w:val="21"/>
                <w:highlight w:val="none"/>
                <w:lang w:eastAsia="zh-CN"/>
              </w:rPr>
              <w:t>放</w:t>
            </w:r>
            <w:r>
              <w:rPr>
                <w:sz w:val="21"/>
                <w:szCs w:val="21"/>
                <w:highlight w:val="none"/>
              </w:rPr>
              <w:t>含硫含油污水</w:t>
            </w:r>
          </w:p>
        </w:tc>
        <w:tc>
          <w:tcPr>
            <w:tcW w:w="628" w:type="pct"/>
            <w:noWrap w:val="0"/>
            <w:vAlign w:val="center"/>
          </w:tcPr>
          <w:p w14:paraId="58A37617">
            <w:pPr>
              <w:widowControl/>
              <w:snapToGrid w:val="0"/>
              <w:jc w:val="center"/>
              <w:rPr>
                <w:sz w:val="21"/>
                <w:szCs w:val="21"/>
                <w:highlight w:val="none"/>
              </w:rPr>
            </w:pPr>
            <w:r>
              <w:rPr>
                <w:sz w:val="21"/>
                <w:szCs w:val="21"/>
                <w:highlight w:val="none"/>
              </w:rPr>
              <w:t>正常</w:t>
            </w:r>
            <w:r>
              <w:rPr>
                <w:rFonts w:hint="eastAsia"/>
                <w:sz w:val="21"/>
                <w:szCs w:val="21"/>
                <w:highlight w:val="none"/>
                <w:lang w:eastAsia="zh-CN"/>
              </w:rPr>
              <w:t>值</w:t>
            </w:r>
            <w:r>
              <w:rPr>
                <w:sz w:val="21"/>
                <w:szCs w:val="21"/>
                <w:highlight w:val="none"/>
              </w:rPr>
              <w:t>：0.003</w:t>
            </w:r>
          </w:p>
          <w:p w14:paraId="722E486B">
            <w:pPr>
              <w:widowControl/>
              <w:snapToGrid w:val="0"/>
              <w:jc w:val="center"/>
              <w:rPr>
                <w:sz w:val="21"/>
                <w:szCs w:val="21"/>
                <w:highlight w:val="none"/>
              </w:rPr>
            </w:pPr>
            <w:r>
              <w:rPr>
                <w:sz w:val="21"/>
                <w:szCs w:val="21"/>
                <w:highlight w:val="none"/>
              </w:rPr>
              <w:t>最大</w:t>
            </w:r>
            <w:r>
              <w:rPr>
                <w:rFonts w:hint="eastAsia"/>
                <w:sz w:val="21"/>
                <w:szCs w:val="21"/>
                <w:highlight w:val="none"/>
                <w:lang w:eastAsia="zh-CN"/>
              </w:rPr>
              <w:t>值</w:t>
            </w:r>
            <w:r>
              <w:rPr>
                <w:sz w:val="21"/>
                <w:szCs w:val="21"/>
                <w:highlight w:val="none"/>
              </w:rPr>
              <w:t>：0.004</w:t>
            </w:r>
          </w:p>
        </w:tc>
        <w:tc>
          <w:tcPr>
            <w:tcW w:w="413" w:type="pct"/>
            <w:noWrap w:val="0"/>
            <w:vAlign w:val="center"/>
          </w:tcPr>
          <w:p w14:paraId="05A11B43">
            <w:pPr>
              <w:widowControl/>
              <w:snapToGrid w:val="0"/>
              <w:jc w:val="center"/>
              <w:rPr>
                <w:sz w:val="21"/>
                <w:szCs w:val="21"/>
                <w:highlight w:val="none"/>
              </w:rPr>
            </w:pPr>
            <w:r>
              <w:rPr>
                <w:sz w:val="21"/>
                <w:szCs w:val="21"/>
                <w:highlight w:val="none"/>
              </w:rPr>
              <w:t>PH</w:t>
            </w:r>
          </w:p>
          <w:p w14:paraId="6A02B7EE">
            <w:pPr>
              <w:widowControl/>
              <w:snapToGrid w:val="0"/>
              <w:jc w:val="center"/>
              <w:rPr>
                <w:sz w:val="21"/>
                <w:szCs w:val="21"/>
                <w:highlight w:val="none"/>
              </w:rPr>
            </w:pPr>
            <w:r>
              <w:rPr>
                <w:sz w:val="21"/>
                <w:szCs w:val="21"/>
                <w:highlight w:val="none"/>
              </w:rPr>
              <w:t>COD</w:t>
            </w:r>
          </w:p>
          <w:p w14:paraId="5528CB2C">
            <w:pPr>
              <w:widowControl/>
              <w:snapToGrid w:val="0"/>
              <w:jc w:val="center"/>
              <w:rPr>
                <w:sz w:val="21"/>
                <w:szCs w:val="21"/>
                <w:highlight w:val="none"/>
              </w:rPr>
            </w:pPr>
            <w:r>
              <w:rPr>
                <w:sz w:val="21"/>
                <w:szCs w:val="21"/>
                <w:highlight w:val="none"/>
              </w:rPr>
              <w:t>油</w:t>
            </w:r>
          </w:p>
          <w:p w14:paraId="00B90B28">
            <w:pPr>
              <w:widowControl/>
              <w:snapToGrid w:val="0"/>
              <w:jc w:val="center"/>
              <w:rPr>
                <w:sz w:val="21"/>
                <w:szCs w:val="21"/>
                <w:highlight w:val="none"/>
              </w:rPr>
            </w:pPr>
            <w:r>
              <w:rPr>
                <w:sz w:val="21"/>
                <w:szCs w:val="21"/>
                <w:highlight w:val="none"/>
              </w:rPr>
              <w:t>硫化物</w:t>
            </w:r>
          </w:p>
        </w:tc>
        <w:tc>
          <w:tcPr>
            <w:tcW w:w="528" w:type="pct"/>
            <w:noWrap w:val="0"/>
            <w:vAlign w:val="center"/>
          </w:tcPr>
          <w:p w14:paraId="41897CE1">
            <w:pPr>
              <w:widowControl/>
              <w:snapToGrid w:val="0"/>
              <w:jc w:val="center"/>
              <w:rPr>
                <w:sz w:val="21"/>
                <w:szCs w:val="21"/>
                <w:highlight w:val="none"/>
              </w:rPr>
            </w:pPr>
            <w:r>
              <w:rPr>
                <w:sz w:val="21"/>
                <w:szCs w:val="21"/>
                <w:highlight w:val="none"/>
              </w:rPr>
              <w:t>6~8</w:t>
            </w:r>
          </w:p>
          <w:p w14:paraId="3D5B0667">
            <w:pPr>
              <w:widowControl/>
              <w:snapToGrid w:val="0"/>
              <w:jc w:val="center"/>
              <w:rPr>
                <w:sz w:val="21"/>
                <w:szCs w:val="21"/>
                <w:highlight w:val="none"/>
              </w:rPr>
            </w:pPr>
            <w:r>
              <w:rPr>
                <w:sz w:val="21"/>
                <w:szCs w:val="21"/>
                <w:highlight w:val="none"/>
              </w:rPr>
              <w:t>&lt;700</w:t>
            </w:r>
          </w:p>
          <w:p w14:paraId="6D32998F">
            <w:pPr>
              <w:widowControl/>
              <w:snapToGrid w:val="0"/>
              <w:jc w:val="center"/>
              <w:rPr>
                <w:sz w:val="21"/>
                <w:szCs w:val="21"/>
                <w:highlight w:val="none"/>
              </w:rPr>
            </w:pPr>
            <w:r>
              <w:rPr>
                <w:sz w:val="21"/>
                <w:szCs w:val="21"/>
                <w:highlight w:val="none"/>
              </w:rPr>
              <w:t>50</w:t>
            </w:r>
          </w:p>
          <w:p w14:paraId="11A65633">
            <w:pPr>
              <w:widowControl/>
              <w:snapToGrid w:val="0"/>
              <w:jc w:val="center"/>
              <w:rPr>
                <w:sz w:val="21"/>
                <w:szCs w:val="21"/>
                <w:highlight w:val="none"/>
              </w:rPr>
            </w:pPr>
            <w:r>
              <w:rPr>
                <w:sz w:val="21"/>
                <w:szCs w:val="21"/>
                <w:highlight w:val="none"/>
              </w:rPr>
              <w:t>100</w:t>
            </w:r>
          </w:p>
        </w:tc>
        <w:tc>
          <w:tcPr>
            <w:tcW w:w="190" w:type="pct"/>
            <w:noWrap w:val="0"/>
            <w:vAlign w:val="center"/>
          </w:tcPr>
          <w:p w14:paraId="76F729B0">
            <w:pPr>
              <w:widowControl/>
              <w:snapToGrid w:val="0"/>
              <w:jc w:val="center"/>
              <w:rPr>
                <w:sz w:val="21"/>
                <w:szCs w:val="21"/>
                <w:highlight w:val="none"/>
              </w:rPr>
            </w:pPr>
            <w:r>
              <w:rPr>
                <w:sz w:val="21"/>
                <w:szCs w:val="21"/>
                <w:highlight w:val="none"/>
              </w:rPr>
              <w:t>连续</w:t>
            </w:r>
          </w:p>
        </w:tc>
        <w:tc>
          <w:tcPr>
            <w:tcW w:w="1336" w:type="pct"/>
            <w:vMerge w:val="continue"/>
            <w:noWrap w:val="0"/>
            <w:vAlign w:val="center"/>
          </w:tcPr>
          <w:p w14:paraId="1DC1A565">
            <w:pPr>
              <w:widowControl/>
              <w:snapToGrid w:val="0"/>
              <w:jc w:val="center"/>
              <w:rPr>
                <w:sz w:val="21"/>
                <w:szCs w:val="21"/>
                <w:highlight w:val="none"/>
              </w:rPr>
            </w:pPr>
          </w:p>
        </w:tc>
      </w:tr>
      <w:tr w14:paraId="1F2ED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3EB6B20C">
            <w:pPr>
              <w:widowControl/>
              <w:snapToGrid w:val="0"/>
              <w:jc w:val="center"/>
              <w:rPr>
                <w:sz w:val="21"/>
                <w:szCs w:val="21"/>
                <w:highlight w:val="none"/>
              </w:rPr>
            </w:pPr>
          </w:p>
        </w:tc>
        <w:tc>
          <w:tcPr>
            <w:tcW w:w="712" w:type="pct"/>
            <w:noWrap w:val="0"/>
            <w:vAlign w:val="center"/>
          </w:tcPr>
          <w:p w14:paraId="7EF54809">
            <w:pPr>
              <w:widowControl/>
              <w:snapToGrid w:val="0"/>
              <w:jc w:val="center"/>
              <w:rPr>
                <w:sz w:val="21"/>
                <w:szCs w:val="21"/>
                <w:highlight w:val="none"/>
              </w:rPr>
            </w:pPr>
            <w:r>
              <w:rPr>
                <w:sz w:val="21"/>
                <w:szCs w:val="21"/>
                <w:highlight w:val="none"/>
              </w:rPr>
              <w:t>合成水处理单元</w:t>
            </w:r>
          </w:p>
        </w:tc>
        <w:tc>
          <w:tcPr>
            <w:tcW w:w="794" w:type="pct"/>
            <w:noWrap w:val="0"/>
            <w:vAlign w:val="center"/>
          </w:tcPr>
          <w:p w14:paraId="4BDA7341">
            <w:pPr>
              <w:widowControl/>
              <w:snapToGrid w:val="0"/>
              <w:jc w:val="center"/>
              <w:rPr>
                <w:sz w:val="21"/>
                <w:szCs w:val="21"/>
                <w:highlight w:val="none"/>
              </w:rPr>
            </w:pPr>
            <w:r>
              <w:rPr>
                <w:sz w:val="21"/>
                <w:szCs w:val="21"/>
                <w:highlight w:val="none"/>
              </w:rPr>
              <w:t>合成废水</w:t>
            </w:r>
          </w:p>
        </w:tc>
        <w:tc>
          <w:tcPr>
            <w:tcW w:w="628" w:type="pct"/>
            <w:noWrap w:val="0"/>
            <w:vAlign w:val="center"/>
          </w:tcPr>
          <w:p w14:paraId="7417BC2E">
            <w:pPr>
              <w:widowControl/>
              <w:snapToGrid w:val="0"/>
              <w:jc w:val="center"/>
              <w:rPr>
                <w:sz w:val="21"/>
                <w:szCs w:val="21"/>
                <w:highlight w:val="none"/>
              </w:rPr>
            </w:pPr>
            <w:r>
              <w:rPr>
                <w:sz w:val="21"/>
                <w:szCs w:val="21"/>
                <w:highlight w:val="none"/>
              </w:rPr>
              <w:t>168.6</w:t>
            </w:r>
          </w:p>
        </w:tc>
        <w:tc>
          <w:tcPr>
            <w:tcW w:w="413" w:type="pct"/>
            <w:noWrap w:val="0"/>
            <w:vAlign w:val="center"/>
          </w:tcPr>
          <w:p w14:paraId="0EC10F57">
            <w:pPr>
              <w:widowControl/>
              <w:snapToGrid w:val="0"/>
              <w:jc w:val="center"/>
              <w:rPr>
                <w:sz w:val="21"/>
                <w:szCs w:val="21"/>
                <w:highlight w:val="none"/>
              </w:rPr>
            </w:pPr>
            <w:r>
              <w:rPr>
                <w:sz w:val="21"/>
                <w:szCs w:val="21"/>
                <w:highlight w:val="none"/>
              </w:rPr>
              <w:t>pH</w:t>
            </w:r>
          </w:p>
          <w:p w14:paraId="4026AFCE">
            <w:pPr>
              <w:widowControl/>
              <w:snapToGrid w:val="0"/>
              <w:jc w:val="center"/>
              <w:rPr>
                <w:sz w:val="21"/>
                <w:szCs w:val="21"/>
                <w:highlight w:val="none"/>
              </w:rPr>
            </w:pPr>
            <w:r>
              <w:rPr>
                <w:sz w:val="21"/>
                <w:szCs w:val="21"/>
                <w:highlight w:val="none"/>
              </w:rPr>
              <w:t>COD</w:t>
            </w:r>
          </w:p>
          <w:p w14:paraId="18C1DCEC">
            <w:pPr>
              <w:widowControl/>
              <w:snapToGrid w:val="0"/>
              <w:jc w:val="center"/>
              <w:rPr>
                <w:sz w:val="21"/>
                <w:szCs w:val="21"/>
                <w:highlight w:val="none"/>
              </w:rPr>
            </w:pPr>
            <w:r>
              <w:rPr>
                <w:sz w:val="21"/>
                <w:szCs w:val="21"/>
                <w:highlight w:val="none"/>
              </w:rPr>
              <w:t>BOD</w:t>
            </w:r>
          </w:p>
          <w:p w14:paraId="77985F73">
            <w:pPr>
              <w:widowControl/>
              <w:snapToGrid w:val="0"/>
              <w:jc w:val="center"/>
              <w:rPr>
                <w:sz w:val="21"/>
                <w:szCs w:val="21"/>
                <w:highlight w:val="none"/>
              </w:rPr>
            </w:pPr>
            <w:r>
              <w:rPr>
                <w:sz w:val="21"/>
                <w:szCs w:val="21"/>
                <w:highlight w:val="none"/>
              </w:rPr>
              <w:t>油</w:t>
            </w:r>
          </w:p>
          <w:p w14:paraId="19645B06">
            <w:pPr>
              <w:widowControl/>
              <w:snapToGrid w:val="0"/>
              <w:jc w:val="center"/>
              <w:rPr>
                <w:sz w:val="21"/>
                <w:szCs w:val="21"/>
                <w:highlight w:val="none"/>
              </w:rPr>
            </w:pPr>
            <w:r>
              <w:rPr>
                <w:sz w:val="21"/>
                <w:szCs w:val="21"/>
                <w:highlight w:val="none"/>
              </w:rPr>
              <w:t>TDS</w:t>
            </w:r>
          </w:p>
        </w:tc>
        <w:tc>
          <w:tcPr>
            <w:tcW w:w="528" w:type="pct"/>
            <w:noWrap w:val="0"/>
            <w:vAlign w:val="center"/>
          </w:tcPr>
          <w:p w14:paraId="1D0886EC">
            <w:pPr>
              <w:widowControl/>
              <w:snapToGrid w:val="0"/>
              <w:jc w:val="center"/>
              <w:rPr>
                <w:sz w:val="21"/>
                <w:szCs w:val="21"/>
                <w:highlight w:val="none"/>
              </w:rPr>
            </w:pPr>
            <w:r>
              <w:rPr>
                <w:sz w:val="21"/>
                <w:szCs w:val="21"/>
                <w:highlight w:val="none"/>
              </w:rPr>
              <w:t>7~8</w:t>
            </w:r>
          </w:p>
          <w:p w14:paraId="123B2140">
            <w:pPr>
              <w:widowControl/>
              <w:snapToGrid w:val="0"/>
              <w:jc w:val="center"/>
              <w:rPr>
                <w:sz w:val="21"/>
                <w:szCs w:val="21"/>
                <w:highlight w:val="none"/>
              </w:rPr>
            </w:pPr>
            <w:r>
              <w:rPr>
                <w:sz w:val="21"/>
                <w:szCs w:val="21"/>
                <w:highlight w:val="none"/>
              </w:rPr>
              <w:t>8000~15000</w:t>
            </w:r>
          </w:p>
          <w:p w14:paraId="01C5E072">
            <w:pPr>
              <w:widowControl/>
              <w:snapToGrid w:val="0"/>
              <w:jc w:val="center"/>
              <w:rPr>
                <w:sz w:val="21"/>
                <w:szCs w:val="21"/>
                <w:highlight w:val="none"/>
              </w:rPr>
            </w:pPr>
            <w:r>
              <w:rPr>
                <w:sz w:val="21"/>
                <w:szCs w:val="21"/>
                <w:highlight w:val="none"/>
              </w:rPr>
              <w:t>6500</w:t>
            </w:r>
          </w:p>
          <w:p w14:paraId="7DA03082">
            <w:pPr>
              <w:widowControl/>
              <w:snapToGrid w:val="0"/>
              <w:jc w:val="center"/>
              <w:rPr>
                <w:sz w:val="21"/>
                <w:szCs w:val="21"/>
                <w:highlight w:val="none"/>
              </w:rPr>
            </w:pPr>
            <w:r>
              <w:rPr>
                <w:sz w:val="21"/>
                <w:szCs w:val="21"/>
                <w:highlight w:val="none"/>
              </w:rPr>
              <w:t>20</w:t>
            </w:r>
          </w:p>
          <w:p w14:paraId="0E21DB1F">
            <w:pPr>
              <w:widowControl/>
              <w:snapToGrid w:val="0"/>
              <w:jc w:val="center"/>
              <w:rPr>
                <w:sz w:val="21"/>
                <w:szCs w:val="21"/>
                <w:highlight w:val="none"/>
              </w:rPr>
            </w:pPr>
            <w:r>
              <w:rPr>
                <w:sz w:val="21"/>
                <w:szCs w:val="21"/>
                <w:highlight w:val="none"/>
              </w:rPr>
              <w:t>4000~5000</w:t>
            </w:r>
          </w:p>
        </w:tc>
        <w:tc>
          <w:tcPr>
            <w:tcW w:w="190" w:type="pct"/>
            <w:noWrap w:val="0"/>
            <w:vAlign w:val="center"/>
          </w:tcPr>
          <w:p w14:paraId="0CD2D84B">
            <w:pPr>
              <w:widowControl/>
              <w:snapToGrid w:val="0"/>
              <w:jc w:val="center"/>
              <w:rPr>
                <w:sz w:val="21"/>
                <w:szCs w:val="21"/>
                <w:highlight w:val="none"/>
              </w:rPr>
            </w:pPr>
            <w:r>
              <w:rPr>
                <w:sz w:val="21"/>
                <w:szCs w:val="21"/>
                <w:highlight w:val="none"/>
              </w:rPr>
              <w:t>连续</w:t>
            </w:r>
          </w:p>
        </w:tc>
        <w:tc>
          <w:tcPr>
            <w:tcW w:w="1336" w:type="pct"/>
            <w:noWrap w:val="0"/>
            <w:vAlign w:val="center"/>
          </w:tcPr>
          <w:p w14:paraId="36D72B46">
            <w:pPr>
              <w:widowControl/>
              <w:snapToGrid w:val="0"/>
              <w:jc w:val="center"/>
              <w:rPr>
                <w:sz w:val="21"/>
                <w:szCs w:val="21"/>
                <w:highlight w:val="none"/>
              </w:rPr>
            </w:pPr>
            <w:r>
              <w:rPr>
                <w:sz w:val="21"/>
                <w:szCs w:val="21"/>
                <w:highlight w:val="none"/>
              </w:rPr>
              <w:t>20m</w:t>
            </w:r>
            <w:r>
              <w:rPr>
                <w:sz w:val="21"/>
                <w:szCs w:val="21"/>
                <w:highlight w:val="none"/>
                <w:vertAlign w:val="superscript"/>
              </w:rPr>
              <w:t>3</w:t>
            </w:r>
            <w:r>
              <w:rPr>
                <w:sz w:val="21"/>
                <w:szCs w:val="21"/>
                <w:highlight w:val="none"/>
              </w:rPr>
              <w:t>/h送水煤浆气化装置，剩余148.6m</w:t>
            </w:r>
            <w:r>
              <w:rPr>
                <w:sz w:val="21"/>
                <w:szCs w:val="21"/>
                <w:highlight w:val="none"/>
                <w:vertAlign w:val="superscript"/>
              </w:rPr>
              <w:t>3</w:t>
            </w:r>
            <w:r>
              <w:rPr>
                <w:sz w:val="21"/>
                <w:szCs w:val="21"/>
                <w:highlight w:val="none"/>
              </w:rPr>
              <w:t>/h送厂内</w:t>
            </w:r>
            <w:r>
              <w:rPr>
                <w:rFonts w:hint="eastAsia"/>
                <w:sz w:val="21"/>
                <w:szCs w:val="21"/>
                <w:highlight w:val="none"/>
                <w:lang w:eastAsia="zh-CN"/>
              </w:rPr>
              <w:t>污水处理厂</w:t>
            </w:r>
            <w:r>
              <w:rPr>
                <w:sz w:val="21"/>
                <w:szCs w:val="21"/>
                <w:highlight w:val="none"/>
              </w:rPr>
              <w:t>。</w:t>
            </w:r>
          </w:p>
        </w:tc>
      </w:tr>
      <w:tr w14:paraId="3F675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79EEED28">
            <w:pPr>
              <w:widowControl/>
              <w:snapToGrid w:val="0"/>
              <w:jc w:val="center"/>
              <w:rPr>
                <w:sz w:val="21"/>
                <w:szCs w:val="21"/>
                <w:highlight w:val="none"/>
              </w:rPr>
            </w:pPr>
          </w:p>
        </w:tc>
        <w:tc>
          <w:tcPr>
            <w:tcW w:w="712" w:type="pct"/>
            <w:noWrap w:val="0"/>
            <w:vAlign w:val="center"/>
          </w:tcPr>
          <w:p w14:paraId="271609D1">
            <w:pPr>
              <w:widowControl/>
              <w:snapToGrid w:val="0"/>
              <w:jc w:val="center"/>
              <w:rPr>
                <w:sz w:val="21"/>
                <w:szCs w:val="21"/>
                <w:highlight w:val="none"/>
              </w:rPr>
            </w:pPr>
            <w:r>
              <w:rPr>
                <w:sz w:val="21"/>
                <w:szCs w:val="21"/>
                <w:highlight w:val="none"/>
              </w:rPr>
              <w:t>液化气回收单元</w:t>
            </w:r>
          </w:p>
        </w:tc>
        <w:tc>
          <w:tcPr>
            <w:tcW w:w="794" w:type="pct"/>
            <w:noWrap w:val="0"/>
            <w:vAlign w:val="center"/>
          </w:tcPr>
          <w:p w14:paraId="08C3E09A">
            <w:pPr>
              <w:widowControl/>
              <w:snapToGrid w:val="0"/>
              <w:jc w:val="center"/>
              <w:rPr>
                <w:sz w:val="21"/>
                <w:szCs w:val="21"/>
                <w:highlight w:val="none"/>
              </w:rPr>
            </w:pPr>
            <w:r>
              <w:rPr>
                <w:sz w:val="21"/>
                <w:szCs w:val="21"/>
                <w:highlight w:val="none"/>
              </w:rPr>
              <w:t>液化气回收单元污水</w:t>
            </w:r>
          </w:p>
        </w:tc>
        <w:tc>
          <w:tcPr>
            <w:tcW w:w="628" w:type="pct"/>
            <w:noWrap w:val="0"/>
            <w:vAlign w:val="center"/>
          </w:tcPr>
          <w:p w14:paraId="4333B1E9">
            <w:pPr>
              <w:widowControl/>
              <w:snapToGrid w:val="0"/>
              <w:jc w:val="center"/>
              <w:rPr>
                <w:sz w:val="21"/>
                <w:szCs w:val="21"/>
                <w:highlight w:val="none"/>
              </w:rPr>
            </w:pPr>
            <w:r>
              <w:rPr>
                <w:sz w:val="21"/>
                <w:szCs w:val="21"/>
                <w:highlight w:val="none"/>
              </w:rPr>
              <w:t>正常</w:t>
            </w:r>
            <w:r>
              <w:rPr>
                <w:rFonts w:hint="eastAsia"/>
                <w:sz w:val="21"/>
                <w:szCs w:val="21"/>
                <w:highlight w:val="none"/>
                <w:lang w:eastAsia="zh-CN"/>
              </w:rPr>
              <w:t>值</w:t>
            </w:r>
            <w:r>
              <w:rPr>
                <w:sz w:val="21"/>
                <w:szCs w:val="21"/>
                <w:highlight w:val="none"/>
              </w:rPr>
              <w:t>：0.296</w:t>
            </w:r>
          </w:p>
          <w:p w14:paraId="0124B796">
            <w:pPr>
              <w:widowControl/>
              <w:snapToGrid w:val="0"/>
              <w:jc w:val="center"/>
              <w:rPr>
                <w:sz w:val="21"/>
                <w:szCs w:val="21"/>
                <w:highlight w:val="none"/>
              </w:rPr>
            </w:pPr>
            <w:r>
              <w:rPr>
                <w:sz w:val="21"/>
                <w:szCs w:val="21"/>
                <w:highlight w:val="none"/>
              </w:rPr>
              <w:t>最大</w:t>
            </w:r>
            <w:r>
              <w:rPr>
                <w:rFonts w:hint="eastAsia"/>
                <w:sz w:val="21"/>
                <w:szCs w:val="21"/>
                <w:highlight w:val="none"/>
                <w:lang w:eastAsia="zh-CN"/>
              </w:rPr>
              <w:t>值</w:t>
            </w:r>
            <w:r>
              <w:rPr>
                <w:sz w:val="21"/>
                <w:szCs w:val="21"/>
                <w:highlight w:val="none"/>
              </w:rPr>
              <w:t>：0.404</w:t>
            </w:r>
          </w:p>
        </w:tc>
        <w:tc>
          <w:tcPr>
            <w:tcW w:w="413" w:type="pct"/>
            <w:noWrap w:val="0"/>
            <w:vAlign w:val="center"/>
          </w:tcPr>
          <w:p w14:paraId="6DC91628">
            <w:pPr>
              <w:widowControl/>
              <w:snapToGrid w:val="0"/>
              <w:jc w:val="center"/>
              <w:rPr>
                <w:sz w:val="21"/>
                <w:szCs w:val="21"/>
                <w:highlight w:val="none"/>
              </w:rPr>
            </w:pPr>
            <w:r>
              <w:rPr>
                <w:sz w:val="21"/>
                <w:szCs w:val="21"/>
                <w:highlight w:val="none"/>
              </w:rPr>
              <w:t>CODcr</w:t>
            </w:r>
          </w:p>
          <w:p w14:paraId="56DD262B">
            <w:pPr>
              <w:widowControl/>
              <w:snapToGrid w:val="0"/>
              <w:jc w:val="center"/>
              <w:rPr>
                <w:sz w:val="21"/>
                <w:szCs w:val="21"/>
                <w:highlight w:val="none"/>
              </w:rPr>
            </w:pPr>
            <w:r>
              <w:rPr>
                <w:sz w:val="21"/>
                <w:szCs w:val="21"/>
                <w:highlight w:val="none"/>
              </w:rPr>
              <w:t>油</w:t>
            </w:r>
          </w:p>
        </w:tc>
        <w:tc>
          <w:tcPr>
            <w:tcW w:w="528" w:type="pct"/>
            <w:noWrap w:val="0"/>
            <w:vAlign w:val="center"/>
          </w:tcPr>
          <w:p w14:paraId="30B1A858">
            <w:pPr>
              <w:widowControl/>
              <w:snapToGrid w:val="0"/>
              <w:jc w:val="center"/>
              <w:rPr>
                <w:sz w:val="21"/>
                <w:szCs w:val="21"/>
                <w:highlight w:val="none"/>
              </w:rPr>
            </w:pPr>
            <w:r>
              <w:rPr>
                <w:sz w:val="21"/>
                <w:szCs w:val="21"/>
                <w:highlight w:val="none"/>
              </w:rPr>
              <w:t>700</w:t>
            </w:r>
          </w:p>
          <w:p w14:paraId="4C1EFCAC">
            <w:pPr>
              <w:widowControl/>
              <w:snapToGrid w:val="0"/>
              <w:jc w:val="center"/>
              <w:rPr>
                <w:sz w:val="21"/>
                <w:szCs w:val="21"/>
                <w:highlight w:val="none"/>
              </w:rPr>
            </w:pPr>
            <w:r>
              <w:rPr>
                <w:sz w:val="21"/>
                <w:szCs w:val="21"/>
                <w:highlight w:val="none"/>
              </w:rPr>
              <w:t>100</w:t>
            </w:r>
          </w:p>
        </w:tc>
        <w:tc>
          <w:tcPr>
            <w:tcW w:w="190" w:type="pct"/>
            <w:noWrap w:val="0"/>
            <w:vAlign w:val="center"/>
          </w:tcPr>
          <w:p w14:paraId="7ABAD25F">
            <w:pPr>
              <w:widowControl/>
              <w:snapToGrid w:val="0"/>
              <w:jc w:val="center"/>
              <w:rPr>
                <w:sz w:val="21"/>
                <w:szCs w:val="21"/>
                <w:highlight w:val="none"/>
              </w:rPr>
            </w:pPr>
            <w:r>
              <w:rPr>
                <w:sz w:val="21"/>
                <w:szCs w:val="21"/>
                <w:highlight w:val="none"/>
              </w:rPr>
              <w:t>连续</w:t>
            </w:r>
          </w:p>
        </w:tc>
        <w:tc>
          <w:tcPr>
            <w:tcW w:w="1336" w:type="pct"/>
            <w:vMerge w:val="restart"/>
            <w:noWrap w:val="0"/>
            <w:vAlign w:val="center"/>
          </w:tcPr>
          <w:p w14:paraId="5359948A">
            <w:pPr>
              <w:widowControl/>
              <w:snapToGrid w:val="0"/>
              <w:jc w:val="center"/>
              <w:rPr>
                <w:sz w:val="21"/>
                <w:szCs w:val="21"/>
                <w:highlight w:val="none"/>
              </w:rPr>
            </w:pPr>
            <w:r>
              <w:rPr>
                <w:sz w:val="21"/>
                <w:szCs w:val="21"/>
                <w:highlight w:val="none"/>
              </w:rPr>
              <w:t>去厂内</w:t>
            </w:r>
            <w:r>
              <w:rPr>
                <w:rFonts w:hint="eastAsia"/>
                <w:sz w:val="21"/>
                <w:szCs w:val="21"/>
                <w:highlight w:val="none"/>
                <w:lang w:eastAsia="zh-CN"/>
              </w:rPr>
              <w:t>污水处理厂进行</w:t>
            </w:r>
            <w:r>
              <w:rPr>
                <w:sz w:val="21"/>
                <w:szCs w:val="21"/>
                <w:highlight w:val="none"/>
              </w:rPr>
              <w:t>含油污水预处理</w:t>
            </w:r>
          </w:p>
        </w:tc>
      </w:tr>
      <w:tr w14:paraId="31845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54F3A80D">
            <w:pPr>
              <w:widowControl/>
              <w:snapToGrid w:val="0"/>
              <w:jc w:val="center"/>
              <w:rPr>
                <w:sz w:val="21"/>
                <w:szCs w:val="21"/>
                <w:highlight w:val="none"/>
              </w:rPr>
            </w:pPr>
          </w:p>
        </w:tc>
        <w:tc>
          <w:tcPr>
            <w:tcW w:w="712" w:type="pct"/>
            <w:noWrap w:val="0"/>
            <w:vAlign w:val="center"/>
          </w:tcPr>
          <w:p w14:paraId="31737745">
            <w:pPr>
              <w:widowControl/>
              <w:snapToGrid w:val="0"/>
              <w:jc w:val="center"/>
              <w:rPr>
                <w:sz w:val="21"/>
                <w:szCs w:val="21"/>
                <w:highlight w:val="none"/>
              </w:rPr>
            </w:pPr>
            <w:r>
              <w:rPr>
                <w:sz w:val="21"/>
                <w:szCs w:val="21"/>
                <w:highlight w:val="none"/>
              </w:rPr>
              <w:t>全装置</w:t>
            </w:r>
          </w:p>
        </w:tc>
        <w:tc>
          <w:tcPr>
            <w:tcW w:w="794" w:type="pct"/>
            <w:noWrap w:val="0"/>
            <w:vAlign w:val="center"/>
          </w:tcPr>
          <w:p w14:paraId="600635AF">
            <w:pPr>
              <w:widowControl/>
              <w:snapToGrid w:val="0"/>
              <w:jc w:val="center"/>
              <w:rPr>
                <w:sz w:val="21"/>
                <w:szCs w:val="21"/>
                <w:highlight w:val="none"/>
              </w:rPr>
            </w:pPr>
            <w:r>
              <w:rPr>
                <w:sz w:val="21"/>
                <w:szCs w:val="21"/>
                <w:highlight w:val="none"/>
              </w:rPr>
              <w:t>机泵含油污水</w:t>
            </w:r>
          </w:p>
        </w:tc>
        <w:tc>
          <w:tcPr>
            <w:tcW w:w="628" w:type="pct"/>
            <w:noWrap w:val="0"/>
            <w:vAlign w:val="center"/>
          </w:tcPr>
          <w:p w14:paraId="42839064">
            <w:pPr>
              <w:widowControl/>
              <w:snapToGrid w:val="0"/>
              <w:jc w:val="center"/>
              <w:rPr>
                <w:sz w:val="21"/>
                <w:szCs w:val="21"/>
                <w:highlight w:val="none"/>
              </w:rPr>
            </w:pPr>
            <w:r>
              <w:rPr>
                <w:sz w:val="21"/>
                <w:szCs w:val="21"/>
                <w:highlight w:val="none"/>
              </w:rPr>
              <w:t>7.0</w:t>
            </w:r>
          </w:p>
        </w:tc>
        <w:tc>
          <w:tcPr>
            <w:tcW w:w="413" w:type="pct"/>
            <w:noWrap w:val="0"/>
            <w:vAlign w:val="center"/>
          </w:tcPr>
          <w:p w14:paraId="2A92CE97">
            <w:pPr>
              <w:widowControl/>
              <w:snapToGrid w:val="0"/>
              <w:jc w:val="center"/>
              <w:rPr>
                <w:sz w:val="21"/>
                <w:szCs w:val="21"/>
                <w:highlight w:val="none"/>
              </w:rPr>
            </w:pPr>
            <w:r>
              <w:rPr>
                <w:sz w:val="21"/>
                <w:szCs w:val="21"/>
                <w:highlight w:val="none"/>
              </w:rPr>
              <w:t>PH</w:t>
            </w:r>
          </w:p>
          <w:p w14:paraId="392F1AC8">
            <w:pPr>
              <w:widowControl/>
              <w:snapToGrid w:val="0"/>
              <w:jc w:val="center"/>
              <w:rPr>
                <w:sz w:val="21"/>
                <w:szCs w:val="21"/>
                <w:highlight w:val="none"/>
              </w:rPr>
            </w:pPr>
            <w:r>
              <w:rPr>
                <w:sz w:val="21"/>
                <w:szCs w:val="21"/>
                <w:highlight w:val="none"/>
              </w:rPr>
              <w:t>COD</w:t>
            </w:r>
          </w:p>
          <w:p w14:paraId="319F923C">
            <w:pPr>
              <w:widowControl/>
              <w:snapToGrid w:val="0"/>
              <w:jc w:val="center"/>
              <w:rPr>
                <w:sz w:val="21"/>
                <w:szCs w:val="21"/>
                <w:highlight w:val="none"/>
              </w:rPr>
            </w:pPr>
            <w:r>
              <w:rPr>
                <w:sz w:val="21"/>
                <w:szCs w:val="21"/>
                <w:highlight w:val="none"/>
              </w:rPr>
              <w:t>油</w:t>
            </w:r>
          </w:p>
        </w:tc>
        <w:tc>
          <w:tcPr>
            <w:tcW w:w="528" w:type="pct"/>
            <w:noWrap w:val="0"/>
            <w:vAlign w:val="center"/>
          </w:tcPr>
          <w:p w14:paraId="3C7050A4">
            <w:pPr>
              <w:widowControl/>
              <w:snapToGrid w:val="0"/>
              <w:jc w:val="center"/>
              <w:rPr>
                <w:sz w:val="21"/>
                <w:szCs w:val="21"/>
                <w:highlight w:val="none"/>
              </w:rPr>
            </w:pPr>
            <w:r>
              <w:rPr>
                <w:sz w:val="21"/>
                <w:szCs w:val="21"/>
                <w:highlight w:val="none"/>
              </w:rPr>
              <w:t>6~8</w:t>
            </w:r>
          </w:p>
          <w:p w14:paraId="33288A24">
            <w:pPr>
              <w:widowControl/>
              <w:snapToGrid w:val="0"/>
              <w:jc w:val="center"/>
              <w:rPr>
                <w:sz w:val="21"/>
                <w:szCs w:val="21"/>
                <w:highlight w:val="none"/>
              </w:rPr>
            </w:pPr>
            <w:r>
              <w:rPr>
                <w:sz w:val="21"/>
                <w:szCs w:val="21"/>
                <w:highlight w:val="none"/>
              </w:rPr>
              <w:t>&lt;700</w:t>
            </w:r>
          </w:p>
          <w:p w14:paraId="124266A5">
            <w:pPr>
              <w:widowControl/>
              <w:snapToGrid w:val="0"/>
              <w:jc w:val="center"/>
              <w:rPr>
                <w:sz w:val="21"/>
                <w:szCs w:val="21"/>
                <w:highlight w:val="none"/>
              </w:rPr>
            </w:pPr>
            <w:r>
              <w:rPr>
                <w:sz w:val="21"/>
                <w:szCs w:val="21"/>
                <w:highlight w:val="none"/>
              </w:rPr>
              <w:t>500</w:t>
            </w:r>
          </w:p>
        </w:tc>
        <w:tc>
          <w:tcPr>
            <w:tcW w:w="190" w:type="pct"/>
            <w:noWrap w:val="0"/>
            <w:vAlign w:val="center"/>
          </w:tcPr>
          <w:p w14:paraId="19B72545">
            <w:pPr>
              <w:widowControl/>
              <w:snapToGrid w:val="0"/>
              <w:jc w:val="center"/>
              <w:rPr>
                <w:sz w:val="21"/>
                <w:szCs w:val="21"/>
                <w:highlight w:val="none"/>
              </w:rPr>
            </w:pPr>
            <w:r>
              <w:rPr>
                <w:sz w:val="21"/>
                <w:szCs w:val="21"/>
                <w:highlight w:val="none"/>
              </w:rPr>
              <w:t>连续</w:t>
            </w:r>
          </w:p>
        </w:tc>
        <w:tc>
          <w:tcPr>
            <w:tcW w:w="1336" w:type="pct"/>
            <w:vMerge w:val="continue"/>
            <w:noWrap w:val="0"/>
            <w:vAlign w:val="center"/>
          </w:tcPr>
          <w:p w14:paraId="3DCDCAA9">
            <w:pPr>
              <w:widowControl/>
              <w:snapToGrid w:val="0"/>
              <w:jc w:val="center"/>
              <w:rPr>
                <w:sz w:val="21"/>
                <w:szCs w:val="21"/>
                <w:highlight w:val="none"/>
              </w:rPr>
            </w:pPr>
          </w:p>
        </w:tc>
      </w:tr>
      <w:tr w14:paraId="0B123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423EAECA">
            <w:pPr>
              <w:widowControl/>
              <w:snapToGrid w:val="0"/>
              <w:jc w:val="center"/>
              <w:rPr>
                <w:sz w:val="21"/>
                <w:szCs w:val="21"/>
                <w:highlight w:val="none"/>
              </w:rPr>
            </w:pPr>
          </w:p>
        </w:tc>
        <w:tc>
          <w:tcPr>
            <w:tcW w:w="712" w:type="pct"/>
            <w:noWrap w:val="0"/>
            <w:vAlign w:val="center"/>
          </w:tcPr>
          <w:p w14:paraId="343BFB11">
            <w:pPr>
              <w:widowControl/>
              <w:snapToGrid w:val="0"/>
              <w:jc w:val="center"/>
              <w:rPr>
                <w:sz w:val="21"/>
                <w:szCs w:val="21"/>
                <w:highlight w:val="none"/>
              </w:rPr>
            </w:pPr>
            <w:r>
              <w:rPr>
                <w:sz w:val="21"/>
                <w:szCs w:val="21"/>
                <w:highlight w:val="none"/>
              </w:rPr>
              <w:t>全装置</w:t>
            </w:r>
          </w:p>
        </w:tc>
        <w:tc>
          <w:tcPr>
            <w:tcW w:w="794" w:type="pct"/>
            <w:noWrap w:val="0"/>
            <w:vAlign w:val="center"/>
          </w:tcPr>
          <w:p w14:paraId="7F8E5637">
            <w:pPr>
              <w:widowControl/>
              <w:snapToGrid w:val="0"/>
              <w:jc w:val="center"/>
              <w:rPr>
                <w:sz w:val="21"/>
                <w:szCs w:val="21"/>
                <w:highlight w:val="none"/>
              </w:rPr>
            </w:pPr>
            <w:r>
              <w:rPr>
                <w:sz w:val="21"/>
                <w:szCs w:val="21"/>
                <w:highlight w:val="none"/>
              </w:rPr>
              <w:t>汽包排污</w:t>
            </w:r>
          </w:p>
        </w:tc>
        <w:tc>
          <w:tcPr>
            <w:tcW w:w="628" w:type="pct"/>
            <w:noWrap w:val="0"/>
            <w:vAlign w:val="center"/>
          </w:tcPr>
          <w:p w14:paraId="5CC49189">
            <w:pPr>
              <w:widowControl/>
              <w:snapToGrid w:val="0"/>
              <w:jc w:val="center"/>
              <w:rPr>
                <w:sz w:val="21"/>
                <w:szCs w:val="21"/>
                <w:highlight w:val="none"/>
              </w:rPr>
            </w:pPr>
            <w:r>
              <w:rPr>
                <w:sz w:val="21"/>
                <w:szCs w:val="21"/>
                <w:highlight w:val="none"/>
              </w:rPr>
              <w:t>0.7</w:t>
            </w:r>
          </w:p>
        </w:tc>
        <w:tc>
          <w:tcPr>
            <w:tcW w:w="413" w:type="pct"/>
            <w:noWrap w:val="0"/>
            <w:vAlign w:val="center"/>
          </w:tcPr>
          <w:p w14:paraId="58333199">
            <w:pPr>
              <w:widowControl/>
              <w:snapToGrid w:val="0"/>
              <w:jc w:val="center"/>
              <w:rPr>
                <w:sz w:val="21"/>
                <w:szCs w:val="21"/>
                <w:highlight w:val="none"/>
              </w:rPr>
            </w:pPr>
            <w:r>
              <w:rPr>
                <w:sz w:val="21"/>
                <w:szCs w:val="21"/>
                <w:highlight w:val="none"/>
              </w:rPr>
              <w:t>Na</w:t>
            </w:r>
            <w:r>
              <w:rPr>
                <w:sz w:val="21"/>
                <w:szCs w:val="21"/>
                <w:highlight w:val="none"/>
                <w:vertAlign w:val="superscript"/>
              </w:rPr>
              <w:t>+</w:t>
            </w:r>
          </w:p>
          <w:p w14:paraId="056A4B21">
            <w:pPr>
              <w:widowControl/>
              <w:snapToGrid w:val="0"/>
              <w:jc w:val="center"/>
              <w:rPr>
                <w:sz w:val="21"/>
                <w:szCs w:val="21"/>
                <w:highlight w:val="none"/>
              </w:rPr>
            </w:pPr>
            <w:r>
              <w:rPr>
                <w:sz w:val="21"/>
                <w:szCs w:val="21"/>
                <w:highlight w:val="none"/>
              </w:rPr>
              <w:t>Cl</w:t>
            </w:r>
            <w:r>
              <w:rPr>
                <w:sz w:val="21"/>
                <w:szCs w:val="21"/>
                <w:highlight w:val="none"/>
                <w:vertAlign w:val="superscript"/>
              </w:rPr>
              <w:t>-</w:t>
            </w:r>
          </w:p>
          <w:p w14:paraId="669B90F5">
            <w:pPr>
              <w:widowControl/>
              <w:snapToGrid w:val="0"/>
              <w:jc w:val="center"/>
              <w:rPr>
                <w:sz w:val="21"/>
                <w:szCs w:val="21"/>
                <w:highlight w:val="none"/>
              </w:rPr>
            </w:pPr>
            <w:r>
              <w:rPr>
                <w:sz w:val="21"/>
                <w:szCs w:val="21"/>
                <w:highlight w:val="none"/>
              </w:rPr>
              <w:t>TDS</w:t>
            </w:r>
          </w:p>
        </w:tc>
        <w:tc>
          <w:tcPr>
            <w:tcW w:w="528" w:type="pct"/>
            <w:noWrap w:val="0"/>
            <w:vAlign w:val="center"/>
          </w:tcPr>
          <w:p w14:paraId="475EABBA">
            <w:pPr>
              <w:widowControl/>
              <w:snapToGrid w:val="0"/>
              <w:jc w:val="center"/>
              <w:rPr>
                <w:sz w:val="21"/>
                <w:szCs w:val="21"/>
                <w:highlight w:val="none"/>
              </w:rPr>
            </w:pPr>
            <w:r>
              <w:rPr>
                <w:sz w:val="21"/>
                <w:szCs w:val="21"/>
                <w:highlight w:val="none"/>
              </w:rPr>
              <w:t>6.5</w:t>
            </w:r>
          </w:p>
          <w:p w14:paraId="119E5689">
            <w:pPr>
              <w:widowControl/>
              <w:snapToGrid w:val="0"/>
              <w:jc w:val="center"/>
              <w:rPr>
                <w:sz w:val="21"/>
                <w:szCs w:val="21"/>
                <w:highlight w:val="none"/>
              </w:rPr>
            </w:pPr>
            <w:r>
              <w:rPr>
                <w:sz w:val="21"/>
                <w:szCs w:val="21"/>
                <w:highlight w:val="none"/>
              </w:rPr>
              <w:t>10</w:t>
            </w:r>
          </w:p>
          <w:p w14:paraId="6339AE5F">
            <w:pPr>
              <w:widowControl/>
              <w:snapToGrid w:val="0"/>
              <w:jc w:val="center"/>
              <w:rPr>
                <w:sz w:val="21"/>
                <w:szCs w:val="21"/>
                <w:highlight w:val="none"/>
              </w:rPr>
            </w:pPr>
            <w:r>
              <w:rPr>
                <w:sz w:val="21"/>
                <w:szCs w:val="21"/>
                <w:highlight w:val="none"/>
              </w:rPr>
              <w:t>17</w:t>
            </w:r>
          </w:p>
        </w:tc>
        <w:tc>
          <w:tcPr>
            <w:tcW w:w="190" w:type="pct"/>
            <w:noWrap w:val="0"/>
            <w:vAlign w:val="center"/>
          </w:tcPr>
          <w:p w14:paraId="401844B1">
            <w:pPr>
              <w:widowControl/>
              <w:snapToGrid w:val="0"/>
              <w:jc w:val="center"/>
              <w:rPr>
                <w:sz w:val="21"/>
                <w:szCs w:val="21"/>
                <w:highlight w:val="none"/>
              </w:rPr>
            </w:pPr>
            <w:r>
              <w:rPr>
                <w:sz w:val="21"/>
                <w:szCs w:val="21"/>
                <w:highlight w:val="none"/>
              </w:rPr>
              <w:t>连续</w:t>
            </w:r>
          </w:p>
        </w:tc>
        <w:tc>
          <w:tcPr>
            <w:tcW w:w="1336" w:type="pct"/>
            <w:noWrap w:val="0"/>
            <w:vAlign w:val="center"/>
          </w:tcPr>
          <w:p w14:paraId="1492CD88">
            <w:pPr>
              <w:widowControl/>
              <w:snapToGrid w:val="0"/>
              <w:jc w:val="center"/>
              <w:rPr>
                <w:rFonts w:hint="eastAsia" w:eastAsia="宋体"/>
                <w:sz w:val="21"/>
                <w:szCs w:val="21"/>
                <w:highlight w:val="none"/>
                <w:lang w:eastAsia="zh-CN"/>
              </w:rPr>
            </w:pPr>
            <w:r>
              <w:rPr>
                <w:sz w:val="21"/>
                <w:szCs w:val="21"/>
                <w:highlight w:val="none"/>
              </w:rPr>
              <w:t>去第三循环水</w:t>
            </w:r>
            <w:r>
              <w:rPr>
                <w:rFonts w:hint="eastAsia"/>
                <w:sz w:val="21"/>
                <w:szCs w:val="21"/>
                <w:highlight w:val="none"/>
                <w:lang w:eastAsia="zh-CN"/>
              </w:rPr>
              <w:t>厂</w:t>
            </w:r>
          </w:p>
        </w:tc>
      </w:tr>
      <w:tr w14:paraId="26E38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restart"/>
            <w:noWrap w:val="0"/>
            <w:vAlign w:val="center"/>
          </w:tcPr>
          <w:p w14:paraId="66EC2DDE">
            <w:pPr>
              <w:widowControl/>
              <w:snapToGrid w:val="0"/>
              <w:jc w:val="center"/>
              <w:rPr>
                <w:sz w:val="21"/>
                <w:szCs w:val="21"/>
                <w:highlight w:val="none"/>
              </w:rPr>
            </w:pPr>
            <w:r>
              <w:rPr>
                <w:sz w:val="21"/>
                <w:szCs w:val="21"/>
                <w:highlight w:val="none"/>
              </w:rPr>
              <w:t>尾气制氢装置</w:t>
            </w:r>
          </w:p>
        </w:tc>
        <w:tc>
          <w:tcPr>
            <w:tcW w:w="712" w:type="pct"/>
            <w:noWrap w:val="0"/>
            <w:vAlign w:val="center"/>
          </w:tcPr>
          <w:p w14:paraId="071A64A3">
            <w:pPr>
              <w:widowControl/>
              <w:snapToGrid w:val="0"/>
              <w:jc w:val="center"/>
              <w:rPr>
                <w:sz w:val="21"/>
                <w:szCs w:val="21"/>
                <w:highlight w:val="none"/>
              </w:rPr>
            </w:pPr>
            <w:r>
              <w:rPr>
                <w:sz w:val="21"/>
                <w:szCs w:val="21"/>
                <w:highlight w:val="none"/>
              </w:rPr>
              <w:t>尾气变换单元</w:t>
            </w:r>
          </w:p>
        </w:tc>
        <w:tc>
          <w:tcPr>
            <w:tcW w:w="794" w:type="pct"/>
            <w:noWrap w:val="0"/>
            <w:vAlign w:val="center"/>
          </w:tcPr>
          <w:p w14:paraId="1ADE7141">
            <w:pPr>
              <w:widowControl/>
              <w:snapToGrid w:val="0"/>
              <w:jc w:val="center"/>
              <w:rPr>
                <w:sz w:val="21"/>
                <w:szCs w:val="21"/>
                <w:highlight w:val="none"/>
              </w:rPr>
            </w:pPr>
            <w:r>
              <w:rPr>
                <w:sz w:val="21"/>
                <w:szCs w:val="21"/>
                <w:highlight w:val="none"/>
              </w:rPr>
              <w:t>尾气变换冷凝液</w:t>
            </w:r>
          </w:p>
        </w:tc>
        <w:tc>
          <w:tcPr>
            <w:tcW w:w="628" w:type="pct"/>
            <w:noWrap w:val="0"/>
            <w:vAlign w:val="center"/>
          </w:tcPr>
          <w:p w14:paraId="425A7B1A">
            <w:pPr>
              <w:widowControl/>
              <w:snapToGrid w:val="0"/>
              <w:jc w:val="center"/>
              <w:rPr>
                <w:sz w:val="21"/>
                <w:szCs w:val="21"/>
                <w:highlight w:val="none"/>
              </w:rPr>
            </w:pPr>
            <w:r>
              <w:rPr>
                <w:sz w:val="21"/>
                <w:szCs w:val="21"/>
                <w:highlight w:val="none"/>
              </w:rPr>
              <w:t>12.1</w:t>
            </w:r>
          </w:p>
        </w:tc>
        <w:tc>
          <w:tcPr>
            <w:tcW w:w="413" w:type="pct"/>
            <w:noWrap w:val="0"/>
            <w:vAlign w:val="center"/>
          </w:tcPr>
          <w:p w14:paraId="5D0C1A94">
            <w:pPr>
              <w:widowControl/>
              <w:snapToGrid w:val="0"/>
              <w:jc w:val="center"/>
              <w:rPr>
                <w:sz w:val="21"/>
                <w:szCs w:val="21"/>
                <w:highlight w:val="none"/>
              </w:rPr>
            </w:pPr>
            <w:r>
              <w:rPr>
                <w:sz w:val="21"/>
                <w:szCs w:val="21"/>
                <w:highlight w:val="none"/>
              </w:rPr>
              <w:t>NH</w:t>
            </w:r>
            <w:r>
              <w:rPr>
                <w:sz w:val="21"/>
                <w:szCs w:val="21"/>
                <w:highlight w:val="none"/>
                <w:vertAlign w:val="subscript"/>
              </w:rPr>
              <w:t>3</w:t>
            </w:r>
            <w:r>
              <w:rPr>
                <w:sz w:val="21"/>
                <w:szCs w:val="21"/>
                <w:highlight w:val="none"/>
              </w:rPr>
              <w:t>-N</w:t>
            </w:r>
          </w:p>
        </w:tc>
        <w:tc>
          <w:tcPr>
            <w:tcW w:w="528" w:type="pct"/>
            <w:noWrap w:val="0"/>
            <w:vAlign w:val="center"/>
          </w:tcPr>
          <w:p w14:paraId="7811AED1">
            <w:pPr>
              <w:widowControl/>
              <w:snapToGrid w:val="0"/>
              <w:jc w:val="center"/>
              <w:rPr>
                <w:sz w:val="21"/>
                <w:szCs w:val="21"/>
                <w:highlight w:val="none"/>
              </w:rPr>
            </w:pPr>
            <w:r>
              <w:rPr>
                <w:sz w:val="21"/>
                <w:szCs w:val="21"/>
                <w:highlight w:val="none"/>
              </w:rPr>
              <w:t>1352</w:t>
            </w:r>
          </w:p>
        </w:tc>
        <w:tc>
          <w:tcPr>
            <w:tcW w:w="190" w:type="pct"/>
            <w:noWrap w:val="0"/>
            <w:vAlign w:val="center"/>
          </w:tcPr>
          <w:p w14:paraId="1DD036C3">
            <w:pPr>
              <w:widowControl/>
              <w:snapToGrid w:val="0"/>
              <w:jc w:val="center"/>
              <w:rPr>
                <w:sz w:val="21"/>
                <w:szCs w:val="21"/>
                <w:highlight w:val="none"/>
              </w:rPr>
            </w:pPr>
            <w:r>
              <w:rPr>
                <w:sz w:val="21"/>
                <w:szCs w:val="21"/>
                <w:highlight w:val="none"/>
              </w:rPr>
              <w:t>连续</w:t>
            </w:r>
          </w:p>
        </w:tc>
        <w:tc>
          <w:tcPr>
            <w:tcW w:w="1336" w:type="pct"/>
            <w:noWrap w:val="0"/>
            <w:vAlign w:val="center"/>
          </w:tcPr>
          <w:p w14:paraId="38F36805">
            <w:pPr>
              <w:widowControl/>
              <w:snapToGrid w:val="0"/>
              <w:jc w:val="center"/>
              <w:rPr>
                <w:sz w:val="21"/>
                <w:szCs w:val="21"/>
                <w:highlight w:val="none"/>
              </w:rPr>
            </w:pPr>
            <w:r>
              <w:rPr>
                <w:sz w:val="21"/>
                <w:szCs w:val="21"/>
                <w:highlight w:val="none"/>
              </w:rPr>
              <w:t>去净化装置酸性水汽提单元</w:t>
            </w:r>
          </w:p>
        </w:tc>
      </w:tr>
      <w:tr w14:paraId="06614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02128833">
            <w:pPr>
              <w:widowControl/>
              <w:snapToGrid w:val="0"/>
              <w:jc w:val="center"/>
              <w:rPr>
                <w:sz w:val="21"/>
                <w:szCs w:val="21"/>
                <w:highlight w:val="none"/>
              </w:rPr>
            </w:pPr>
          </w:p>
        </w:tc>
        <w:tc>
          <w:tcPr>
            <w:tcW w:w="712" w:type="pct"/>
            <w:noWrap w:val="0"/>
            <w:vAlign w:val="center"/>
          </w:tcPr>
          <w:p w14:paraId="70615E4A">
            <w:pPr>
              <w:widowControl/>
              <w:snapToGrid w:val="0"/>
              <w:jc w:val="center"/>
              <w:rPr>
                <w:sz w:val="21"/>
                <w:szCs w:val="21"/>
                <w:highlight w:val="none"/>
              </w:rPr>
            </w:pPr>
            <w:r>
              <w:rPr>
                <w:sz w:val="21"/>
                <w:szCs w:val="21"/>
                <w:highlight w:val="none"/>
              </w:rPr>
              <w:t>尾气转化单元</w:t>
            </w:r>
          </w:p>
        </w:tc>
        <w:tc>
          <w:tcPr>
            <w:tcW w:w="794" w:type="pct"/>
            <w:noWrap w:val="0"/>
            <w:vAlign w:val="center"/>
          </w:tcPr>
          <w:p w14:paraId="4F1D3B24">
            <w:pPr>
              <w:widowControl/>
              <w:snapToGrid w:val="0"/>
              <w:jc w:val="center"/>
              <w:rPr>
                <w:sz w:val="21"/>
                <w:szCs w:val="21"/>
                <w:highlight w:val="none"/>
              </w:rPr>
            </w:pPr>
            <w:r>
              <w:rPr>
                <w:sz w:val="21"/>
                <w:szCs w:val="21"/>
                <w:highlight w:val="none"/>
              </w:rPr>
              <w:t>蒸汽发生器排污</w:t>
            </w:r>
          </w:p>
        </w:tc>
        <w:tc>
          <w:tcPr>
            <w:tcW w:w="628" w:type="pct"/>
            <w:noWrap w:val="0"/>
            <w:vAlign w:val="center"/>
          </w:tcPr>
          <w:p w14:paraId="111AA6A7">
            <w:pPr>
              <w:widowControl/>
              <w:snapToGrid w:val="0"/>
              <w:jc w:val="center"/>
              <w:rPr>
                <w:sz w:val="21"/>
                <w:szCs w:val="21"/>
                <w:highlight w:val="none"/>
              </w:rPr>
            </w:pPr>
            <w:r>
              <w:rPr>
                <w:sz w:val="21"/>
                <w:szCs w:val="21"/>
                <w:highlight w:val="none"/>
              </w:rPr>
              <w:t>0.7</w:t>
            </w:r>
          </w:p>
        </w:tc>
        <w:tc>
          <w:tcPr>
            <w:tcW w:w="413" w:type="pct"/>
            <w:noWrap w:val="0"/>
            <w:vAlign w:val="center"/>
          </w:tcPr>
          <w:p w14:paraId="68768D14">
            <w:pPr>
              <w:widowControl/>
              <w:snapToGrid w:val="0"/>
              <w:jc w:val="center"/>
              <w:rPr>
                <w:sz w:val="21"/>
                <w:szCs w:val="21"/>
                <w:highlight w:val="none"/>
              </w:rPr>
            </w:pPr>
            <w:r>
              <w:rPr>
                <w:sz w:val="21"/>
                <w:szCs w:val="21"/>
                <w:highlight w:val="none"/>
              </w:rPr>
              <w:t>Na</w:t>
            </w:r>
            <w:r>
              <w:rPr>
                <w:sz w:val="21"/>
                <w:szCs w:val="21"/>
                <w:highlight w:val="none"/>
                <w:vertAlign w:val="superscript"/>
              </w:rPr>
              <w:t>+</w:t>
            </w:r>
          </w:p>
          <w:p w14:paraId="068090A0">
            <w:pPr>
              <w:widowControl/>
              <w:snapToGrid w:val="0"/>
              <w:jc w:val="center"/>
              <w:rPr>
                <w:sz w:val="21"/>
                <w:szCs w:val="21"/>
                <w:highlight w:val="none"/>
              </w:rPr>
            </w:pPr>
            <w:r>
              <w:rPr>
                <w:sz w:val="21"/>
                <w:szCs w:val="21"/>
                <w:highlight w:val="none"/>
              </w:rPr>
              <w:t>Cl</w:t>
            </w:r>
            <w:r>
              <w:rPr>
                <w:sz w:val="21"/>
                <w:szCs w:val="21"/>
                <w:highlight w:val="none"/>
                <w:vertAlign w:val="superscript"/>
              </w:rPr>
              <w:t>-</w:t>
            </w:r>
          </w:p>
          <w:p w14:paraId="008CDA0C">
            <w:pPr>
              <w:widowControl/>
              <w:snapToGrid w:val="0"/>
              <w:jc w:val="center"/>
              <w:rPr>
                <w:sz w:val="21"/>
                <w:szCs w:val="21"/>
                <w:highlight w:val="none"/>
              </w:rPr>
            </w:pPr>
            <w:r>
              <w:rPr>
                <w:sz w:val="21"/>
                <w:szCs w:val="21"/>
                <w:highlight w:val="none"/>
              </w:rPr>
              <w:t>TDS</w:t>
            </w:r>
          </w:p>
        </w:tc>
        <w:tc>
          <w:tcPr>
            <w:tcW w:w="528" w:type="pct"/>
            <w:noWrap w:val="0"/>
            <w:vAlign w:val="center"/>
          </w:tcPr>
          <w:p w14:paraId="67F52D3B">
            <w:pPr>
              <w:widowControl/>
              <w:snapToGrid w:val="0"/>
              <w:jc w:val="center"/>
              <w:rPr>
                <w:sz w:val="21"/>
                <w:szCs w:val="21"/>
                <w:highlight w:val="none"/>
              </w:rPr>
            </w:pPr>
            <w:r>
              <w:rPr>
                <w:sz w:val="21"/>
                <w:szCs w:val="21"/>
                <w:highlight w:val="none"/>
              </w:rPr>
              <w:t>6.5</w:t>
            </w:r>
          </w:p>
          <w:p w14:paraId="13CEF8F4">
            <w:pPr>
              <w:widowControl/>
              <w:snapToGrid w:val="0"/>
              <w:jc w:val="center"/>
              <w:rPr>
                <w:sz w:val="21"/>
                <w:szCs w:val="21"/>
                <w:highlight w:val="none"/>
              </w:rPr>
            </w:pPr>
            <w:r>
              <w:rPr>
                <w:sz w:val="21"/>
                <w:szCs w:val="21"/>
                <w:highlight w:val="none"/>
              </w:rPr>
              <w:t>10</w:t>
            </w:r>
          </w:p>
          <w:p w14:paraId="6C8F3ECC">
            <w:pPr>
              <w:widowControl/>
              <w:snapToGrid w:val="0"/>
              <w:jc w:val="center"/>
              <w:rPr>
                <w:sz w:val="21"/>
                <w:szCs w:val="21"/>
                <w:highlight w:val="none"/>
              </w:rPr>
            </w:pPr>
            <w:r>
              <w:rPr>
                <w:sz w:val="21"/>
                <w:szCs w:val="21"/>
                <w:highlight w:val="none"/>
              </w:rPr>
              <w:t>17</w:t>
            </w:r>
          </w:p>
        </w:tc>
        <w:tc>
          <w:tcPr>
            <w:tcW w:w="190" w:type="pct"/>
            <w:noWrap w:val="0"/>
            <w:vAlign w:val="center"/>
          </w:tcPr>
          <w:p w14:paraId="2A053FD5">
            <w:pPr>
              <w:widowControl/>
              <w:snapToGrid w:val="0"/>
              <w:jc w:val="center"/>
              <w:rPr>
                <w:sz w:val="21"/>
                <w:szCs w:val="21"/>
                <w:highlight w:val="none"/>
              </w:rPr>
            </w:pPr>
            <w:r>
              <w:rPr>
                <w:sz w:val="21"/>
                <w:szCs w:val="21"/>
                <w:highlight w:val="none"/>
              </w:rPr>
              <w:t>连续</w:t>
            </w:r>
          </w:p>
        </w:tc>
        <w:tc>
          <w:tcPr>
            <w:tcW w:w="1336" w:type="pct"/>
            <w:noWrap w:val="0"/>
            <w:vAlign w:val="center"/>
          </w:tcPr>
          <w:p w14:paraId="16F76A6C">
            <w:pPr>
              <w:widowControl/>
              <w:snapToGrid w:val="0"/>
              <w:jc w:val="center"/>
              <w:rPr>
                <w:rFonts w:hint="eastAsia" w:eastAsia="宋体"/>
                <w:sz w:val="21"/>
                <w:szCs w:val="21"/>
                <w:highlight w:val="none"/>
                <w:lang w:eastAsia="zh-CN"/>
              </w:rPr>
            </w:pPr>
            <w:r>
              <w:rPr>
                <w:sz w:val="21"/>
                <w:szCs w:val="21"/>
                <w:highlight w:val="none"/>
              </w:rPr>
              <w:t>去第三循环水</w:t>
            </w:r>
            <w:r>
              <w:rPr>
                <w:rFonts w:hint="eastAsia"/>
                <w:sz w:val="21"/>
                <w:szCs w:val="21"/>
                <w:highlight w:val="none"/>
                <w:lang w:eastAsia="zh-CN"/>
              </w:rPr>
              <w:t>厂</w:t>
            </w:r>
          </w:p>
        </w:tc>
      </w:tr>
      <w:tr w14:paraId="30079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noWrap w:val="0"/>
            <w:vAlign w:val="center"/>
          </w:tcPr>
          <w:p w14:paraId="1985A9EE">
            <w:pPr>
              <w:jc w:val="center"/>
              <w:rPr>
                <w:sz w:val="21"/>
                <w:szCs w:val="21"/>
                <w:highlight w:val="none"/>
              </w:rPr>
            </w:pPr>
            <w:r>
              <w:rPr>
                <w:sz w:val="21"/>
                <w:szCs w:val="21"/>
                <w:highlight w:val="none"/>
              </w:rPr>
              <w:t>热电装置</w:t>
            </w:r>
          </w:p>
        </w:tc>
        <w:tc>
          <w:tcPr>
            <w:tcW w:w="1506" w:type="pct"/>
            <w:gridSpan w:val="2"/>
            <w:noWrap w:val="0"/>
            <w:vAlign w:val="center"/>
          </w:tcPr>
          <w:p w14:paraId="7D87A3C8">
            <w:pPr>
              <w:widowControl/>
              <w:snapToGrid w:val="0"/>
              <w:jc w:val="center"/>
              <w:rPr>
                <w:sz w:val="21"/>
                <w:szCs w:val="21"/>
                <w:highlight w:val="none"/>
              </w:rPr>
            </w:pPr>
            <w:r>
              <w:rPr>
                <w:sz w:val="21"/>
                <w:szCs w:val="21"/>
                <w:highlight w:val="none"/>
              </w:rPr>
              <w:t>锅炉排污</w:t>
            </w:r>
          </w:p>
        </w:tc>
        <w:tc>
          <w:tcPr>
            <w:tcW w:w="628" w:type="pct"/>
            <w:noWrap w:val="0"/>
            <w:vAlign w:val="center"/>
          </w:tcPr>
          <w:p w14:paraId="6169D8FC">
            <w:pPr>
              <w:widowControl/>
              <w:snapToGrid w:val="0"/>
              <w:jc w:val="center"/>
              <w:rPr>
                <w:sz w:val="21"/>
                <w:szCs w:val="21"/>
                <w:highlight w:val="none"/>
              </w:rPr>
            </w:pPr>
            <w:r>
              <w:rPr>
                <w:sz w:val="21"/>
                <w:szCs w:val="21"/>
                <w:highlight w:val="none"/>
              </w:rPr>
              <w:t>夏季：10.9</w:t>
            </w:r>
          </w:p>
          <w:p w14:paraId="70CF400D">
            <w:pPr>
              <w:widowControl/>
              <w:snapToGrid w:val="0"/>
              <w:jc w:val="center"/>
              <w:rPr>
                <w:sz w:val="21"/>
                <w:szCs w:val="21"/>
                <w:highlight w:val="none"/>
              </w:rPr>
            </w:pPr>
            <w:r>
              <w:rPr>
                <w:sz w:val="21"/>
                <w:szCs w:val="21"/>
                <w:highlight w:val="none"/>
              </w:rPr>
              <w:t>冬季：10.6</w:t>
            </w:r>
          </w:p>
        </w:tc>
        <w:tc>
          <w:tcPr>
            <w:tcW w:w="413" w:type="pct"/>
            <w:noWrap w:val="0"/>
            <w:vAlign w:val="center"/>
          </w:tcPr>
          <w:p w14:paraId="1BF696C2">
            <w:pPr>
              <w:widowControl/>
              <w:snapToGrid w:val="0"/>
              <w:jc w:val="center"/>
              <w:rPr>
                <w:sz w:val="21"/>
                <w:szCs w:val="21"/>
                <w:highlight w:val="none"/>
              </w:rPr>
            </w:pPr>
            <w:r>
              <w:rPr>
                <w:sz w:val="21"/>
                <w:szCs w:val="21"/>
                <w:highlight w:val="none"/>
              </w:rPr>
              <w:t>Na</w:t>
            </w:r>
            <w:r>
              <w:rPr>
                <w:sz w:val="21"/>
                <w:szCs w:val="21"/>
                <w:highlight w:val="none"/>
                <w:vertAlign w:val="superscript"/>
              </w:rPr>
              <w:t>+</w:t>
            </w:r>
          </w:p>
          <w:p w14:paraId="10295AF5">
            <w:pPr>
              <w:widowControl/>
              <w:snapToGrid w:val="0"/>
              <w:jc w:val="center"/>
              <w:rPr>
                <w:sz w:val="21"/>
                <w:szCs w:val="21"/>
                <w:highlight w:val="none"/>
              </w:rPr>
            </w:pPr>
            <w:r>
              <w:rPr>
                <w:sz w:val="21"/>
                <w:szCs w:val="21"/>
                <w:highlight w:val="none"/>
              </w:rPr>
              <w:t>Cl</w:t>
            </w:r>
            <w:r>
              <w:rPr>
                <w:sz w:val="21"/>
                <w:szCs w:val="21"/>
                <w:highlight w:val="none"/>
                <w:vertAlign w:val="superscript"/>
              </w:rPr>
              <w:t>-</w:t>
            </w:r>
          </w:p>
          <w:p w14:paraId="3C652454">
            <w:pPr>
              <w:widowControl/>
              <w:snapToGrid w:val="0"/>
              <w:jc w:val="center"/>
              <w:rPr>
                <w:sz w:val="21"/>
                <w:szCs w:val="21"/>
                <w:highlight w:val="none"/>
              </w:rPr>
            </w:pPr>
            <w:r>
              <w:rPr>
                <w:sz w:val="21"/>
                <w:szCs w:val="21"/>
                <w:highlight w:val="none"/>
              </w:rPr>
              <w:t>TDS</w:t>
            </w:r>
          </w:p>
        </w:tc>
        <w:tc>
          <w:tcPr>
            <w:tcW w:w="528" w:type="pct"/>
            <w:noWrap w:val="0"/>
            <w:vAlign w:val="center"/>
          </w:tcPr>
          <w:p w14:paraId="663AA51C">
            <w:pPr>
              <w:widowControl/>
              <w:snapToGrid w:val="0"/>
              <w:jc w:val="center"/>
              <w:rPr>
                <w:sz w:val="21"/>
                <w:szCs w:val="21"/>
                <w:highlight w:val="none"/>
              </w:rPr>
            </w:pPr>
            <w:r>
              <w:rPr>
                <w:sz w:val="21"/>
                <w:szCs w:val="21"/>
                <w:highlight w:val="none"/>
              </w:rPr>
              <w:t>6.5</w:t>
            </w:r>
          </w:p>
          <w:p w14:paraId="4DE1BE3F">
            <w:pPr>
              <w:widowControl/>
              <w:snapToGrid w:val="0"/>
              <w:jc w:val="center"/>
              <w:rPr>
                <w:sz w:val="21"/>
                <w:szCs w:val="21"/>
                <w:highlight w:val="none"/>
              </w:rPr>
            </w:pPr>
            <w:r>
              <w:rPr>
                <w:sz w:val="21"/>
                <w:szCs w:val="21"/>
                <w:highlight w:val="none"/>
              </w:rPr>
              <w:t>10</w:t>
            </w:r>
          </w:p>
          <w:p w14:paraId="2C1DDC50">
            <w:pPr>
              <w:widowControl/>
              <w:snapToGrid w:val="0"/>
              <w:jc w:val="center"/>
              <w:rPr>
                <w:sz w:val="21"/>
                <w:szCs w:val="21"/>
                <w:highlight w:val="none"/>
              </w:rPr>
            </w:pPr>
            <w:r>
              <w:rPr>
                <w:sz w:val="21"/>
                <w:szCs w:val="21"/>
                <w:highlight w:val="none"/>
              </w:rPr>
              <w:t>17</w:t>
            </w:r>
          </w:p>
        </w:tc>
        <w:tc>
          <w:tcPr>
            <w:tcW w:w="190" w:type="pct"/>
            <w:noWrap w:val="0"/>
            <w:vAlign w:val="center"/>
          </w:tcPr>
          <w:p w14:paraId="27E7E34D">
            <w:pPr>
              <w:widowControl/>
              <w:snapToGrid w:val="0"/>
              <w:jc w:val="center"/>
              <w:rPr>
                <w:sz w:val="21"/>
                <w:szCs w:val="21"/>
                <w:highlight w:val="none"/>
              </w:rPr>
            </w:pPr>
            <w:r>
              <w:rPr>
                <w:sz w:val="21"/>
                <w:szCs w:val="21"/>
                <w:highlight w:val="none"/>
              </w:rPr>
              <w:t>连续</w:t>
            </w:r>
          </w:p>
        </w:tc>
        <w:tc>
          <w:tcPr>
            <w:tcW w:w="1336" w:type="pct"/>
            <w:noWrap w:val="0"/>
            <w:vAlign w:val="center"/>
          </w:tcPr>
          <w:p w14:paraId="331B2170">
            <w:pPr>
              <w:widowControl/>
              <w:snapToGrid w:val="0"/>
              <w:jc w:val="center"/>
              <w:rPr>
                <w:rFonts w:hint="eastAsia" w:eastAsia="宋体"/>
                <w:sz w:val="21"/>
                <w:szCs w:val="21"/>
                <w:highlight w:val="none"/>
                <w:lang w:eastAsia="zh-CN"/>
              </w:rPr>
            </w:pPr>
            <w:r>
              <w:rPr>
                <w:sz w:val="21"/>
                <w:szCs w:val="21"/>
                <w:highlight w:val="none"/>
              </w:rPr>
              <w:t>去第三循环水</w:t>
            </w:r>
            <w:r>
              <w:rPr>
                <w:rFonts w:hint="eastAsia"/>
                <w:sz w:val="21"/>
                <w:szCs w:val="21"/>
                <w:highlight w:val="none"/>
                <w:lang w:eastAsia="zh-CN"/>
              </w:rPr>
              <w:t>厂</w:t>
            </w:r>
          </w:p>
        </w:tc>
      </w:tr>
      <w:tr w14:paraId="709A8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restart"/>
            <w:noWrap w:val="0"/>
            <w:vAlign w:val="center"/>
          </w:tcPr>
          <w:p w14:paraId="7E5D7A14">
            <w:pPr>
              <w:widowControl/>
              <w:snapToGrid w:val="0"/>
              <w:jc w:val="center"/>
              <w:rPr>
                <w:sz w:val="21"/>
                <w:szCs w:val="21"/>
                <w:highlight w:val="none"/>
              </w:rPr>
            </w:pPr>
            <w:r>
              <w:rPr>
                <w:sz w:val="21"/>
                <w:szCs w:val="21"/>
                <w:highlight w:val="none"/>
              </w:rPr>
              <w:t>公用工程</w:t>
            </w:r>
          </w:p>
        </w:tc>
        <w:tc>
          <w:tcPr>
            <w:tcW w:w="712" w:type="pct"/>
            <w:noWrap w:val="0"/>
            <w:vAlign w:val="center"/>
          </w:tcPr>
          <w:p w14:paraId="78421E7D">
            <w:pPr>
              <w:jc w:val="center"/>
              <w:rPr>
                <w:sz w:val="21"/>
                <w:szCs w:val="21"/>
                <w:highlight w:val="none"/>
              </w:rPr>
            </w:pPr>
            <w:r>
              <w:rPr>
                <w:sz w:val="21"/>
                <w:szCs w:val="21"/>
                <w:highlight w:val="none"/>
              </w:rPr>
              <w:t>脱盐水站</w:t>
            </w:r>
          </w:p>
        </w:tc>
        <w:tc>
          <w:tcPr>
            <w:tcW w:w="794" w:type="pct"/>
            <w:noWrap w:val="0"/>
            <w:vAlign w:val="center"/>
          </w:tcPr>
          <w:p w14:paraId="0CB10326">
            <w:pPr>
              <w:widowControl/>
              <w:snapToGrid w:val="0"/>
              <w:jc w:val="center"/>
              <w:rPr>
                <w:sz w:val="21"/>
                <w:szCs w:val="21"/>
                <w:highlight w:val="none"/>
              </w:rPr>
            </w:pPr>
            <w:r>
              <w:rPr>
                <w:sz w:val="21"/>
                <w:szCs w:val="21"/>
                <w:highlight w:val="none"/>
              </w:rPr>
              <w:t>含盐废水</w:t>
            </w:r>
          </w:p>
        </w:tc>
        <w:tc>
          <w:tcPr>
            <w:tcW w:w="628" w:type="pct"/>
            <w:noWrap w:val="0"/>
            <w:vAlign w:val="center"/>
          </w:tcPr>
          <w:p w14:paraId="1111B43A">
            <w:pPr>
              <w:widowControl/>
              <w:snapToGrid w:val="0"/>
              <w:jc w:val="center"/>
              <w:rPr>
                <w:sz w:val="21"/>
                <w:szCs w:val="21"/>
                <w:highlight w:val="none"/>
              </w:rPr>
            </w:pPr>
            <w:r>
              <w:rPr>
                <w:sz w:val="21"/>
                <w:szCs w:val="21"/>
                <w:highlight w:val="none"/>
              </w:rPr>
              <w:t>夏季：448</w:t>
            </w:r>
          </w:p>
          <w:p w14:paraId="016FBAC4">
            <w:pPr>
              <w:widowControl/>
              <w:snapToGrid w:val="0"/>
              <w:jc w:val="center"/>
              <w:rPr>
                <w:sz w:val="21"/>
                <w:szCs w:val="21"/>
                <w:highlight w:val="none"/>
              </w:rPr>
            </w:pPr>
            <w:r>
              <w:rPr>
                <w:sz w:val="21"/>
                <w:szCs w:val="21"/>
                <w:highlight w:val="none"/>
              </w:rPr>
              <w:t>冬季：368</w:t>
            </w:r>
          </w:p>
        </w:tc>
        <w:tc>
          <w:tcPr>
            <w:tcW w:w="413" w:type="pct"/>
            <w:noWrap w:val="0"/>
            <w:vAlign w:val="center"/>
          </w:tcPr>
          <w:p w14:paraId="78D590F6">
            <w:pPr>
              <w:widowControl/>
              <w:snapToGrid w:val="0"/>
              <w:jc w:val="center"/>
              <w:rPr>
                <w:sz w:val="21"/>
                <w:szCs w:val="21"/>
                <w:highlight w:val="none"/>
              </w:rPr>
            </w:pPr>
            <w:r>
              <w:rPr>
                <w:sz w:val="21"/>
                <w:szCs w:val="21"/>
                <w:highlight w:val="none"/>
              </w:rPr>
              <w:t>COD</w:t>
            </w:r>
          </w:p>
          <w:p w14:paraId="3C76DF68">
            <w:pPr>
              <w:widowControl/>
              <w:snapToGrid w:val="0"/>
              <w:jc w:val="center"/>
              <w:rPr>
                <w:sz w:val="21"/>
                <w:szCs w:val="21"/>
                <w:highlight w:val="none"/>
              </w:rPr>
            </w:pPr>
            <w:r>
              <w:rPr>
                <w:sz w:val="21"/>
                <w:szCs w:val="21"/>
                <w:highlight w:val="none"/>
              </w:rPr>
              <w:t>浊度</w:t>
            </w:r>
          </w:p>
          <w:p w14:paraId="55A420F7">
            <w:pPr>
              <w:widowControl/>
              <w:snapToGrid w:val="0"/>
              <w:jc w:val="center"/>
              <w:rPr>
                <w:sz w:val="21"/>
                <w:szCs w:val="21"/>
                <w:highlight w:val="none"/>
              </w:rPr>
            </w:pPr>
            <w:r>
              <w:rPr>
                <w:sz w:val="21"/>
                <w:szCs w:val="21"/>
                <w:highlight w:val="none"/>
              </w:rPr>
              <w:t>TDS</w:t>
            </w:r>
          </w:p>
          <w:p w14:paraId="6FBDE3C6">
            <w:pPr>
              <w:widowControl/>
              <w:snapToGrid w:val="0"/>
              <w:jc w:val="center"/>
              <w:rPr>
                <w:sz w:val="21"/>
                <w:szCs w:val="21"/>
                <w:highlight w:val="none"/>
              </w:rPr>
            </w:pPr>
            <w:r>
              <w:rPr>
                <w:sz w:val="21"/>
                <w:szCs w:val="21"/>
                <w:highlight w:val="none"/>
              </w:rPr>
              <w:t>Ca</w:t>
            </w:r>
            <w:r>
              <w:rPr>
                <w:sz w:val="21"/>
                <w:szCs w:val="21"/>
                <w:highlight w:val="none"/>
                <w:vertAlign w:val="superscript"/>
              </w:rPr>
              <w:t>2+</w:t>
            </w:r>
          </w:p>
          <w:p w14:paraId="6424E7F4">
            <w:pPr>
              <w:widowControl/>
              <w:snapToGrid w:val="0"/>
              <w:jc w:val="center"/>
              <w:rPr>
                <w:sz w:val="21"/>
                <w:szCs w:val="21"/>
                <w:highlight w:val="none"/>
              </w:rPr>
            </w:pPr>
            <w:r>
              <w:rPr>
                <w:sz w:val="21"/>
                <w:szCs w:val="21"/>
                <w:highlight w:val="none"/>
              </w:rPr>
              <w:t>pH</w:t>
            </w:r>
          </w:p>
        </w:tc>
        <w:tc>
          <w:tcPr>
            <w:tcW w:w="528" w:type="pct"/>
            <w:noWrap w:val="0"/>
            <w:vAlign w:val="center"/>
          </w:tcPr>
          <w:p w14:paraId="67CD2AFA">
            <w:pPr>
              <w:widowControl/>
              <w:snapToGrid w:val="0"/>
              <w:jc w:val="center"/>
              <w:rPr>
                <w:sz w:val="21"/>
                <w:szCs w:val="21"/>
                <w:highlight w:val="none"/>
              </w:rPr>
            </w:pPr>
            <w:r>
              <w:rPr>
                <w:sz w:val="21"/>
                <w:szCs w:val="21"/>
                <w:highlight w:val="none"/>
              </w:rPr>
              <w:t>50</w:t>
            </w:r>
          </w:p>
          <w:p w14:paraId="7E3CAF9E">
            <w:pPr>
              <w:widowControl/>
              <w:snapToGrid w:val="0"/>
              <w:jc w:val="center"/>
              <w:rPr>
                <w:sz w:val="21"/>
                <w:szCs w:val="21"/>
                <w:highlight w:val="none"/>
              </w:rPr>
            </w:pPr>
            <w:r>
              <w:rPr>
                <w:sz w:val="21"/>
                <w:szCs w:val="21"/>
                <w:highlight w:val="none"/>
              </w:rPr>
              <w:t>12NTU</w:t>
            </w:r>
          </w:p>
          <w:p w14:paraId="5D4E954E">
            <w:pPr>
              <w:widowControl/>
              <w:snapToGrid w:val="0"/>
              <w:jc w:val="center"/>
              <w:rPr>
                <w:sz w:val="21"/>
                <w:szCs w:val="21"/>
                <w:highlight w:val="none"/>
              </w:rPr>
            </w:pPr>
            <w:r>
              <w:rPr>
                <w:sz w:val="21"/>
                <w:szCs w:val="21"/>
                <w:highlight w:val="none"/>
              </w:rPr>
              <w:t>3500</w:t>
            </w:r>
          </w:p>
          <w:p w14:paraId="32631F6D">
            <w:pPr>
              <w:widowControl/>
              <w:snapToGrid w:val="0"/>
              <w:jc w:val="center"/>
              <w:rPr>
                <w:sz w:val="21"/>
                <w:szCs w:val="21"/>
                <w:highlight w:val="none"/>
              </w:rPr>
            </w:pPr>
            <w:r>
              <w:rPr>
                <w:sz w:val="21"/>
                <w:szCs w:val="21"/>
                <w:highlight w:val="none"/>
              </w:rPr>
              <w:t>15</w:t>
            </w:r>
          </w:p>
          <w:p w14:paraId="17084DCE">
            <w:pPr>
              <w:widowControl/>
              <w:snapToGrid w:val="0"/>
              <w:jc w:val="center"/>
              <w:rPr>
                <w:sz w:val="21"/>
                <w:szCs w:val="21"/>
                <w:highlight w:val="none"/>
              </w:rPr>
            </w:pPr>
            <w:r>
              <w:rPr>
                <w:sz w:val="21"/>
                <w:szCs w:val="21"/>
                <w:highlight w:val="none"/>
              </w:rPr>
              <w:t>9</w:t>
            </w:r>
          </w:p>
        </w:tc>
        <w:tc>
          <w:tcPr>
            <w:tcW w:w="190" w:type="pct"/>
            <w:noWrap w:val="0"/>
            <w:vAlign w:val="center"/>
          </w:tcPr>
          <w:p w14:paraId="1D39E30E">
            <w:pPr>
              <w:widowControl/>
              <w:snapToGrid w:val="0"/>
              <w:jc w:val="center"/>
              <w:rPr>
                <w:sz w:val="21"/>
                <w:szCs w:val="21"/>
                <w:highlight w:val="none"/>
              </w:rPr>
            </w:pPr>
            <w:r>
              <w:rPr>
                <w:sz w:val="21"/>
                <w:szCs w:val="21"/>
                <w:highlight w:val="none"/>
              </w:rPr>
              <w:t>连续</w:t>
            </w:r>
          </w:p>
        </w:tc>
        <w:tc>
          <w:tcPr>
            <w:tcW w:w="1336" w:type="pct"/>
            <w:vMerge w:val="restart"/>
            <w:noWrap w:val="0"/>
            <w:vAlign w:val="center"/>
          </w:tcPr>
          <w:p w14:paraId="1BE3333D">
            <w:pPr>
              <w:widowControl/>
              <w:snapToGrid w:val="0"/>
              <w:jc w:val="center"/>
              <w:rPr>
                <w:sz w:val="21"/>
                <w:szCs w:val="21"/>
                <w:highlight w:val="none"/>
              </w:rPr>
            </w:pPr>
            <w:r>
              <w:rPr>
                <w:rFonts w:hint="eastAsia"/>
                <w:sz w:val="21"/>
                <w:szCs w:val="21"/>
                <w:highlight w:val="none"/>
                <w:lang w:eastAsia="zh-CN"/>
              </w:rPr>
              <w:t>送至</w:t>
            </w:r>
            <w:r>
              <w:rPr>
                <w:sz w:val="21"/>
                <w:szCs w:val="21"/>
                <w:highlight w:val="none"/>
              </w:rPr>
              <w:t>废水处理及回用装置</w:t>
            </w:r>
          </w:p>
        </w:tc>
      </w:tr>
      <w:tr w14:paraId="0C717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1586A198">
            <w:pPr>
              <w:widowControl/>
              <w:snapToGrid w:val="0"/>
              <w:jc w:val="center"/>
              <w:rPr>
                <w:sz w:val="21"/>
                <w:szCs w:val="21"/>
                <w:highlight w:val="none"/>
              </w:rPr>
            </w:pPr>
          </w:p>
        </w:tc>
        <w:tc>
          <w:tcPr>
            <w:tcW w:w="712" w:type="pct"/>
            <w:noWrap w:val="0"/>
            <w:vAlign w:val="center"/>
          </w:tcPr>
          <w:p w14:paraId="0BF5F4DF">
            <w:pPr>
              <w:jc w:val="center"/>
              <w:rPr>
                <w:sz w:val="21"/>
                <w:szCs w:val="21"/>
                <w:highlight w:val="none"/>
              </w:rPr>
            </w:pPr>
            <w:r>
              <w:rPr>
                <w:sz w:val="21"/>
                <w:szCs w:val="21"/>
                <w:highlight w:val="none"/>
              </w:rPr>
              <w:t>第一循环水场（开式）</w:t>
            </w:r>
          </w:p>
        </w:tc>
        <w:tc>
          <w:tcPr>
            <w:tcW w:w="794" w:type="pct"/>
            <w:noWrap w:val="0"/>
            <w:vAlign w:val="center"/>
          </w:tcPr>
          <w:p w14:paraId="71C26AF3">
            <w:pPr>
              <w:widowControl/>
              <w:snapToGrid w:val="0"/>
              <w:jc w:val="center"/>
              <w:rPr>
                <w:sz w:val="21"/>
                <w:szCs w:val="21"/>
                <w:highlight w:val="none"/>
              </w:rPr>
            </w:pPr>
            <w:r>
              <w:rPr>
                <w:sz w:val="21"/>
                <w:szCs w:val="21"/>
                <w:highlight w:val="none"/>
              </w:rPr>
              <w:t>含盐废水</w:t>
            </w:r>
          </w:p>
        </w:tc>
        <w:tc>
          <w:tcPr>
            <w:tcW w:w="628" w:type="pct"/>
            <w:noWrap w:val="0"/>
            <w:vAlign w:val="center"/>
          </w:tcPr>
          <w:p w14:paraId="567A0D65">
            <w:pPr>
              <w:widowControl/>
              <w:snapToGrid w:val="0"/>
              <w:jc w:val="center"/>
              <w:rPr>
                <w:sz w:val="21"/>
                <w:szCs w:val="21"/>
                <w:highlight w:val="none"/>
              </w:rPr>
            </w:pPr>
            <w:r>
              <w:rPr>
                <w:sz w:val="21"/>
                <w:szCs w:val="21"/>
                <w:highlight w:val="none"/>
              </w:rPr>
              <w:t>夏季：13</w:t>
            </w:r>
          </w:p>
          <w:p w14:paraId="5C04815A">
            <w:pPr>
              <w:widowControl/>
              <w:snapToGrid w:val="0"/>
              <w:jc w:val="center"/>
              <w:rPr>
                <w:sz w:val="21"/>
                <w:szCs w:val="21"/>
                <w:highlight w:val="none"/>
              </w:rPr>
            </w:pPr>
            <w:r>
              <w:rPr>
                <w:sz w:val="21"/>
                <w:szCs w:val="21"/>
                <w:highlight w:val="none"/>
              </w:rPr>
              <w:t>冬季：11</w:t>
            </w:r>
          </w:p>
        </w:tc>
        <w:tc>
          <w:tcPr>
            <w:tcW w:w="413" w:type="pct"/>
            <w:noWrap w:val="0"/>
            <w:vAlign w:val="center"/>
          </w:tcPr>
          <w:p w14:paraId="469FA112">
            <w:pPr>
              <w:widowControl/>
              <w:snapToGrid w:val="0"/>
              <w:jc w:val="center"/>
              <w:rPr>
                <w:sz w:val="21"/>
                <w:szCs w:val="21"/>
                <w:highlight w:val="none"/>
              </w:rPr>
            </w:pPr>
            <w:r>
              <w:rPr>
                <w:sz w:val="21"/>
                <w:szCs w:val="21"/>
                <w:highlight w:val="none"/>
              </w:rPr>
              <w:t>COD</w:t>
            </w:r>
          </w:p>
          <w:p w14:paraId="1D14BF2B">
            <w:pPr>
              <w:widowControl/>
              <w:snapToGrid w:val="0"/>
              <w:jc w:val="center"/>
              <w:rPr>
                <w:sz w:val="21"/>
                <w:szCs w:val="21"/>
                <w:highlight w:val="none"/>
              </w:rPr>
            </w:pPr>
            <w:r>
              <w:rPr>
                <w:sz w:val="21"/>
                <w:szCs w:val="21"/>
                <w:highlight w:val="none"/>
              </w:rPr>
              <w:t>浊度</w:t>
            </w:r>
          </w:p>
          <w:p w14:paraId="254C6DD3">
            <w:pPr>
              <w:widowControl/>
              <w:snapToGrid w:val="0"/>
              <w:jc w:val="center"/>
              <w:rPr>
                <w:sz w:val="21"/>
                <w:szCs w:val="21"/>
                <w:highlight w:val="none"/>
              </w:rPr>
            </w:pPr>
            <w:r>
              <w:rPr>
                <w:sz w:val="21"/>
                <w:szCs w:val="21"/>
                <w:highlight w:val="none"/>
              </w:rPr>
              <w:t>TDS</w:t>
            </w:r>
          </w:p>
          <w:p w14:paraId="541168D8">
            <w:pPr>
              <w:widowControl/>
              <w:snapToGrid w:val="0"/>
              <w:jc w:val="center"/>
              <w:rPr>
                <w:sz w:val="21"/>
                <w:szCs w:val="21"/>
                <w:highlight w:val="none"/>
              </w:rPr>
            </w:pPr>
            <w:r>
              <w:rPr>
                <w:sz w:val="21"/>
                <w:szCs w:val="21"/>
                <w:highlight w:val="none"/>
              </w:rPr>
              <w:t>Ca</w:t>
            </w:r>
            <w:r>
              <w:rPr>
                <w:sz w:val="21"/>
                <w:szCs w:val="21"/>
                <w:highlight w:val="none"/>
                <w:vertAlign w:val="superscript"/>
              </w:rPr>
              <w:t>2+</w:t>
            </w:r>
          </w:p>
          <w:p w14:paraId="3622B120">
            <w:pPr>
              <w:widowControl/>
              <w:snapToGrid w:val="0"/>
              <w:jc w:val="center"/>
              <w:rPr>
                <w:sz w:val="21"/>
                <w:szCs w:val="21"/>
                <w:highlight w:val="none"/>
              </w:rPr>
            </w:pPr>
            <w:r>
              <w:rPr>
                <w:sz w:val="21"/>
                <w:szCs w:val="21"/>
                <w:highlight w:val="none"/>
              </w:rPr>
              <w:t>pH</w:t>
            </w:r>
          </w:p>
        </w:tc>
        <w:tc>
          <w:tcPr>
            <w:tcW w:w="528" w:type="pct"/>
            <w:noWrap w:val="0"/>
            <w:vAlign w:val="center"/>
          </w:tcPr>
          <w:p w14:paraId="386C3184">
            <w:pPr>
              <w:widowControl/>
              <w:snapToGrid w:val="0"/>
              <w:jc w:val="center"/>
              <w:rPr>
                <w:sz w:val="21"/>
                <w:szCs w:val="21"/>
                <w:highlight w:val="none"/>
              </w:rPr>
            </w:pPr>
            <w:r>
              <w:rPr>
                <w:sz w:val="21"/>
                <w:szCs w:val="21"/>
                <w:highlight w:val="none"/>
              </w:rPr>
              <w:t>60</w:t>
            </w:r>
          </w:p>
          <w:p w14:paraId="140FE678">
            <w:pPr>
              <w:widowControl/>
              <w:snapToGrid w:val="0"/>
              <w:jc w:val="center"/>
              <w:rPr>
                <w:sz w:val="21"/>
                <w:szCs w:val="21"/>
                <w:highlight w:val="none"/>
              </w:rPr>
            </w:pPr>
            <w:r>
              <w:rPr>
                <w:sz w:val="21"/>
                <w:szCs w:val="21"/>
                <w:highlight w:val="none"/>
              </w:rPr>
              <w:t>12NTU</w:t>
            </w:r>
          </w:p>
          <w:p w14:paraId="5D99D102">
            <w:pPr>
              <w:widowControl/>
              <w:snapToGrid w:val="0"/>
              <w:jc w:val="center"/>
              <w:rPr>
                <w:sz w:val="21"/>
                <w:szCs w:val="21"/>
                <w:highlight w:val="none"/>
              </w:rPr>
            </w:pPr>
            <w:r>
              <w:rPr>
                <w:sz w:val="21"/>
                <w:szCs w:val="21"/>
                <w:highlight w:val="none"/>
              </w:rPr>
              <w:t>1200</w:t>
            </w:r>
          </w:p>
          <w:p w14:paraId="5DCE02A1">
            <w:pPr>
              <w:widowControl/>
              <w:snapToGrid w:val="0"/>
              <w:jc w:val="center"/>
              <w:rPr>
                <w:sz w:val="21"/>
                <w:szCs w:val="21"/>
                <w:highlight w:val="none"/>
              </w:rPr>
            </w:pPr>
            <w:r>
              <w:rPr>
                <w:sz w:val="21"/>
                <w:szCs w:val="21"/>
                <w:highlight w:val="none"/>
              </w:rPr>
              <w:t>15</w:t>
            </w:r>
          </w:p>
          <w:p w14:paraId="625FBBFB">
            <w:pPr>
              <w:widowControl/>
              <w:snapToGrid w:val="0"/>
              <w:jc w:val="center"/>
              <w:rPr>
                <w:sz w:val="21"/>
                <w:szCs w:val="21"/>
                <w:highlight w:val="none"/>
              </w:rPr>
            </w:pPr>
            <w:r>
              <w:rPr>
                <w:sz w:val="21"/>
                <w:szCs w:val="21"/>
                <w:highlight w:val="none"/>
              </w:rPr>
              <w:t>9</w:t>
            </w:r>
          </w:p>
        </w:tc>
        <w:tc>
          <w:tcPr>
            <w:tcW w:w="190" w:type="pct"/>
            <w:noWrap w:val="0"/>
            <w:vAlign w:val="center"/>
          </w:tcPr>
          <w:p w14:paraId="451ED44E">
            <w:pPr>
              <w:widowControl/>
              <w:snapToGrid w:val="0"/>
              <w:jc w:val="center"/>
              <w:rPr>
                <w:sz w:val="21"/>
                <w:szCs w:val="21"/>
                <w:highlight w:val="none"/>
              </w:rPr>
            </w:pPr>
            <w:r>
              <w:rPr>
                <w:sz w:val="21"/>
                <w:szCs w:val="21"/>
                <w:highlight w:val="none"/>
              </w:rPr>
              <w:t>连续</w:t>
            </w:r>
          </w:p>
        </w:tc>
        <w:tc>
          <w:tcPr>
            <w:tcW w:w="1336" w:type="pct"/>
            <w:vMerge w:val="continue"/>
            <w:noWrap w:val="0"/>
            <w:vAlign w:val="center"/>
          </w:tcPr>
          <w:p w14:paraId="63E07B4C">
            <w:pPr>
              <w:widowControl/>
              <w:snapToGrid w:val="0"/>
              <w:jc w:val="center"/>
              <w:rPr>
                <w:sz w:val="21"/>
                <w:szCs w:val="21"/>
                <w:highlight w:val="none"/>
              </w:rPr>
            </w:pPr>
          </w:p>
        </w:tc>
      </w:tr>
      <w:tr w14:paraId="377C4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17040C4F">
            <w:pPr>
              <w:widowControl/>
              <w:snapToGrid w:val="0"/>
              <w:jc w:val="center"/>
              <w:rPr>
                <w:sz w:val="21"/>
                <w:szCs w:val="21"/>
                <w:highlight w:val="none"/>
              </w:rPr>
            </w:pPr>
          </w:p>
        </w:tc>
        <w:tc>
          <w:tcPr>
            <w:tcW w:w="712" w:type="pct"/>
            <w:noWrap w:val="0"/>
            <w:vAlign w:val="center"/>
          </w:tcPr>
          <w:p w14:paraId="2C513657">
            <w:pPr>
              <w:jc w:val="center"/>
              <w:rPr>
                <w:sz w:val="21"/>
                <w:szCs w:val="21"/>
                <w:highlight w:val="none"/>
              </w:rPr>
            </w:pPr>
            <w:r>
              <w:rPr>
                <w:sz w:val="21"/>
                <w:szCs w:val="21"/>
                <w:highlight w:val="none"/>
              </w:rPr>
              <w:t>第三循环水场（开式）</w:t>
            </w:r>
          </w:p>
        </w:tc>
        <w:tc>
          <w:tcPr>
            <w:tcW w:w="794" w:type="pct"/>
            <w:noWrap w:val="0"/>
            <w:vAlign w:val="center"/>
          </w:tcPr>
          <w:p w14:paraId="0FC60140">
            <w:pPr>
              <w:widowControl/>
              <w:snapToGrid w:val="0"/>
              <w:jc w:val="center"/>
              <w:rPr>
                <w:sz w:val="21"/>
                <w:szCs w:val="21"/>
                <w:highlight w:val="none"/>
              </w:rPr>
            </w:pPr>
            <w:r>
              <w:rPr>
                <w:sz w:val="21"/>
                <w:szCs w:val="21"/>
                <w:highlight w:val="none"/>
              </w:rPr>
              <w:t>含盐废水</w:t>
            </w:r>
          </w:p>
        </w:tc>
        <w:tc>
          <w:tcPr>
            <w:tcW w:w="628" w:type="pct"/>
            <w:noWrap w:val="0"/>
            <w:vAlign w:val="center"/>
          </w:tcPr>
          <w:p w14:paraId="5C3BD06D">
            <w:pPr>
              <w:widowControl/>
              <w:snapToGrid w:val="0"/>
              <w:jc w:val="center"/>
              <w:rPr>
                <w:sz w:val="21"/>
                <w:szCs w:val="21"/>
                <w:highlight w:val="none"/>
              </w:rPr>
            </w:pPr>
            <w:r>
              <w:rPr>
                <w:sz w:val="21"/>
                <w:szCs w:val="21"/>
                <w:highlight w:val="none"/>
              </w:rPr>
              <w:t>夏季：61.6</w:t>
            </w:r>
          </w:p>
          <w:p w14:paraId="63884AC7">
            <w:pPr>
              <w:widowControl/>
              <w:snapToGrid w:val="0"/>
              <w:jc w:val="center"/>
              <w:rPr>
                <w:sz w:val="21"/>
                <w:szCs w:val="21"/>
                <w:highlight w:val="none"/>
              </w:rPr>
            </w:pPr>
            <w:r>
              <w:rPr>
                <w:sz w:val="21"/>
                <w:szCs w:val="21"/>
                <w:highlight w:val="none"/>
              </w:rPr>
              <w:t>冬季：49.3</w:t>
            </w:r>
          </w:p>
        </w:tc>
        <w:tc>
          <w:tcPr>
            <w:tcW w:w="413" w:type="pct"/>
            <w:noWrap w:val="0"/>
            <w:vAlign w:val="center"/>
          </w:tcPr>
          <w:p w14:paraId="604FDD78">
            <w:pPr>
              <w:widowControl/>
              <w:snapToGrid w:val="0"/>
              <w:jc w:val="center"/>
              <w:rPr>
                <w:sz w:val="21"/>
                <w:szCs w:val="21"/>
                <w:highlight w:val="none"/>
              </w:rPr>
            </w:pPr>
            <w:r>
              <w:rPr>
                <w:sz w:val="21"/>
                <w:szCs w:val="21"/>
                <w:highlight w:val="none"/>
              </w:rPr>
              <w:t>COD</w:t>
            </w:r>
          </w:p>
          <w:p w14:paraId="0D55601E">
            <w:pPr>
              <w:widowControl/>
              <w:snapToGrid w:val="0"/>
              <w:jc w:val="center"/>
              <w:rPr>
                <w:sz w:val="21"/>
                <w:szCs w:val="21"/>
                <w:highlight w:val="none"/>
              </w:rPr>
            </w:pPr>
            <w:r>
              <w:rPr>
                <w:sz w:val="21"/>
                <w:szCs w:val="21"/>
                <w:highlight w:val="none"/>
              </w:rPr>
              <w:t>浊度</w:t>
            </w:r>
          </w:p>
          <w:p w14:paraId="0A5717C2">
            <w:pPr>
              <w:widowControl/>
              <w:snapToGrid w:val="0"/>
              <w:jc w:val="center"/>
              <w:rPr>
                <w:sz w:val="21"/>
                <w:szCs w:val="21"/>
                <w:highlight w:val="none"/>
              </w:rPr>
            </w:pPr>
            <w:r>
              <w:rPr>
                <w:sz w:val="21"/>
                <w:szCs w:val="21"/>
                <w:highlight w:val="none"/>
              </w:rPr>
              <w:t>TDS</w:t>
            </w:r>
          </w:p>
          <w:p w14:paraId="5B8D9263">
            <w:pPr>
              <w:widowControl/>
              <w:snapToGrid w:val="0"/>
              <w:jc w:val="center"/>
              <w:rPr>
                <w:sz w:val="21"/>
                <w:szCs w:val="21"/>
                <w:highlight w:val="none"/>
              </w:rPr>
            </w:pPr>
            <w:r>
              <w:rPr>
                <w:sz w:val="21"/>
                <w:szCs w:val="21"/>
                <w:highlight w:val="none"/>
              </w:rPr>
              <w:t>Ca</w:t>
            </w:r>
            <w:r>
              <w:rPr>
                <w:sz w:val="21"/>
                <w:szCs w:val="21"/>
                <w:highlight w:val="none"/>
                <w:vertAlign w:val="superscript"/>
              </w:rPr>
              <w:t>2+</w:t>
            </w:r>
          </w:p>
          <w:p w14:paraId="745142BC">
            <w:pPr>
              <w:widowControl/>
              <w:snapToGrid w:val="0"/>
              <w:jc w:val="center"/>
              <w:rPr>
                <w:sz w:val="21"/>
                <w:szCs w:val="21"/>
                <w:highlight w:val="none"/>
              </w:rPr>
            </w:pPr>
            <w:r>
              <w:rPr>
                <w:sz w:val="21"/>
                <w:szCs w:val="21"/>
                <w:highlight w:val="none"/>
              </w:rPr>
              <w:t>pH</w:t>
            </w:r>
          </w:p>
        </w:tc>
        <w:tc>
          <w:tcPr>
            <w:tcW w:w="528" w:type="pct"/>
            <w:noWrap w:val="0"/>
            <w:vAlign w:val="center"/>
          </w:tcPr>
          <w:p w14:paraId="0E0960EF">
            <w:pPr>
              <w:widowControl/>
              <w:snapToGrid w:val="0"/>
              <w:jc w:val="center"/>
              <w:rPr>
                <w:sz w:val="21"/>
                <w:szCs w:val="21"/>
                <w:highlight w:val="none"/>
              </w:rPr>
            </w:pPr>
            <w:r>
              <w:rPr>
                <w:sz w:val="21"/>
                <w:szCs w:val="21"/>
                <w:highlight w:val="none"/>
              </w:rPr>
              <w:t>60</w:t>
            </w:r>
          </w:p>
          <w:p w14:paraId="26659DFA">
            <w:pPr>
              <w:widowControl/>
              <w:snapToGrid w:val="0"/>
              <w:jc w:val="center"/>
              <w:rPr>
                <w:sz w:val="21"/>
                <w:szCs w:val="21"/>
                <w:highlight w:val="none"/>
              </w:rPr>
            </w:pPr>
            <w:r>
              <w:rPr>
                <w:sz w:val="21"/>
                <w:szCs w:val="21"/>
                <w:highlight w:val="none"/>
              </w:rPr>
              <w:t>12NTU</w:t>
            </w:r>
          </w:p>
          <w:p w14:paraId="6E9A91B1">
            <w:pPr>
              <w:widowControl/>
              <w:snapToGrid w:val="0"/>
              <w:jc w:val="center"/>
              <w:rPr>
                <w:sz w:val="21"/>
                <w:szCs w:val="21"/>
                <w:highlight w:val="none"/>
              </w:rPr>
            </w:pPr>
            <w:r>
              <w:rPr>
                <w:sz w:val="21"/>
                <w:szCs w:val="21"/>
                <w:highlight w:val="none"/>
              </w:rPr>
              <w:t>1200</w:t>
            </w:r>
          </w:p>
          <w:p w14:paraId="2C31E9DC">
            <w:pPr>
              <w:widowControl/>
              <w:snapToGrid w:val="0"/>
              <w:jc w:val="center"/>
              <w:rPr>
                <w:sz w:val="21"/>
                <w:szCs w:val="21"/>
                <w:highlight w:val="none"/>
              </w:rPr>
            </w:pPr>
            <w:r>
              <w:rPr>
                <w:sz w:val="21"/>
                <w:szCs w:val="21"/>
                <w:highlight w:val="none"/>
              </w:rPr>
              <w:t>15</w:t>
            </w:r>
          </w:p>
          <w:p w14:paraId="33A480A0">
            <w:pPr>
              <w:widowControl/>
              <w:snapToGrid w:val="0"/>
              <w:jc w:val="center"/>
              <w:rPr>
                <w:sz w:val="21"/>
                <w:szCs w:val="21"/>
                <w:highlight w:val="none"/>
              </w:rPr>
            </w:pPr>
            <w:r>
              <w:rPr>
                <w:sz w:val="21"/>
                <w:szCs w:val="21"/>
                <w:highlight w:val="none"/>
              </w:rPr>
              <w:t>9</w:t>
            </w:r>
          </w:p>
        </w:tc>
        <w:tc>
          <w:tcPr>
            <w:tcW w:w="190" w:type="pct"/>
            <w:noWrap w:val="0"/>
            <w:vAlign w:val="center"/>
          </w:tcPr>
          <w:p w14:paraId="57F49692">
            <w:pPr>
              <w:widowControl/>
              <w:snapToGrid w:val="0"/>
              <w:jc w:val="center"/>
              <w:rPr>
                <w:sz w:val="21"/>
                <w:szCs w:val="21"/>
                <w:highlight w:val="none"/>
              </w:rPr>
            </w:pPr>
            <w:r>
              <w:rPr>
                <w:sz w:val="21"/>
                <w:szCs w:val="21"/>
                <w:highlight w:val="none"/>
              </w:rPr>
              <w:t>连续</w:t>
            </w:r>
          </w:p>
        </w:tc>
        <w:tc>
          <w:tcPr>
            <w:tcW w:w="1336" w:type="pct"/>
            <w:vMerge w:val="continue"/>
            <w:noWrap w:val="0"/>
            <w:vAlign w:val="center"/>
          </w:tcPr>
          <w:p w14:paraId="4AB630E0">
            <w:pPr>
              <w:widowControl/>
              <w:snapToGrid w:val="0"/>
              <w:jc w:val="center"/>
              <w:rPr>
                <w:sz w:val="21"/>
                <w:szCs w:val="21"/>
                <w:highlight w:val="none"/>
              </w:rPr>
            </w:pPr>
          </w:p>
        </w:tc>
      </w:tr>
      <w:tr w14:paraId="7A6E8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568F93C6">
            <w:pPr>
              <w:widowControl/>
              <w:snapToGrid w:val="0"/>
              <w:jc w:val="center"/>
              <w:rPr>
                <w:sz w:val="21"/>
                <w:szCs w:val="21"/>
                <w:highlight w:val="none"/>
              </w:rPr>
            </w:pPr>
          </w:p>
        </w:tc>
        <w:tc>
          <w:tcPr>
            <w:tcW w:w="712" w:type="pct"/>
            <w:noWrap w:val="0"/>
            <w:vAlign w:val="center"/>
          </w:tcPr>
          <w:p w14:paraId="7C466E26">
            <w:pPr>
              <w:widowControl/>
              <w:snapToGrid w:val="0"/>
              <w:jc w:val="center"/>
              <w:rPr>
                <w:sz w:val="21"/>
                <w:szCs w:val="21"/>
                <w:highlight w:val="none"/>
              </w:rPr>
            </w:pPr>
            <w:r>
              <w:rPr>
                <w:sz w:val="21"/>
                <w:szCs w:val="21"/>
                <w:highlight w:val="none"/>
              </w:rPr>
              <w:t>火炬系统</w:t>
            </w:r>
          </w:p>
        </w:tc>
        <w:tc>
          <w:tcPr>
            <w:tcW w:w="794" w:type="pct"/>
            <w:noWrap w:val="0"/>
            <w:vAlign w:val="center"/>
          </w:tcPr>
          <w:p w14:paraId="4CA3FC2F">
            <w:pPr>
              <w:widowControl/>
              <w:snapToGrid w:val="0"/>
              <w:jc w:val="center"/>
              <w:rPr>
                <w:sz w:val="21"/>
                <w:szCs w:val="21"/>
                <w:highlight w:val="none"/>
              </w:rPr>
            </w:pPr>
            <w:r>
              <w:rPr>
                <w:sz w:val="21"/>
                <w:szCs w:val="21"/>
                <w:highlight w:val="none"/>
              </w:rPr>
              <w:t>气液分离罐排水及水封</w:t>
            </w:r>
            <w:r>
              <w:rPr>
                <w:rFonts w:hint="eastAsia"/>
                <w:sz w:val="21"/>
                <w:szCs w:val="21"/>
                <w:highlight w:val="none"/>
                <w:lang w:eastAsia="zh-CN"/>
              </w:rPr>
              <w:t>罐</w:t>
            </w:r>
            <w:r>
              <w:rPr>
                <w:sz w:val="21"/>
                <w:szCs w:val="21"/>
                <w:highlight w:val="none"/>
              </w:rPr>
              <w:t>排水</w:t>
            </w:r>
          </w:p>
        </w:tc>
        <w:tc>
          <w:tcPr>
            <w:tcW w:w="628" w:type="pct"/>
            <w:noWrap w:val="0"/>
            <w:vAlign w:val="center"/>
          </w:tcPr>
          <w:p w14:paraId="349989B5">
            <w:pPr>
              <w:widowControl/>
              <w:snapToGrid w:val="0"/>
              <w:jc w:val="center"/>
              <w:rPr>
                <w:sz w:val="21"/>
                <w:szCs w:val="21"/>
                <w:highlight w:val="none"/>
              </w:rPr>
            </w:pPr>
            <w:r>
              <w:rPr>
                <w:sz w:val="21"/>
                <w:szCs w:val="21"/>
                <w:highlight w:val="none"/>
              </w:rPr>
              <w:t>1</w:t>
            </w:r>
          </w:p>
        </w:tc>
        <w:tc>
          <w:tcPr>
            <w:tcW w:w="413" w:type="pct"/>
            <w:noWrap w:val="0"/>
            <w:vAlign w:val="center"/>
          </w:tcPr>
          <w:p w14:paraId="222A8173">
            <w:pPr>
              <w:widowControl/>
              <w:snapToGrid w:val="0"/>
              <w:jc w:val="center"/>
              <w:rPr>
                <w:sz w:val="21"/>
                <w:szCs w:val="21"/>
                <w:highlight w:val="none"/>
              </w:rPr>
            </w:pPr>
            <w:r>
              <w:rPr>
                <w:sz w:val="21"/>
                <w:szCs w:val="21"/>
                <w:highlight w:val="none"/>
              </w:rPr>
              <w:t>CODcr</w:t>
            </w:r>
          </w:p>
          <w:p w14:paraId="5AFEFFBB">
            <w:pPr>
              <w:widowControl/>
              <w:snapToGrid w:val="0"/>
              <w:jc w:val="center"/>
              <w:rPr>
                <w:sz w:val="21"/>
                <w:szCs w:val="21"/>
                <w:highlight w:val="none"/>
              </w:rPr>
            </w:pPr>
            <w:r>
              <w:rPr>
                <w:sz w:val="21"/>
                <w:szCs w:val="21"/>
                <w:highlight w:val="none"/>
              </w:rPr>
              <w:t>油</w:t>
            </w:r>
          </w:p>
        </w:tc>
        <w:tc>
          <w:tcPr>
            <w:tcW w:w="528" w:type="pct"/>
            <w:noWrap w:val="0"/>
            <w:vAlign w:val="center"/>
          </w:tcPr>
          <w:p w14:paraId="2734717F">
            <w:pPr>
              <w:widowControl/>
              <w:snapToGrid w:val="0"/>
              <w:jc w:val="center"/>
              <w:rPr>
                <w:sz w:val="21"/>
                <w:szCs w:val="21"/>
                <w:highlight w:val="none"/>
              </w:rPr>
            </w:pPr>
            <w:r>
              <w:rPr>
                <w:sz w:val="21"/>
                <w:szCs w:val="21"/>
                <w:highlight w:val="none"/>
              </w:rPr>
              <w:t>300~500</w:t>
            </w:r>
          </w:p>
          <w:p w14:paraId="41CC1BD8">
            <w:pPr>
              <w:widowControl/>
              <w:snapToGrid w:val="0"/>
              <w:jc w:val="center"/>
              <w:rPr>
                <w:sz w:val="21"/>
                <w:szCs w:val="21"/>
                <w:highlight w:val="none"/>
              </w:rPr>
            </w:pPr>
            <w:r>
              <w:rPr>
                <w:sz w:val="21"/>
                <w:szCs w:val="21"/>
                <w:highlight w:val="none"/>
              </w:rPr>
              <w:t>&lt;500</w:t>
            </w:r>
          </w:p>
        </w:tc>
        <w:tc>
          <w:tcPr>
            <w:tcW w:w="190" w:type="pct"/>
            <w:noWrap w:val="0"/>
            <w:vAlign w:val="center"/>
          </w:tcPr>
          <w:p w14:paraId="6A2CB13C">
            <w:pPr>
              <w:widowControl/>
              <w:snapToGrid w:val="0"/>
              <w:jc w:val="center"/>
              <w:rPr>
                <w:sz w:val="21"/>
                <w:szCs w:val="21"/>
                <w:highlight w:val="none"/>
              </w:rPr>
            </w:pPr>
            <w:r>
              <w:rPr>
                <w:sz w:val="21"/>
                <w:szCs w:val="21"/>
                <w:highlight w:val="none"/>
              </w:rPr>
              <w:t>间断</w:t>
            </w:r>
          </w:p>
        </w:tc>
        <w:tc>
          <w:tcPr>
            <w:tcW w:w="1336" w:type="pct"/>
            <w:noWrap w:val="0"/>
            <w:vAlign w:val="center"/>
          </w:tcPr>
          <w:p w14:paraId="2379B515">
            <w:pPr>
              <w:widowControl/>
              <w:snapToGrid w:val="0"/>
              <w:jc w:val="center"/>
              <w:rPr>
                <w:rFonts w:hint="eastAsia" w:eastAsia="宋体"/>
                <w:sz w:val="21"/>
                <w:szCs w:val="21"/>
                <w:highlight w:val="none"/>
                <w:lang w:eastAsia="zh-CN"/>
              </w:rPr>
            </w:pPr>
            <w:r>
              <w:rPr>
                <w:sz w:val="21"/>
                <w:szCs w:val="21"/>
                <w:highlight w:val="none"/>
              </w:rPr>
              <w:t>去</w:t>
            </w:r>
            <w:r>
              <w:rPr>
                <w:rFonts w:hint="eastAsia"/>
                <w:sz w:val="21"/>
                <w:szCs w:val="21"/>
                <w:highlight w:val="none"/>
                <w:lang w:eastAsia="zh-CN"/>
              </w:rPr>
              <w:t>污水处理厂</w:t>
            </w:r>
          </w:p>
        </w:tc>
      </w:tr>
      <w:tr w14:paraId="18E8D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903" w:type="pct"/>
            <w:gridSpan w:val="3"/>
            <w:noWrap w:val="0"/>
            <w:vAlign w:val="center"/>
          </w:tcPr>
          <w:p w14:paraId="66581D56">
            <w:pPr>
              <w:widowControl/>
              <w:snapToGrid w:val="0"/>
              <w:jc w:val="center"/>
              <w:rPr>
                <w:sz w:val="21"/>
                <w:szCs w:val="21"/>
                <w:highlight w:val="none"/>
              </w:rPr>
            </w:pPr>
            <w:r>
              <w:rPr>
                <w:sz w:val="21"/>
                <w:szCs w:val="21"/>
                <w:highlight w:val="none"/>
              </w:rPr>
              <w:t>地面冲洗水</w:t>
            </w:r>
          </w:p>
        </w:tc>
        <w:tc>
          <w:tcPr>
            <w:tcW w:w="628" w:type="pct"/>
            <w:noWrap w:val="0"/>
            <w:vAlign w:val="center"/>
          </w:tcPr>
          <w:p w14:paraId="6E84856D">
            <w:pPr>
              <w:widowControl/>
              <w:snapToGrid w:val="0"/>
              <w:jc w:val="center"/>
              <w:rPr>
                <w:sz w:val="21"/>
                <w:szCs w:val="21"/>
                <w:highlight w:val="none"/>
              </w:rPr>
            </w:pPr>
            <w:r>
              <w:rPr>
                <w:sz w:val="21"/>
                <w:szCs w:val="21"/>
                <w:highlight w:val="none"/>
              </w:rPr>
              <w:t>5</w:t>
            </w:r>
          </w:p>
        </w:tc>
        <w:tc>
          <w:tcPr>
            <w:tcW w:w="413" w:type="pct"/>
            <w:noWrap w:val="0"/>
            <w:vAlign w:val="center"/>
          </w:tcPr>
          <w:p w14:paraId="16A52672">
            <w:pPr>
              <w:widowControl/>
              <w:snapToGrid w:val="0"/>
              <w:jc w:val="center"/>
              <w:rPr>
                <w:sz w:val="21"/>
                <w:szCs w:val="21"/>
                <w:highlight w:val="none"/>
              </w:rPr>
            </w:pPr>
            <w:r>
              <w:rPr>
                <w:sz w:val="21"/>
                <w:szCs w:val="21"/>
                <w:highlight w:val="none"/>
              </w:rPr>
              <w:t>COD</w:t>
            </w:r>
          </w:p>
          <w:p w14:paraId="0822A828">
            <w:pPr>
              <w:widowControl/>
              <w:snapToGrid w:val="0"/>
              <w:jc w:val="center"/>
              <w:rPr>
                <w:sz w:val="21"/>
                <w:szCs w:val="21"/>
                <w:highlight w:val="none"/>
              </w:rPr>
            </w:pPr>
            <w:r>
              <w:rPr>
                <w:sz w:val="21"/>
                <w:szCs w:val="21"/>
                <w:highlight w:val="none"/>
              </w:rPr>
              <w:t>SS</w:t>
            </w:r>
          </w:p>
          <w:p w14:paraId="2D36F8CC">
            <w:pPr>
              <w:widowControl/>
              <w:snapToGrid w:val="0"/>
              <w:jc w:val="center"/>
              <w:rPr>
                <w:sz w:val="21"/>
                <w:szCs w:val="21"/>
                <w:highlight w:val="none"/>
              </w:rPr>
            </w:pPr>
            <w:r>
              <w:rPr>
                <w:sz w:val="21"/>
                <w:szCs w:val="21"/>
                <w:highlight w:val="none"/>
              </w:rPr>
              <w:t>油</w:t>
            </w:r>
          </w:p>
        </w:tc>
        <w:tc>
          <w:tcPr>
            <w:tcW w:w="528" w:type="pct"/>
            <w:noWrap w:val="0"/>
            <w:vAlign w:val="center"/>
          </w:tcPr>
          <w:p w14:paraId="126067B9">
            <w:pPr>
              <w:widowControl/>
              <w:snapToGrid w:val="0"/>
              <w:jc w:val="center"/>
              <w:rPr>
                <w:sz w:val="21"/>
                <w:szCs w:val="21"/>
                <w:highlight w:val="none"/>
              </w:rPr>
            </w:pPr>
            <w:r>
              <w:rPr>
                <w:sz w:val="21"/>
                <w:szCs w:val="21"/>
                <w:highlight w:val="none"/>
              </w:rPr>
              <w:t>&lt;700</w:t>
            </w:r>
          </w:p>
          <w:p w14:paraId="533AE3DA">
            <w:pPr>
              <w:widowControl/>
              <w:snapToGrid w:val="0"/>
              <w:jc w:val="center"/>
              <w:rPr>
                <w:sz w:val="21"/>
                <w:szCs w:val="21"/>
                <w:highlight w:val="none"/>
              </w:rPr>
            </w:pPr>
            <w:r>
              <w:rPr>
                <w:sz w:val="21"/>
                <w:szCs w:val="21"/>
                <w:highlight w:val="none"/>
              </w:rPr>
              <w:t>&lt;800</w:t>
            </w:r>
          </w:p>
          <w:p w14:paraId="0859A755">
            <w:pPr>
              <w:widowControl/>
              <w:snapToGrid w:val="0"/>
              <w:jc w:val="center"/>
              <w:rPr>
                <w:sz w:val="21"/>
                <w:szCs w:val="21"/>
                <w:highlight w:val="none"/>
              </w:rPr>
            </w:pPr>
            <w:r>
              <w:rPr>
                <w:sz w:val="21"/>
                <w:szCs w:val="21"/>
                <w:highlight w:val="none"/>
              </w:rPr>
              <w:t>500</w:t>
            </w:r>
          </w:p>
        </w:tc>
        <w:tc>
          <w:tcPr>
            <w:tcW w:w="190" w:type="pct"/>
            <w:noWrap w:val="0"/>
            <w:vAlign w:val="center"/>
          </w:tcPr>
          <w:p w14:paraId="1D917354">
            <w:pPr>
              <w:widowControl/>
              <w:snapToGrid w:val="0"/>
              <w:jc w:val="center"/>
              <w:rPr>
                <w:sz w:val="21"/>
                <w:szCs w:val="21"/>
                <w:highlight w:val="none"/>
              </w:rPr>
            </w:pPr>
            <w:r>
              <w:rPr>
                <w:sz w:val="21"/>
                <w:szCs w:val="21"/>
                <w:highlight w:val="none"/>
              </w:rPr>
              <w:t>间断</w:t>
            </w:r>
          </w:p>
        </w:tc>
        <w:tc>
          <w:tcPr>
            <w:tcW w:w="1336" w:type="pct"/>
            <w:noWrap w:val="0"/>
            <w:vAlign w:val="center"/>
          </w:tcPr>
          <w:p w14:paraId="66D58F3C">
            <w:pPr>
              <w:widowControl/>
              <w:snapToGrid w:val="0"/>
              <w:jc w:val="center"/>
              <w:rPr>
                <w:sz w:val="21"/>
                <w:szCs w:val="21"/>
                <w:highlight w:val="none"/>
              </w:rPr>
            </w:pPr>
            <w:r>
              <w:rPr>
                <w:sz w:val="21"/>
                <w:szCs w:val="21"/>
                <w:highlight w:val="none"/>
              </w:rPr>
              <w:t>去厂内</w:t>
            </w:r>
            <w:r>
              <w:rPr>
                <w:rFonts w:hint="eastAsia"/>
                <w:sz w:val="21"/>
                <w:szCs w:val="21"/>
                <w:highlight w:val="none"/>
                <w:lang w:eastAsia="zh-CN"/>
              </w:rPr>
              <w:t>污水处理厂进行</w:t>
            </w:r>
            <w:r>
              <w:rPr>
                <w:sz w:val="21"/>
                <w:szCs w:val="21"/>
                <w:highlight w:val="none"/>
              </w:rPr>
              <w:t>含油污水预处理</w:t>
            </w:r>
          </w:p>
        </w:tc>
      </w:tr>
      <w:tr w14:paraId="4A161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903" w:type="pct"/>
            <w:gridSpan w:val="3"/>
            <w:noWrap w:val="0"/>
            <w:vAlign w:val="center"/>
          </w:tcPr>
          <w:p w14:paraId="0BC1B9F0">
            <w:pPr>
              <w:widowControl/>
              <w:snapToGrid w:val="0"/>
              <w:jc w:val="center"/>
              <w:rPr>
                <w:sz w:val="21"/>
                <w:szCs w:val="21"/>
                <w:highlight w:val="none"/>
              </w:rPr>
            </w:pPr>
            <w:r>
              <w:rPr>
                <w:sz w:val="21"/>
                <w:szCs w:val="21"/>
                <w:highlight w:val="none"/>
              </w:rPr>
              <w:t>生活污水</w:t>
            </w:r>
          </w:p>
        </w:tc>
        <w:tc>
          <w:tcPr>
            <w:tcW w:w="628" w:type="pct"/>
            <w:noWrap w:val="0"/>
            <w:vAlign w:val="center"/>
          </w:tcPr>
          <w:p w14:paraId="642D84BC">
            <w:pPr>
              <w:widowControl/>
              <w:snapToGrid w:val="0"/>
              <w:jc w:val="center"/>
              <w:rPr>
                <w:sz w:val="21"/>
                <w:szCs w:val="21"/>
                <w:highlight w:val="none"/>
              </w:rPr>
            </w:pPr>
            <w:r>
              <w:rPr>
                <w:sz w:val="21"/>
                <w:szCs w:val="21"/>
                <w:highlight w:val="none"/>
              </w:rPr>
              <w:t>20</w:t>
            </w:r>
          </w:p>
        </w:tc>
        <w:tc>
          <w:tcPr>
            <w:tcW w:w="413" w:type="pct"/>
            <w:noWrap w:val="0"/>
            <w:vAlign w:val="center"/>
          </w:tcPr>
          <w:p w14:paraId="27510CC3">
            <w:pPr>
              <w:widowControl/>
              <w:snapToGrid w:val="0"/>
              <w:jc w:val="center"/>
              <w:rPr>
                <w:sz w:val="21"/>
                <w:szCs w:val="21"/>
                <w:highlight w:val="none"/>
              </w:rPr>
            </w:pPr>
            <w:r>
              <w:rPr>
                <w:sz w:val="21"/>
                <w:szCs w:val="21"/>
                <w:highlight w:val="none"/>
              </w:rPr>
              <w:t>COD</w:t>
            </w:r>
          </w:p>
          <w:p w14:paraId="4752B32B">
            <w:pPr>
              <w:widowControl/>
              <w:snapToGrid w:val="0"/>
              <w:jc w:val="center"/>
              <w:rPr>
                <w:sz w:val="21"/>
                <w:szCs w:val="21"/>
                <w:highlight w:val="none"/>
              </w:rPr>
            </w:pPr>
            <w:r>
              <w:rPr>
                <w:sz w:val="21"/>
                <w:szCs w:val="21"/>
                <w:highlight w:val="none"/>
              </w:rPr>
              <w:t>BOD</w:t>
            </w:r>
          </w:p>
          <w:p w14:paraId="281DBF66">
            <w:pPr>
              <w:widowControl/>
              <w:snapToGrid w:val="0"/>
              <w:jc w:val="center"/>
              <w:rPr>
                <w:sz w:val="21"/>
                <w:szCs w:val="21"/>
                <w:highlight w:val="none"/>
              </w:rPr>
            </w:pPr>
            <w:r>
              <w:rPr>
                <w:sz w:val="21"/>
                <w:szCs w:val="21"/>
                <w:highlight w:val="none"/>
              </w:rPr>
              <w:t>氨氮</w:t>
            </w:r>
          </w:p>
          <w:p w14:paraId="007E73F6">
            <w:pPr>
              <w:widowControl/>
              <w:snapToGrid w:val="0"/>
              <w:jc w:val="center"/>
              <w:rPr>
                <w:sz w:val="21"/>
                <w:szCs w:val="21"/>
                <w:highlight w:val="none"/>
              </w:rPr>
            </w:pPr>
            <w:r>
              <w:rPr>
                <w:sz w:val="21"/>
                <w:szCs w:val="21"/>
                <w:highlight w:val="none"/>
              </w:rPr>
              <w:t>SS</w:t>
            </w:r>
          </w:p>
          <w:p w14:paraId="3C83547D">
            <w:pPr>
              <w:widowControl/>
              <w:snapToGrid w:val="0"/>
              <w:jc w:val="center"/>
              <w:rPr>
                <w:sz w:val="21"/>
                <w:szCs w:val="21"/>
                <w:highlight w:val="none"/>
              </w:rPr>
            </w:pPr>
          </w:p>
        </w:tc>
        <w:tc>
          <w:tcPr>
            <w:tcW w:w="528" w:type="pct"/>
            <w:noWrap w:val="0"/>
            <w:vAlign w:val="center"/>
          </w:tcPr>
          <w:p w14:paraId="174FBB26">
            <w:pPr>
              <w:widowControl/>
              <w:snapToGrid w:val="0"/>
              <w:jc w:val="center"/>
              <w:rPr>
                <w:sz w:val="21"/>
                <w:szCs w:val="21"/>
                <w:highlight w:val="none"/>
              </w:rPr>
            </w:pPr>
            <w:r>
              <w:rPr>
                <w:sz w:val="21"/>
                <w:szCs w:val="21"/>
                <w:highlight w:val="none"/>
              </w:rPr>
              <w:t>300~500</w:t>
            </w:r>
          </w:p>
          <w:p w14:paraId="6EC2A8EF">
            <w:pPr>
              <w:widowControl/>
              <w:snapToGrid w:val="0"/>
              <w:jc w:val="center"/>
              <w:rPr>
                <w:sz w:val="21"/>
                <w:szCs w:val="21"/>
                <w:highlight w:val="none"/>
              </w:rPr>
            </w:pPr>
            <w:r>
              <w:rPr>
                <w:sz w:val="21"/>
                <w:szCs w:val="21"/>
                <w:highlight w:val="none"/>
              </w:rPr>
              <w:t>150~300</w:t>
            </w:r>
          </w:p>
          <w:p w14:paraId="69F4F904">
            <w:pPr>
              <w:widowControl/>
              <w:snapToGrid w:val="0"/>
              <w:jc w:val="center"/>
              <w:rPr>
                <w:sz w:val="21"/>
                <w:szCs w:val="21"/>
                <w:highlight w:val="none"/>
              </w:rPr>
            </w:pPr>
            <w:r>
              <w:rPr>
                <w:sz w:val="21"/>
                <w:szCs w:val="21"/>
                <w:highlight w:val="none"/>
              </w:rPr>
              <w:t>20~50</w:t>
            </w:r>
          </w:p>
          <w:p w14:paraId="051551AF">
            <w:pPr>
              <w:widowControl/>
              <w:snapToGrid w:val="0"/>
              <w:jc w:val="center"/>
              <w:rPr>
                <w:sz w:val="21"/>
                <w:szCs w:val="21"/>
                <w:highlight w:val="none"/>
              </w:rPr>
            </w:pPr>
            <w:r>
              <w:rPr>
                <w:sz w:val="21"/>
                <w:szCs w:val="21"/>
                <w:highlight w:val="none"/>
              </w:rPr>
              <w:t>100~300</w:t>
            </w:r>
          </w:p>
        </w:tc>
        <w:tc>
          <w:tcPr>
            <w:tcW w:w="190" w:type="pct"/>
            <w:noWrap w:val="0"/>
            <w:vAlign w:val="center"/>
          </w:tcPr>
          <w:p w14:paraId="3913F040">
            <w:pPr>
              <w:widowControl/>
              <w:snapToGrid w:val="0"/>
              <w:jc w:val="center"/>
              <w:rPr>
                <w:sz w:val="21"/>
                <w:szCs w:val="21"/>
                <w:highlight w:val="none"/>
              </w:rPr>
            </w:pPr>
            <w:r>
              <w:rPr>
                <w:sz w:val="21"/>
                <w:szCs w:val="21"/>
                <w:highlight w:val="none"/>
              </w:rPr>
              <w:t>间断</w:t>
            </w:r>
          </w:p>
        </w:tc>
        <w:tc>
          <w:tcPr>
            <w:tcW w:w="1336" w:type="pct"/>
            <w:noWrap w:val="0"/>
            <w:vAlign w:val="center"/>
          </w:tcPr>
          <w:p w14:paraId="246B9257">
            <w:pPr>
              <w:widowControl/>
              <w:snapToGrid w:val="0"/>
              <w:jc w:val="center"/>
              <w:rPr>
                <w:rFonts w:hint="eastAsia" w:eastAsia="宋体"/>
                <w:sz w:val="21"/>
                <w:szCs w:val="21"/>
                <w:highlight w:val="none"/>
                <w:lang w:eastAsia="zh-CN"/>
              </w:rPr>
            </w:pPr>
            <w:r>
              <w:rPr>
                <w:sz w:val="21"/>
                <w:szCs w:val="21"/>
                <w:highlight w:val="none"/>
              </w:rPr>
              <w:t>送厂内</w:t>
            </w:r>
            <w:r>
              <w:rPr>
                <w:rFonts w:hint="eastAsia"/>
                <w:sz w:val="21"/>
                <w:szCs w:val="21"/>
                <w:highlight w:val="none"/>
                <w:lang w:eastAsia="zh-CN"/>
              </w:rPr>
              <w:t>污水处理厂</w:t>
            </w:r>
          </w:p>
        </w:tc>
      </w:tr>
      <w:tr w14:paraId="2E0CF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903" w:type="pct"/>
            <w:gridSpan w:val="3"/>
            <w:noWrap w:val="0"/>
            <w:vAlign w:val="center"/>
          </w:tcPr>
          <w:p w14:paraId="373ACCCA">
            <w:pPr>
              <w:widowControl/>
              <w:snapToGrid w:val="0"/>
              <w:jc w:val="center"/>
              <w:rPr>
                <w:sz w:val="21"/>
                <w:szCs w:val="21"/>
                <w:highlight w:val="none"/>
              </w:rPr>
            </w:pPr>
            <w:r>
              <w:rPr>
                <w:rFonts w:hint="eastAsia"/>
                <w:sz w:val="21"/>
                <w:szCs w:val="21"/>
                <w:highlight w:val="none"/>
                <w:lang w:eastAsia="zh-CN"/>
              </w:rPr>
              <w:t>污水处理厂</w:t>
            </w:r>
            <w:r>
              <w:rPr>
                <w:sz w:val="21"/>
                <w:szCs w:val="21"/>
                <w:highlight w:val="none"/>
              </w:rPr>
              <w:t>出水</w:t>
            </w:r>
          </w:p>
        </w:tc>
        <w:tc>
          <w:tcPr>
            <w:tcW w:w="628" w:type="pct"/>
            <w:noWrap w:val="0"/>
            <w:vAlign w:val="center"/>
          </w:tcPr>
          <w:p w14:paraId="2793EEA4">
            <w:pPr>
              <w:widowControl/>
              <w:snapToGrid w:val="0"/>
              <w:jc w:val="center"/>
              <w:rPr>
                <w:sz w:val="21"/>
                <w:szCs w:val="21"/>
                <w:highlight w:val="none"/>
              </w:rPr>
            </w:pPr>
            <w:r>
              <w:rPr>
                <w:sz w:val="21"/>
                <w:szCs w:val="21"/>
                <w:highlight w:val="none"/>
              </w:rPr>
              <w:t>900.66</w:t>
            </w:r>
          </w:p>
        </w:tc>
        <w:tc>
          <w:tcPr>
            <w:tcW w:w="413" w:type="pct"/>
            <w:noWrap w:val="0"/>
            <w:vAlign w:val="center"/>
          </w:tcPr>
          <w:p w14:paraId="5990A2CE">
            <w:pPr>
              <w:jc w:val="center"/>
              <w:rPr>
                <w:sz w:val="21"/>
                <w:szCs w:val="21"/>
                <w:highlight w:val="none"/>
              </w:rPr>
            </w:pPr>
            <w:r>
              <w:rPr>
                <w:sz w:val="21"/>
                <w:szCs w:val="21"/>
                <w:highlight w:val="none"/>
              </w:rPr>
              <w:t>CODcr</w:t>
            </w:r>
          </w:p>
          <w:p w14:paraId="46048B8A">
            <w:pPr>
              <w:jc w:val="center"/>
              <w:rPr>
                <w:sz w:val="21"/>
                <w:szCs w:val="21"/>
                <w:highlight w:val="none"/>
              </w:rPr>
            </w:pPr>
            <w:r>
              <w:rPr>
                <w:sz w:val="21"/>
                <w:szCs w:val="21"/>
                <w:highlight w:val="none"/>
              </w:rPr>
              <w:t>BOD</w:t>
            </w:r>
            <w:r>
              <w:rPr>
                <w:sz w:val="21"/>
                <w:szCs w:val="21"/>
                <w:highlight w:val="none"/>
                <w:vertAlign w:val="subscript"/>
              </w:rPr>
              <w:t>5</w:t>
            </w:r>
          </w:p>
          <w:p w14:paraId="08AFC790">
            <w:pPr>
              <w:jc w:val="center"/>
              <w:rPr>
                <w:sz w:val="21"/>
                <w:szCs w:val="21"/>
                <w:highlight w:val="none"/>
              </w:rPr>
            </w:pPr>
            <w:r>
              <w:rPr>
                <w:sz w:val="21"/>
                <w:szCs w:val="21"/>
                <w:highlight w:val="none"/>
              </w:rPr>
              <w:t>NH</w:t>
            </w:r>
            <w:r>
              <w:rPr>
                <w:sz w:val="21"/>
                <w:szCs w:val="21"/>
                <w:highlight w:val="none"/>
                <w:vertAlign w:val="subscript"/>
              </w:rPr>
              <w:t>3</w:t>
            </w:r>
            <w:r>
              <w:rPr>
                <w:sz w:val="21"/>
                <w:szCs w:val="21"/>
                <w:highlight w:val="none"/>
              </w:rPr>
              <w:t>-N</w:t>
            </w:r>
          </w:p>
          <w:p w14:paraId="7720EAC3">
            <w:pPr>
              <w:jc w:val="center"/>
              <w:rPr>
                <w:sz w:val="21"/>
                <w:szCs w:val="21"/>
                <w:highlight w:val="none"/>
              </w:rPr>
            </w:pPr>
            <w:r>
              <w:rPr>
                <w:sz w:val="21"/>
                <w:szCs w:val="21"/>
                <w:highlight w:val="none"/>
              </w:rPr>
              <w:t>TN</w:t>
            </w:r>
          </w:p>
          <w:p w14:paraId="70BF6DFC">
            <w:pPr>
              <w:jc w:val="center"/>
              <w:rPr>
                <w:sz w:val="21"/>
                <w:szCs w:val="21"/>
                <w:highlight w:val="none"/>
              </w:rPr>
            </w:pPr>
            <w:r>
              <w:rPr>
                <w:sz w:val="21"/>
                <w:szCs w:val="21"/>
                <w:highlight w:val="none"/>
              </w:rPr>
              <w:t>石油类</w:t>
            </w:r>
          </w:p>
          <w:p w14:paraId="00783A45">
            <w:pPr>
              <w:jc w:val="center"/>
              <w:rPr>
                <w:sz w:val="21"/>
                <w:szCs w:val="21"/>
                <w:highlight w:val="none"/>
              </w:rPr>
            </w:pPr>
            <w:r>
              <w:rPr>
                <w:sz w:val="21"/>
                <w:szCs w:val="21"/>
                <w:highlight w:val="none"/>
              </w:rPr>
              <w:t>pH</w:t>
            </w:r>
          </w:p>
          <w:p w14:paraId="3D50099F">
            <w:pPr>
              <w:jc w:val="center"/>
              <w:rPr>
                <w:sz w:val="21"/>
                <w:szCs w:val="21"/>
                <w:highlight w:val="none"/>
              </w:rPr>
            </w:pPr>
            <w:r>
              <w:rPr>
                <w:sz w:val="21"/>
                <w:szCs w:val="21"/>
                <w:highlight w:val="none"/>
              </w:rPr>
              <w:t>SS</w:t>
            </w:r>
          </w:p>
          <w:p w14:paraId="41592F6C">
            <w:pPr>
              <w:jc w:val="center"/>
              <w:rPr>
                <w:sz w:val="21"/>
                <w:szCs w:val="21"/>
                <w:highlight w:val="none"/>
              </w:rPr>
            </w:pPr>
            <w:r>
              <w:rPr>
                <w:sz w:val="21"/>
                <w:szCs w:val="21"/>
                <w:highlight w:val="none"/>
              </w:rPr>
              <w:t>TDS</w:t>
            </w:r>
          </w:p>
        </w:tc>
        <w:tc>
          <w:tcPr>
            <w:tcW w:w="528" w:type="pct"/>
            <w:noWrap w:val="0"/>
            <w:vAlign w:val="center"/>
          </w:tcPr>
          <w:p w14:paraId="064BBF9B">
            <w:pPr>
              <w:jc w:val="center"/>
              <w:rPr>
                <w:sz w:val="21"/>
                <w:szCs w:val="21"/>
                <w:highlight w:val="none"/>
              </w:rPr>
            </w:pPr>
            <w:r>
              <w:rPr>
                <w:sz w:val="21"/>
                <w:szCs w:val="21"/>
                <w:highlight w:val="none"/>
              </w:rPr>
              <w:t>≤50</w:t>
            </w:r>
          </w:p>
          <w:p w14:paraId="33ACA2CE">
            <w:pPr>
              <w:jc w:val="center"/>
              <w:rPr>
                <w:sz w:val="21"/>
                <w:szCs w:val="21"/>
                <w:highlight w:val="none"/>
              </w:rPr>
            </w:pPr>
            <w:r>
              <w:rPr>
                <w:sz w:val="21"/>
                <w:szCs w:val="21"/>
                <w:highlight w:val="none"/>
              </w:rPr>
              <w:t>≤5</w:t>
            </w:r>
          </w:p>
          <w:p w14:paraId="75A196C9">
            <w:pPr>
              <w:jc w:val="center"/>
              <w:rPr>
                <w:sz w:val="21"/>
                <w:szCs w:val="21"/>
                <w:highlight w:val="none"/>
              </w:rPr>
            </w:pPr>
            <w:r>
              <w:rPr>
                <w:sz w:val="21"/>
                <w:szCs w:val="21"/>
                <w:highlight w:val="none"/>
              </w:rPr>
              <w:t>≤5</w:t>
            </w:r>
          </w:p>
          <w:p w14:paraId="2FE84D85">
            <w:pPr>
              <w:jc w:val="center"/>
              <w:rPr>
                <w:sz w:val="21"/>
                <w:szCs w:val="21"/>
                <w:highlight w:val="none"/>
              </w:rPr>
            </w:pPr>
            <w:r>
              <w:rPr>
                <w:sz w:val="21"/>
                <w:szCs w:val="21"/>
                <w:highlight w:val="none"/>
              </w:rPr>
              <w:t>≤35</w:t>
            </w:r>
          </w:p>
          <w:p w14:paraId="1921C5EA">
            <w:pPr>
              <w:jc w:val="center"/>
              <w:rPr>
                <w:sz w:val="21"/>
                <w:szCs w:val="21"/>
                <w:highlight w:val="none"/>
              </w:rPr>
            </w:pPr>
            <w:r>
              <w:rPr>
                <w:sz w:val="21"/>
                <w:szCs w:val="21"/>
                <w:highlight w:val="none"/>
              </w:rPr>
              <w:t>≤1</w:t>
            </w:r>
          </w:p>
          <w:p w14:paraId="0A0D6A68">
            <w:pPr>
              <w:jc w:val="center"/>
              <w:rPr>
                <w:sz w:val="21"/>
                <w:szCs w:val="21"/>
                <w:highlight w:val="none"/>
              </w:rPr>
            </w:pPr>
            <w:r>
              <w:rPr>
                <w:sz w:val="21"/>
                <w:szCs w:val="21"/>
                <w:highlight w:val="none"/>
              </w:rPr>
              <w:t>7~9</w:t>
            </w:r>
          </w:p>
          <w:p w14:paraId="2A7CCCF0">
            <w:pPr>
              <w:jc w:val="center"/>
              <w:rPr>
                <w:sz w:val="21"/>
                <w:szCs w:val="21"/>
                <w:highlight w:val="none"/>
              </w:rPr>
            </w:pPr>
            <w:r>
              <w:rPr>
                <w:sz w:val="21"/>
                <w:szCs w:val="21"/>
                <w:highlight w:val="none"/>
              </w:rPr>
              <w:t>≤15</w:t>
            </w:r>
          </w:p>
          <w:p w14:paraId="23223315">
            <w:pPr>
              <w:jc w:val="center"/>
              <w:rPr>
                <w:sz w:val="21"/>
                <w:szCs w:val="21"/>
                <w:highlight w:val="none"/>
              </w:rPr>
            </w:pPr>
            <w:r>
              <w:rPr>
                <w:sz w:val="21"/>
                <w:szCs w:val="21"/>
                <w:highlight w:val="none"/>
              </w:rPr>
              <w:t>≤2400</w:t>
            </w:r>
          </w:p>
        </w:tc>
        <w:tc>
          <w:tcPr>
            <w:tcW w:w="190" w:type="pct"/>
            <w:noWrap w:val="0"/>
            <w:vAlign w:val="center"/>
          </w:tcPr>
          <w:p w14:paraId="27652B4B">
            <w:pPr>
              <w:widowControl/>
              <w:snapToGrid w:val="0"/>
              <w:jc w:val="center"/>
              <w:rPr>
                <w:sz w:val="21"/>
                <w:szCs w:val="21"/>
                <w:highlight w:val="none"/>
              </w:rPr>
            </w:pPr>
            <w:r>
              <w:rPr>
                <w:sz w:val="21"/>
                <w:szCs w:val="21"/>
                <w:highlight w:val="none"/>
              </w:rPr>
              <w:t>连续</w:t>
            </w:r>
          </w:p>
        </w:tc>
        <w:tc>
          <w:tcPr>
            <w:tcW w:w="1336" w:type="pct"/>
            <w:noWrap w:val="0"/>
            <w:vAlign w:val="center"/>
          </w:tcPr>
          <w:p w14:paraId="6A4ECF02">
            <w:pPr>
              <w:widowControl/>
              <w:snapToGrid w:val="0"/>
              <w:jc w:val="center"/>
              <w:rPr>
                <w:sz w:val="21"/>
                <w:szCs w:val="21"/>
                <w:highlight w:val="none"/>
              </w:rPr>
            </w:pPr>
            <w:r>
              <w:rPr>
                <w:rFonts w:hint="eastAsia"/>
                <w:sz w:val="21"/>
                <w:szCs w:val="21"/>
                <w:highlight w:val="none"/>
                <w:lang w:eastAsia="zh-CN"/>
              </w:rPr>
              <w:t>使用</w:t>
            </w:r>
            <w:r>
              <w:rPr>
                <w:sz w:val="21"/>
                <w:szCs w:val="21"/>
                <w:highlight w:val="none"/>
              </w:rPr>
              <w:t>废水处理及回用装置处理</w:t>
            </w:r>
          </w:p>
        </w:tc>
      </w:tr>
      <w:tr w14:paraId="1F8F9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903" w:type="pct"/>
            <w:gridSpan w:val="3"/>
            <w:noWrap w:val="0"/>
            <w:vAlign w:val="center"/>
          </w:tcPr>
          <w:p w14:paraId="158647C6">
            <w:pPr>
              <w:widowControl/>
              <w:snapToGrid w:val="0"/>
              <w:jc w:val="center"/>
              <w:rPr>
                <w:sz w:val="21"/>
                <w:szCs w:val="21"/>
                <w:highlight w:val="none"/>
              </w:rPr>
            </w:pPr>
            <w:r>
              <w:rPr>
                <w:sz w:val="21"/>
                <w:szCs w:val="21"/>
                <w:highlight w:val="none"/>
              </w:rPr>
              <w:t>废水处理及回用装置</w:t>
            </w:r>
            <w:r>
              <w:rPr>
                <w:rFonts w:hint="eastAsia"/>
                <w:sz w:val="21"/>
                <w:szCs w:val="21"/>
                <w:highlight w:val="none"/>
                <w:lang w:eastAsia="zh-CN"/>
              </w:rPr>
              <w:t>排放</w:t>
            </w:r>
            <w:r>
              <w:rPr>
                <w:sz w:val="21"/>
                <w:szCs w:val="21"/>
                <w:highlight w:val="none"/>
              </w:rPr>
              <w:t>浓盐水</w:t>
            </w:r>
          </w:p>
        </w:tc>
        <w:tc>
          <w:tcPr>
            <w:tcW w:w="628" w:type="pct"/>
            <w:noWrap w:val="0"/>
            <w:vAlign w:val="center"/>
          </w:tcPr>
          <w:p w14:paraId="49C98097">
            <w:pPr>
              <w:widowControl/>
              <w:snapToGrid w:val="0"/>
              <w:jc w:val="center"/>
              <w:rPr>
                <w:sz w:val="21"/>
                <w:szCs w:val="21"/>
                <w:highlight w:val="none"/>
              </w:rPr>
            </w:pPr>
            <w:r>
              <w:rPr>
                <w:sz w:val="21"/>
                <w:szCs w:val="21"/>
                <w:highlight w:val="none"/>
              </w:rPr>
              <w:t>夏季487.36</w:t>
            </w:r>
          </w:p>
          <w:p w14:paraId="143AB04B">
            <w:pPr>
              <w:widowControl/>
              <w:snapToGrid w:val="0"/>
              <w:jc w:val="center"/>
              <w:rPr>
                <w:sz w:val="21"/>
                <w:szCs w:val="21"/>
                <w:highlight w:val="none"/>
              </w:rPr>
            </w:pPr>
            <w:r>
              <w:rPr>
                <w:sz w:val="21"/>
                <w:szCs w:val="21"/>
                <w:highlight w:val="none"/>
              </w:rPr>
              <w:t>冬季454.76</w:t>
            </w:r>
          </w:p>
        </w:tc>
        <w:tc>
          <w:tcPr>
            <w:tcW w:w="413" w:type="pct"/>
            <w:noWrap w:val="0"/>
            <w:vAlign w:val="center"/>
          </w:tcPr>
          <w:p w14:paraId="4BBAD4E0">
            <w:pPr>
              <w:widowControl/>
              <w:snapToGrid w:val="0"/>
              <w:jc w:val="center"/>
              <w:rPr>
                <w:sz w:val="21"/>
                <w:szCs w:val="21"/>
                <w:highlight w:val="none"/>
              </w:rPr>
            </w:pPr>
            <w:r>
              <w:rPr>
                <w:sz w:val="21"/>
                <w:szCs w:val="21"/>
                <w:highlight w:val="none"/>
              </w:rPr>
              <w:t>pH</w:t>
            </w:r>
          </w:p>
          <w:p w14:paraId="416195E0">
            <w:pPr>
              <w:widowControl/>
              <w:snapToGrid w:val="0"/>
              <w:jc w:val="center"/>
              <w:rPr>
                <w:sz w:val="21"/>
                <w:szCs w:val="21"/>
                <w:highlight w:val="none"/>
              </w:rPr>
            </w:pPr>
            <w:r>
              <w:rPr>
                <w:sz w:val="21"/>
                <w:szCs w:val="21"/>
                <w:highlight w:val="none"/>
              </w:rPr>
              <w:t>CODCr</w:t>
            </w:r>
          </w:p>
          <w:p w14:paraId="3B70AECD">
            <w:pPr>
              <w:widowControl/>
              <w:snapToGrid w:val="0"/>
              <w:jc w:val="center"/>
              <w:rPr>
                <w:sz w:val="21"/>
                <w:szCs w:val="21"/>
                <w:highlight w:val="none"/>
              </w:rPr>
            </w:pPr>
            <w:r>
              <w:rPr>
                <w:sz w:val="21"/>
                <w:szCs w:val="21"/>
                <w:highlight w:val="none"/>
              </w:rPr>
              <w:t>BOD5</w:t>
            </w:r>
          </w:p>
          <w:p w14:paraId="20A67A26">
            <w:pPr>
              <w:widowControl/>
              <w:snapToGrid w:val="0"/>
              <w:jc w:val="center"/>
              <w:rPr>
                <w:sz w:val="21"/>
                <w:szCs w:val="21"/>
                <w:highlight w:val="none"/>
              </w:rPr>
            </w:pPr>
            <w:r>
              <w:rPr>
                <w:sz w:val="21"/>
                <w:szCs w:val="21"/>
                <w:highlight w:val="none"/>
              </w:rPr>
              <w:t>TDS</w:t>
            </w:r>
          </w:p>
        </w:tc>
        <w:tc>
          <w:tcPr>
            <w:tcW w:w="528" w:type="pct"/>
            <w:noWrap w:val="0"/>
            <w:vAlign w:val="center"/>
          </w:tcPr>
          <w:p w14:paraId="0B2D251B">
            <w:pPr>
              <w:widowControl/>
              <w:snapToGrid w:val="0"/>
              <w:jc w:val="center"/>
              <w:rPr>
                <w:sz w:val="21"/>
                <w:szCs w:val="21"/>
                <w:highlight w:val="none"/>
              </w:rPr>
            </w:pPr>
            <w:r>
              <w:rPr>
                <w:sz w:val="21"/>
                <w:szCs w:val="21"/>
                <w:highlight w:val="none"/>
              </w:rPr>
              <w:t>~8</w:t>
            </w:r>
          </w:p>
          <w:p w14:paraId="14624C6D">
            <w:pPr>
              <w:widowControl/>
              <w:snapToGrid w:val="0"/>
              <w:jc w:val="center"/>
              <w:rPr>
                <w:sz w:val="21"/>
                <w:szCs w:val="21"/>
                <w:highlight w:val="none"/>
              </w:rPr>
            </w:pPr>
            <w:r>
              <w:rPr>
                <w:sz w:val="21"/>
                <w:szCs w:val="21"/>
                <w:highlight w:val="none"/>
              </w:rPr>
              <w:t>200</w:t>
            </w:r>
          </w:p>
          <w:p w14:paraId="77FA7FD7">
            <w:pPr>
              <w:widowControl/>
              <w:snapToGrid w:val="0"/>
              <w:jc w:val="center"/>
              <w:rPr>
                <w:sz w:val="21"/>
                <w:szCs w:val="21"/>
                <w:highlight w:val="none"/>
              </w:rPr>
            </w:pPr>
            <w:r>
              <w:rPr>
                <w:sz w:val="21"/>
                <w:szCs w:val="21"/>
                <w:highlight w:val="none"/>
              </w:rPr>
              <w:t>25</w:t>
            </w:r>
          </w:p>
          <w:p w14:paraId="28DFEAC8">
            <w:pPr>
              <w:widowControl/>
              <w:snapToGrid w:val="0"/>
              <w:jc w:val="center"/>
              <w:rPr>
                <w:sz w:val="21"/>
                <w:szCs w:val="21"/>
                <w:highlight w:val="none"/>
              </w:rPr>
            </w:pPr>
            <w:r>
              <w:rPr>
                <w:sz w:val="21"/>
                <w:szCs w:val="21"/>
                <w:highlight w:val="none"/>
              </w:rPr>
              <w:t>10236</w:t>
            </w:r>
          </w:p>
        </w:tc>
        <w:tc>
          <w:tcPr>
            <w:tcW w:w="190" w:type="pct"/>
            <w:noWrap w:val="0"/>
            <w:vAlign w:val="center"/>
          </w:tcPr>
          <w:p w14:paraId="158EE93E">
            <w:pPr>
              <w:widowControl/>
              <w:snapToGrid w:val="0"/>
              <w:jc w:val="center"/>
              <w:rPr>
                <w:sz w:val="21"/>
                <w:szCs w:val="21"/>
                <w:highlight w:val="none"/>
              </w:rPr>
            </w:pPr>
            <w:r>
              <w:rPr>
                <w:sz w:val="21"/>
                <w:szCs w:val="21"/>
                <w:highlight w:val="none"/>
              </w:rPr>
              <w:t>连续</w:t>
            </w:r>
          </w:p>
        </w:tc>
        <w:tc>
          <w:tcPr>
            <w:tcW w:w="1336" w:type="pct"/>
            <w:noWrap w:val="0"/>
            <w:vAlign w:val="center"/>
          </w:tcPr>
          <w:p w14:paraId="0F73E624">
            <w:pPr>
              <w:widowControl/>
              <w:snapToGrid w:val="0"/>
              <w:jc w:val="center"/>
              <w:rPr>
                <w:rFonts w:hint="eastAsia" w:eastAsia="宋体"/>
                <w:sz w:val="21"/>
                <w:szCs w:val="21"/>
                <w:highlight w:val="none"/>
                <w:lang w:eastAsia="zh-CN"/>
              </w:rPr>
            </w:pPr>
            <w:r>
              <w:rPr>
                <w:rFonts w:hint="eastAsia"/>
                <w:sz w:val="21"/>
                <w:szCs w:val="21"/>
                <w:highlight w:val="none"/>
                <w:lang w:eastAsia="zh-CN"/>
              </w:rPr>
              <w:t>使用</w:t>
            </w:r>
            <w:r>
              <w:rPr>
                <w:sz w:val="21"/>
                <w:szCs w:val="21"/>
                <w:highlight w:val="none"/>
              </w:rPr>
              <w:t>高含盐</w:t>
            </w:r>
            <w:r>
              <w:rPr>
                <w:rFonts w:hint="eastAsia"/>
                <w:sz w:val="21"/>
                <w:szCs w:val="21"/>
                <w:highlight w:val="none"/>
                <w:lang w:eastAsia="zh-CN"/>
              </w:rPr>
              <w:t>废</w:t>
            </w:r>
            <w:r>
              <w:rPr>
                <w:sz w:val="21"/>
                <w:szCs w:val="21"/>
                <w:highlight w:val="none"/>
              </w:rPr>
              <w:t>水蒸发及结晶装置处理</w:t>
            </w:r>
            <w:r>
              <w:rPr>
                <w:rFonts w:hint="eastAsia"/>
                <w:sz w:val="21"/>
                <w:szCs w:val="21"/>
                <w:highlight w:val="none"/>
                <w:lang w:eastAsia="zh-CN"/>
              </w:rPr>
              <w:t>。</w:t>
            </w:r>
          </w:p>
        </w:tc>
      </w:tr>
    </w:tbl>
    <w:p w14:paraId="71D1F10B">
      <w:pPr>
        <w:widowControl/>
        <w:snapToGrid w:val="0"/>
        <w:jc w:val="center"/>
        <w:rPr>
          <w:sz w:val="5"/>
          <w:szCs w:val="5"/>
          <w:highlight w:val="none"/>
        </w:rPr>
      </w:pPr>
      <w:r>
        <w:rPr>
          <w:b/>
          <w:bCs/>
          <w:szCs w:val="21"/>
          <w:highlight w:val="none"/>
        </w:rPr>
        <w:t>表</w:t>
      </w:r>
      <w:r>
        <w:rPr>
          <w:rFonts w:hint="eastAsia"/>
          <w:b/>
          <w:bCs/>
          <w:szCs w:val="21"/>
          <w:highlight w:val="none"/>
          <w:lang w:val="en-US" w:eastAsia="zh-CN"/>
        </w:rPr>
        <w:t xml:space="preserve">3-7   </w:t>
      </w:r>
      <w:r>
        <w:rPr>
          <w:b/>
          <w:bCs/>
          <w:szCs w:val="21"/>
          <w:highlight w:val="none"/>
        </w:rPr>
        <w:t>废水处理及回用1（生化合格出水处理）出口回用水水质监测结果（</w:t>
      </w:r>
      <w:r>
        <w:rPr>
          <w:b/>
          <w:bCs/>
          <w:spacing w:val="-2"/>
          <w:szCs w:val="21"/>
          <w:highlight w:val="none"/>
        </w:rPr>
        <w:t>mg</w:t>
      </w:r>
      <w:r>
        <w:rPr>
          <w:b/>
          <w:bCs/>
          <w:spacing w:val="2"/>
          <w:szCs w:val="21"/>
          <w:highlight w:val="none"/>
        </w:rPr>
        <w:t>/L</w:t>
      </w:r>
      <w:r>
        <w:rPr>
          <w:b/>
          <w:bCs/>
          <w:spacing w:val="-1"/>
          <w:szCs w:val="21"/>
          <w:highlight w:val="none"/>
        </w:rPr>
        <w:t>，</w:t>
      </w:r>
      <w:r>
        <w:rPr>
          <w:b/>
          <w:bCs/>
          <w:spacing w:val="2"/>
          <w:szCs w:val="21"/>
          <w:highlight w:val="none"/>
        </w:rPr>
        <w:t>特</w:t>
      </w:r>
      <w:r>
        <w:rPr>
          <w:b/>
          <w:bCs/>
          <w:spacing w:val="-1"/>
          <w:szCs w:val="21"/>
          <w:highlight w:val="none"/>
        </w:rPr>
        <w:t>殊</w:t>
      </w:r>
      <w:r>
        <w:rPr>
          <w:b/>
          <w:bCs/>
          <w:spacing w:val="2"/>
          <w:szCs w:val="21"/>
          <w:highlight w:val="none"/>
        </w:rPr>
        <w:t>项</w:t>
      </w:r>
      <w:r>
        <w:rPr>
          <w:b/>
          <w:bCs/>
          <w:spacing w:val="-1"/>
          <w:szCs w:val="21"/>
          <w:highlight w:val="none"/>
        </w:rPr>
        <w:t>目</w:t>
      </w:r>
      <w:r>
        <w:rPr>
          <w:b/>
          <w:bCs/>
          <w:spacing w:val="2"/>
          <w:szCs w:val="21"/>
          <w:highlight w:val="none"/>
        </w:rPr>
        <w:t>除</w:t>
      </w:r>
      <w:r>
        <w:rPr>
          <w:b/>
          <w:bCs/>
          <w:spacing w:val="-1"/>
          <w:szCs w:val="21"/>
          <w:highlight w:val="none"/>
        </w:rPr>
        <w:t>外</w:t>
      </w:r>
      <w:r>
        <w:rPr>
          <w:b/>
          <w:bCs/>
          <w:szCs w:val="21"/>
          <w:highlight w:val="none"/>
        </w:rPr>
        <w:t>）</w:t>
      </w:r>
      <w:bookmarkStart w:id="45" w:name="项目名称：内蒙古伊泰化工有限责任公司120万吨/年精细化学品项目水处理及零排放整"/>
      <w:bookmarkEnd w:id="45"/>
    </w:p>
    <w:p w14:paraId="05453B35">
      <w:pPr>
        <w:kinsoku w:val="0"/>
        <w:overflowPunct w:val="0"/>
        <w:autoSpaceDE w:val="0"/>
        <w:autoSpaceDN w:val="0"/>
        <w:adjustRightInd w:val="0"/>
        <w:spacing w:before="3" w:line="60" w:lineRule="exact"/>
        <w:jc w:val="left"/>
        <w:rPr>
          <w:sz w:val="6"/>
          <w:szCs w:val="6"/>
          <w:highlight w:val="none"/>
        </w:rPr>
      </w:pPr>
    </w:p>
    <w:tbl>
      <w:tblPr>
        <w:tblStyle w:val="19"/>
        <w:tblW w:w="500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198"/>
        <w:gridCol w:w="1398"/>
        <w:gridCol w:w="1342"/>
        <w:gridCol w:w="1097"/>
        <w:gridCol w:w="1296"/>
        <w:gridCol w:w="1150"/>
        <w:gridCol w:w="1002"/>
        <w:gridCol w:w="1296"/>
        <w:gridCol w:w="1150"/>
        <w:gridCol w:w="1539"/>
      </w:tblGrid>
      <w:tr w14:paraId="520D8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8" w:hRule="exact"/>
          <w:jc w:val="center"/>
        </w:trPr>
        <w:tc>
          <w:tcPr>
            <w:tcW w:w="816" w:type="pct"/>
            <w:vMerge w:val="restart"/>
            <w:noWrap w:val="0"/>
            <w:vAlign w:val="center"/>
          </w:tcPr>
          <w:p w14:paraId="09831262">
            <w:pPr>
              <w:kinsoku w:val="0"/>
              <w:overflowPunct w:val="0"/>
              <w:autoSpaceDE w:val="0"/>
              <w:autoSpaceDN w:val="0"/>
              <w:adjustRightInd w:val="0"/>
              <w:jc w:val="center"/>
              <w:rPr>
                <w:sz w:val="21"/>
                <w:szCs w:val="21"/>
                <w:highlight w:val="none"/>
              </w:rPr>
            </w:pPr>
            <w:r>
              <w:rPr>
                <w:spacing w:val="-1"/>
                <w:sz w:val="21"/>
                <w:szCs w:val="21"/>
                <w:highlight w:val="none"/>
              </w:rPr>
              <w:t>检</w:t>
            </w:r>
            <w:r>
              <w:rPr>
                <w:spacing w:val="2"/>
                <w:sz w:val="21"/>
                <w:szCs w:val="21"/>
                <w:highlight w:val="none"/>
              </w:rPr>
              <w:t>测</w:t>
            </w:r>
            <w:r>
              <w:rPr>
                <w:spacing w:val="-1"/>
                <w:sz w:val="21"/>
                <w:szCs w:val="21"/>
                <w:highlight w:val="none"/>
              </w:rPr>
              <w:t>因</w:t>
            </w:r>
            <w:r>
              <w:rPr>
                <w:sz w:val="21"/>
                <w:szCs w:val="21"/>
                <w:highlight w:val="none"/>
              </w:rPr>
              <w:t>子</w:t>
            </w:r>
          </w:p>
        </w:tc>
        <w:tc>
          <w:tcPr>
            <w:tcW w:w="4183" w:type="pct"/>
            <w:gridSpan w:val="9"/>
            <w:noWrap w:val="0"/>
            <w:vAlign w:val="center"/>
          </w:tcPr>
          <w:p w14:paraId="432C4FF9">
            <w:pPr>
              <w:kinsoku w:val="0"/>
              <w:overflowPunct w:val="0"/>
              <w:autoSpaceDE w:val="0"/>
              <w:autoSpaceDN w:val="0"/>
              <w:adjustRightInd w:val="0"/>
              <w:jc w:val="center"/>
              <w:rPr>
                <w:sz w:val="21"/>
                <w:szCs w:val="21"/>
                <w:highlight w:val="none"/>
              </w:rPr>
            </w:pPr>
            <w:r>
              <w:rPr>
                <w:rFonts w:hint="eastAsia"/>
                <w:spacing w:val="-1"/>
                <w:sz w:val="21"/>
                <w:szCs w:val="21"/>
                <w:highlight w:val="none"/>
                <w:lang w:eastAsia="zh-CN"/>
              </w:rPr>
              <w:t>监测</w:t>
            </w:r>
            <w:r>
              <w:rPr>
                <w:spacing w:val="-1"/>
                <w:sz w:val="21"/>
                <w:szCs w:val="21"/>
                <w:highlight w:val="none"/>
              </w:rPr>
              <w:t>点</w:t>
            </w:r>
            <w:r>
              <w:rPr>
                <w:sz w:val="21"/>
                <w:szCs w:val="21"/>
                <w:highlight w:val="none"/>
              </w:rPr>
              <w:t>位</w:t>
            </w:r>
          </w:p>
        </w:tc>
      </w:tr>
      <w:tr w14:paraId="00388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8" w:hRule="exact"/>
          <w:jc w:val="center"/>
        </w:trPr>
        <w:tc>
          <w:tcPr>
            <w:tcW w:w="816" w:type="pct"/>
            <w:vMerge w:val="continue"/>
            <w:noWrap w:val="0"/>
            <w:vAlign w:val="center"/>
          </w:tcPr>
          <w:p w14:paraId="2F406E14">
            <w:pPr>
              <w:kinsoku w:val="0"/>
              <w:overflowPunct w:val="0"/>
              <w:autoSpaceDE w:val="0"/>
              <w:autoSpaceDN w:val="0"/>
              <w:adjustRightInd w:val="0"/>
              <w:jc w:val="center"/>
              <w:rPr>
                <w:sz w:val="21"/>
                <w:szCs w:val="21"/>
                <w:highlight w:val="none"/>
              </w:rPr>
            </w:pPr>
          </w:p>
        </w:tc>
        <w:tc>
          <w:tcPr>
            <w:tcW w:w="4183" w:type="pct"/>
            <w:gridSpan w:val="9"/>
            <w:noWrap w:val="0"/>
            <w:vAlign w:val="center"/>
          </w:tcPr>
          <w:p w14:paraId="4DFABACB">
            <w:pPr>
              <w:kinsoku w:val="0"/>
              <w:overflowPunct w:val="0"/>
              <w:autoSpaceDE w:val="0"/>
              <w:autoSpaceDN w:val="0"/>
              <w:adjustRightInd w:val="0"/>
              <w:jc w:val="center"/>
              <w:rPr>
                <w:sz w:val="21"/>
                <w:szCs w:val="21"/>
                <w:highlight w:val="none"/>
              </w:rPr>
            </w:pPr>
            <w:r>
              <w:rPr>
                <w:sz w:val="21"/>
                <w:szCs w:val="21"/>
                <w:highlight w:val="none"/>
              </w:rPr>
              <w:t>废水处理系统及回用单元回用工序1</w:t>
            </w:r>
          </w:p>
        </w:tc>
      </w:tr>
      <w:tr w14:paraId="54A18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8" w:hRule="exact"/>
          <w:jc w:val="center"/>
        </w:trPr>
        <w:tc>
          <w:tcPr>
            <w:tcW w:w="816" w:type="pct"/>
            <w:vMerge w:val="continue"/>
            <w:noWrap w:val="0"/>
            <w:vAlign w:val="center"/>
          </w:tcPr>
          <w:p w14:paraId="33A63C4A">
            <w:pPr>
              <w:kinsoku w:val="0"/>
              <w:overflowPunct w:val="0"/>
              <w:autoSpaceDE w:val="0"/>
              <w:autoSpaceDN w:val="0"/>
              <w:adjustRightInd w:val="0"/>
              <w:jc w:val="center"/>
              <w:rPr>
                <w:sz w:val="21"/>
                <w:szCs w:val="21"/>
                <w:highlight w:val="none"/>
              </w:rPr>
            </w:pPr>
          </w:p>
        </w:tc>
        <w:tc>
          <w:tcPr>
            <w:tcW w:w="519" w:type="pct"/>
            <w:noWrap w:val="0"/>
            <w:vAlign w:val="center"/>
          </w:tcPr>
          <w:p w14:paraId="0C2C48A9">
            <w:pPr>
              <w:kinsoku w:val="0"/>
              <w:overflowPunct w:val="0"/>
              <w:autoSpaceDE w:val="0"/>
              <w:autoSpaceDN w:val="0"/>
              <w:adjustRightInd w:val="0"/>
              <w:jc w:val="center"/>
              <w:rPr>
                <w:sz w:val="21"/>
                <w:szCs w:val="21"/>
                <w:highlight w:val="none"/>
              </w:rPr>
            </w:pPr>
            <w:r>
              <w:rPr>
                <w:sz w:val="21"/>
                <w:szCs w:val="21"/>
                <w:highlight w:val="none"/>
              </w:rPr>
              <w:t>第1次</w:t>
            </w:r>
          </w:p>
        </w:tc>
        <w:tc>
          <w:tcPr>
            <w:tcW w:w="498" w:type="pct"/>
            <w:noWrap w:val="0"/>
            <w:vAlign w:val="center"/>
          </w:tcPr>
          <w:p w14:paraId="6FB6E244">
            <w:pPr>
              <w:kinsoku w:val="0"/>
              <w:overflowPunct w:val="0"/>
              <w:autoSpaceDE w:val="0"/>
              <w:autoSpaceDN w:val="0"/>
              <w:adjustRightInd w:val="0"/>
              <w:jc w:val="center"/>
              <w:rPr>
                <w:sz w:val="21"/>
                <w:szCs w:val="21"/>
                <w:highlight w:val="none"/>
              </w:rPr>
            </w:pPr>
            <w:r>
              <w:rPr>
                <w:sz w:val="21"/>
                <w:szCs w:val="21"/>
                <w:highlight w:val="none"/>
              </w:rPr>
              <w:t>第2次</w:t>
            </w:r>
          </w:p>
        </w:tc>
        <w:tc>
          <w:tcPr>
            <w:tcW w:w="407" w:type="pct"/>
            <w:noWrap w:val="0"/>
            <w:vAlign w:val="center"/>
          </w:tcPr>
          <w:p w14:paraId="27FD5E34">
            <w:pPr>
              <w:kinsoku w:val="0"/>
              <w:overflowPunct w:val="0"/>
              <w:autoSpaceDE w:val="0"/>
              <w:autoSpaceDN w:val="0"/>
              <w:adjustRightInd w:val="0"/>
              <w:jc w:val="center"/>
              <w:rPr>
                <w:sz w:val="21"/>
                <w:szCs w:val="21"/>
                <w:highlight w:val="none"/>
              </w:rPr>
            </w:pPr>
            <w:r>
              <w:rPr>
                <w:sz w:val="21"/>
                <w:szCs w:val="21"/>
                <w:highlight w:val="none"/>
              </w:rPr>
              <w:t>第3次</w:t>
            </w:r>
          </w:p>
        </w:tc>
        <w:tc>
          <w:tcPr>
            <w:tcW w:w="481" w:type="pct"/>
            <w:noWrap w:val="0"/>
            <w:vAlign w:val="center"/>
          </w:tcPr>
          <w:p w14:paraId="21BC95B1">
            <w:pPr>
              <w:kinsoku w:val="0"/>
              <w:overflowPunct w:val="0"/>
              <w:autoSpaceDE w:val="0"/>
              <w:autoSpaceDN w:val="0"/>
              <w:adjustRightInd w:val="0"/>
              <w:jc w:val="center"/>
              <w:rPr>
                <w:sz w:val="21"/>
                <w:szCs w:val="21"/>
                <w:highlight w:val="none"/>
              </w:rPr>
            </w:pPr>
            <w:r>
              <w:rPr>
                <w:sz w:val="21"/>
                <w:szCs w:val="21"/>
                <w:highlight w:val="none"/>
              </w:rPr>
              <w:t>第4次</w:t>
            </w:r>
          </w:p>
        </w:tc>
        <w:tc>
          <w:tcPr>
            <w:tcW w:w="427" w:type="pct"/>
            <w:noWrap w:val="0"/>
            <w:vAlign w:val="center"/>
          </w:tcPr>
          <w:p w14:paraId="4B0B9951">
            <w:pPr>
              <w:kinsoku w:val="0"/>
              <w:overflowPunct w:val="0"/>
              <w:autoSpaceDE w:val="0"/>
              <w:autoSpaceDN w:val="0"/>
              <w:adjustRightInd w:val="0"/>
              <w:jc w:val="center"/>
              <w:rPr>
                <w:sz w:val="21"/>
                <w:szCs w:val="21"/>
                <w:highlight w:val="none"/>
              </w:rPr>
            </w:pPr>
            <w:r>
              <w:rPr>
                <w:sz w:val="21"/>
                <w:szCs w:val="21"/>
                <w:highlight w:val="none"/>
              </w:rPr>
              <w:t>第1次</w:t>
            </w:r>
          </w:p>
        </w:tc>
        <w:tc>
          <w:tcPr>
            <w:tcW w:w="372" w:type="pct"/>
            <w:noWrap w:val="0"/>
            <w:vAlign w:val="center"/>
          </w:tcPr>
          <w:p w14:paraId="298DAC98">
            <w:pPr>
              <w:kinsoku w:val="0"/>
              <w:overflowPunct w:val="0"/>
              <w:autoSpaceDE w:val="0"/>
              <w:autoSpaceDN w:val="0"/>
              <w:adjustRightInd w:val="0"/>
              <w:jc w:val="center"/>
              <w:rPr>
                <w:sz w:val="21"/>
                <w:szCs w:val="21"/>
                <w:highlight w:val="none"/>
              </w:rPr>
            </w:pPr>
            <w:r>
              <w:rPr>
                <w:sz w:val="21"/>
                <w:szCs w:val="21"/>
                <w:highlight w:val="none"/>
              </w:rPr>
              <w:t>第2次</w:t>
            </w:r>
          </w:p>
        </w:tc>
        <w:tc>
          <w:tcPr>
            <w:tcW w:w="481" w:type="pct"/>
            <w:noWrap w:val="0"/>
            <w:vAlign w:val="center"/>
          </w:tcPr>
          <w:p w14:paraId="55124150">
            <w:pPr>
              <w:kinsoku w:val="0"/>
              <w:overflowPunct w:val="0"/>
              <w:autoSpaceDE w:val="0"/>
              <w:autoSpaceDN w:val="0"/>
              <w:adjustRightInd w:val="0"/>
              <w:jc w:val="center"/>
              <w:rPr>
                <w:sz w:val="21"/>
                <w:szCs w:val="21"/>
                <w:highlight w:val="none"/>
              </w:rPr>
            </w:pPr>
            <w:r>
              <w:rPr>
                <w:sz w:val="21"/>
                <w:szCs w:val="21"/>
                <w:highlight w:val="none"/>
              </w:rPr>
              <w:t>第3次</w:t>
            </w:r>
          </w:p>
        </w:tc>
        <w:tc>
          <w:tcPr>
            <w:tcW w:w="427" w:type="pct"/>
            <w:noWrap w:val="0"/>
            <w:vAlign w:val="center"/>
          </w:tcPr>
          <w:p w14:paraId="3B3438D4">
            <w:pPr>
              <w:kinsoku w:val="0"/>
              <w:overflowPunct w:val="0"/>
              <w:autoSpaceDE w:val="0"/>
              <w:autoSpaceDN w:val="0"/>
              <w:adjustRightInd w:val="0"/>
              <w:jc w:val="center"/>
              <w:rPr>
                <w:sz w:val="21"/>
                <w:szCs w:val="21"/>
                <w:highlight w:val="none"/>
              </w:rPr>
            </w:pPr>
            <w:r>
              <w:rPr>
                <w:sz w:val="21"/>
                <w:szCs w:val="21"/>
                <w:highlight w:val="none"/>
              </w:rPr>
              <w:t>第4次</w:t>
            </w:r>
          </w:p>
        </w:tc>
        <w:tc>
          <w:tcPr>
            <w:tcW w:w="566" w:type="pct"/>
            <w:noWrap w:val="0"/>
            <w:vAlign w:val="center"/>
          </w:tcPr>
          <w:p w14:paraId="07A92AC2">
            <w:pPr>
              <w:kinsoku w:val="0"/>
              <w:overflowPunct w:val="0"/>
              <w:autoSpaceDE w:val="0"/>
              <w:autoSpaceDN w:val="0"/>
              <w:adjustRightInd w:val="0"/>
              <w:jc w:val="center"/>
              <w:rPr>
                <w:sz w:val="21"/>
                <w:szCs w:val="21"/>
                <w:highlight w:val="none"/>
              </w:rPr>
            </w:pPr>
            <w:r>
              <w:rPr>
                <w:sz w:val="21"/>
                <w:szCs w:val="21"/>
                <w:highlight w:val="none"/>
              </w:rPr>
              <w:t>标准值</w:t>
            </w:r>
          </w:p>
        </w:tc>
      </w:tr>
      <w:tr w14:paraId="337B0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8" w:hRule="exact"/>
          <w:jc w:val="center"/>
        </w:trPr>
        <w:tc>
          <w:tcPr>
            <w:tcW w:w="816" w:type="pct"/>
            <w:noWrap w:val="0"/>
            <w:vAlign w:val="center"/>
          </w:tcPr>
          <w:p w14:paraId="6D62691A">
            <w:pPr>
              <w:kinsoku w:val="0"/>
              <w:overflowPunct w:val="0"/>
              <w:autoSpaceDE w:val="0"/>
              <w:autoSpaceDN w:val="0"/>
              <w:adjustRightInd w:val="0"/>
              <w:jc w:val="center"/>
              <w:rPr>
                <w:sz w:val="21"/>
                <w:szCs w:val="21"/>
                <w:highlight w:val="none"/>
              </w:rPr>
            </w:pPr>
            <w:r>
              <w:rPr>
                <w:sz w:val="21"/>
                <w:szCs w:val="21"/>
                <w:highlight w:val="none"/>
              </w:rPr>
              <w:t>p</w:t>
            </w:r>
            <w:r>
              <w:rPr>
                <w:spacing w:val="-1"/>
                <w:sz w:val="21"/>
                <w:szCs w:val="21"/>
                <w:highlight w:val="none"/>
              </w:rPr>
              <w:t>H</w:t>
            </w:r>
            <w:r>
              <w:rPr>
                <w:rFonts w:hint="eastAsia"/>
                <w:spacing w:val="1"/>
                <w:sz w:val="21"/>
                <w:szCs w:val="21"/>
                <w:highlight w:val="none"/>
                <w:lang w:eastAsia="zh-CN"/>
              </w:rPr>
              <w:t>（</w:t>
            </w:r>
            <w:r>
              <w:rPr>
                <w:sz w:val="21"/>
                <w:szCs w:val="21"/>
                <w:highlight w:val="none"/>
              </w:rPr>
              <w:t>无量纲</w:t>
            </w:r>
            <w:r>
              <w:rPr>
                <w:rFonts w:hint="eastAsia"/>
                <w:spacing w:val="1"/>
                <w:sz w:val="21"/>
                <w:szCs w:val="21"/>
                <w:highlight w:val="none"/>
                <w:lang w:eastAsia="zh-CN"/>
              </w:rPr>
              <w:t>）</w:t>
            </w:r>
          </w:p>
        </w:tc>
        <w:tc>
          <w:tcPr>
            <w:tcW w:w="519" w:type="pct"/>
            <w:noWrap w:val="0"/>
            <w:vAlign w:val="center"/>
          </w:tcPr>
          <w:p w14:paraId="0482DD54">
            <w:pPr>
              <w:kinsoku w:val="0"/>
              <w:overflowPunct w:val="0"/>
              <w:autoSpaceDE w:val="0"/>
              <w:autoSpaceDN w:val="0"/>
              <w:adjustRightInd w:val="0"/>
              <w:jc w:val="center"/>
              <w:rPr>
                <w:sz w:val="21"/>
                <w:szCs w:val="21"/>
                <w:highlight w:val="none"/>
              </w:rPr>
            </w:pPr>
            <w:r>
              <w:rPr>
                <w:spacing w:val="1"/>
                <w:sz w:val="21"/>
                <w:szCs w:val="21"/>
                <w:highlight w:val="none"/>
              </w:rPr>
              <w:t>6</w:t>
            </w:r>
            <w:r>
              <w:rPr>
                <w:sz w:val="21"/>
                <w:szCs w:val="21"/>
                <w:highlight w:val="none"/>
              </w:rPr>
              <w:t>.</w:t>
            </w:r>
            <w:r>
              <w:rPr>
                <w:spacing w:val="1"/>
                <w:sz w:val="21"/>
                <w:szCs w:val="21"/>
                <w:highlight w:val="none"/>
              </w:rPr>
              <w:t>1</w:t>
            </w:r>
            <w:r>
              <w:rPr>
                <w:sz w:val="21"/>
                <w:szCs w:val="21"/>
                <w:highlight w:val="none"/>
              </w:rPr>
              <w:t>9</w:t>
            </w:r>
          </w:p>
        </w:tc>
        <w:tc>
          <w:tcPr>
            <w:tcW w:w="498" w:type="pct"/>
            <w:noWrap w:val="0"/>
            <w:vAlign w:val="center"/>
          </w:tcPr>
          <w:p w14:paraId="09E7A761">
            <w:pPr>
              <w:kinsoku w:val="0"/>
              <w:overflowPunct w:val="0"/>
              <w:autoSpaceDE w:val="0"/>
              <w:autoSpaceDN w:val="0"/>
              <w:adjustRightInd w:val="0"/>
              <w:jc w:val="center"/>
              <w:rPr>
                <w:sz w:val="21"/>
                <w:szCs w:val="21"/>
                <w:highlight w:val="none"/>
              </w:rPr>
            </w:pPr>
            <w:r>
              <w:rPr>
                <w:spacing w:val="1"/>
                <w:sz w:val="21"/>
                <w:szCs w:val="21"/>
                <w:highlight w:val="none"/>
              </w:rPr>
              <w:t>6</w:t>
            </w:r>
            <w:r>
              <w:rPr>
                <w:sz w:val="21"/>
                <w:szCs w:val="21"/>
                <w:highlight w:val="none"/>
              </w:rPr>
              <w:t>.</w:t>
            </w:r>
            <w:r>
              <w:rPr>
                <w:spacing w:val="1"/>
                <w:sz w:val="21"/>
                <w:szCs w:val="21"/>
                <w:highlight w:val="none"/>
              </w:rPr>
              <w:t>1</w:t>
            </w:r>
            <w:r>
              <w:rPr>
                <w:sz w:val="21"/>
                <w:szCs w:val="21"/>
                <w:highlight w:val="none"/>
              </w:rPr>
              <w:t>6</w:t>
            </w:r>
          </w:p>
        </w:tc>
        <w:tc>
          <w:tcPr>
            <w:tcW w:w="407" w:type="pct"/>
            <w:noWrap w:val="0"/>
            <w:vAlign w:val="center"/>
          </w:tcPr>
          <w:p w14:paraId="05A40016">
            <w:pPr>
              <w:kinsoku w:val="0"/>
              <w:overflowPunct w:val="0"/>
              <w:autoSpaceDE w:val="0"/>
              <w:autoSpaceDN w:val="0"/>
              <w:adjustRightInd w:val="0"/>
              <w:jc w:val="center"/>
              <w:rPr>
                <w:sz w:val="21"/>
                <w:szCs w:val="21"/>
                <w:highlight w:val="none"/>
              </w:rPr>
            </w:pPr>
            <w:r>
              <w:rPr>
                <w:sz w:val="21"/>
                <w:szCs w:val="21"/>
                <w:highlight w:val="none"/>
              </w:rPr>
              <w:t>6.22</w:t>
            </w:r>
          </w:p>
        </w:tc>
        <w:tc>
          <w:tcPr>
            <w:tcW w:w="481" w:type="pct"/>
            <w:noWrap w:val="0"/>
            <w:vAlign w:val="center"/>
          </w:tcPr>
          <w:p w14:paraId="40A88281">
            <w:pPr>
              <w:kinsoku w:val="0"/>
              <w:overflowPunct w:val="0"/>
              <w:autoSpaceDE w:val="0"/>
              <w:autoSpaceDN w:val="0"/>
              <w:adjustRightInd w:val="0"/>
              <w:jc w:val="center"/>
              <w:rPr>
                <w:sz w:val="21"/>
                <w:szCs w:val="21"/>
                <w:highlight w:val="none"/>
              </w:rPr>
            </w:pPr>
            <w:r>
              <w:rPr>
                <w:sz w:val="21"/>
                <w:szCs w:val="21"/>
                <w:highlight w:val="none"/>
              </w:rPr>
              <w:t>6.20</w:t>
            </w:r>
          </w:p>
        </w:tc>
        <w:tc>
          <w:tcPr>
            <w:tcW w:w="427" w:type="pct"/>
            <w:noWrap w:val="0"/>
            <w:vAlign w:val="center"/>
          </w:tcPr>
          <w:p w14:paraId="6F63CC1A">
            <w:pPr>
              <w:kinsoku w:val="0"/>
              <w:overflowPunct w:val="0"/>
              <w:autoSpaceDE w:val="0"/>
              <w:autoSpaceDN w:val="0"/>
              <w:adjustRightInd w:val="0"/>
              <w:jc w:val="center"/>
              <w:rPr>
                <w:sz w:val="21"/>
                <w:szCs w:val="21"/>
                <w:highlight w:val="none"/>
              </w:rPr>
            </w:pPr>
            <w:r>
              <w:rPr>
                <w:sz w:val="21"/>
                <w:szCs w:val="21"/>
                <w:highlight w:val="none"/>
              </w:rPr>
              <w:t>5.98</w:t>
            </w:r>
          </w:p>
        </w:tc>
        <w:tc>
          <w:tcPr>
            <w:tcW w:w="372" w:type="pct"/>
            <w:noWrap w:val="0"/>
            <w:vAlign w:val="center"/>
          </w:tcPr>
          <w:p w14:paraId="02E9D37B">
            <w:pPr>
              <w:kinsoku w:val="0"/>
              <w:overflowPunct w:val="0"/>
              <w:autoSpaceDE w:val="0"/>
              <w:autoSpaceDN w:val="0"/>
              <w:adjustRightInd w:val="0"/>
              <w:jc w:val="center"/>
              <w:rPr>
                <w:sz w:val="21"/>
                <w:szCs w:val="21"/>
                <w:highlight w:val="none"/>
              </w:rPr>
            </w:pPr>
            <w:r>
              <w:rPr>
                <w:sz w:val="21"/>
                <w:szCs w:val="21"/>
                <w:highlight w:val="none"/>
              </w:rPr>
              <w:t>5.96</w:t>
            </w:r>
          </w:p>
        </w:tc>
        <w:tc>
          <w:tcPr>
            <w:tcW w:w="481" w:type="pct"/>
            <w:noWrap w:val="0"/>
            <w:vAlign w:val="center"/>
          </w:tcPr>
          <w:p w14:paraId="58A6A2B3">
            <w:pPr>
              <w:kinsoku w:val="0"/>
              <w:overflowPunct w:val="0"/>
              <w:autoSpaceDE w:val="0"/>
              <w:autoSpaceDN w:val="0"/>
              <w:adjustRightInd w:val="0"/>
              <w:jc w:val="center"/>
              <w:rPr>
                <w:sz w:val="21"/>
                <w:szCs w:val="21"/>
                <w:highlight w:val="none"/>
              </w:rPr>
            </w:pPr>
            <w:r>
              <w:rPr>
                <w:sz w:val="21"/>
                <w:szCs w:val="21"/>
                <w:highlight w:val="none"/>
              </w:rPr>
              <w:t>6.00</w:t>
            </w:r>
          </w:p>
        </w:tc>
        <w:tc>
          <w:tcPr>
            <w:tcW w:w="427" w:type="pct"/>
            <w:noWrap w:val="0"/>
            <w:vAlign w:val="center"/>
          </w:tcPr>
          <w:p w14:paraId="23F8E2CB">
            <w:pPr>
              <w:kinsoku w:val="0"/>
              <w:overflowPunct w:val="0"/>
              <w:autoSpaceDE w:val="0"/>
              <w:autoSpaceDN w:val="0"/>
              <w:adjustRightInd w:val="0"/>
              <w:jc w:val="center"/>
              <w:rPr>
                <w:sz w:val="21"/>
                <w:szCs w:val="21"/>
                <w:highlight w:val="none"/>
              </w:rPr>
            </w:pPr>
            <w:r>
              <w:rPr>
                <w:sz w:val="21"/>
                <w:szCs w:val="21"/>
                <w:highlight w:val="none"/>
              </w:rPr>
              <w:t>5.97</w:t>
            </w:r>
          </w:p>
        </w:tc>
        <w:tc>
          <w:tcPr>
            <w:tcW w:w="566" w:type="pct"/>
            <w:noWrap w:val="0"/>
            <w:vAlign w:val="center"/>
          </w:tcPr>
          <w:p w14:paraId="568CE287">
            <w:pPr>
              <w:kinsoku w:val="0"/>
              <w:overflowPunct w:val="0"/>
              <w:autoSpaceDE w:val="0"/>
              <w:autoSpaceDN w:val="0"/>
              <w:adjustRightInd w:val="0"/>
              <w:jc w:val="center"/>
              <w:rPr>
                <w:sz w:val="21"/>
                <w:szCs w:val="21"/>
                <w:highlight w:val="none"/>
              </w:rPr>
            </w:pPr>
            <w:r>
              <w:rPr>
                <w:sz w:val="21"/>
                <w:szCs w:val="21"/>
                <w:highlight w:val="none"/>
              </w:rPr>
              <w:t>6~9</w:t>
            </w:r>
          </w:p>
        </w:tc>
      </w:tr>
      <w:tr w14:paraId="22A6D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8" w:hRule="exact"/>
          <w:jc w:val="center"/>
        </w:trPr>
        <w:tc>
          <w:tcPr>
            <w:tcW w:w="816" w:type="pct"/>
            <w:noWrap w:val="0"/>
            <w:vAlign w:val="center"/>
          </w:tcPr>
          <w:p w14:paraId="18DDEB22">
            <w:pPr>
              <w:kinsoku w:val="0"/>
              <w:overflowPunct w:val="0"/>
              <w:autoSpaceDE w:val="0"/>
              <w:autoSpaceDN w:val="0"/>
              <w:adjustRightInd w:val="0"/>
              <w:jc w:val="center"/>
              <w:rPr>
                <w:sz w:val="21"/>
                <w:szCs w:val="21"/>
                <w:highlight w:val="none"/>
              </w:rPr>
            </w:pPr>
            <w:r>
              <w:rPr>
                <w:spacing w:val="-1"/>
                <w:sz w:val="21"/>
                <w:szCs w:val="21"/>
                <w:highlight w:val="none"/>
              </w:rPr>
              <w:t>水</w:t>
            </w:r>
            <w:r>
              <w:rPr>
                <w:spacing w:val="2"/>
                <w:sz w:val="21"/>
                <w:szCs w:val="21"/>
                <w:highlight w:val="none"/>
              </w:rPr>
              <w:t>温（</w:t>
            </w:r>
            <w:r>
              <w:rPr>
                <w:spacing w:val="-1"/>
                <w:sz w:val="21"/>
                <w:szCs w:val="21"/>
                <w:highlight w:val="none"/>
              </w:rPr>
              <w:t>℃</w:t>
            </w:r>
            <w:r>
              <w:rPr>
                <w:sz w:val="21"/>
                <w:szCs w:val="21"/>
                <w:highlight w:val="none"/>
              </w:rPr>
              <w:t>）</w:t>
            </w:r>
          </w:p>
        </w:tc>
        <w:tc>
          <w:tcPr>
            <w:tcW w:w="519" w:type="pct"/>
            <w:noWrap w:val="0"/>
            <w:vAlign w:val="center"/>
          </w:tcPr>
          <w:p w14:paraId="76F0650D">
            <w:pPr>
              <w:kinsoku w:val="0"/>
              <w:overflowPunct w:val="0"/>
              <w:autoSpaceDE w:val="0"/>
              <w:autoSpaceDN w:val="0"/>
              <w:adjustRightInd w:val="0"/>
              <w:jc w:val="center"/>
              <w:rPr>
                <w:sz w:val="21"/>
                <w:szCs w:val="21"/>
                <w:highlight w:val="none"/>
              </w:rPr>
            </w:pPr>
            <w:r>
              <w:rPr>
                <w:spacing w:val="1"/>
                <w:sz w:val="21"/>
                <w:szCs w:val="21"/>
                <w:highlight w:val="none"/>
              </w:rPr>
              <w:t>29</w:t>
            </w:r>
            <w:r>
              <w:rPr>
                <w:sz w:val="21"/>
                <w:szCs w:val="21"/>
                <w:highlight w:val="none"/>
              </w:rPr>
              <w:t>.5</w:t>
            </w:r>
          </w:p>
        </w:tc>
        <w:tc>
          <w:tcPr>
            <w:tcW w:w="498" w:type="pct"/>
            <w:noWrap w:val="0"/>
            <w:vAlign w:val="center"/>
          </w:tcPr>
          <w:p w14:paraId="1DE97B32">
            <w:pPr>
              <w:kinsoku w:val="0"/>
              <w:overflowPunct w:val="0"/>
              <w:autoSpaceDE w:val="0"/>
              <w:autoSpaceDN w:val="0"/>
              <w:adjustRightInd w:val="0"/>
              <w:jc w:val="center"/>
              <w:rPr>
                <w:sz w:val="21"/>
                <w:szCs w:val="21"/>
                <w:highlight w:val="none"/>
              </w:rPr>
            </w:pPr>
            <w:r>
              <w:rPr>
                <w:spacing w:val="1"/>
                <w:sz w:val="21"/>
                <w:szCs w:val="21"/>
                <w:highlight w:val="none"/>
              </w:rPr>
              <w:t>30</w:t>
            </w:r>
            <w:r>
              <w:rPr>
                <w:sz w:val="21"/>
                <w:szCs w:val="21"/>
                <w:highlight w:val="none"/>
              </w:rPr>
              <w:t>.1</w:t>
            </w:r>
          </w:p>
        </w:tc>
        <w:tc>
          <w:tcPr>
            <w:tcW w:w="407" w:type="pct"/>
            <w:noWrap w:val="0"/>
            <w:vAlign w:val="center"/>
          </w:tcPr>
          <w:p w14:paraId="6ED38458">
            <w:pPr>
              <w:kinsoku w:val="0"/>
              <w:overflowPunct w:val="0"/>
              <w:autoSpaceDE w:val="0"/>
              <w:autoSpaceDN w:val="0"/>
              <w:adjustRightInd w:val="0"/>
              <w:jc w:val="center"/>
              <w:rPr>
                <w:sz w:val="21"/>
                <w:szCs w:val="21"/>
                <w:highlight w:val="none"/>
              </w:rPr>
            </w:pPr>
            <w:r>
              <w:rPr>
                <w:sz w:val="21"/>
                <w:szCs w:val="21"/>
                <w:highlight w:val="none"/>
              </w:rPr>
              <w:t>29.8</w:t>
            </w:r>
          </w:p>
        </w:tc>
        <w:tc>
          <w:tcPr>
            <w:tcW w:w="481" w:type="pct"/>
            <w:noWrap w:val="0"/>
            <w:vAlign w:val="center"/>
          </w:tcPr>
          <w:p w14:paraId="7A24B41D">
            <w:pPr>
              <w:kinsoku w:val="0"/>
              <w:overflowPunct w:val="0"/>
              <w:autoSpaceDE w:val="0"/>
              <w:autoSpaceDN w:val="0"/>
              <w:adjustRightInd w:val="0"/>
              <w:jc w:val="center"/>
              <w:rPr>
                <w:sz w:val="21"/>
                <w:szCs w:val="21"/>
                <w:highlight w:val="none"/>
              </w:rPr>
            </w:pPr>
            <w:r>
              <w:rPr>
                <w:sz w:val="21"/>
                <w:szCs w:val="21"/>
                <w:highlight w:val="none"/>
              </w:rPr>
              <w:t>29.7</w:t>
            </w:r>
          </w:p>
        </w:tc>
        <w:tc>
          <w:tcPr>
            <w:tcW w:w="427" w:type="pct"/>
            <w:noWrap w:val="0"/>
            <w:vAlign w:val="center"/>
          </w:tcPr>
          <w:p w14:paraId="2446C1DC">
            <w:pPr>
              <w:kinsoku w:val="0"/>
              <w:overflowPunct w:val="0"/>
              <w:autoSpaceDE w:val="0"/>
              <w:autoSpaceDN w:val="0"/>
              <w:adjustRightInd w:val="0"/>
              <w:jc w:val="center"/>
              <w:rPr>
                <w:sz w:val="21"/>
                <w:szCs w:val="21"/>
                <w:highlight w:val="none"/>
              </w:rPr>
            </w:pPr>
            <w:r>
              <w:rPr>
                <w:sz w:val="21"/>
                <w:szCs w:val="21"/>
                <w:highlight w:val="none"/>
              </w:rPr>
              <w:t>29.1</w:t>
            </w:r>
          </w:p>
        </w:tc>
        <w:tc>
          <w:tcPr>
            <w:tcW w:w="372" w:type="pct"/>
            <w:noWrap w:val="0"/>
            <w:vAlign w:val="center"/>
          </w:tcPr>
          <w:p w14:paraId="7A1FAD86">
            <w:pPr>
              <w:kinsoku w:val="0"/>
              <w:overflowPunct w:val="0"/>
              <w:autoSpaceDE w:val="0"/>
              <w:autoSpaceDN w:val="0"/>
              <w:adjustRightInd w:val="0"/>
              <w:jc w:val="center"/>
              <w:rPr>
                <w:sz w:val="21"/>
                <w:szCs w:val="21"/>
                <w:highlight w:val="none"/>
              </w:rPr>
            </w:pPr>
            <w:r>
              <w:rPr>
                <w:sz w:val="21"/>
                <w:szCs w:val="21"/>
                <w:highlight w:val="none"/>
              </w:rPr>
              <w:t>29.2</w:t>
            </w:r>
          </w:p>
        </w:tc>
        <w:tc>
          <w:tcPr>
            <w:tcW w:w="481" w:type="pct"/>
            <w:noWrap w:val="0"/>
            <w:vAlign w:val="center"/>
          </w:tcPr>
          <w:p w14:paraId="4F574522">
            <w:pPr>
              <w:kinsoku w:val="0"/>
              <w:overflowPunct w:val="0"/>
              <w:autoSpaceDE w:val="0"/>
              <w:autoSpaceDN w:val="0"/>
              <w:adjustRightInd w:val="0"/>
              <w:jc w:val="center"/>
              <w:rPr>
                <w:sz w:val="21"/>
                <w:szCs w:val="21"/>
                <w:highlight w:val="none"/>
              </w:rPr>
            </w:pPr>
            <w:r>
              <w:rPr>
                <w:sz w:val="21"/>
                <w:szCs w:val="21"/>
                <w:highlight w:val="none"/>
              </w:rPr>
              <w:t>29.1</w:t>
            </w:r>
          </w:p>
        </w:tc>
        <w:tc>
          <w:tcPr>
            <w:tcW w:w="427" w:type="pct"/>
            <w:noWrap w:val="0"/>
            <w:vAlign w:val="center"/>
          </w:tcPr>
          <w:p w14:paraId="6B1C4B07">
            <w:pPr>
              <w:kinsoku w:val="0"/>
              <w:overflowPunct w:val="0"/>
              <w:autoSpaceDE w:val="0"/>
              <w:autoSpaceDN w:val="0"/>
              <w:adjustRightInd w:val="0"/>
              <w:jc w:val="center"/>
              <w:rPr>
                <w:sz w:val="21"/>
                <w:szCs w:val="21"/>
                <w:highlight w:val="none"/>
              </w:rPr>
            </w:pPr>
            <w:r>
              <w:rPr>
                <w:sz w:val="21"/>
                <w:szCs w:val="21"/>
                <w:highlight w:val="none"/>
              </w:rPr>
              <w:t>29.9</w:t>
            </w:r>
          </w:p>
        </w:tc>
        <w:tc>
          <w:tcPr>
            <w:tcW w:w="566" w:type="pct"/>
            <w:noWrap w:val="0"/>
            <w:vAlign w:val="center"/>
          </w:tcPr>
          <w:p w14:paraId="788D01C4">
            <w:pPr>
              <w:kinsoku w:val="0"/>
              <w:overflowPunct w:val="0"/>
              <w:autoSpaceDE w:val="0"/>
              <w:autoSpaceDN w:val="0"/>
              <w:adjustRightInd w:val="0"/>
              <w:jc w:val="center"/>
              <w:rPr>
                <w:sz w:val="21"/>
                <w:szCs w:val="21"/>
                <w:highlight w:val="none"/>
              </w:rPr>
            </w:pPr>
            <w:r>
              <w:rPr>
                <w:sz w:val="21"/>
                <w:szCs w:val="21"/>
                <w:highlight w:val="none"/>
              </w:rPr>
              <w:t>/</w:t>
            </w:r>
          </w:p>
        </w:tc>
      </w:tr>
      <w:tr w14:paraId="30D25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8" w:hRule="exact"/>
          <w:jc w:val="center"/>
        </w:trPr>
        <w:tc>
          <w:tcPr>
            <w:tcW w:w="816" w:type="pct"/>
            <w:noWrap w:val="0"/>
            <w:vAlign w:val="center"/>
          </w:tcPr>
          <w:p w14:paraId="601DB01A">
            <w:pPr>
              <w:kinsoku w:val="0"/>
              <w:overflowPunct w:val="0"/>
              <w:autoSpaceDE w:val="0"/>
              <w:autoSpaceDN w:val="0"/>
              <w:adjustRightInd w:val="0"/>
              <w:jc w:val="center"/>
              <w:rPr>
                <w:sz w:val="21"/>
                <w:szCs w:val="21"/>
                <w:highlight w:val="none"/>
              </w:rPr>
            </w:pPr>
            <w:r>
              <w:rPr>
                <w:sz w:val="21"/>
                <w:szCs w:val="21"/>
                <w:highlight w:val="none"/>
              </w:rPr>
              <w:t>色度（倍）</w:t>
            </w:r>
          </w:p>
        </w:tc>
        <w:tc>
          <w:tcPr>
            <w:tcW w:w="519" w:type="pct"/>
            <w:noWrap w:val="0"/>
            <w:vAlign w:val="center"/>
          </w:tcPr>
          <w:p w14:paraId="4BE40E4C">
            <w:pPr>
              <w:kinsoku w:val="0"/>
              <w:overflowPunct w:val="0"/>
              <w:autoSpaceDE w:val="0"/>
              <w:autoSpaceDN w:val="0"/>
              <w:adjustRightInd w:val="0"/>
              <w:jc w:val="center"/>
              <w:rPr>
                <w:sz w:val="21"/>
                <w:szCs w:val="21"/>
                <w:highlight w:val="none"/>
              </w:rPr>
            </w:pPr>
            <w:r>
              <w:rPr>
                <w:sz w:val="21"/>
                <w:szCs w:val="21"/>
                <w:highlight w:val="none"/>
              </w:rPr>
              <w:t>1</w:t>
            </w:r>
          </w:p>
        </w:tc>
        <w:tc>
          <w:tcPr>
            <w:tcW w:w="498" w:type="pct"/>
            <w:noWrap w:val="0"/>
            <w:vAlign w:val="center"/>
          </w:tcPr>
          <w:p w14:paraId="70DAD2EF">
            <w:pPr>
              <w:kinsoku w:val="0"/>
              <w:overflowPunct w:val="0"/>
              <w:autoSpaceDE w:val="0"/>
              <w:autoSpaceDN w:val="0"/>
              <w:adjustRightInd w:val="0"/>
              <w:jc w:val="center"/>
              <w:rPr>
                <w:sz w:val="21"/>
                <w:szCs w:val="21"/>
                <w:highlight w:val="none"/>
              </w:rPr>
            </w:pPr>
            <w:r>
              <w:rPr>
                <w:sz w:val="21"/>
                <w:szCs w:val="21"/>
                <w:highlight w:val="none"/>
              </w:rPr>
              <w:t>1</w:t>
            </w:r>
          </w:p>
        </w:tc>
        <w:tc>
          <w:tcPr>
            <w:tcW w:w="407" w:type="pct"/>
            <w:noWrap w:val="0"/>
            <w:vAlign w:val="center"/>
          </w:tcPr>
          <w:p w14:paraId="2E6D2833">
            <w:pPr>
              <w:kinsoku w:val="0"/>
              <w:overflowPunct w:val="0"/>
              <w:autoSpaceDE w:val="0"/>
              <w:autoSpaceDN w:val="0"/>
              <w:adjustRightInd w:val="0"/>
              <w:jc w:val="center"/>
              <w:rPr>
                <w:sz w:val="21"/>
                <w:szCs w:val="21"/>
                <w:highlight w:val="none"/>
              </w:rPr>
            </w:pPr>
            <w:r>
              <w:rPr>
                <w:sz w:val="21"/>
                <w:szCs w:val="21"/>
                <w:highlight w:val="none"/>
              </w:rPr>
              <w:t>1</w:t>
            </w:r>
          </w:p>
        </w:tc>
        <w:tc>
          <w:tcPr>
            <w:tcW w:w="481" w:type="pct"/>
            <w:noWrap w:val="0"/>
            <w:vAlign w:val="center"/>
          </w:tcPr>
          <w:p w14:paraId="1B5D9548">
            <w:pPr>
              <w:kinsoku w:val="0"/>
              <w:overflowPunct w:val="0"/>
              <w:autoSpaceDE w:val="0"/>
              <w:autoSpaceDN w:val="0"/>
              <w:adjustRightInd w:val="0"/>
              <w:jc w:val="center"/>
              <w:rPr>
                <w:sz w:val="21"/>
                <w:szCs w:val="21"/>
                <w:highlight w:val="none"/>
              </w:rPr>
            </w:pPr>
            <w:r>
              <w:rPr>
                <w:sz w:val="21"/>
                <w:szCs w:val="21"/>
                <w:highlight w:val="none"/>
              </w:rPr>
              <w:t>1</w:t>
            </w:r>
          </w:p>
        </w:tc>
        <w:tc>
          <w:tcPr>
            <w:tcW w:w="427" w:type="pct"/>
            <w:noWrap w:val="0"/>
            <w:vAlign w:val="center"/>
          </w:tcPr>
          <w:p w14:paraId="6BB667F0">
            <w:pPr>
              <w:kinsoku w:val="0"/>
              <w:overflowPunct w:val="0"/>
              <w:autoSpaceDE w:val="0"/>
              <w:autoSpaceDN w:val="0"/>
              <w:adjustRightInd w:val="0"/>
              <w:jc w:val="center"/>
              <w:rPr>
                <w:sz w:val="21"/>
                <w:szCs w:val="21"/>
                <w:highlight w:val="none"/>
              </w:rPr>
            </w:pPr>
            <w:r>
              <w:rPr>
                <w:sz w:val="21"/>
                <w:szCs w:val="21"/>
                <w:highlight w:val="none"/>
              </w:rPr>
              <w:t>1</w:t>
            </w:r>
          </w:p>
        </w:tc>
        <w:tc>
          <w:tcPr>
            <w:tcW w:w="372" w:type="pct"/>
            <w:noWrap w:val="0"/>
            <w:vAlign w:val="center"/>
          </w:tcPr>
          <w:p w14:paraId="6233527D">
            <w:pPr>
              <w:kinsoku w:val="0"/>
              <w:overflowPunct w:val="0"/>
              <w:autoSpaceDE w:val="0"/>
              <w:autoSpaceDN w:val="0"/>
              <w:adjustRightInd w:val="0"/>
              <w:jc w:val="center"/>
              <w:rPr>
                <w:sz w:val="21"/>
                <w:szCs w:val="21"/>
                <w:highlight w:val="none"/>
              </w:rPr>
            </w:pPr>
            <w:r>
              <w:rPr>
                <w:sz w:val="21"/>
                <w:szCs w:val="21"/>
                <w:highlight w:val="none"/>
              </w:rPr>
              <w:t>1</w:t>
            </w:r>
          </w:p>
        </w:tc>
        <w:tc>
          <w:tcPr>
            <w:tcW w:w="481" w:type="pct"/>
            <w:noWrap w:val="0"/>
            <w:vAlign w:val="center"/>
          </w:tcPr>
          <w:p w14:paraId="0F0A5EEF">
            <w:pPr>
              <w:kinsoku w:val="0"/>
              <w:overflowPunct w:val="0"/>
              <w:autoSpaceDE w:val="0"/>
              <w:autoSpaceDN w:val="0"/>
              <w:adjustRightInd w:val="0"/>
              <w:jc w:val="center"/>
              <w:rPr>
                <w:sz w:val="21"/>
                <w:szCs w:val="21"/>
                <w:highlight w:val="none"/>
              </w:rPr>
            </w:pPr>
            <w:r>
              <w:rPr>
                <w:sz w:val="21"/>
                <w:szCs w:val="21"/>
                <w:highlight w:val="none"/>
              </w:rPr>
              <w:t>1</w:t>
            </w:r>
          </w:p>
        </w:tc>
        <w:tc>
          <w:tcPr>
            <w:tcW w:w="427" w:type="pct"/>
            <w:noWrap w:val="0"/>
            <w:vAlign w:val="center"/>
          </w:tcPr>
          <w:p w14:paraId="06D8C8C9">
            <w:pPr>
              <w:kinsoku w:val="0"/>
              <w:overflowPunct w:val="0"/>
              <w:autoSpaceDE w:val="0"/>
              <w:autoSpaceDN w:val="0"/>
              <w:adjustRightInd w:val="0"/>
              <w:jc w:val="center"/>
              <w:rPr>
                <w:sz w:val="21"/>
                <w:szCs w:val="21"/>
                <w:highlight w:val="none"/>
              </w:rPr>
            </w:pPr>
            <w:r>
              <w:rPr>
                <w:sz w:val="21"/>
                <w:szCs w:val="21"/>
                <w:highlight w:val="none"/>
              </w:rPr>
              <w:t>1</w:t>
            </w:r>
          </w:p>
        </w:tc>
        <w:tc>
          <w:tcPr>
            <w:tcW w:w="566" w:type="pct"/>
            <w:noWrap w:val="0"/>
            <w:vAlign w:val="center"/>
          </w:tcPr>
          <w:p w14:paraId="6A055B52">
            <w:pPr>
              <w:kinsoku w:val="0"/>
              <w:overflowPunct w:val="0"/>
              <w:autoSpaceDE w:val="0"/>
              <w:autoSpaceDN w:val="0"/>
              <w:adjustRightInd w:val="0"/>
              <w:jc w:val="center"/>
              <w:rPr>
                <w:sz w:val="21"/>
                <w:szCs w:val="21"/>
                <w:highlight w:val="none"/>
              </w:rPr>
            </w:pPr>
            <w:r>
              <w:rPr>
                <w:sz w:val="21"/>
                <w:szCs w:val="21"/>
                <w:highlight w:val="none"/>
              </w:rPr>
              <w:t>80</w:t>
            </w:r>
          </w:p>
        </w:tc>
      </w:tr>
      <w:tr w14:paraId="32087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8" w:hRule="exact"/>
          <w:jc w:val="center"/>
        </w:trPr>
        <w:tc>
          <w:tcPr>
            <w:tcW w:w="816" w:type="pct"/>
            <w:noWrap w:val="0"/>
            <w:vAlign w:val="center"/>
          </w:tcPr>
          <w:p w14:paraId="0729E227">
            <w:pPr>
              <w:kinsoku w:val="0"/>
              <w:overflowPunct w:val="0"/>
              <w:autoSpaceDE w:val="0"/>
              <w:autoSpaceDN w:val="0"/>
              <w:adjustRightInd w:val="0"/>
              <w:jc w:val="center"/>
              <w:rPr>
                <w:sz w:val="21"/>
                <w:szCs w:val="21"/>
                <w:highlight w:val="none"/>
              </w:rPr>
            </w:pPr>
            <w:r>
              <w:rPr>
                <w:sz w:val="21"/>
                <w:szCs w:val="21"/>
                <w:highlight w:val="none"/>
              </w:rPr>
              <w:t>悬浮物</w:t>
            </w:r>
          </w:p>
        </w:tc>
        <w:tc>
          <w:tcPr>
            <w:tcW w:w="519" w:type="pct"/>
            <w:noWrap w:val="0"/>
            <w:vAlign w:val="center"/>
          </w:tcPr>
          <w:p w14:paraId="14FA1C80">
            <w:pPr>
              <w:kinsoku w:val="0"/>
              <w:overflowPunct w:val="0"/>
              <w:autoSpaceDE w:val="0"/>
              <w:autoSpaceDN w:val="0"/>
              <w:adjustRightInd w:val="0"/>
              <w:jc w:val="center"/>
              <w:rPr>
                <w:sz w:val="21"/>
                <w:szCs w:val="21"/>
                <w:highlight w:val="none"/>
              </w:rPr>
            </w:pPr>
            <w:r>
              <w:rPr>
                <w:spacing w:val="1"/>
                <w:sz w:val="21"/>
                <w:szCs w:val="21"/>
                <w:highlight w:val="none"/>
              </w:rPr>
              <w:t>3</w:t>
            </w:r>
            <w:r>
              <w:rPr>
                <w:sz w:val="21"/>
                <w:szCs w:val="21"/>
                <w:highlight w:val="none"/>
              </w:rPr>
              <w:t>3</w:t>
            </w:r>
          </w:p>
        </w:tc>
        <w:tc>
          <w:tcPr>
            <w:tcW w:w="498" w:type="pct"/>
            <w:noWrap w:val="0"/>
            <w:vAlign w:val="center"/>
          </w:tcPr>
          <w:p w14:paraId="71BAC46D">
            <w:pPr>
              <w:kinsoku w:val="0"/>
              <w:overflowPunct w:val="0"/>
              <w:autoSpaceDE w:val="0"/>
              <w:autoSpaceDN w:val="0"/>
              <w:adjustRightInd w:val="0"/>
              <w:jc w:val="center"/>
              <w:rPr>
                <w:sz w:val="21"/>
                <w:szCs w:val="21"/>
                <w:highlight w:val="none"/>
              </w:rPr>
            </w:pPr>
            <w:r>
              <w:rPr>
                <w:spacing w:val="1"/>
                <w:sz w:val="21"/>
                <w:szCs w:val="21"/>
                <w:highlight w:val="none"/>
              </w:rPr>
              <w:t>2</w:t>
            </w:r>
            <w:r>
              <w:rPr>
                <w:sz w:val="21"/>
                <w:szCs w:val="21"/>
                <w:highlight w:val="none"/>
              </w:rPr>
              <w:t>6</w:t>
            </w:r>
          </w:p>
        </w:tc>
        <w:tc>
          <w:tcPr>
            <w:tcW w:w="407" w:type="pct"/>
            <w:noWrap w:val="0"/>
            <w:vAlign w:val="center"/>
          </w:tcPr>
          <w:p w14:paraId="3E012C3B">
            <w:pPr>
              <w:kinsoku w:val="0"/>
              <w:overflowPunct w:val="0"/>
              <w:autoSpaceDE w:val="0"/>
              <w:autoSpaceDN w:val="0"/>
              <w:adjustRightInd w:val="0"/>
              <w:jc w:val="center"/>
              <w:rPr>
                <w:sz w:val="21"/>
                <w:szCs w:val="21"/>
                <w:highlight w:val="none"/>
              </w:rPr>
            </w:pPr>
            <w:r>
              <w:rPr>
                <w:sz w:val="21"/>
                <w:szCs w:val="21"/>
                <w:highlight w:val="none"/>
              </w:rPr>
              <w:t>30</w:t>
            </w:r>
          </w:p>
        </w:tc>
        <w:tc>
          <w:tcPr>
            <w:tcW w:w="481" w:type="pct"/>
            <w:noWrap w:val="0"/>
            <w:vAlign w:val="center"/>
          </w:tcPr>
          <w:p w14:paraId="7F736F35">
            <w:pPr>
              <w:kinsoku w:val="0"/>
              <w:overflowPunct w:val="0"/>
              <w:autoSpaceDE w:val="0"/>
              <w:autoSpaceDN w:val="0"/>
              <w:adjustRightInd w:val="0"/>
              <w:jc w:val="center"/>
              <w:rPr>
                <w:sz w:val="21"/>
                <w:szCs w:val="21"/>
                <w:highlight w:val="none"/>
              </w:rPr>
            </w:pPr>
            <w:r>
              <w:rPr>
                <w:sz w:val="21"/>
                <w:szCs w:val="21"/>
                <w:highlight w:val="none"/>
              </w:rPr>
              <w:t>40</w:t>
            </w:r>
          </w:p>
        </w:tc>
        <w:tc>
          <w:tcPr>
            <w:tcW w:w="427" w:type="pct"/>
            <w:noWrap w:val="0"/>
            <w:vAlign w:val="center"/>
          </w:tcPr>
          <w:p w14:paraId="3E3AF5AE">
            <w:pPr>
              <w:kinsoku w:val="0"/>
              <w:overflowPunct w:val="0"/>
              <w:autoSpaceDE w:val="0"/>
              <w:autoSpaceDN w:val="0"/>
              <w:adjustRightInd w:val="0"/>
              <w:jc w:val="center"/>
              <w:rPr>
                <w:sz w:val="21"/>
                <w:szCs w:val="21"/>
                <w:highlight w:val="none"/>
              </w:rPr>
            </w:pPr>
            <w:r>
              <w:rPr>
                <w:sz w:val="21"/>
                <w:szCs w:val="21"/>
                <w:highlight w:val="none"/>
              </w:rPr>
              <w:t>31</w:t>
            </w:r>
          </w:p>
        </w:tc>
        <w:tc>
          <w:tcPr>
            <w:tcW w:w="372" w:type="pct"/>
            <w:noWrap w:val="0"/>
            <w:vAlign w:val="center"/>
          </w:tcPr>
          <w:p w14:paraId="1588958A">
            <w:pPr>
              <w:kinsoku w:val="0"/>
              <w:overflowPunct w:val="0"/>
              <w:autoSpaceDE w:val="0"/>
              <w:autoSpaceDN w:val="0"/>
              <w:adjustRightInd w:val="0"/>
              <w:jc w:val="center"/>
              <w:rPr>
                <w:sz w:val="21"/>
                <w:szCs w:val="21"/>
                <w:highlight w:val="none"/>
              </w:rPr>
            </w:pPr>
            <w:r>
              <w:rPr>
                <w:sz w:val="21"/>
                <w:szCs w:val="21"/>
                <w:highlight w:val="none"/>
              </w:rPr>
              <w:t>20</w:t>
            </w:r>
          </w:p>
        </w:tc>
        <w:tc>
          <w:tcPr>
            <w:tcW w:w="481" w:type="pct"/>
            <w:noWrap w:val="0"/>
            <w:vAlign w:val="center"/>
          </w:tcPr>
          <w:p w14:paraId="5E66A4A5">
            <w:pPr>
              <w:kinsoku w:val="0"/>
              <w:overflowPunct w:val="0"/>
              <w:autoSpaceDE w:val="0"/>
              <w:autoSpaceDN w:val="0"/>
              <w:adjustRightInd w:val="0"/>
              <w:jc w:val="center"/>
              <w:rPr>
                <w:sz w:val="21"/>
                <w:szCs w:val="21"/>
                <w:highlight w:val="none"/>
              </w:rPr>
            </w:pPr>
            <w:r>
              <w:rPr>
                <w:sz w:val="21"/>
                <w:szCs w:val="21"/>
                <w:highlight w:val="none"/>
              </w:rPr>
              <w:t>24</w:t>
            </w:r>
          </w:p>
        </w:tc>
        <w:tc>
          <w:tcPr>
            <w:tcW w:w="427" w:type="pct"/>
            <w:noWrap w:val="0"/>
            <w:vAlign w:val="center"/>
          </w:tcPr>
          <w:p w14:paraId="5968701A">
            <w:pPr>
              <w:kinsoku w:val="0"/>
              <w:overflowPunct w:val="0"/>
              <w:autoSpaceDE w:val="0"/>
              <w:autoSpaceDN w:val="0"/>
              <w:adjustRightInd w:val="0"/>
              <w:jc w:val="center"/>
              <w:rPr>
                <w:sz w:val="21"/>
                <w:szCs w:val="21"/>
                <w:highlight w:val="none"/>
              </w:rPr>
            </w:pPr>
            <w:r>
              <w:rPr>
                <w:sz w:val="21"/>
                <w:szCs w:val="21"/>
                <w:highlight w:val="none"/>
              </w:rPr>
              <w:t>30</w:t>
            </w:r>
          </w:p>
        </w:tc>
        <w:tc>
          <w:tcPr>
            <w:tcW w:w="566" w:type="pct"/>
            <w:noWrap w:val="0"/>
            <w:vAlign w:val="center"/>
          </w:tcPr>
          <w:p w14:paraId="720C3AD4">
            <w:pPr>
              <w:kinsoku w:val="0"/>
              <w:overflowPunct w:val="0"/>
              <w:autoSpaceDE w:val="0"/>
              <w:autoSpaceDN w:val="0"/>
              <w:adjustRightInd w:val="0"/>
              <w:jc w:val="center"/>
              <w:rPr>
                <w:sz w:val="21"/>
                <w:szCs w:val="21"/>
                <w:highlight w:val="none"/>
              </w:rPr>
            </w:pPr>
            <w:r>
              <w:rPr>
                <w:sz w:val="21"/>
                <w:szCs w:val="21"/>
                <w:highlight w:val="none"/>
              </w:rPr>
              <w:t>70</w:t>
            </w:r>
          </w:p>
        </w:tc>
      </w:tr>
      <w:tr w14:paraId="4DD3A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8" w:hRule="exact"/>
          <w:jc w:val="center"/>
        </w:trPr>
        <w:tc>
          <w:tcPr>
            <w:tcW w:w="816" w:type="pct"/>
            <w:noWrap w:val="0"/>
            <w:vAlign w:val="center"/>
          </w:tcPr>
          <w:p w14:paraId="78139A15">
            <w:pPr>
              <w:kinsoku w:val="0"/>
              <w:overflowPunct w:val="0"/>
              <w:autoSpaceDE w:val="0"/>
              <w:autoSpaceDN w:val="0"/>
              <w:adjustRightInd w:val="0"/>
              <w:jc w:val="center"/>
              <w:rPr>
                <w:sz w:val="21"/>
                <w:szCs w:val="21"/>
                <w:highlight w:val="none"/>
              </w:rPr>
            </w:pPr>
            <w:r>
              <w:rPr>
                <w:sz w:val="21"/>
                <w:szCs w:val="21"/>
                <w:highlight w:val="none"/>
              </w:rPr>
              <w:t>化学需氧量</w:t>
            </w:r>
          </w:p>
        </w:tc>
        <w:tc>
          <w:tcPr>
            <w:tcW w:w="519" w:type="pct"/>
            <w:noWrap w:val="0"/>
            <w:vAlign w:val="center"/>
          </w:tcPr>
          <w:p w14:paraId="1D5AE7B2">
            <w:pPr>
              <w:kinsoku w:val="0"/>
              <w:overflowPunct w:val="0"/>
              <w:autoSpaceDE w:val="0"/>
              <w:autoSpaceDN w:val="0"/>
              <w:adjustRightInd w:val="0"/>
              <w:jc w:val="center"/>
              <w:rPr>
                <w:sz w:val="21"/>
                <w:szCs w:val="21"/>
                <w:highlight w:val="none"/>
              </w:rPr>
            </w:pPr>
            <w:r>
              <w:rPr>
                <w:sz w:val="21"/>
                <w:szCs w:val="21"/>
                <w:highlight w:val="none"/>
              </w:rPr>
              <w:t>8</w:t>
            </w:r>
          </w:p>
        </w:tc>
        <w:tc>
          <w:tcPr>
            <w:tcW w:w="498" w:type="pct"/>
            <w:noWrap w:val="0"/>
            <w:vAlign w:val="center"/>
          </w:tcPr>
          <w:p w14:paraId="1E01E794">
            <w:pPr>
              <w:kinsoku w:val="0"/>
              <w:overflowPunct w:val="0"/>
              <w:autoSpaceDE w:val="0"/>
              <w:autoSpaceDN w:val="0"/>
              <w:adjustRightInd w:val="0"/>
              <w:jc w:val="center"/>
              <w:rPr>
                <w:sz w:val="21"/>
                <w:szCs w:val="21"/>
                <w:highlight w:val="none"/>
              </w:rPr>
            </w:pPr>
            <w:r>
              <w:rPr>
                <w:sz w:val="21"/>
                <w:szCs w:val="21"/>
                <w:highlight w:val="none"/>
              </w:rPr>
              <w:t>9</w:t>
            </w:r>
          </w:p>
        </w:tc>
        <w:tc>
          <w:tcPr>
            <w:tcW w:w="407" w:type="pct"/>
            <w:noWrap w:val="0"/>
            <w:vAlign w:val="center"/>
          </w:tcPr>
          <w:p w14:paraId="75D55767">
            <w:pPr>
              <w:kinsoku w:val="0"/>
              <w:overflowPunct w:val="0"/>
              <w:autoSpaceDE w:val="0"/>
              <w:autoSpaceDN w:val="0"/>
              <w:adjustRightInd w:val="0"/>
              <w:jc w:val="center"/>
              <w:rPr>
                <w:sz w:val="21"/>
                <w:szCs w:val="21"/>
                <w:highlight w:val="none"/>
              </w:rPr>
            </w:pPr>
            <w:r>
              <w:rPr>
                <w:sz w:val="21"/>
                <w:szCs w:val="21"/>
                <w:highlight w:val="none"/>
              </w:rPr>
              <w:t>9</w:t>
            </w:r>
          </w:p>
        </w:tc>
        <w:tc>
          <w:tcPr>
            <w:tcW w:w="481" w:type="pct"/>
            <w:noWrap w:val="0"/>
            <w:vAlign w:val="center"/>
          </w:tcPr>
          <w:p w14:paraId="22D6C809">
            <w:pPr>
              <w:kinsoku w:val="0"/>
              <w:overflowPunct w:val="0"/>
              <w:autoSpaceDE w:val="0"/>
              <w:autoSpaceDN w:val="0"/>
              <w:adjustRightInd w:val="0"/>
              <w:jc w:val="center"/>
              <w:rPr>
                <w:sz w:val="21"/>
                <w:szCs w:val="21"/>
                <w:highlight w:val="none"/>
              </w:rPr>
            </w:pPr>
            <w:r>
              <w:rPr>
                <w:sz w:val="21"/>
                <w:szCs w:val="21"/>
                <w:highlight w:val="none"/>
              </w:rPr>
              <w:t>6</w:t>
            </w:r>
          </w:p>
        </w:tc>
        <w:tc>
          <w:tcPr>
            <w:tcW w:w="427" w:type="pct"/>
            <w:noWrap w:val="0"/>
            <w:vAlign w:val="center"/>
          </w:tcPr>
          <w:p w14:paraId="0946EF71">
            <w:pPr>
              <w:kinsoku w:val="0"/>
              <w:overflowPunct w:val="0"/>
              <w:autoSpaceDE w:val="0"/>
              <w:autoSpaceDN w:val="0"/>
              <w:adjustRightInd w:val="0"/>
              <w:jc w:val="center"/>
              <w:rPr>
                <w:sz w:val="21"/>
                <w:szCs w:val="21"/>
                <w:highlight w:val="none"/>
              </w:rPr>
            </w:pPr>
            <w:r>
              <w:rPr>
                <w:sz w:val="21"/>
                <w:szCs w:val="21"/>
                <w:highlight w:val="none"/>
              </w:rPr>
              <w:t>8</w:t>
            </w:r>
          </w:p>
        </w:tc>
        <w:tc>
          <w:tcPr>
            <w:tcW w:w="372" w:type="pct"/>
            <w:noWrap w:val="0"/>
            <w:vAlign w:val="center"/>
          </w:tcPr>
          <w:p w14:paraId="39356CCC">
            <w:pPr>
              <w:kinsoku w:val="0"/>
              <w:overflowPunct w:val="0"/>
              <w:autoSpaceDE w:val="0"/>
              <w:autoSpaceDN w:val="0"/>
              <w:adjustRightInd w:val="0"/>
              <w:jc w:val="center"/>
              <w:rPr>
                <w:sz w:val="21"/>
                <w:szCs w:val="21"/>
                <w:highlight w:val="none"/>
              </w:rPr>
            </w:pPr>
            <w:r>
              <w:rPr>
                <w:sz w:val="21"/>
                <w:szCs w:val="21"/>
                <w:highlight w:val="none"/>
              </w:rPr>
              <w:t>7</w:t>
            </w:r>
          </w:p>
        </w:tc>
        <w:tc>
          <w:tcPr>
            <w:tcW w:w="481" w:type="pct"/>
            <w:noWrap w:val="0"/>
            <w:vAlign w:val="center"/>
          </w:tcPr>
          <w:p w14:paraId="2EA7327F">
            <w:pPr>
              <w:kinsoku w:val="0"/>
              <w:overflowPunct w:val="0"/>
              <w:autoSpaceDE w:val="0"/>
              <w:autoSpaceDN w:val="0"/>
              <w:adjustRightInd w:val="0"/>
              <w:jc w:val="center"/>
              <w:rPr>
                <w:sz w:val="21"/>
                <w:szCs w:val="21"/>
                <w:highlight w:val="none"/>
              </w:rPr>
            </w:pPr>
            <w:r>
              <w:rPr>
                <w:sz w:val="21"/>
                <w:szCs w:val="21"/>
                <w:highlight w:val="none"/>
              </w:rPr>
              <w:t>9</w:t>
            </w:r>
          </w:p>
        </w:tc>
        <w:tc>
          <w:tcPr>
            <w:tcW w:w="427" w:type="pct"/>
            <w:noWrap w:val="0"/>
            <w:vAlign w:val="center"/>
          </w:tcPr>
          <w:p w14:paraId="571596AA">
            <w:pPr>
              <w:kinsoku w:val="0"/>
              <w:overflowPunct w:val="0"/>
              <w:autoSpaceDE w:val="0"/>
              <w:autoSpaceDN w:val="0"/>
              <w:adjustRightInd w:val="0"/>
              <w:jc w:val="center"/>
              <w:rPr>
                <w:sz w:val="21"/>
                <w:szCs w:val="21"/>
                <w:highlight w:val="none"/>
              </w:rPr>
            </w:pPr>
            <w:r>
              <w:rPr>
                <w:sz w:val="21"/>
                <w:szCs w:val="21"/>
                <w:highlight w:val="none"/>
              </w:rPr>
              <w:t>9</w:t>
            </w:r>
          </w:p>
        </w:tc>
        <w:tc>
          <w:tcPr>
            <w:tcW w:w="566" w:type="pct"/>
            <w:noWrap w:val="0"/>
            <w:vAlign w:val="center"/>
          </w:tcPr>
          <w:p w14:paraId="6C10C04C">
            <w:pPr>
              <w:kinsoku w:val="0"/>
              <w:overflowPunct w:val="0"/>
              <w:autoSpaceDE w:val="0"/>
              <w:autoSpaceDN w:val="0"/>
              <w:adjustRightInd w:val="0"/>
              <w:jc w:val="center"/>
              <w:rPr>
                <w:sz w:val="21"/>
                <w:szCs w:val="21"/>
                <w:highlight w:val="none"/>
              </w:rPr>
            </w:pPr>
            <w:r>
              <w:rPr>
                <w:sz w:val="21"/>
                <w:szCs w:val="21"/>
                <w:highlight w:val="none"/>
              </w:rPr>
              <w:t>100</w:t>
            </w:r>
          </w:p>
        </w:tc>
      </w:tr>
      <w:tr w14:paraId="72D0D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8" w:hRule="exact"/>
          <w:jc w:val="center"/>
        </w:trPr>
        <w:tc>
          <w:tcPr>
            <w:tcW w:w="816" w:type="pct"/>
            <w:noWrap w:val="0"/>
            <w:vAlign w:val="center"/>
          </w:tcPr>
          <w:p w14:paraId="0CA919C4">
            <w:pPr>
              <w:kinsoku w:val="0"/>
              <w:overflowPunct w:val="0"/>
              <w:autoSpaceDE w:val="0"/>
              <w:autoSpaceDN w:val="0"/>
              <w:adjustRightInd w:val="0"/>
              <w:jc w:val="center"/>
              <w:rPr>
                <w:sz w:val="21"/>
                <w:szCs w:val="21"/>
                <w:highlight w:val="none"/>
              </w:rPr>
            </w:pPr>
            <w:r>
              <w:rPr>
                <w:sz w:val="21"/>
                <w:szCs w:val="21"/>
                <w:highlight w:val="none"/>
              </w:rPr>
              <w:t>五日生化需氧量</w:t>
            </w:r>
          </w:p>
        </w:tc>
        <w:tc>
          <w:tcPr>
            <w:tcW w:w="519" w:type="pct"/>
            <w:noWrap w:val="0"/>
            <w:vAlign w:val="center"/>
          </w:tcPr>
          <w:p w14:paraId="40BC5F6F">
            <w:pPr>
              <w:kinsoku w:val="0"/>
              <w:overflowPunct w:val="0"/>
              <w:autoSpaceDE w:val="0"/>
              <w:autoSpaceDN w:val="0"/>
              <w:adjustRightInd w:val="0"/>
              <w:jc w:val="center"/>
              <w:rPr>
                <w:sz w:val="21"/>
                <w:szCs w:val="21"/>
                <w:highlight w:val="none"/>
              </w:rPr>
            </w:pPr>
            <w:r>
              <w:rPr>
                <w:spacing w:val="1"/>
                <w:sz w:val="21"/>
                <w:szCs w:val="21"/>
                <w:highlight w:val="none"/>
              </w:rPr>
              <w:t>3</w:t>
            </w:r>
            <w:r>
              <w:rPr>
                <w:sz w:val="21"/>
                <w:szCs w:val="21"/>
                <w:highlight w:val="none"/>
              </w:rPr>
              <w:t>.0</w:t>
            </w:r>
          </w:p>
        </w:tc>
        <w:tc>
          <w:tcPr>
            <w:tcW w:w="498" w:type="pct"/>
            <w:noWrap w:val="0"/>
            <w:vAlign w:val="center"/>
          </w:tcPr>
          <w:p w14:paraId="76FCF24A">
            <w:pPr>
              <w:kinsoku w:val="0"/>
              <w:overflowPunct w:val="0"/>
              <w:autoSpaceDE w:val="0"/>
              <w:autoSpaceDN w:val="0"/>
              <w:adjustRightInd w:val="0"/>
              <w:jc w:val="center"/>
              <w:rPr>
                <w:sz w:val="21"/>
                <w:szCs w:val="21"/>
                <w:highlight w:val="none"/>
              </w:rPr>
            </w:pPr>
            <w:r>
              <w:rPr>
                <w:spacing w:val="1"/>
                <w:sz w:val="21"/>
                <w:szCs w:val="21"/>
                <w:highlight w:val="none"/>
              </w:rPr>
              <w:t>3</w:t>
            </w:r>
            <w:r>
              <w:rPr>
                <w:sz w:val="21"/>
                <w:szCs w:val="21"/>
                <w:highlight w:val="none"/>
              </w:rPr>
              <w:t>.5</w:t>
            </w:r>
          </w:p>
        </w:tc>
        <w:tc>
          <w:tcPr>
            <w:tcW w:w="407" w:type="pct"/>
            <w:noWrap w:val="0"/>
            <w:vAlign w:val="center"/>
          </w:tcPr>
          <w:p w14:paraId="0392C78D">
            <w:pPr>
              <w:kinsoku w:val="0"/>
              <w:overflowPunct w:val="0"/>
              <w:autoSpaceDE w:val="0"/>
              <w:autoSpaceDN w:val="0"/>
              <w:adjustRightInd w:val="0"/>
              <w:jc w:val="center"/>
              <w:rPr>
                <w:sz w:val="21"/>
                <w:szCs w:val="21"/>
                <w:highlight w:val="none"/>
              </w:rPr>
            </w:pPr>
            <w:r>
              <w:rPr>
                <w:sz w:val="21"/>
                <w:szCs w:val="21"/>
                <w:highlight w:val="none"/>
              </w:rPr>
              <w:t>3.3</w:t>
            </w:r>
          </w:p>
        </w:tc>
        <w:tc>
          <w:tcPr>
            <w:tcW w:w="481" w:type="pct"/>
            <w:noWrap w:val="0"/>
            <w:vAlign w:val="center"/>
          </w:tcPr>
          <w:p w14:paraId="6D669BE5">
            <w:pPr>
              <w:kinsoku w:val="0"/>
              <w:overflowPunct w:val="0"/>
              <w:autoSpaceDE w:val="0"/>
              <w:autoSpaceDN w:val="0"/>
              <w:adjustRightInd w:val="0"/>
              <w:jc w:val="center"/>
              <w:rPr>
                <w:sz w:val="21"/>
                <w:szCs w:val="21"/>
                <w:highlight w:val="none"/>
              </w:rPr>
            </w:pPr>
            <w:r>
              <w:rPr>
                <w:sz w:val="21"/>
                <w:szCs w:val="21"/>
                <w:highlight w:val="none"/>
              </w:rPr>
              <w:t>3.2</w:t>
            </w:r>
          </w:p>
        </w:tc>
        <w:tc>
          <w:tcPr>
            <w:tcW w:w="427" w:type="pct"/>
            <w:noWrap w:val="0"/>
            <w:vAlign w:val="center"/>
          </w:tcPr>
          <w:p w14:paraId="7D13AB85">
            <w:pPr>
              <w:kinsoku w:val="0"/>
              <w:overflowPunct w:val="0"/>
              <w:autoSpaceDE w:val="0"/>
              <w:autoSpaceDN w:val="0"/>
              <w:adjustRightInd w:val="0"/>
              <w:jc w:val="center"/>
              <w:rPr>
                <w:sz w:val="21"/>
                <w:szCs w:val="21"/>
                <w:highlight w:val="none"/>
              </w:rPr>
            </w:pPr>
            <w:r>
              <w:rPr>
                <w:sz w:val="21"/>
                <w:szCs w:val="21"/>
                <w:highlight w:val="none"/>
              </w:rPr>
              <w:t>3.7</w:t>
            </w:r>
          </w:p>
        </w:tc>
        <w:tc>
          <w:tcPr>
            <w:tcW w:w="372" w:type="pct"/>
            <w:noWrap w:val="0"/>
            <w:vAlign w:val="center"/>
          </w:tcPr>
          <w:p w14:paraId="1DC4F301">
            <w:pPr>
              <w:kinsoku w:val="0"/>
              <w:overflowPunct w:val="0"/>
              <w:autoSpaceDE w:val="0"/>
              <w:autoSpaceDN w:val="0"/>
              <w:adjustRightInd w:val="0"/>
              <w:jc w:val="center"/>
              <w:rPr>
                <w:sz w:val="21"/>
                <w:szCs w:val="21"/>
                <w:highlight w:val="none"/>
              </w:rPr>
            </w:pPr>
            <w:r>
              <w:rPr>
                <w:sz w:val="21"/>
                <w:szCs w:val="21"/>
                <w:highlight w:val="none"/>
              </w:rPr>
              <w:t>3.8</w:t>
            </w:r>
          </w:p>
        </w:tc>
        <w:tc>
          <w:tcPr>
            <w:tcW w:w="481" w:type="pct"/>
            <w:noWrap w:val="0"/>
            <w:vAlign w:val="center"/>
          </w:tcPr>
          <w:p w14:paraId="46816551">
            <w:pPr>
              <w:kinsoku w:val="0"/>
              <w:overflowPunct w:val="0"/>
              <w:autoSpaceDE w:val="0"/>
              <w:autoSpaceDN w:val="0"/>
              <w:adjustRightInd w:val="0"/>
              <w:jc w:val="center"/>
              <w:rPr>
                <w:sz w:val="21"/>
                <w:szCs w:val="21"/>
                <w:highlight w:val="none"/>
              </w:rPr>
            </w:pPr>
            <w:r>
              <w:rPr>
                <w:sz w:val="21"/>
                <w:szCs w:val="21"/>
                <w:highlight w:val="none"/>
              </w:rPr>
              <w:t>3.6</w:t>
            </w:r>
          </w:p>
        </w:tc>
        <w:tc>
          <w:tcPr>
            <w:tcW w:w="427" w:type="pct"/>
            <w:noWrap w:val="0"/>
            <w:vAlign w:val="center"/>
          </w:tcPr>
          <w:p w14:paraId="4106D1C8">
            <w:pPr>
              <w:kinsoku w:val="0"/>
              <w:overflowPunct w:val="0"/>
              <w:autoSpaceDE w:val="0"/>
              <w:autoSpaceDN w:val="0"/>
              <w:adjustRightInd w:val="0"/>
              <w:jc w:val="center"/>
              <w:rPr>
                <w:sz w:val="21"/>
                <w:szCs w:val="21"/>
                <w:highlight w:val="none"/>
              </w:rPr>
            </w:pPr>
            <w:r>
              <w:rPr>
                <w:sz w:val="21"/>
                <w:szCs w:val="21"/>
                <w:highlight w:val="none"/>
              </w:rPr>
              <w:t>3.2</w:t>
            </w:r>
          </w:p>
        </w:tc>
        <w:tc>
          <w:tcPr>
            <w:tcW w:w="566" w:type="pct"/>
            <w:noWrap w:val="0"/>
            <w:vAlign w:val="center"/>
          </w:tcPr>
          <w:p w14:paraId="36C05103">
            <w:pPr>
              <w:kinsoku w:val="0"/>
              <w:overflowPunct w:val="0"/>
              <w:autoSpaceDE w:val="0"/>
              <w:autoSpaceDN w:val="0"/>
              <w:adjustRightInd w:val="0"/>
              <w:jc w:val="center"/>
              <w:rPr>
                <w:sz w:val="21"/>
                <w:szCs w:val="21"/>
                <w:highlight w:val="none"/>
              </w:rPr>
            </w:pPr>
            <w:r>
              <w:rPr>
                <w:sz w:val="21"/>
                <w:szCs w:val="21"/>
                <w:highlight w:val="none"/>
              </w:rPr>
              <w:t>30</w:t>
            </w:r>
          </w:p>
        </w:tc>
      </w:tr>
      <w:tr w14:paraId="00F8C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8" w:hRule="exact"/>
          <w:jc w:val="center"/>
        </w:trPr>
        <w:tc>
          <w:tcPr>
            <w:tcW w:w="816" w:type="pct"/>
            <w:noWrap w:val="0"/>
            <w:vAlign w:val="center"/>
          </w:tcPr>
          <w:p w14:paraId="709D16B2">
            <w:pPr>
              <w:kinsoku w:val="0"/>
              <w:overflowPunct w:val="0"/>
              <w:autoSpaceDE w:val="0"/>
              <w:autoSpaceDN w:val="0"/>
              <w:adjustRightInd w:val="0"/>
              <w:jc w:val="center"/>
              <w:rPr>
                <w:sz w:val="21"/>
                <w:szCs w:val="21"/>
                <w:highlight w:val="none"/>
              </w:rPr>
            </w:pPr>
            <w:r>
              <w:rPr>
                <w:sz w:val="21"/>
                <w:szCs w:val="21"/>
                <w:highlight w:val="none"/>
              </w:rPr>
              <w:t>氨氮</w:t>
            </w:r>
          </w:p>
        </w:tc>
        <w:tc>
          <w:tcPr>
            <w:tcW w:w="519" w:type="pct"/>
            <w:noWrap w:val="0"/>
            <w:vAlign w:val="center"/>
          </w:tcPr>
          <w:p w14:paraId="4DEE6DCA">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02</w:t>
            </w:r>
            <w:r>
              <w:rPr>
                <w:spacing w:val="-2"/>
                <w:sz w:val="21"/>
                <w:szCs w:val="21"/>
                <w:highlight w:val="none"/>
              </w:rPr>
              <w:t>5</w:t>
            </w:r>
            <w:r>
              <w:rPr>
                <w:sz w:val="21"/>
                <w:szCs w:val="21"/>
                <w:highlight w:val="none"/>
              </w:rPr>
              <w:t>L</w:t>
            </w:r>
          </w:p>
        </w:tc>
        <w:tc>
          <w:tcPr>
            <w:tcW w:w="498" w:type="pct"/>
            <w:noWrap w:val="0"/>
            <w:vAlign w:val="center"/>
          </w:tcPr>
          <w:p w14:paraId="4E1B6681">
            <w:pPr>
              <w:kinsoku w:val="0"/>
              <w:overflowPunct w:val="0"/>
              <w:autoSpaceDE w:val="0"/>
              <w:autoSpaceDN w:val="0"/>
              <w:adjustRightInd w:val="0"/>
              <w:jc w:val="center"/>
              <w:rPr>
                <w:sz w:val="21"/>
                <w:szCs w:val="21"/>
                <w:highlight w:val="none"/>
              </w:rPr>
            </w:pPr>
            <w:r>
              <w:rPr>
                <w:sz w:val="21"/>
                <w:szCs w:val="21"/>
                <w:highlight w:val="none"/>
              </w:rPr>
              <w:t>0.025L</w:t>
            </w:r>
          </w:p>
        </w:tc>
        <w:tc>
          <w:tcPr>
            <w:tcW w:w="407" w:type="pct"/>
            <w:noWrap w:val="0"/>
            <w:vAlign w:val="center"/>
          </w:tcPr>
          <w:p w14:paraId="5E7A5057">
            <w:pPr>
              <w:kinsoku w:val="0"/>
              <w:overflowPunct w:val="0"/>
              <w:autoSpaceDE w:val="0"/>
              <w:autoSpaceDN w:val="0"/>
              <w:adjustRightInd w:val="0"/>
              <w:jc w:val="center"/>
              <w:rPr>
                <w:sz w:val="21"/>
                <w:szCs w:val="21"/>
                <w:highlight w:val="none"/>
              </w:rPr>
            </w:pPr>
            <w:r>
              <w:rPr>
                <w:sz w:val="21"/>
                <w:szCs w:val="21"/>
                <w:highlight w:val="none"/>
              </w:rPr>
              <w:t>0.025L</w:t>
            </w:r>
          </w:p>
        </w:tc>
        <w:tc>
          <w:tcPr>
            <w:tcW w:w="481" w:type="pct"/>
            <w:noWrap w:val="0"/>
            <w:vAlign w:val="center"/>
          </w:tcPr>
          <w:p w14:paraId="7CB7D4ED">
            <w:pPr>
              <w:kinsoku w:val="0"/>
              <w:overflowPunct w:val="0"/>
              <w:autoSpaceDE w:val="0"/>
              <w:autoSpaceDN w:val="0"/>
              <w:adjustRightInd w:val="0"/>
              <w:jc w:val="center"/>
              <w:rPr>
                <w:sz w:val="21"/>
                <w:szCs w:val="21"/>
                <w:highlight w:val="none"/>
              </w:rPr>
            </w:pPr>
            <w:r>
              <w:rPr>
                <w:sz w:val="21"/>
                <w:szCs w:val="21"/>
                <w:highlight w:val="none"/>
              </w:rPr>
              <w:t>0.025L</w:t>
            </w:r>
          </w:p>
        </w:tc>
        <w:tc>
          <w:tcPr>
            <w:tcW w:w="427" w:type="pct"/>
            <w:noWrap w:val="0"/>
            <w:vAlign w:val="center"/>
          </w:tcPr>
          <w:p w14:paraId="55DCD95A">
            <w:pPr>
              <w:kinsoku w:val="0"/>
              <w:overflowPunct w:val="0"/>
              <w:autoSpaceDE w:val="0"/>
              <w:autoSpaceDN w:val="0"/>
              <w:adjustRightInd w:val="0"/>
              <w:jc w:val="center"/>
              <w:rPr>
                <w:sz w:val="21"/>
                <w:szCs w:val="21"/>
                <w:highlight w:val="none"/>
              </w:rPr>
            </w:pPr>
            <w:r>
              <w:rPr>
                <w:sz w:val="21"/>
                <w:szCs w:val="21"/>
                <w:highlight w:val="none"/>
              </w:rPr>
              <w:t>0.026</w:t>
            </w:r>
          </w:p>
        </w:tc>
        <w:tc>
          <w:tcPr>
            <w:tcW w:w="372" w:type="pct"/>
            <w:noWrap w:val="0"/>
            <w:vAlign w:val="center"/>
          </w:tcPr>
          <w:p w14:paraId="6201761B">
            <w:pPr>
              <w:kinsoku w:val="0"/>
              <w:overflowPunct w:val="0"/>
              <w:autoSpaceDE w:val="0"/>
              <w:autoSpaceDN w:val="0"/>
              <w:adjustRightInd w:val="0"/>
              <w:jc w:val="center"/>
              <w:rPr>
                <w:sz w:val="21"/>
                <w:szCs w:val="21"/>
                <w:highlight w:val="none"/>
              </w:rPr>
            </w:pPr>
            <w:r>
              <w:rPr>
                <w:sz w:val="21"/>
                <w:szCs w:val="21"/>
                <w:highlight w:val="none"/>
              </w:rPr>
              <w:t>0.046</w:t>
            </w:r>
          </w:p>
        </w:tc>
        <w:tc>
          <w:tcPr>
            <w:tcW w:w="481" w:type="pct"/>
            <w:noWrap w:val="0"/>
            <w:vAlign w:val="center"/>
          </w:tcPr>
          <w:p w14:paraId="31F5DEB7">
            <w:pPr>
              <w:kinsoku w:val="0"/>
              <w:overflowPunct w:val="0"/>
              <w:autoSpaceDE w:val="0"/>
              <w:autoSpaceDN w:val="0"/>
              <w:adjustRightInd w:val="0"/>
              <w:jc w:val="center"/>
              <w:rPr>
                <w:sz w:val="21"/>
                <w:szCs w:val="21"/>
                <w:highlight w:val="none"/>
              </w:rPr>
            </w:pPr>
            <w:r>
              <w:rPr>
                <w:sz w:val="21"/>
                <w:szCs w:val="21"/>
                <w:highlight w:val="none"/>
              </w:rPr>
              <w:t>0.025L</w:t>
            </w:r>
          </w:p>
        </w:tc>
        <w:tc>
          <w:tcPr>
            <w:tcW w:w="427" w:type="pct"/>
            <w:noWrap w:val="0"/>
            <w:vAlign w:val="center"/>
          </w:tcPr>
          <w:p w14:paraId="67C0858B">
            <w:pPr>
              <w:kinsoku w:val="0"/>
              <w:overflowPunct w:val="0"/>
              <w:autoSpaceDE w:val="0"/>
              <w:autoSpaceDN w:val="0"/>
              <w:adjustRightInd w:val="0"/>
              <w:jc w:val="center"/>
              <w:rPr>
                <w:sz w:val="21"/>
                <w:szCs w:val="21"/>
                <w:highlight w:val="none"/>
              </w:rPr>
            </w:pPr>
            <w:r>
              <w:rPr>
                <w:sz w:val="21"/>
                <w:szCs w:val="21"/>
                <w:highlight w:val="none"/>
              </w:rPr>
              <w:t>0.025L</w:t>
            </w:r>
          </w:p>
        </w:tc>
        <w:tc>
          <w:tcPr>
            <w:tcW w:w="566" w:type="pct"/>
            <w:noWrap w:val="0"/>
            <w:vAlign w:val="center"/>
          </w:tcPr>
          <w:p w14:paraId="7CCE149E">
            <w:pPr>
              <w:kinsoku w:val="0"/>
              <w:overflowPunct w:val="0"/>
              <w:autoSpaceDE w:val="0"/>
              <w:autoSpaceDN w:val="0"/>
              <w:adjustRightInd w:val="0"/>
              <w:jc w:val="center"/>
              <w:rPr>
                <w:sz w:val="21"/>
                <w:szCs w:val="21"/>
                <w:highlight w:val="none"/>
              </w:rPr>
            </w:pPr>
            <w:r>
              <w:rPr>
                <w:sz w:val="21"/>
                <w:szCs w:val="21"/>
                <w:highlight w:val="none"/>
              </w:rPr>
              <w:t>15</w:t>
            </w:r>
          </w:p>
        </w:tc>
      </w:tr>
      <w:tr w14:paraId="6D627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8" w:hRule="exact"/>
          <w:jc w:val="center"/>
        </w:trPr>
        <w:tc>
          <w:tcPr>
            <w:tcW w:w="816" w:type="pct"/>
            <w:noWrap w:val="0"/>
            <w:vAlign w:val="center"/>
          </w:tcPr>
          <w:p w14:paraId="64D7B5B2">
            <w:pPr>
              <w:kinsoku w:val="0"/>
              <w:overflowPunct w:val="0"/>
              <w:autoSpaceDE w:val="0"/>
              <w:autoSpaceDN w:val="0"/>
              <w:adjustRightInd w:val="0"/>
              <w:jc w:val="center"/>
              <w:rPr>
                <w:sz w:val="21"/>
                <w:szCs w:val="21"/>
                <w:highlight w:val="none"/>
              </w:rPr>
            </w:pPr>
            <w:r>
              <w:rPr>
                <w:sz w:val="21"/>
                <w:szCs w:val="21"/>
                <w:highlight w:val="none"/>
              </w:rPr>
              <w:t>总磷</w:t>
            </w:r>
          </w:p>
        </w:tc>
        <w:tc>
          <w:tcPr>
            <w:tcW w:w="519" w:type="pct"/>
            <w:noWrap w:val="0"/>
            <w:vAlign w:val="center"/>
          </w:tcPr>
          <w:p w14:paraId="759F00D4">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1</w:t>
            </w:r>
            <w:r>
              <w:rPr>
                <w:sz w:val="21"/>
                <w:szCs w:val="21"/>
                <w:highlight w:val="none"/>
              </w:rPr>
              <w:t>3</w:t>
            </w:r>
          </w:p>
        </w:tc>
        <w:tc>
          <w:tcPr>
            <w:tcW w:w="498" w:type="pct"/>
            <w:noWrap w:val="0"/>
            <w:vAlign w:val="center"/>
          </w:tcPr>
          <w:p w14:paraId="6A8219F3">
            <w:pPr>
              <w:kinsoku w:val="0"/>
              <w:overflowPunct w:val="0"/>
              <w:autoSpaceDE w:val="0"/>
              <w:autoSpaceDN w:val="0"/>
              <w:adjustRightInd w:val="0"/>
              <w:jc w:val="center"/>
              <w:rPr>
                <w:sz w:val="21"/>
                <w:szCs w:val="21"/>
                <w:highlight w:val="none"/>
              </w:rPr>
            </w:pPr>
            <w:r>
              <w:rPr>
                <w:sz w:val="21"/>
                <w:szCs w:val="21"/>
                <w:highlight w:val="none"/>
              </w:rPr>
              <w:t>0.08</w:t>
            </w:r>
          </w:p>
        </w:tc>
        <w:tc>
          <w:tcPr>
            <w:tcW w:w="407" w:type="pct"/>
            <w:noWrap w:val="0"/>
            <w:vAlign w:val="center"/>
          </w:tcPr>
          <w:p w14:paraId="343D0064">
            <w:pPr>
              <w:kinsoku w:val="0"/>
              <w:overflowPunct w:val="0"/>
              <w:autoSpaceDE w:val="0"/>
              <w:autoSpaceDN w:val="0"/>
              <w:adjustRightInd w:val="0"/>
              <w:jc w:val="center"/>
              <w:rPr>
                <w:sz w:val="21"/>
                <w:szCs w:val="21"/>
                <w:highlight w:val="none"/>
              </w:rPr>
            </w:pPr>
            <w:r>
              <w:rPr>
                <w:sz w:val="21"/>
                <w:szCs w:val="21"/>
                <w:highlight w:val="none"/>
              </w:rPr>
              <w:t>0.05</w:t>
            </w:r>
          </w:p>
        </w:tc>
        <w:tc>
          <w:tcPr>
            <w:tcW w:w="481" w:type="pct"/>
            <w:noWrap w:val="0"/>
            <w:vAlign w:val="center"/>
          </w:tcPr>
          <w:p w14:paraId="33E48D66">
            <w:pPr>
              <w:kinsoku w:val="0"/>
              <w:overflowPunct w:val="0"/>
              <w:autoSpaceDE w:val="0"/>
              <w:autoSpaceDN w:val="0"/>
              <w:adjustRightInd w:val="0"/>
              <w:jc w:val="center"/>
              <w:rPr>
                <w:sz w:val="21"/>
                <w:szCs w:val="21"/>
                <w:highlight w:val="none"/>
              </w:rPr>
            </w:pPr>
            <w:r>
              <w:rPr>
                <w:sz w:val="21"/>
                <w:szCs w:val="21"/>
                <w:highlight w:val="none"/>
              </w:rPr>
              <w:t>0.12</w:t>
            </w:r>
          </w:p>
        </w:tc>
        <w:tc>
          <w:tcPr>
            <w:tcW w:w="427" w:type="pct"/>
            <w:noWrap w:val="0"/>
            <w:vAlign w:val="center"/>
          </w:tcPr>
          <w:p w14:paraId="1AC20768">
            <w:pPr>
              <w:kinsoku w:val="0"/>
              <w:overflowPunct w:val="0"/>
              <w:autoSpaceDE w:val="0"/>
              <w:autoSpaceDN w:val="0"/>
              <w:adjustRightInd w:val="0"/>
              <w:jc w:val="center"/>
              <w:rPr>
                <w:sz w:val="21"/>
                <w:szCs w:val="21"/>
                <w:highlight w:val="none"/>
              </w:rPr>
            </w:pPr>
            <w:r>
              <w:rPr>
                <w:sz w:val="21"/>
                <w:szCs w:val="21"/>
                <w:highlight w:val="none"/>
              </w:rPr>
              <w:t>0.10</w:t>
            </w:r>
          </w:p>
        </w:tc>
        <w:tc>
          <w:tcPr>
            <w:tcW w:w="372" w:type="pct"/>
            <w:noWrap w:val="0"/>
            <w:vAlign w:val="center"/>
          </w:tcPr>
          <w:p w14:paraId="6884670A">
            <w:pPr>
              <w:kinsoku w:val="0"/>
              <w:overflowPunct w:val="0"/>
              <w:autoSpaceDE w:val="0"/>
              <w:autoSpaceDN w:val="0"/>
              <w:adjustRightInd w:val="0"/>
              <w:jc w:val="center"/>
              <w:rPr>
                <w:sz w:val="21"/>
                <w:szCs w:val="21"/>
                <w:highlight w:val="none"/>
              </w:rPr>
            </w:pPr>
            <w:r>
              <w:rPr>
                <w:sz w:val="21"/>
                <w:szCs w:val="21"/>
                <w:highlight w:val="none"/>
              </w:rPr>
              <w:t>0.03</w:t>
            </w:r>
          </w:p>
        </w:tc>
        <w:tc>
          <w:tcPr>
            <w:tcW w:w="481" w:type="pct"/>
            <w:noWrap w:val="0"/>
            <w:vAlign w:val="center"/>
          </w:tcPr>
          <w:p w14:paraId="4DBABE29">
            <w:pPr>
              <w:kinsoku w:val="0"/>
              <w:overflowPunct w:val="0"/>
              <w:autoSpaceDE w:val="0"/>
              <w:autoSpaceDN w:val="0"/>
              <w:adjustRightInd w:val="0"/>
              <w:jc w:val="center"/>
              <w:rPr>
                <w:sz w:val="21"/>
                <w:szCs w:val="21"/>
                <w:highlight w:val="none"/>
              </w:rPr>
            </w:pPr>
            <w:r>
              <w:rPr>
                <w:sz w:val="21"/>
                <w:szCs w:val="21"/>
                <w:highlight w:val="none"/>
              </w:rPr>
              <w:t>0.02</w:t>
            </w:r>
          </w:p>
        </w:tc>
        <w:tc>
          <w:tcPr>
            <w:tcW w:w="427" w:type="pct"/>
            <w:noWrap w:val="0"/>
            <w:vAlign w:val="center"/>
          </w:tcPr>
          <w:p w14:paraId="7D4FA84C">
            <w:pPr>
              <w:kinsoku w:val="0"/>
              <w:overflowPunct w:val="0"/>
              <w:autoSpaceDE w:val="0"/>
              <w:autoSpaceDN w:val="0"/>
              <w:adjustRightInd w:val="0"/>
              <w:jc w:val="center"/>
              <w:rPr>
                <w:sz w:val="21"/>
                <w:szCs w:val="21"/>
                <w:highlight w:val="none"/>
              </w:rPr>
            </w:pPr>
            <w:r>
              <w:rPr>
                <w:sz w:val="21"/>
                <w:szCs w:val="21"/>
                <w:highlight w:val="none"/>
              </w:rPr>
              <w:t>0.04</w:t>
            </w:r>
          </w:p>
        </w:tc>
        <w:tc>
          <w:tcPr>
            <w:tcW w:w="566" w:type="pct"/>
            <w:noWrap w:val="0"/>
            <w:vAlign w:val="center"/>
          </w:tcPr>
          <w:p w14:paraId="3275CA15">
            <w:pPr>
              <w:kinsoku w:val="0"/>
              <w:overflowPunct w:val="0"/>
              <w:autoSpaceDE w:val="0"/>
              <w:autoSpaceDN w:val="0"/>
              <w:adjustRightInd w:val="0"/>
              <w:jc w:val="center"/>
              <w:rPr>
                <w:sz w:val="21"/>
                <w:szCs w:val="21"/>
                <w:highlight w:val="none"/>
              </w:rPr>
            </w:pPr>
            <w:r>
              <w:rPr>
                <w:sz w:val="21"/>
                <w:szCs w:val="21"/>
                <w:highlight w:val="none"/>
              </w:rPr>
              <w:t>/</w:t>
            </w:r>
          </w:p>
        </w:tc>
      </w:tr>
      <w:tr w14:paraId="3A401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exact"/>
          <w:jc w:val="center"/>
        </w:trPr>
        <w:tc>
          <w:tcPr>
            <w:tcW w:w="816" w:type="pct"/>
            <w:noWrap w:val="0"/>
            <w:vAlign w:val="center"/>
          </w:tcPr>
          <w:p w14:paraId="555C8772">
            <w:pPr>
              <w:kinsoku w:val="0"/>
              <w:overflowPunct w:val="0"/>
              <w:autoSpaceDE w:val="0"/>
              <w:autoSpaceDN w:val="0"/>
              <w:adjustRightInd w:val="0"/>
              <w:jc w:val="center"/>
              <w:rPr>
                <w:sz w:val="21"/>
                <w:szCs w:val="21"/>
                <w:highlight w:val="none"/>
              </w:rPr>
            </w:pPr>
            <w:r>
              <w:rPr>
                <w:sz w:val="21"/>
                <w:szCs w:val="21"/>
                <w:highlight w:val="none"/>
              </w:rPr>
              <w:t>总氮</w:t>
            </w:r>
          </w:p>
        </w:tc>
        <w:tc>
          <w:tcPr>
            <w:tcW w:w="519" w:type="pct"/>
            <w:noWrap w:val="0"/>
            <w:vAlign w:val="center"/>
          </w:tcPr>
          <w:p w14:paraId="56D98067">
            <w:pPr>
              <w:kinsoku w:val="0"/>
              <w:overflowPunct w:val="0"/>
              <w:autoSpaceDE w:val="0"/>
              <w:autoSpaceDN w:val="0"/>
              <w:adjustRightInd w:val="0"/>
              <w:jc w:val="center"/>
              <w:rPr>
                <w:sz w:val="21"/>
                <w:szCs w:val="21"/>
                <w:highlight w:val="none"/>
              </w:rPr>
            </w:pPr>
            <w:r>
              <w:rPr>
                <w:spacing w:val="1"/>
                <w:sz w:val="21"/>
                <w:szCs w:val="21"/>
                <w:highlight w:val="none"/>
              </w:rPr>
              <w:t>9</w:t>
            </w:r>
            <w:r>
              <w:rPr>
                <w:sz w:val="21"/>
                <w:szCs w:val="21"/>
                <w:highlight w:val="none"/>
              </w:rPr>
              <w:t>.</w:t>
            </w:r>
            <w:r>
              <w:rPr>
                <w:spacing w:val="1"/>
                <w:sz w:val="21"/>
                <w:szCs w:val="21"/>
                <w:highlight w:val="none"/>
              </w:rPr>
              <w:t>0</w:t>
            </w:r>
            <w:r>
              <w:rPr>
                <w:sz w:val="21"/>
                <w:szCs w:val="21"/>
                <w:highlight w:val="none"/>
              </w:rPr>
              <w:t>2</w:t>
            </w:r>
          </w:p>
        </w:tc>
        <w:tc>
          <w:tcPr>
            <w:tcW w:w="498" w:type="pct"/>
            <w:noWrap w:val="0"/>
            <w:vAlign w:val="center"/>
          </w:tcPr>
          <w:p w14:paraId="2F1B6A0A">
            <w:pPr>
              <w:kinsoku w:val="0"/>
              <w:overflowPunct w:val="0"/>
              <w:autoSpaceDE w:val="0"/>
              <w:autoSpaceDN w:val="0"/>
              <w:adjustRightInd w:val="0"/>
              <w:jc w:val="center"/>
              <w:rPr>
                <w:sz w:val="21"/>
                <w:szCs w:val="21"/>
                <w:highlight w:val="none"/>
              </w:rPr>
            </w:pPr>
            <w:r>
              <w:rPr>
                <w:spacing w:val="1"/>
                <w:sz w:val="21"/>
                <w:szCs w:val="21"/>
                <w:highlight w:val="none"/>
              </w:rPr>
              <w:t>29</w:t>
            </w:r>
            <w:r>
              <w:rPr>
                <w:sz w:val="21"/>
                <w:szCs w:val="21"/>
                <w:highlight w:val="none"/>
              </w:rPr>
              <w:t>.3</w:t>
            </w:r>
          </w:p>
        </w:tc>
        <w:tc>
          <w:tcPr>
            <w:tcW w:w="407" w:type="pct"/>
            <w:noWrap w:val="0"/>
            <w:vAlign w:val="center"/>
          </w:tcPr>
          <w:p w14:paraId="3B290C9E">
            <w:pPr>
              <w:kinsoku w:val="0"/>
              <w:overflowPunct w:val="0"/>
              <w:autoSpaceDE w:val="0"/>
              <w:autoSpaceDN w:val="0"/>
              <w:adjustRightInd w:val="0"/>
              <w:jc w:val="center"/>
              <w:rPr>
                <w:sz w:val="21"/>
                <w:szCs w:val="21"/>
                <w:highlight w:val="none"/>
              </w:rPr>
            </w:pPr>
            <w:r>
              <w:rPr>
                <w:sz w:val="21"/>
                <w:szCs w:val="21"/>
                <w:highlight w:val="none"/>
              </w:rPr>
              <w:t>10.8</w:t>
            </w:r>
          </w:p>
        </w:tc>
        <w:tc>
          <w:tcPr>
            <w:tcW w:w="481" w:type="pct"/>
            <w:noWrap w:val="0"/>
            <w:vAlign w:val="center"/>
          </w:tcPr>
          <w:p w14:paraId="4F88742F">
            <w:pPr>
              <w:kinsoku w:val="0"/>
              <w:overflowPunct w:val="0"/>
              <w:autoSpaceDE w:val="0"/>
              <w:autoSpaceDN w:val="0"/>
              <w:adjustRightInd w:val="0"/>
              <w:jc w:val="center"/>
              <w:rPr>
                <w:sz w:val="21"/>
                <w:szCs w:val="21"/>
                <w:highlight w:val="none"/>
              </w:rPr>
            </w:pPr>
            <w:r>
              <w:rPr>
                <w:sz w:val="21"/>
                <w:szCs w:val="21"/>
                <w:highlight w:val="none"/>
              </w:rPr>
              <w:t>6.96</w:t>
            </w:r>
          </w:p>
        </w:tc>
        <w:tc>
          <w:tcPr>
            <w:tcW w:w="427" w:type="pct"/>
            <w:noWrap w:val="0"/>
            <w:vAlign w:val="center"/>
          </w:tcPr>
          <w:p w14:paraId="2BAE174D">
            <w:pPr>
              <w:kinsoku w:val="0"/>
              <w:overflowPunct w:val="0"/>
              <w:autoSpaceDE w:val="0"/>
              <w:autoSpaceDN w:val="0"/>
              <w:adjustRightInd w:val="0"/>
              <w:jc w:val="center"/>
              <w:rPr>
                <w:sz w:val="21"/>
                <w:szCs w:val="21"/>
                <w:highlight w:val="none"/>
              </w:rPr>
            </w:pPr>
            <w:r>
              <w:rPr>
                <w:sz w:val="21"/>
                <w:szCs w:val="21"/>
                <w:highlight w:val="none"/>
              </w:rPr>
              <w:t>8.67</w:t>
            </w:r>
          </w:p>
        </w:tc>
        <w:tc>
          <w:tcPr>
            <w:tcW w:w="372" w:type="pct"/>
            <w:noWrap w:val="0"/>
            <w:vAlign w:val="center"/>
          </w:tcPr>
          <w:p w14:paraId="1F235EDD">
            <w:pPr>
              <w:kinsoku w:val="0"/>
              <w:overflowPunct w:val="0"/>
              <w:autoSpaceDE w:val="0"/>
              <w:autoSpaceDN w:val="0"/>
              <w:adjustRightInd w:val="0"/>
              <w:jc w:val="center"/>
              <w:rPr>
                <w:sz w:val="21"/>
                <w:szCs w:val="21"/>
                <w:highlight w:val="none"/>
              </w:rPr>
            </w:pPr>
            <w:r>
              <w:rPr>
                <w:sz w:val="21"/>
                <w:szCs w:val="21"/>
                <w:highlight w:val="none"/>
              </w:rPr>
              <w:t>8.20</w:t>
            </w:r>
          </w:p>
        </w:tc>
        <w:tc>
          <w:tcPr>
            <w:tcW w:w="481" w:type="pct"/>
            <w:noWrap w:val="0"/>
            <w:vAlign w:val="center"/>
          </w:tcPr>
          <w:p w14:paraId="611961D6">
            <w:pPr>
              <w:kinsoku w:val="0"/>
              <w:overflowPunct w:val="0"/>
              <w:autoSpaceDE w:val="0"/>
              <w:autoSpaceDN w:val="0"/>
              <w:adjustRightInd w:val="0"/>
              <w:jc w:val="center"/>
              <w:rPr>
                <w:sz w:val="21"/>
                <w:szCs w:val="21"/>
                <w:highlight w:val="none"/>
              </w:rPr>
            </w:pPr>
            <w:r>
              <w:rPr>
                <w:spacing w:val="-5"/>
                <w:sz w:val="21"/>
                <w:szCs w:val="21"/>
                <w:highlight w:val="none"/>
              </w:rPr>
              <w:t>1</w:t>
            </w:r>
            <w:r>
              <w:rPr>
                <w:spacing w:val="-3"/>
                <w:sz w:val="21"/>
                <w:szCs w:val="21"/>
                <w:highlight w:val="none"/>
              </w:rPr>
              <w:t>1</w:t>
            </w:r>
            <w:r>
              <w:rPr>
                <w:sz w:val="21"/>
                <w:szCs w:val="21"/>
                <w:highlight w:val="none"/>
              </w:rPr>
              <w:t>.0</w:t>
            </w:r>
          </w:p>
        </w:tc>
        <w:tc>
          <w:tcPr>
            <w:tcW w:w="427" w:type="pct"/>
            <w:noWrap w:val="0"/>
            <w:vAlign w:val="center"/>
          </w:tcPr>
          <w:p w14:paraId="3A3E4D51">
            <w:pPr>
              <w:kinsoku w:val="0"/>
              <w:overflowPunct w:val="0"/>
              <w:autoSpaceDE w:val="0"/>
              <w:autoSpaceDN w:val="0"/>
              <w:adjustRightInd w:val="0"/>
              <w:jc w:val="center"/>
              <w:rPr>
                <w:sz w:val="21"/>
                <w:szCs w:val="21"/>
                <w:highlight w:val="none"/>
              </w:rPr>
            </w:pPr>
            <w:r>
              <w:rPr>
                <w:sz w:val="21"/>
                <w:szCs w:val="21"/>
                <w:highlight w:val="none"/>
              </w:rPr>
              <w:t>9.96</w:t>
            </w:r>
          </w:p>
        </w:tc>
        <w:tc>
          <w:tcPr>
            <w:tcW w:w="566" w:type="pct"/>
            <w:noWrap w:val="0"/>
            <w:vAlign w:val="center"/>
          </w:tcPr>
          <w:p w14:paraId="67A24DAF">
            <w:pPr>
              <w:kinsoku w:val="0"/>
              <w:overflowPunct w:val="0"/>
              <w:autoSpaceDE w:val="0"/>
              <w:autoSpaceDN w:val="0"/>
              <w:adjustRightInd w:val="0"/>
              <w:jc w:val="center"/>
              <w:rPr>
                <w:sz w:val="21"/>
                <w:szCs w:val="21"/>
                <w:highlight w:val="none"/>
              </w:rPr>
            </w:pPr>
            <w:r>
              <w:rPr>
                <w:sz w:val="21"/>
                <w:szCs w:val="21"/>
                <w:highlight w:val="none"/>
              </w:rPr>
              <w:t>/</w:t>
            </w:r>
          </w:p>
        </w:tc>
      </w:tr>
      <w:tr w14:paraId="2B62F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exact"/>
          <w:jc w:val="center"/>
        </w:trPr>
        <w:tc>
          <w:tcPr>
            <w:tcW w:w="816" w:type="pct"/>
            <w:noWrap w:val="0"/>
            <w:vAlign w:val="center"/>
          </w:tcPr>
          <w:p w14:paraId="084E88F9">
            <w:pPr>
              <w:kinsoku w:val="0"/>
              <w:overflowPunct w:val="0"/>
              <w:autoSpaceDE w:val="0"/>
              <w:autoSpaceDN w:val="0"/>
              <w:adjustRightInd w:val="0"/>
              <w:jc w:val="center"/>
              <w:rPr>
                <w:sz w:val="21"/>
                <w:szCs w:val="21"/>
                <w:highlight w:val="none"/>
              </w:rPr>
            </w:pPr>
            <w:r>
              <w:rPr>
                <w:sz w:val="21"/>
                <w:szCs w:val="21"/>
                <w:highlight w:val="none"/>
              </w:rPr>
              <w:t>硫化物</w:t>
            </w:r>
          </w:p>
        </w:tc>
        <w:tc>
          <w:tcPr>
            <w:tcW w:w="519" w:type="pct"/>
            <w:noWrap w:val="0"/>
            <w:vAlign w:val="center"/>
          </w:tcPr>
          <w:p w14:paraId="613F5E01">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00</w:t>
            </w:r>
            <w:r>
              <w:rPr>
                <w:spacing w:val="-2"/>
                <w:sz w:val="21"/>
                <w:szCs w:val="21"/>
                <w:highlight w:val="none"/>
              </w:rPr>
              <w:t>5</w:t>
            </w:r>
            <w:r>
              <w:rPr>
                <w:sz w:val="21"/>
                <w:szCs w:val="21"/>
                <w:highlight w:val="none"/>
              </w:rPr>
              <w:t>L</w:t>
            </w:r>
          </w:p>
        </w:tc>
        <w:tc>
          <w:tcPr>
            <w:tcW w:w="498" w:type="pct"/>
            <w:noWrap w:val="0"/>
            <w:vAlign w:val="center"/>
          </w:tcPr>
          <w:p w14:paraId="421E2015">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00</w:t>
            </w:r>
            <w:r>
              <w:rPr>
                <w:spacing w:val="-2"/>
                <w:sz w:val="21"/>
                <w:szCs w:val="21"/>
                <w:highlight w:val="none"/>
              </w:rPr>
              <w:t>5</w:t>
            </w:r>
            <w:r>
              <w:rPr>
                <w:sz w:val="21"/>
                <w:szCs w:val="21"/>
                <w:highlight w:val="none"/>
              </w:rPr>
              <w:t>L</w:t>
            </w:r>
          </w:p>
        </w:tc>
        <w:tc>
          <w:tcPr>
            <w:tcW w:w="407" w:type="pct"/>
            <w:noWrap w:val="0"/>
            <w:vAlign w:val="center"/>
          </w:tcPr>
          <w:p w14:paraId="0DDD1193">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00</w:t>
            </w:r>
            <w:r>
              <w:rPr>
                <w:spacing w:val="-2"/>
                <w:sz w:val="21"/>
                <w:szCs w:val="21"/>
                <w:highlight w:val="none"/>
              </w:rPr>
              <w:t>5</w:t>
            </w:r>
            <w:r>
              <w:rPr>
                <w:sz w:val="21"/>
                <w:szCs w:val="21"/>
                <w:highlight w:val="none"/>
              </w:rPr>
              <w:t>L</w:t>
            </w:r>
          </w:p>
        </w:tc>
        <w:tc>
          <w:tcPr>
            <w:tcW w:w="481" w:type="pct"/>
            <w:noWrap w:val="0"/>
            <w:vAlign w:val="center"/>
          </w:tcPr>
          <w:p w14:paraId="612851CC">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2"/>
                <w:sz w:val="21"/>
                <w:szCs w:val="21"/>
                <w:highlight w:val="none"/>
              </w:rPr>
              <w:t>0</w:t>
            </w:r>
            <w:r>
              <w:rPr>
                <w:spacing w:val="1"/>
                <w:sz w:val="21"/>
                <w:szCs w:val="21"/>
                <w:highlight w:val="none"/>
              </w:rPr>
              <w:t>5</w:t>
            </w:r>
            <w:r>
              <w:rPr>
                <w:sz w:val="21"/>
                <w:szCs w:val="21"/>
                <w:highlight w:val="none"/>
              </w:rPr>
              <w:t>L</w:t>
            </w:r>
          </w:p>
        </w:tc>
        <w:tc>
          <w:tcPr>
            <w:tcW w:w="427" w:type="pct"/>
            <w:noWrap w:val="0"/>
            <w:vAlign w:val="center"/>
          </w:tcPr>
          <w:p w14:paraId="61A1C4A6">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00</w:t>
            </w:r>
            <w:r>
              <w:rPr>
                <w:spacing w:val="-2"/>
                <w:sz w:val="21"/>
                <w:szCs w:val="21"/>
                <w:highlight w:val="none"/>
              </w:rPr>
              <w:t>5</w:t>
            </w:r>
            <w:r>
              <w:rPr>
                <w:sz w:val="21"/>
                <w:szCs w:val="21"/>
                <w:highlight w:val="none"/>
              </w:rPr>
              <w:t>L</w:t>
            </w:r>
          </w:p>
        </w:tc>
        <w:tc>
          <w:tcPr>
            <w:tcW w:w="372" w:type="pct"/>
            <w:noWrap w:val="0"/>
            <w:vAlign w:val="center"/>
          </w:tcPr>
          <w:p w14:paraId="6ECA380C">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00</w:t>
            </w:r>
            <w:r>
              <w:rPr>
                <w:spacing w:val="-2"/>
                <w:sz w:val="21"/>
                <w:szCs w:val="21"/>
                <w:highlight w:val="none"/>
              </w:rPr>
              <w:t>5</w:t>
            </w:r>
            <w:r>
              <w:rPr>
                <w:sz w:val="21"/>
                <w:szCs w:val="21"/>
                <w:highlight w:val="none"/>
              </w:rPr>
              <w:t>L</w:t>
            </w:r>
          </w:p>
        </w:tc>
        <w:tc>
          <w:tcPr>
            <w:tcW w:w="481" w:type="pct"/>
            <w:noWrap w:val="0"/>
            <w:vAlign w:val="center"/>
          </w:tcPr>
          <w:p w14:paraId="7541CE2A">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2"/>
                <w:sz w:val="21"/>
                <w:szCs w:val="21"/>
                <w:highlight w:val="none"/>
              </w:rPr>
              <w:t>0</w:t>
            </w:r>
            <w:r>
              <w:rPr>
                <w:spacing w:val="1"/>
                <w:sz w:val="21"/>
                <w:szCs w:val="21"/>
                <w:highlight w:val="none"/>
              </w:rPr>
              <w:t>5</w:t>
            </w:r>
            <w:r>
              <w:rPr>
                <w:sz w:val="21"/>
                <w:szCs w:val="21"/>
                <w:highlight w:val="none"/>
              </w:rPr>
              <w:t>L</w:t>
            </w:r>
          </w:p>
        </w:tc>
        <w:tc>
          <w:tcPr>
            <w:tcW w:w="427" w:type="pct"/>
            <w:noWrap w:val="0"/>
            <w:vAlign w:val="center"/>
          </w:tcPr>
          <w:p w14:paraId="2FCAB0F6">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2"/>
                <w:sz w:val="21"/>
                <w:szCs w:val="21"/>
                <w:highlight w:val="none"/>
              </w:rPr>
              <w:t>0</w:t>
            </w:r>
            <w:r>
              <w:rPr>
                <w:spacing w:val="1"/>
                <w:sz w:val="21"/>
                <w:szCs w:val="21"/>
                <w:highlight w:val="none"/>
              </w:rPr>
              <w:t>5</w:t>
            </w:r>
            <w:r>
              <w:rPr>
                <w:sz w:val="21"/>
                <w:szCs w:val="21"/>
                <w:highlight w:val="none"/>
              </w:rPr>
              <w:t>L</w:t>
            </w:r>
          </w:p>
        </w:tc>
        <w:tc>
          <w:tcPr>
            <w:tcW w:w="566" w:type="pct"/>
            <w:noWrap w:val="0"/>
            <w:vAlign w:val="center"/>
          </w:tcPr>
          <w:p w14:paraId="6707B7AC">
            <w:pPr>
              <w:kinsoku w:val="0"/>
              <w:overflowPunct w:val="0"/>
              <w:autoSpaceDE w:val="0"/>
              <w:autoSpaceDN w:val="0"/>
              <w:adjustRightInd w:val="0"/>
              <w:jc w:val="center"/>
              <w:rPr>
                <w:sz w:val="21"/>
                <w:szCs w:val="21"/>
                <w:highlight w:val="none"/>
              </w:rPr>
            </w:pPr>
            <w:r>
              <w:rPr>
                <w:sz w:val="21"/>
                <w:szCs w:val="21"/>
                <w:highlight w:val="none"/>
              </w:rPr>
              <w:t>1.0</w:t>
            </w:r>
          </w:p>
        </w:tc>
      </w:tr>
      <w:tr w14:paraId="6647B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exact"/>
          <w:jc w:val="center"/>
        </w:trPr>
        <w:tc>
          <w:tcPr>
            <w:tcW w:w="816" w:type="pct"/>
            <w:noWrap w:val="0"/>
            <w:vAlign w:val="center"/>
          </w:tcPr>
          <w:p w14:paraId="43AF32EB">
            <w:pPr>
              <w:kinsoku w:val="0"/>
              <w:overflowPunct w:val="0"/>
              <w:autoSpaceDE w:val="0"/>
              <w:autoSpaceDN w:val="0"/>
              <w:adjustRightInd w:val="0"/>
              <w:jc w:val="center"/>
              <w:rPr>
                <w:sz w:val="21"/>
                <w:szCs w:val="21"/>
                <w:highlight w:val="none"/>
              </w:rPr>
            </w:pPr>
            <w:r>
              <w:rPr>
                <w:sz w:val="21"/>
                <w:szCs w:val="21"/>
                <w:highlight w:val="none"/>
              </w:rPr>
              <w:t>氟化物</w:t>
            </w:r>
          </w:p>
        </w:tc>
        <w:tc>
          <w:tcPr>
            <w:tcW w:w="519" w:type="pct"/>
            <w:noWrap w:val="0"/>
            <w:vAlign w:val="center"/>
          </w:tcPr>
          <w:p w14:paraId="65EF4A47">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5</w:t>
            </w:r>
            <w:r>
              <w:rPr>
                <w:sz w:val="21"/>
                <w:szCs w:val="21"/>
                <w:highlight w:val="none"/>
              </w:rPr>
              <w:t>6</w:t>
            </w:r>
          </w:p>
        </w:tc>
        <w:tc>
          <w:tcPr>
            <w:tcW w:w="498" w:type="pct"/>
            <w:noWrap w:val="0"/>
            <w:vAlign w:val="center"/>
          </w:tcPr>
          <w:p w14:paraId="0B10AE25">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5</w:t>
            </w:r>
            <w:r>
              <w:rPr>
                <w:sz w:val="21"/>
                <w:szCs w:val="21"/>
                <w:highlight w:val="none"/>
              </w:rPr>
              <w:t>9</w:t>
            </w:r>
          </w:p>
        </w:tc>
        <w:tc>
          <w:tcPr>
            <w:tcW w:w="407" w:type="pct"/>
            <w:noWrap w:val="0"/>
            <w:vAlign w:val="center"/>
          </w:tcPr>
          <w:p w14:paraId="3050B898">
            <w:pPr>
              <w:kinsoku w:val="0"/>
              <w:overflowPunct w:val="0"/>
              <w:autoSpaceDE w:val="0"/>
              <w:autoSpaceDN w:val="0"/>
              <w:adjustRightInd w:val="0"/>
              <w:jc w:val="center"/>
              <w:rPr>
                <w:sz w:val="21"/>
                <w:szCs w:val="21"/>
                <w:highlight w:val="none"/>
              </w:rPr>
            </w:pPr>
            <w:r>
              <w:rPr>
                <w:sz w:val="21"/>
                <w:szCs w:val="21"/>
                <w:highlight w:val="none"/>
              </w:rPr>
              <w:t>0.58</w:t>
            </w:r>
          </w:p>
        </w:tc>
        <w:tc>
          <w:tcPr>
            <w:tcW w:w="481" w:type="pct"/>
            <w:noWrap w:val="0"/>
            <w:vAlign w:val="center"/>
          </w:tcPr>
          <w:p w14:paraId="2A634327">
            <w:pPr>
              <w:kinsoku w:val="0"/>
              <w:overflowPunct w:val="0"/>
              <w:autoSpaceDE w:val="0"/>
              <w:autoSpaceDN w:val="0"/>
              <w:adjustRightInd w:val="0"/>
              <w:jc w:val="center"/>
              <w:rPr>
                <w:sz w:val="21"/>
                <w:szCs w:val="21"/>
                <w:highlight w:val="none"/>
              </w:rPr>
            </w:pPr>
            <w:r>
              <w:rPr>
                <w:sz w:val="21"/>
                <w:szCs w:val="21"/>
                <w:highlight w:val="none"/>
              </w:rPr>
              <w:t>0.58</w:t>
            </w:r>
          </w:p>
        </w:tc>
        <w:tc>
          <w:tcPr>
            <w:tcW w:w="427" w:type="pct"/>
            <w:noWrap w:val="0"/>
            <w:vAlign w:val="center"/>
          </w:tcPr>
          <w:p w14:paraId="086A8A46">
            <w:pPr>
              <w:kinsoku w:val="0"/>
              <w:overflowPunct w:val="0"/>
              <w:autoSpaceDE w:val="0"/>
              <w:autoSpaceDN w:val="0"/>
              <w:adjustRightInd w:val="0"/>
              <w:jc w:val="center"/>
              <w:rPr>
                <w:sz w:val="21"/>
                <w:szCs w:val="21"/>
                <w:highlight w:val="none"/>
              </w:rPr>
            </w:pPr>
            <w:r>
              <w:rPr>
                <w:sz w:val="21"/>
                <w:szCs w:val="21"/>
                <w:highlight w:val="none"/>
              </w:rPr>
              <w:t>0.52</w:t>
            </w:r>
          </w:p>
        </w:tc>
        <w:tc>
          <w:tcPr>
            <w:tcW w:w="372" w:type="pct"/>
            <w:noWrap w:val="0"/>
            <w:vAlign w:val="center"/>
          </w:tcPr>
          <w:p w14:paraId="64F417A5">
            <w:pPr>
              <w:kinsoku w:val="0"/>
              <w:overflowPunct w:val="0"/>
              <w:autoSpaceDE w:val="0"/>
              <w:autoSpaceDN w:val="0"/>
              <w:adjustRightInd w:val="0"/>
              <w:jc w:val="center"/>
              <w:rPr>
                <w:sz w:val="21"/>
                <w:szCs w:val="21"/>
                <w:highlight w:val="none"/>
              </w:rPr>
            </w:pPr>
            <w:r>
              <w:rPr>
                <w:sz w:val="21"/>
                <w:szCs w:val="21"/>
                <w:highlight w:val="none"/>
              </w:rPr>
              <w:t>0.51</w:t>
            </w:r>
          </w:p>
        </w:tc>
        <w:tc>
          <w:tcPr>
            <w:tcW w:w="481" w:type="pct"/>
            <w:noWrap w:val="0"/>
            <w:vAlign w:val="center"/>
          </w:tcPr>
          <w:p w14:paraId="7A111A92">
            <w:pPr>
              <w:kinsoku w:val="0"/>
              <w:overflowPunct w:val="0"/>
              <w:autoSpaceDE w:val="0"/>
              <w:autoSpaceDN w:val="0"/>
              <w:adjustRightInd w:val="0"/>
              <w:jc w:val="center"/>
              <w:rPr>
                <w:sz w:val="21"/>
                <w:szCs w:val="21"/>
                <w:highlight w:val="none"/>
              </w:rPr>
            </w:pPr>
            <w:r>
              <w:rPr>
                <w:sz w:val="21"/>
                <w:szCs w:val="21"/>
                <w:highlight w:val="none"/>
              </w:rPr>
              <w:t>0.50</w:t>
            </w:r>
          </w:p>
        </w:tc>
        <w:tc>
          <w:tcPr>
            <w:tcW w:w="427" w:type="pct"/>
            <w:noWrap w:val="0"/>
            <w:vAlign w:val="center"/>
          </w:tcPr>
          <w:p w14:paraId="7564C512">
            <w:pPr>
              <w:kinsoku w:val="0"/>
              <w:overflowPunct w:val="0"/>
              <w:autoSpaceDE w:val="0"/>
              <w:autoSpaceDN w:val="0"/>
              <w:adjustRightInd w:val="0"/>
              <w:jc w:val="center"/>
              <w:rPr>
                <w:sz w:val="21"/>
                <w:szCs w:val="21"/>
                <w:highlight w:val="none"/>
              </w:rPr>
            </w:pPr>
            <w:r>
              <w:rPr>
                <w:sz w:val="21"/>
                <w:szCs w:val="21"/>
                <w:highlight w:val="none"/>
              </w:rPr>
              <w:t>0.53</w:t>
            </w:r>
          </w:p>
        </w:tc>
        <w:tc>
          <w:tcPr>
            <w:tcW w:w="566" w:type="pct"/>
            <w:noWrap w:val="0"/>
            <w:vAlign w:val="center"/>
          </w:tcPr>
          <w:p w14:paraId="27FBAC3B">
            <w:pPr>
              <w:kinsoku w:val="0"/>
              <w:overflowPunct w:val="0"/>
              <w:autoSpaceDE w:val="0"/>
              <w:autoSpaceDN w:val="0"/>
              <w:adjustRightInd w:val="0"/>
              <w:jc w:val="center"/>
              <w:rPr>
                <w:sz w:val="21"/>
                <w:szCs w:val="21"/>
                <w:highlight w:val="none"/>
              </w:rPr>
            </w:pPr>
            <w:r>
              <w:rPr>
                <w:sz w:val="21"/>
                <w:szCs w:val="21"/>
                <w:highlight w:val="none"/>
              </w:rPr>
              <w:t>10</w:t>
            </w:r>
          </w:p>
        </w:tc>
      </w:tr>
      <w:tr w14:paraId="06BF8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exact"/>
          <w:jc w:val="center"/>
        </w:trPr>
        <w:tc>
          <w:tcPr>
            <w:tcW w:w="816" w:type="pct"/>
            <w:noWrap w:val="0"/>
            <w:vAlign w:val="center"/>
          </w:tcPr>
          <w:p w14:paraId="1CA2CE69">
            <w:pPr>
              <w:kinsoku w:val="0"/>
              <w:overflowPunct w:val="0"/>
              <w:autoSpaceDE w:val="0"/>
              <w:autoSpaceDN w:val="0"/>
              <w:adjustRightInd w:val="0"/>
              <w:jc w:val="center"/>
              <w:rPr>
                <w:sz w:val="21"/>
                <w:szCs w:val="21"/>
                <w:highlight w:val="none"/>
              </w:rPr>
            </w:pPr>
            <w:r>
              <w:rPr>
                <w:sz w:val="21"/>
                <w:szCs w:val="21"/>
                <w:highlight w:val="none"/>
              </w:rPr>
              <w:t>总铅（μ</w:t>
            </w:r>
            <w:r>
              <w:rPr>
                <w:spacing w:val="-3"/>
                <w:sz w:val="21"/>
                <w:szCs w:val="21"/>
                <w:highlight w:val="none"/>
              </w:rPr>
              <w:t>g</w:t>
            </w:r>
            <w:r>
              <w:rPr>
                <w:sz w:val="21"/>
                <w:szCs w:val="21"/>
                <w:highlight w:val="none"/>
              </w:rPr>
              <w:t>/L）</w:t>
            </w:r>
          </w:p>
        </w:tc>
        <w:tc>
          <w:tcPr>
            <w:tcW w:w="519" w:type="pct"/>
            <w:noWrap w:val="0"/>
            <w:vAlign w:val="center"/>
          </w:tcPr>
          <w:p w14:paraId="3D34C95A">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2"/>
                <w:sz w:val="21"/>
                <w:szCs w:val="21"/>
                <w:highlight w:val="none"/>
              </w:rPr>
              <w:t>2</w:t>
            </w:r>
            <w:r>
              <w:rPr>
                <w:spacing w:val="1"/>
                <w:sz w:val="21"/>
                <w:szCs w:val="21"/>
                <w:highlight w:val="none"/>
              </w:rPr>
              <w:t>5</w:t>
            </w:r>
            <w:r>
              <w:rPr>
                <w:sz w:val="21"/>
                <w:szCs w:val="21"/>
                <w:highlight w:val="none"/>
              </w:rPr>
              <w:t>L</w:t>
            </w:r>
          </w:p>
        </w:tc>
        <w:tc>
          <w:tcPr>
            <w:tcW w:w="498" w:type="pct"/>
            <w:noWrap w:val="0"/>
            <w:vAlign w:val="center"/>
          </w:tcPr>
          <w:p w14:paraId="1E2F17BF">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25</w:t>
            </w:r>
            <w:r>
              <w:rPr>
                <w:sz w:val="21"/>
                <w:szCs w:val="21"/>
                <w:highlight w:val="none"/>
              </w:rPr>
              <w:t>L</w:t>
            </w:r>
          </w:p>
        </w:tc>
        <w:tc>
          <w:tcPr>
            <w:tcW w:w="407" w:type="pct"/>
            <w:noWrap w:val="0"/>
            <w:vAlign w:val="center"/>
          </w:tcPr>
          <w:p w14:paraId="07488D86">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25</w:t>
            </w:r>
            <w:r>
              <w:rPr>
                <w:sz w:val="21"/>
                <w:szCs w:val="21"/>
                <w:highlight w:val="none"/>
              </w:rPr>
              <w:t>L</w:t>
            </w:r>
          </w:p>
        </w:tc>
        <w:tc>
          <w:tcPr>
            <w:tcW w:w="481" w:type="pct"/>
            <w:noWrap w:val="0"/>
            <w:vAlign w:val="center"/>
          </w:tcPr>
          <w:p w14:paraId="37AC8822">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2</w:t>
            </w:r>
            <w:r>
              <w:rPr>
                <w:spacing w:val="-2"/>
                <w:sz w:val="21"/>
                <w:szCs w:val="21"/>
                <w:highlight w:val="none"/>
              </w:rPr>
              <w:t>5</w:t>
            </w:r>
            <w:r>
              <w:rPr>
                <w:sz w:val="21"/>
                <w:szCs w:val="21"/>
                <w:highlight w:val="none"/>
              </w:rPr>
              <w:t>L</w:t>
            </w:r>
          </w:p>
        </w:tc>
        <w:tc>
          <w:tcPr>
            <w:tcW w:w="427" w:type="pct"/>
            <w:noWrap w:val="0"/>
            <w:vAlign w:val="center"/>
          </w:tcPr>
          <w:p w14:paraId="695C1770">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25</w:t>
            </w:r>
            <w:r>
              <w:rPr>
                <w:sz w:val="21"/>
                <w:szCs w:val="21"/>
                <w:highlight w:val="none"/>
              </w:rPr>
              <w:t>L</w:t>
            </w:r>
          </w:p>
        </w:tc>
        <w:tc>
          <w:tcPr>
            <w:tcW w:w="372" w:type="pct"/>
            <w:noWrap w:val="0"/>
            <w:vAlign w:val="center"/>
          </w:tcPr>
          <w:p w14:paraId="2EECAC95">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2</w:t>
            </w:r>
            <w:r>
              <w:rPr>
                <w:spacing w:val="-2"/>
                <w:sz w:val="21"/>
                <w:szCs w:val="21"/>
                <w:highlight w:val="none"/>
              </w:rPr>
              <w:t>5</w:t>
            </w:r>
            <w:r>
              <w:rPr>
                <w:sz w:val="21"/>
                <w:szCs w:val="21"/>
                <w:highlight w:val="none"/>
              </w:rPr>
              <w:t>L</w:t>
            </w:r>
          </w:p>
        </w:tc>
        <w:tc>
          <w:tcPr>
            <w:tcW w:w="481" w:type="pct"/>
            <w:noWrap w:val="0"/>
            <w:vAlign w:val="center"/>
          </w:tcPr>
          <w:p w14:paraId="5E69DAAD">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25</w:t>
            </w:r>
            <w:r>
              <w:rPr>
                <w:sz w:val="21"/>
                <w:szCs w:val="21"/>
                <w:highlight w:val="none"/>
              </w:rPr>
              <w:t>L</w:t>
            </w:r>
          </w:p>
        </w:tc>
        <w:tc>
          <w:tcPr>
            <w:tcW w:w="427" w:type="pct"/>
            <w:noWrap w:val="0"/>
            <w:vAlign w:val="center"/>
          </w:tcPr>
          <w:p w14:paraId="02C70BFB">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25</w:t>
            </w:r>
            <w:r>
              <w:rPr>
                <w:sz w:val="21"/>
                <w:szCs w:val="21"/>
                <w:highlight w:val="none"/>
              </w:rPr>
              <w:t>L</w:t>
            </w:r>
          </w:p>
        </w:tc>
        <w:tc>
          <w:tcPr>
            <w:tcW w:w="566" w:type="pct"/>
            <w:noWrap w:val="0"/>
            <w:vAlign w:val="center"/>
          </w:tcPr>
          <w:p w14:paraId="741AFE07">
            <w:pPr>
              <w:kinsoku w:val="0"/>
              <w:overflowPunct w:val="0"/>
              <w:autoSpaceDE w:val="0"/>
              <w:autoSpaceDN w:val="0"/>
              <w:adjustRightInd w:val="0"/>
              <w:jc w:val="center"/>
              <w:rPr>
                <w:sz w:val="21"/>
                <w:szCs w:val="21"/>
                <w:highlight w:val="none"/>
              </w:rPr>
            </w:pPr>
            <w:r>
              <w:rPr>
                <w:sz w:val="21"/>
                <w:szCs w:val="21"/>
                <w:highlight w:val="none"/>
              </w:rPr>
              <w:t>1.0</w:t>
            </w:r>
            <w:r>
              <w:rPr>
                <w:szCs w:val="21"/>
                <w:highlight w:val="none"/>
              </w:rPr>
              <w:t>mg/L</w:t>
            </w:r>
          </w:p>
        </w:tc>
      </w:tr>
      <w:tr w14:paraId="773B0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exact"/>
          <w:jc w:val="center"/>
        </w:trPr>
        <w:tc>
          <w:tcPr>
            <w:tcW w:w="816" w:type="pct"/>
            <w:noWrap w:val="0"/>
            <w:vAlign w:val="center"/>
          </w:tcPr>
          <w:p w14:paraId="0692500F">
            <w:pPr>
              <w:kinsoku w:val="0"/>
              <w:overflowPunct w:val="0"/>
              <w:autoSpaceDE w:val="0"/>
              <w:autoSpaceDN w:val="0"/>
              <w:adjustRightInd w:val="0"/>
              <w:jc w:val="center"/>
              <w:rPr>
                <w:sz w:val="21"/>
                <w:szCs w:val="21"/>
                <w:highlight w:val="none"/>
              </w:rPr>
            </w:pPr>
            <w:r>
              <w:rPr>
                <w:sz w:val="21"/>
                <w:szCs w:val="21"/>
                <w:highlight w:val="none"/>
              </w:rPr>
              <w:t>总镉（μ</w:t>
            </w:r>
            <w:r>
              <w:rPr>
                <w:spacing w:val="-3"/>
                <w:sz w:val="21"/>
                <w:szCs w:val="21"/>
                <w:highlight w:val="none"/>
              </w:rPr>
              <w:t>g</w:t>
            </w:r>
            <w:r>
              <w:rPr>
                <w:sz w:val="21"/>
                <w:szCs w:val="21"/>
                <w:highlight w:val="none"/>
              </w:rPr>
              <w:t>/L）</w:t>
            </w:r>
          </w:p>
        </w:tc>
        <w:tc>
          <w:tcPr>
            <w:tcW w:w="519" w:type="pct"/>
            <w:noWrap w:val="0"/>
            <w:vAlign w:val="center"/>
          </w:tcPr>
          <w:p w14:paraId="397C9E00">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02</w:t>
            </w:r>
            <w:r>
              <w:rPr>
                <w:spacing w:val="-2"/>
                <w:sz w:val="21"/>
                <w:szCs w:val="21"/>
                <w:highlight w:val="none"/>
              </w:rPr>
              <w:t>5</w:t>
            </w:r>
            <w:r>
              <w:rPr>
                <w:sz w:val="21"/>
                <w:szCs w:val="21"/>
                <w:highlight w:val="none"/>
              </w:rPr>
              <w:t>L</w:t>
            </w:r>
          </w:p>
        </w:tc>
        <w:tc>
          <w:tcPr>
            <w:tcW w:w="498" w:type="pct"/>
            <w:noWrap w:val="0"/>
            <w:vAlign w:val="center"/>
          </w:tcPr>
          <w:p w14:paraId="13C7705B">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02</w:t>
            </w:r>
            <w:r>
              <w:rPr>
                <w:spacing w:val="-2"/>
                <w:sz w:val="21"/>
                <w:szCs w:val="21"/>
                <w:highlight w:val="none"/>
              </w:rPr>
              <w:t>5</w:t>
            </w:r>
            <w:r>
              <w:rPr>
                <w:sz w:val="21"/>
                <w:szCs w:val="21"/>
                <w:highlight w:val="none"/>
              </w:rPr>
              <w:t>L</w:t>
            </w:r>
          </w:p>
        </w:tc>
        <w:tc>
          <w:tcPr>
            <w:tcW w:w="407" w:type="pct"/>
            <w:noWrap w:val="0"/>
            <w:vAlign w:val="center"/>
          </w:tcPr>
          <w:p w14:paraId="2CAEB1D8">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02</w:t>
            </w:r>
            <w:r>
              <w:rPr>
                <w:spacing w:val="-2"/>
                <w:sz w:val="21"/>
                <w:szCs w:val="21"/>
                <w:highlight w:val="none"/>
              </w:rPr>
              <w:t>5</w:t>
            </w:r>
            <w:r>
              <w:rPr>
                <w:sz w:val="21"/>
                <w:szCs w:val="21"/>
                <w:highlight w:val="none"/>
              </w:rPr>
              <w:t>L</w:t>
            </w:r>
          </w:p>
        </w:tc>
        <w:tc>
          <w:tcPr>
            <w:tcW w:w="481" w:type="pct"/>
            <w:noWrap w:val="0"/>
            <w:vAlign w:val="center"/>
          </w:tcPr>
          <w:p w14:paraId="548ED76D">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2"/>
                <w:sz w:val="21"/>
                <w:szCs w:val="21"/>
                <w:highlight w:val="none"/>
              </w:rPr>
              <w:t>2</w:t>
            </w:r>
            <w:r>
              <w:rPr>
                <w:spacing w:val="1"/>
                <w:sz w:val="21"/>
                <w:szCs w:val="21"/>
                <w:highlight w:val="none"/>
              </w:rPr>
              <w:t>5</w:t>
            </w:r>
            <w:r>
              <w:rPr>
                <w:sz w:val="21"/>
                <w:szCs w:val="21"/>
                <w:highlight w:val="none"/>
              </w:rPr>
              <w:t>L</w:t>
            </w:r>
          </w:p>
        </w:tc>
        <w:tc>
          <w:tcPr>
            <w:tcW w:w="427" w:type="pct"/>
            <w:noWrap w:val="0"/>
            <w:vAlign w:val="center"/>
          </w:tcPr>
          <w:p w14:paraId="27EF722A">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02</w:t>
            </w:r>
            <w:r>
              <w:rPr>
                <w:spacing w:val="-2"/>
                <w:sz w:val="21"/>
                <w:szCs w:val="21"/>
                <w:highlight w:val="none"/>
              </w:rPr>
              <w:t>5</w:t>
            </w:r>
            <w:r>
              <w:rPr>
                <w:sz w:val="21"/>
                <w:szCs w:val="21"/>
                <w:highlight w:val="none"/>
              </w:rPr>
              <w:t>L</w:t>
            </w:r>
          </w:p>
        </w:tc>
        <w:tc>
          <w:tcPr>
            <w:tcW w:w="372" w:type="pct"/>
            <w:noWrap w:val="0"/>
            <w:vAlign w:val="center"/>
          </w:tcPr>
          <w:p w14:paraId="033D014D">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02</w:t>
            </w:r>
            <w:r>
              <w:rPr>
                <w:spacing w:val="-2"/>
                <w:sz w:val="21"/>
                <w:szCs w:val="21"/>
                <w:highlight w:val="none"/>
              </w:rPr>
              <w:t>5</w:t>
            </w:r>
            <w:r>
              <w:rPr>
                <w:sz w:val="21"/>
                <w:szCs w:val="21"/>
                <w:highlight w:val="none"/>
              </w:rPr>
              <w:t>L</w:t>
            </w:r>
          </w:p>
        </w:tc>
        <w:tc>
          <w:tcPr>
            <w:tcW w:w="481" w:type="pct"/>
            <w:noWrap w:val="0"/>
            <w:vAlign w:val="center"/>
          </w:tcPr>
          <w:p w14:paraId="680D45B2">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2"/>
                <w:sz w:val="21"/>
                <w:szCs w:val="21"/>
                <w:highlight w:val="none"/>
              </w:rPr>
              <w:t>2</w:t>
            </w:r>
            <w:r>
              <w:rPr>
                <w:spacing w:val="1"/>
                <w:sz w:val="21"/>
                <w:szCs w:val="21"/>
                <w:highlight w:val="none"/>
              </w:rPr>
              <w:t>5</w:t>
            </w:r>
            <w:r>
              <w:rPr>
                <w:sz w:val="21"/>
                <w:szCs w:val="21"/>
                <w:highlight w:val="none"/>
              </w:rPr>
              <w:t>L</w:t>
            </w:r>
          </w:p>
        </w:tc>
        <w:tc>
          <w:tcPr>
            <w:tcW w:w="427" w:type="pct"/>
            <w:noWrap w:val="0"/>
            <w:vAlign w:val="center"/>
          </w:tcPr>
          <w:p w14:paraId="1B850DF4">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2"/>
                <w:sz w:val="21"/>
                <w:szCs w:val="21"/>
                <w:highlight w:val="none"/>
              </w:rPr>
              <w:t>2</w:t>
            </w:r>
            <w:r>
              <w:rPr>
                <w:spacing w:val="1"/>
                <w:sz w:val="21"/>
                <w:szCs w:val="21"/>
                <w:highlight w:val="none"/>
              </w:rPr>
              <w:t>5</w:t>
            </w:r>
            <w:r>
              <w:rPr>
                <w:sz w:val="21"/>
                <w:szCs w:val="21"/>
                <w:highlight w:val="none"/>
              </w:rPr>
              <w:t>L</w:t>
            </w:r>
          </w:p>
        </w:tc>
        <w:tc>
          <w:tcPr>
            <w:tcW w:w="566" w:type="pct"/>
            <w:noWrap w:val="0"/>
            <w:vAlign w:val="center"/>
          </w:tcPr>
          <w:p w14:paraId="5FADCFAD">
            <w:pPr>
              <w:kinsoku w:val="0"/>
              <w:overflowPunct w:val="0"/>
              <w:autoSpaceDE w:val="0"/>
              <w:autoSpaceDN w:val="0"/>
              <w:adjustRightInd w:val="0"/>
              <w:jc w:val="center"/>
              <w:rPr>
                <w:sz w:val="21"/>
                <w:szCs w:val="21"/>
                <w:highlight w:val="none"/>
              </w:rPr>
            </w:pPr>
            <w:r>
              <w:rPr>
                <w:sz w:val="21"/>
                <w:szCs w:val="21"/>
                <w:highlight w:val="none"/>
              </w:rPr>
              <w:t>0.1</w:t>
            </w:r>
            <w:r>
              <w:rPr>
                <w:szCs w:val="21"/>
                <w:highlight w:val="none"/>
              </w:rPr>
              <w:t>mg/L</w:t>
            </w:r>
          </w:p>
        </w:tc>
      </w:tr>
      <w:tr w14:paraId="2A4D5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exact"/>
          <w:jc w:val="center"/>
        </w:trPr>
        <w:tc>
          <w:tcPr>
            <w:tcW w:w="816" w:type="pct"/>
            <w:noWrap w:val="0"/>
            <w:vAlign w:val="center"/>
          </w:tcPr>
          <w:p w14:paraId="4F5FDA96">
            <w:pPr>
              <w:kinsoku w:val="0"/>
              <w:overflowPunct w:val="0"/>
              <w:autoSpaceDE w:val="0"/>
              <w:autoSpaceDN w:val="0"/>
              <w:adjustRightInd w:val="0"/>
              <w:jc w:val="center"/>
              <w:rPr>
                <w:sz w:val="21"/>
                <w:szCs w:val="21"/>
                <w:highlight w:val="none"/>
              </w:rPr>
            </w:pPr>
            <w:r>
              <w:rPr>
                <w:sz w:val="21"/>
                <w:szCs w:val="21"/>
                <w:highlight w:val="none"/>
              </w:rPr>
              <w:t>六价铬</w:t>
            </w:r>
          </w:p>
        </w:tc>
        <w:tc>
          <w:tcPr>
            <w:tcW w:w="519" w:type="pct"/>
            <w:noWrap w:val="0"/>
            <w:vAlign w:val="center"/>
          </w:tcPr>
          <w:p w14:paraId="3DAFE7A3">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00</w:t>
            </w:r>
            <w:r>
              <w:rPr>
                <w:spacing w:val="-2"/>
                <w:sz w:val="21"/>
                <w:szCs w:val="21"/>
                <w:highlight w:val="none"/>
              </w:rPr>
              <w:t>4</w:t>
            </w:r>
            <w:r>
              <w:rPr>
                <w:sz w:val="21"/>
                <w:szCs w:val="21"/>
                <w:highlight w:val="none"/>
              </w:rPr>
              <w:t>L</w:t>
            </w:r>
          </w:p>
        </w:tc>
        <w:tc>
          <w:tcPr>
            <w:tcW w:w="498" w:type="pct"/>
            <w:noWrap w:val="0"/>
            <w:vAlign w:val="center"/>
          </w:tcPr>
          <w:p w14:paraId="488EEB24">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00</w:t>
            </w:r>
            <w:r>
              <w:rPr>
                <w:spacing w:val="-2"/>
                <w:sz w:val="21"/>
                <w:szCs w:val="21"/>
                <w:highlight w:val="none"/>
              </w:rPr>
              <w:t>4</w:t>
            </w:r>
            <w:r>
              <w:rPr>
                <w:sz w:val="21"/>
                <w:szCs w:val="21"/>
                <w:highlight w:val="none"/>
              </w:rPr>
              <w:t>L</w:t>
            </w:r>
          </w:p>
        </w:tc>
        <w:tc>
          <w:tcPr>
            <w:tcW w:w="407" w:type="pct"/>
            <w:noWrap w:val="0"/>
            <w:vAlign w:val="center"/>
          </w:tcPr>
          <w:p w14:paraId="6DD2F32E">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00</w:t>
            </w:r>
            <w:r>
              <w:rPr>
                <w:spacing w:val="-2"/>
                <w:sz w:val="21"/>
                <w:szCs w:val="21"/>
                <w:highlight w:val="none"/>
              </w:rPr>
              <w:t>4</w:t>
            </w:r>
            <w:r>
              <w:rPr>
                <w:sz w:val="21"/>
                <w:szCs w:val="21"/>
                <w:highlight w:val="none"/>
              </w:rPr>
              <w:t>L</w:t>
            </w:r>
          </w:p>
        </w:tc>
        <w:tc>
          <w:tcPr>
            <w:tcW w:w="481" w:type="pct"/>
            <w:noWrap w:val="0"/>
            <w:vAlign w:val="center"/>
          </w:tcPr>
          <w:p w14:paraId="57A02B0B">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2"/>
                <w:sz w:val="21"/>
                <w:szCs w:val="21"/>
                <w:highlight w:val="none"/>
              </w:rPr>
              <w:t>0</w:t>
            </w:r>
            <w:r>
              <w:rPr>
                <w:spacing w:val="1"/>
                <w:sz w:val="21"/>
                <w:szCs w:val="21"/>
                <w:highlight w:val="none"/>
              </w:rPr>
              <w:t>4</w:t>
            </w:r>
            <w:r>
              <w:rPr>
                <w:sz w:val="21"/>
                <w:szCs w:val="21"/>
                <w:highlight w:val="none"/>
              </w:rPr>
              <w:t>L</w:t>
            </w:r>
          </w:p>
        </w:tc>
        <w:tc>
          <w:tcPr>
            <w:tcW w:w="427" w:type="pct"/>
            <w:noWrap w:val="0"/>
            <w:vAlign w:val="center"/>
          </w:tcPr>
          <w:p w14:paraId="4C86615F">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00</w:t>
            </w:r>
            <w:r>
              <w:rPr>
                <w:spacing w:val="-2"/>
                <w:sz w:val="21"/>
                <w:szCs w:val="21"/>
                <w:highlight w:val="none"/>
              </w:rPr>
              <w:t>4</w:t>
            </w:r>
            <w:r>
              <w:rPr>
                <w:sz w:val="21"/>
                <w:szCs w:val="21"/>
                <w:highlight w:val="none"/>
              </w:rPr>
              <w:t>L</w:t>
            </w:r>
          </w:p>
        </w:tc>
        <w:tc>
          <w:tcPr>
            <w:tcW w:w="372" w:type="pct"/>
            <w:noWrap w:val="0"/>
            <w:vAlign w:val="center"/>
          </w:tcPr>
          <w:p w14:paraId="21153576">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00</w:t>
            </w:r>
            <w:r>
              <w:rPr>
                <w:spacing w:val="-2"/>
                <w:sz w:val="21"/>
                <w:szCs w:val="21"/>
                <w:highlight w:val="none"/>
              </w:rPr>
              <w:t>4</w:t>
            </w:r>
            <w:r>
              <w:rPr>
                <w:sz w:val="21"/>
                <w:szCs w:val="21"/>
                <w:highlight w:val="none"/>
              </w:rPr>
              <w:t>L</w:t>
            </w:r>
          </w:p>
        </w:tc>
        <w:tc>
          <w:tcPr>
            <w:tcW w:w="481" w:type="pct"/>
            <w:noWrap w:val="0"/>
            <w:vAlign w:val="center"/>
          </w:tcPr>
          <w:p w14:paraId="3584AE98">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2"/>
                <w:sz w:val="21"/>
                <w:szCs w:val="21"/>
                <w:highlight w:val="none"/>
              </w:rPr>
              <w:t>0</w:t>
            </w:r>
            <w:r>
              <w:rPr>
                <w:spacing w:val="1"/>
                <w:sz w:val="21"/>
                <w:szCs w:val="21"/>
                <w:highlight w:val="none"/>
              </w:rPr>
              <w:t>4</w:t>
            </w:r>
            <w:r>
              <w:rPr>
                <w:sz w:val="21"/>
                <w:szCs w:val="21"/>
                <w:highlight w:val="none"/>
              </w:rPr>
              <w:t>L</w:t>
            </w:r>
          </w:p>
        </w:tc>
        <w:tc>
          <w:tcPr>
            <w:tcW w:w="427" w:type="pct"/>
            <w:noWrap w:val="0"/>
            <w:vAlign w:val="center"/>
          </w:tcPr>
          <w:p w14:paraId="49A5912B">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2"/>
                <w:sz w:val="21"/>
                <w:szCs w:val="21"/>
                <w:highlight w:val="none"/>
              </w:rPr>
              <w:t>0</w:t>
            </w:r>
            <w:r>
              <w:rPr>
                <w:spacing w:val="1"/>
                <w:sz w:val="21"/>
                <w:szCs w:val="21"/>
                <w:highlight w:val="none"/>
              </w:rPr>
              <w:t>4</w:t>
            </w:r>
            <w:r>
              <w:rPr>
                <w:sz w:val="21"/>
                <w:szCs w:val="21"/>
                <w:highlight w:val="none"/>
              </w:rPr>
              <w:t>L</w:t>
            </w:r>
          </w:p>
        </w:tc>
        <w:tc>
          <w:tcPr>
            <w:tcW w:w="566" w:type="pct"/>
            <w:noWrap w:val="0"/>
            <w:vAlign w:val="center"/>
          </w:tcPr>
          <w:p w14:paraId="25F9B081">
            <w:pPr>
              <w:kinsoku w:val="0"/>
              <w:overflowPunct w:val="0"/>
              <w:autoSpaceDE w:val="0"/>
              <w:autoSpaceDN w:val="0"/>
              <w:adjustRightInd w:val="0"/>
              <w:jc w:val="center"/>
              <w:rPr>
                <w:sz w:val="21"/>
                <w:szCs w:val="21"/>
                <w:highlight w:val="none"/>
              </w:rPr>
            </w:pPr>
            <w:r>
              <w:rPr>
                <w:sz w:val="21"/>
                <w:szCs w:val="21"/>
                <w:highlight w:val="none"/>
              </w:rPr>
              <w:t>0.5</w:t>
            </w:r>
          </w:p>
        </w:tc>
      </w:tr>
      <w:tr w14:paraId="106B4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exact"/>
          <w:jc w:val="center"/>
        </w:trPr>
        <w:tc>
          <w:tcPr>
            <w:tcW w:w="816" w:type="pct"/>
            <w:noWrap w:val="0"/>
            <w:vAlign w:val="center"/>
          </w:tcPr>
          <w:p w14:paraId="6F25271C">
            <w:pPr>
              <w:kinsoku w:val="0"/>
              <w:overflowPunct w:val="0"/>
              <w:autoSpaceDE w:val="0"/>
              <w:autoSpaceDN w:val="0"/>
              <w:adjustRightInd w:val="0"/>
              <w:jc w:val="center"/>
              <w:rPr>
                <w:sz w:val="21"/>
                <w:szCs w:val="21"/>
                <w:highlight w:val="none"/>
              </w:rPr>
            </w:pPr>
            <w:r>
              <w:rPr>
                <w:sz w:val="21"/>
                <w:szCs w:val="21"/>
                <w:highlight w:val="none"/>
              </w:rPr>
              <w:t>总铬</w:t>
            </w:r>
          </w:p>
        </w:tc>
        <w:tc>
          <w:tcPr>
            <w:tcW w:w="519" w:type="pct"/>
            <w:noWrap w:val="0"/>
            <w:vAlign w:val="center"/>
          </w:tcPr>
          <w:p w14:paraId="5B204FF3">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2"/>
                <w:sz w:val="21"/>
                <w:szCs w:val="21"/>
                <w:highlight w:val="none"/>
              </w:rPr>
              <w:t>0</w:t>
            </w:r>
            <w:r>
              <w:rPr>
                <w:spacing w:val="1"/>
                <w:sz w:val="21"/>
                <w:szCs w:val="21"/>
                <w:highlight w:val="none"/>
              </w:rPr>
              <w:t>3</w:t>
            </w:r>
            <w:r>
              <w:rPr>
                <w:sz w:val="21"/>
                <w:szCs w:val="21"/>
                <w:highlight w:val="none"/>
              </w:rPr>
              <w:t>L</w:t>
            </w:r>
          </w:p>
        </w:tc>
        <w:tc>
          <w:tcPr>
            <w:tcW w:w="498" w:type="pct"/>
            <w:noWrap w:val="0"/>
            <w:vAlign w:val="center"/>
          </w:tcPr>
          <w:p w14:paraId="65F30BD0">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03</w:t>
            </w:r>
            <w:r>
              <w:rPr>
                <w:sz w:val="21"/>
                <w:szCs w:val="21"/>
                <w:highlight w:val="none"/>
              </w:rPr>
              <w:t>L</w:t>
            </w:r>
          </w:p>
        </w:tc>
        <w:tc>
          <w:tcPr>
            <w:tcW w:w="407" w:type="pct"/>
            <w:noWrap w:val="0"/>
            <w:vAlign w:val="center"/>
          </w:tcPr>
          <w:p w14:paraId="6A3FA001">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03</w:t>
            </w:r>
            <w:r>
              <w:rPr>
                <w:sz w:val="21"/>
                <w:szCs w:val="21"/>
                <w:highlight w:val="none"/>
              </w:rPr>
              <w:t>L</w:t>
            </w:r>
          </w:p>
        </w:tc>
        <w:tc>
          <w:tcPr>
            <w:tcW w:w="481" w:type="pct"/>
            <w:noWrap w:val="0"/>
            <w:vAlign w:val="center"/>
          </w:tcPr>
          <w:p w14:paraId="300E2361">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2"/>
                <w:sz w:val="21"/>
                <w:szCs w:val="21"/>
                <w:highlight w:val="none"/>
              </w:rPr>
              <w:t>3</w:t>
            </w:r>
            <w:r>
              <w:rPr>
                <w:sz w:val="21"/>
                <w:szCs w:val="21"/>
                <w:highlight w:val="none"/>
              </w:rPr>
              <w:t>L</w:t>
            </w:r>
          </w:p>
        </w:tc>
        <w:tc>
          <w:tcPr>
            <w:tcW w:w="427" w:type="pct"/>
            <w:noWrap w:val="0"/>
            <w:vAlign w:val="center"/>
          </w:tcPr>
          <w:p w14:paraId="6B9F8E40">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03</w:t>
            </w:r>
            <w:r>
              <w:rPr>
                <w:sz w:val="21"/>
                <w:szCs w:val="21"/>
                <w:highlight w:val="none"/>
              </w:rPr>
              <w:t>L</w:t>
            </w:r>
          </w:p>
        </w:tc>
        <w:tc>
          <w:tcPr>
            <w:tcW w:w="372" w:type="pct"/>
            <w:noWrap w:val="0"/>
            <w:vAlign w:val="center"/>
          </w:tcPr>
          <w:p w14:paraId="3AC476EA">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2"/>
                <w:sz w:val="21"/>
                <w:szCs w:val="21"/>
                <w:highlight w:val="none"/>
              </w:rPr>
              <w:t>3</w:t>
            </w:r>
            <w:r>
              <w:rPr>
                <w:sz w:val="21"/>
                <w:szCs w:val="21"/>
                <w:highlight w:val="none"/>
              </w:rPr>
              <w:t>L</w:t>
            </w:r>
          </w:p>
        </w:tc>
        <w:tc>
          <w:tcPr>
            <w:tcW w:w="481" w:type="pct"/>
            <w:noWrap w:val="0"/>
            <w:vAlign w:val="center"/>
          </w:tcPr>
          <w:p w14:paraId="70750966">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03</w:t>
            </w:r>
            <w:r>
              <w:rPr>
                <w:sz w:val="21"/>
                <w:szCs w:val="21"/>
                <w:highlight w:val="none"/>
              </w:rPr>
              <w:t>L</w:t>
            </w:r>
          </w:p>
        </w:tc>
        <w:tc>
          <w:tcPr>
            <w:tcW w:w="427" w:type="pct"/>
            <w:noWrap w:val="0"/>
            <w:vAlign w:val="center"/>
          </w:tcPr>
          <w:p w14:paraId="1C8836BE">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03</w:t>
            </w:r>
            <w:r>
              <w:rPr>
                <w:sz w:val="21"/>
                <w:szCs w:val="21"/>
                <w:highlight w:val="none"/>
              </w:rPr>
              <w:t>L</w:t>
            </w:r>
          </w:p>
        </w:tc>
        <w:tc>
          <w:tcPr>
            <w:tcW w:w="566" w:type="pct"/>
            <w:noWrap w:val="0"/>
            <w:vAlign w:val="center"/>
          </w:tcPr>
          <w:p w14:paraId="32F1C7B6">
            <w:pPr>
              <w:kinsoku w:val="0"/>
              <w:overflowPunct w:val="0"/>
              <w:autoSpaceDE w:val="0"/>
              <w:autoSpaceDN w:val="0"/>
              <w:adjustRightInd w:val="0"/>
              <w:jc w:val="center"/>
              <w:rPr>
                <w:sz w:val="21"/>
                <w:szCs w:val="21"/>
                <w:highlight w:val="none"/>
              </w:rPr>
            </w:pPr>
            <w:r>
              <w:rPr>
                <w:sz w:val="21"/>
                <w:szCs w:val="21"/>
                <w:highlight w:val="none"/>
              </w:rPr>
              <w:t>1.5</w:t>
            </w:r>
          </w:p>
        </w:tc>
      </w:tr>
      <w:tr w14:paraId="70A03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exact"/>
          <w:jc w:val="center"/>
        </w:trPr>
        <w:tc>
          <w:tcPr>
            <w:tcW w:w="816" w:type="pct"/>
            <w:noWrap w:val="0"/>
            <w:vAlign w:val="center"/>
          </w:tcPr>
          <w:p w14:paraId="5E162920">
            <w:pPr>
              <w:kinsoku w:val="0"/>
              <w:overflowPunct w:val="0"/>
              <w:autoSpaceDE w:val="0"/>
              <w:autoSpaceDN w:val="0"/>
              <w:adjustRightInd w:val="0"/>
              <w:jc w:val="center"/>
              <w:rPr>
                <w:sz w:val="21"/>
                <w:szCs w:val="21"/>
                <w:highlight w:val="none"/>
              </w:rPr>
            </w:pPr>
            <w:r>
              <w:rPr>
                <w:sz w:val="21"/>
                <w:szCs w:val="21"/>
                <w:highlight w:val="none"/>
              </w:rPr>
              <w:t>总砷（μ</w:t>
            </w:r>
            <w:r>
              <w:rPr>
                <w:spacing w:val="-3"/>
                <w:sz w:val="21"/>
                <w:szCs w:val="21"/>
                <w:highlight w:val="none"/>
              </w:rPr>
              <w:t>g</w:t>
            </w:r>
            <w:r>
              <w:rPr>
                <w:sz w:val="21"/>
                <w:szCs w:val="21"/>
                <w:highlight w:val="none"/>
              </w:rPr>
              <w:t>/L）</w:t>
            </w:r>
          </w:p>
        </w:tc>
        <w:tc>
          <w:tcPr>
            <w:tcW w:w="519" w:type="pct"/>
            <w:noWrap w:val="0"/>
            <w:vAlign w:val="center"/>
          </w:tcPr>
          <w:p w14:paraId="558D17DC">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.5</w:t>
            </w:r>
          </w:p>
        </w:tc>
        <w:tc>
          <w:tcPr>
            <w:tcW w:w="498" w:type="pct"/>
            <w:noWrap w:val="0"/>
            <w:vAlign w:val="center"/>
          </w:tcPr>
          <w:p w14:paraId="31285CAB">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.4</w:t>
            </w:r>
          </w:p>
        </w:tc>
        <w:tc>
          <w:tcPr>
            <w:tcW w:w="407" w:type="pct"/>
            <w:noWrap w:val="0"/>
            <w:vAlign w:val="center"/>
          </w:tcPr>
          <w:p w14:paraId="7B1B64ED">
            <w:pPr>
              <w:kinsoku w:val="0"/>
              <w:overflowPunct w:val="0"/>
              <w:autoSpaceDE w:val="0"/>
              <w:autoSpaceDN w:val="0"/>
              <w:adjustRightInd w:val="0"/>
              <w:jc w:val="center"/>
              <w:rPr>
                <w:sz w:val="21"/>
                <w:szCs w:val="21"/>
                <w:highlight w:val="none"/>
              </w:rPr>
            </w:pPr>
            <w:r>
              <w:rPr>
                <w:sz w:val="21"/>
                <w:szCs w:val="21"/>
                <w:highlight w:val="none"/>
              </w:rPr>
              <w:t>0.4</w:t>
            </w:r>
          </w:p>
        </w:tc>
        <w:tc>
          <w:tcPr>
            <w:tcW w:w="481" w:type="pct"/>
            <w:noWrap w:val="0"/>
            <w:vAlign w:val="center"/>
          </w:tcPr>
          <w:p w14:paraId="6D5EA644">
            <w:pPr>
              <w:kinsoku w:val="0"/>
              <w:overflowPunct w:val="0"/>
              <w:autoSpaceDE w:val="0"/>
              <w:autoSpaceDN w:val="0"/>
              <w:adjustRightInd w:val="0"/>
              <w:jc w:val="center"/>
              <w:rPr>
                <w:sz w:val="21"/>
                <w:szCs w:val="21"/>
                <w:highlight w:val="none"/>
              </w:rPr>
            </w:pPr>
            <w:r>
              <w:rPr>
                <w:sz w:val="21"/>
                <w:szCs w:val="21"/>
                <w:highlight w:val="none"/>
              </w:rPr>
              <w:t>0.4</w:t>
            </w:r>
          </w:p>
        </w:tc>
        <w:tc>
          <w:tcPr>
            <w:tcW w:w="427" w:type="pct"/>
            <w:noWrap w:val="0"/>
            <w:vAlign w:val="center"/>
          </w:tcPr>
          <w:p w14:paraId="2EE857A4">
            <w:pPr>
              <w:kinsoku w:val="0"/>
              <w:overflowPunct w:val="0"/>
              <w:autoSpaceDE w:val="0"/>
              <w:autoSpaceDN w:val="0"/>
              <w:adjustRightInd w:val="0"/>
              <w:jc w:val="center"/>
              <w:rPr>
                <w:sz w:val="21"/>
                <w:szCs w:val="21"/>
                <w:highlight w:val="none"/>
              </w:rPr>
            </w:pPr>
            <w:r>
              <w:rPr>
                <w:sz w:val="21"/>
                <w:szCs w:val="21"/>
                <w:highlight w:val="none"/>
              </w:rPr>
              <w:t>0.4</w:t>
            </w:r>
          </w:p>
        </w:tc>
        <w:tc>
          <w:tcPr>
            <w:tcW w:w="372" w:type="pct"/>
            <w:noWrap w:val="0"/>
            <w:vAlign w:val="center"/>
          </w:tcPr>
          <w:p w14:paraId="20D6F392">
            <w:pPr>
              <w:kinsoku w:val="0"/>
              <w:overflowPunct w:val="0"/>
              <w:autoSpaceDE w:val="0"/>
              <w:autoSpaceDN w:val="0"/>
              <w:adjustRightInd w:val="0"/>
              <w:jc w:val="center"/>
              <w:rPr>
                <w:sz w:val="21"/>
                <w:szCs w:val="21"/>
                <w:highlight w:val="none"/>
              </w:rPr>
            </w:pPr>
            <w:r>
              <w:rPr>
                <w:sz w:val="21"/>
                <w:szCs w:val="21"/>
                <w:highlight w:val="none"/>
              </w:rPr>
              <w:t>0.4</w:t>
            </w:r>
          </w:p>
        </w:tc>
        <w:tc>
          <w:tcPr>
            <w:tcW w:w="481" w:type="pct"/>
            <w:noWrap w:val="0"/>
            <w:vAlign w:val="center"/>
          </w:tcPr>
          <w:p w14:paraId="6D6D8A60">
            <w:pPr>
              <w:kinsoku w:val="0"/>
              <w:overflowPunct w:val="0"/>
              <w:autoSpaceDE w:val="0"/>
              <w:autoSpaceDN w:val="0"/>
              <w:adjustRightInd w:val="0"/>
              <w:jc w:val="center"/>
              <w:rPr>
                <w:sz w:val="21"/>
                <w:szCs w:val="21"/>
                <w:highlight w:val="none"/>
              </w:rPr>
            </w:pPr>
            <w:r>
              <w:rPr>
                <w:sz w:val="21"/>
                <w:szCs w:val="21"/>
                <w:highlight w:val="none"/>
              </w:rPr>
              <w:t>0.5</w:t>
            </w:r>
          </w:p>
        </w:tc>
        <w:tc>
          <w:tcPr>
            <w:tcW w:w="427" w:type="pct"/>
            <w:noWrap w:val="0"/>
            <w:vAlign w:val="center"/>
          </w:tcPr>
          <w:p w14:paraId="5C428B3D">
            <w:pPr>
              <w:kinsoku w:val="0"/>
              <w:overflowPunct w:val="0"/>
              <w:autoSpaceDE w:val="0"/>
              <w:autoSpaceDN w:val="0"/>
              <w:adjustRightInd w:val="0"/>
              <w:jc w:val="center"/>
              <w:rPr>
                <w:sz w:val="21"/>
                <w:szCs w:val="21"/>
                <w:highlight w:val="none"/>
              </w:rPr>
            </w:pPr>
            <w:r>
              <w:rPr>
                <w:sz w:val="21"/>
                <w:szCs w:val="21"/>
                <w:highlight w:val="none"/>
              </w:rPr>
              <w:t>0.4</w:t>
            </w:r>
          </w:p>
        </w:tc>
        <w:tc>
          <w:tcPr>
            <w:tcW w:w="566" w:type="pct"/>
            <w:noWrap w:val="0"/>
            <w:vAlign w:val="center"/>
          </w:tcPr>
          <w:p w14:paraId="1B87FDCB">
            <w:pPr>
              <w:kinsoku w:val="0"/>
              <w:overflowPunct w:val="0"/>
              <w:autoSpaceDE w:val="0"/>
              <w:autoSpaceDN w:val="0"/>
              <w:adjustRightInd w:val="0"/>
              <w:jc w:val="center"/>
              <w:rPr>
                <w:sz w:val="21"/>
                <w:szCs w:val="21"/>
                <w:highlight w:val="none"/>
              </w:rPr>
            </w:pPr>
            <w:r>
              <w:rPr>
                <w:sz w:val="21"/>
                <w:szCs w:val="21"/>
                <w:highlight w:val="none"/>
              </w:rPr>
              <w:t>0.5</w:t>
            </w:r>
            <w:r>
              <w:rPr>
                <w:szCs w:val="21"/>
                <w:highlight w:val="none"/>
              </w:rPr>
              <w:t>mg/L</w:t>
            </w:r>
          </w:p>
        </w:tc>
      </w:tr>
      <w:tr w14:paraId="24EB8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exact"/>
          <w:jc w:val="center"/>
        </w:trPr>
        <w:tc>
          <w:tcPr>
            <w:tcW w:w="816" w:type="pct"/>
            <w:noWrap w:val="0"/>
            <w:vAlign w:val="center"/>
          </w:tcPr>
          <w:p w14:paraId="421E3AAA">
            <w:pPr>
              <w:kinsoku w:val="0"/>
              <w:overflowPunct w:val="0"/>
              <w:autoSpaceDE w:val="0"/>
              <w:autoSpaceDN w:val="0"/>
              <w:adjustRightInd w:val="0"/>
              <w:jc w:val="center"/>
              <w:rPr>
                <w:sz w:val="21"/>
                <w:szCs w:val="21"/>
                <w:highlight w:val="none"/>
              </w:rPr>
            </w:pPr>
            <w:r>
              <w:rPr>
                <w:sz w:val="21"/>
                <w:szCs w:val="21"/>
                <w:highlight w:val="none"/>
              </w:rPr>
              <w:t>总汞（μ</w:t>
            </w:r>
            <w:r>
              <w:rPr>
                <w:spacing w:val="-3"/>
                <w:sz w:val="21"/>
                <w:szCs w:val="21"/>
                <w:highlight w:val="none"/>
              </w:rPr>
              <w:t>g</w:t>
            </w:r>
            <w:r>
              <w:rPr>
                <w:sz w:val="21"/>
                <w:szCs w:val="21"/>
                <w:highlight w:val="none"/>
              </w:rPr>
              <w:t>/L）</w:t>
            </w:r>
          </w:p>
        </w:tc>
        <w:tc>
          <w:tcPr>
            <w:tcW w:w="519" w:type="pct"/>
            <w:noWrap w:val="0"/>
            <w:vAlign w:val="center"/>
          </w:tcPr>
          <w:p w14:paraId="2AC0959B">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z w:val="21"/>
                <w:szCs w:val="21"/>
                <w:highlight w:val="none"/>
              </w:rPr>
              <w:t>9</w:t>
            </w:r>
          </w:p>
        </w:tc>
        <w:tc>
          <w:tcPr>
            <w:tcW w:w="498" w:type="pct"/>
            <w:noWrap w:val="0"/>
            <w:vAlign w:val="center"/>
          </w:tcPr>
          <w:p w14:paraId="24542651">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z w:val="21"/>
                <w:szCs w:val="21"/>
                <w:highlight w:val="none"/>
              </w:rPr>
              <w:t>9</w:t>
            </w:r>
          </w:p>
        </w:tc>
        <w:tc>
          <w:tcPr>
            <w:tcW w:w="407" w:type="pct"/>
            <w:noWrap w:val="0"/>
            <w:vAlign w:val="center"/>
          </w:tcPr>
          <w:p w14:paraId="510FB355">
            <w:pPr>
              <w:kinsoku w:val="0"/>
              <w:overflowPunct w:val="0"/>
              <w:autoSpaceDE w:val="0"/>
              <w:autoSpaceDN w:val="0"/>
              <w:adjustRightInd w:val="0"/>
              <w:jc w:val="center"/>
              <w:rPr>
                <w:sz w:val="21"/>
                <w:szCs w:val="21"/>
                <w:highlight w:val="none"/>
              </w:rPr>
            </w:pPr>
            <w:r>
              <w:rPr>
                <w:sz w:val="21"/>
                <w:szCs w:val="21"/>
                <w:highlight w:val="none"/>
              </w:rPr>
              <w:t>0.09</w:t>
            </w:r>
          </w:p>
        </w:tc>
        <w:tc>
          <w:tcPr>
            <w:tcW w:w="481" w:type="pct"/>
            <w:noWrap w:val="0"/>
            <w:vAlign w:val="center"/>
          </w:tcPr>
          <w:p w14:paraId="580EE89E">
            <w:pPr>
              <w:kinsoku w:val="0"/>
              <w:overflowPunct w:val="0"/>
              <w:autoSpaceDE w:val="0"/>
              <w:autoSpaceDN w:val="0"/>
              <w:adjustRightInd w:val="0"/>
              <w:jc w:val="center"/>
              <w:rPr>
                <w:sz w:val="21"/>
                <w:szCs w:val="21"/>
                <w:highlight w:val="none"/>
              </w:rPr>
            </w:pPr>
            <w:r>
              <w:rPr>
                <w:sz w:val="21"/>
                <w:szCs w:val="21"/>
                <w:highlight w:val="none"/>
              </w:rPr>
              <w:t>0.10</w:t>
            </w:r>
          </w:p>
        </w:tc>
        <w:tc>
          <w:tcPr>
            <w:tcW w:w="427" w:type="pct"/>
            <w:noWrap w:val="0"/>
            <w:vAlign w:val="center"/>
          </w:tcPr>
          <w:p w14:paraId="79944B0B">
            <w:pPr>
              <w:kinsoku w:val="0"/>
              <w:overflowPunct w:val="0"/>
              <w:autoSpaceDE w:val="0"/>
              <w:autoSpaceDN w:val="0"/>
              <w:adjustRightInd w:val="0"/>
              <w:jc w:val="center"/>
              <w:rPr>
                <w:sz w:val="21"/>
                <w:szCs w:val="21"/>
                <w:highlight w:val="none"/>
              </w:rPr>
            </w:pPr>
            <w:r>
              <w:rPr>
                <w:sz w:val="21"/>
                <w:szCs w:val="21"/>
                <w:highlight w:val="none"/>
              </w:rPr>
              <w:t>0.</w:t>
            </w:r>
            <w:r>
              <w:rPr>
                <w:spacing w:val="-5"/>
                <w:sz w:val="21"/>
                <w:szCs w:val="21"/>
                <w:highlight w:val="none"/>
              </w:rPr>
              <w:t>1</w:t>
            </w:r>
            <w:r>
              <w:rPr>
                <w:sz w:val="21"/>
                <w:szCs w:val="21"/>
                <w:highlight w:val="none"/>
              </w:rPr>
              <w:t>1</w:t>
            </w:r>
          </w:p>
        </w:tc>
        <w:tc>
          <w:tcPr>
            <w:tcW w:w="372" w:type="pct"/>
            <w:noWrap w:val="0"/>
            <w:vAlign w:val="center"/>
          </w:tcPr>
          <w:p w14:paraId="753BE72F">
            <w:pPr>
              <w:kinsoku w:val="0"/>
              <w:overflowPunct w:val="0"/>
              <w:autoSpaceDE w:val="0"/>
              <w:autoSpaceDN w:val="0"/>
              <w:adjustRightInd w:val="0"/>
              <w:jc w:val="center"/>
              <w:rPr>
                <w:sz w:val="21"/>
                <w:szCs w:val="21"/>
                <w:highlight w:val="none"/>
              </w:rPr>
            </w:pPr>
            <w:r>
              <w:rPr>
                <w:sz w:val="21"/>
                <w:szCs w:val="21"/>
                <w:highlight w:val="none"/>
              </w:rPr>
              <w:t>0.</w:t>
            </w:r>
            <w:r>
              <w:rPr>
                <w:spacing w:val="-5"/>
                <w:sz w:val="21"/>
                <w:szCs w:val="21"/>
                <w:highlight w:val="none"/>
              </w:rPr>
              <w:t>1</w:t>
            </w:r>
            <w:r>
              <w:rPr>
                <w:sz w:val="21"/>
                <w:szCs w:val="21"/>
                <w:highlight w:val="none"/>
              </w:rPr>
              <w:t>1</w:t>
            </w:r>
          </w:p>
        </w:tc>
        <w:tc>
          <w:tcPr>
            <w:tcW w:w="481" w:type="pct"/>
            <w:noWrap w:val="0"/>
            <w:vAlign w:val="center"/>
          </w:tcPr>
          <w:p w14:paraId="79F5A422">
            <w:pPr>
              <w:kinsoku w:val="0"/>
              <w:overflowPunct w:val="0"/>
              <w:autoSpaceDE w:val="0"/>
              <w:autoSpaceDN w:val="0"/>
              <w:adjustRightInd w:val="0"/>
              <w:jc w:val="center"/>
              <w:rPr>
                <w:sz w:val="21"/>
                <w:szCs w:val="21"/>
                <w:highlight w:val="none"/>
              </w:rPr>
            </w:pPr>
            <w:r>
              <w:rPr>
                <w:sz w:val="21"/>
                <w:szCs w:val="21"/>
                <w:highlight w:val="none"/>
              </w:rPr>
              <w:t>0.12</w:t>
            </w:r>
          </w:p>
        </w:tc>
        <w:tc>
          <w:tcPr>
            <w:tcW w:w="427" w:type="pct"/>
            <w:noWrap w:val="0"/>
            <w:vAlign w:val="center"/>
          </w:tcPr>
          <w:p w14:paraId="3A8E6E26">
            <w:pPr>
              <w:kinsoku w:val="0"/>
              <w:overflowPunct w:val="0"/>
              <w:autoSpaceDE w:val="0"/>
              <w:autoSpaceDN w:val="0"/>
              <w:adjustRightInd w:val="0"/>
              <w:jc w:val="center"/>
              <w:rPr>
                <w:sz w:val="21"/>
                <w:szCs w:val="21"/>
                <w:highlight w:val="none"/>
              </w:rPr>
            </w:pPr>
            <w:r>
              <w:rPr>
                <w:sz w:val="21"/>
                <w:szCs w:val="21"/>
                <w:highlight w:val="none"/>
              </w:rPr>
              <w:t>0.12</w:t>
            </w:r>
          </w:p>
        </w:tc>
        <w:tc>
          <w:tcPr>
            <w:tcW w:w="566" w:type="pct"/>
            <w:noWrap w:val="0"/>
            <w:vAlign w:val="center"/>
          </w:tcPr>
          <w:p w14:paraId="17DC3C5C">
            <w:pPr>
              <w:kinsoku w:val="0"/>
              <w:overflowPunct w:val="0"/>
              <w:autoSpaceDE w:val="0"/>
              <w:autoSpaceDN w:val="0"/>
              <w:adjustRightInd w:val="0"/>
              <w:jc w:val="center"/>
              <w:rPr>
                <w:sz w:val="21"/>
                <w:szCs w:val="21"/>
                <w:highlight w:val="none"/>
              </w:rPr>
            </w:pPr>
            <w:r>
              <w:rPr>
                <w:sz w:val="21"/>
                <w:szCs w:val="21"/>
                <w:highlight w:val="none"/>
              </w:rPr>
              <w:t>0.05</w:t>
            </w:r>
            <w:r>
              <w:rPr>
                <w:szCs w:val="21"/>
                <w:highlight w:val="none"/>
              </w:rPr>
              <w:t>mg/L</w:t>
            </w:r>
          </w:p>
        </w:tc>
      </w:tr>
      <w:tr w14:paraId="3FFB7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exact"/>
          <w:jc w:val="center"/>
        </w:trPr>
        <w:tc>
          <w:tcPr>
            <w:tcW w:w="816" w:type="pct"/>
            <w:noWrap w:val="0"/>
            <w:vAlign w:val="center"/>
          </w:tcPr>
          <w:p w14:paraId="68A17F51">
            <w:pPr>
              <w:kinsoku w:val="0"/>
              <w:overflowPunct w:val="0"/>
              <w:autoSpaceDE w:val="0"/>
              <w:autoSpaceDN w:val="0"/>
              <w:adjustRightInd w:val="0"/>
              <w:jc w:val="center"/>
              <w:rPr>
                <w:sz w:val="21"/>
                <w:szCs w:val="21"/>
                <w:highlight w:val="none"/>
              </w:rPr>
            </w:pPr>
            <w:r>
              <w:rPr>
                <w:sz w:val="21"/>
                <w:szCs w:val="21"/>
                <w:highlight w:val="none"/>
              </w:rPr>
              <w:t>挥发酚</w:t>
            </w:r>
          </w:p>
        </w:tc>
        <w:tc>
          <w:tcPr>
            <w:tcW w:w="519" w:type="pct"/>
            <w:noWrap w:val="0"/>
            <w:vAlign w:val="center"/>
          </w:tcPr>
          <w:p w14:paraId="7E3C87D6">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02</w:t>
            </w:r>
            <w:r>
              <w:rPr>
                <w:sz w:val="21"/>
                <w:szCs w:val="21"/>
                <w:highlight w:val="none"/>
              </w:rPr>
              <w:t>2</w:t>
            </w:r>
          </w:p>
        </w:tc>
        <w:tc>
          <w:tcPr>
            <w:tcW w:w="498" w:type="pct"/>
            <w:noWrap w:val="0"/>
            <w:vAlign w:val="center"/>
          </w:tcPr>
          <w:p w14:paraId="2B148A5B">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8"/>
                <w:sz w:val="21"/>
                <w:szCs w:val="21"/>
                <w:highlight w:val="none"/>
              </w:rPr>
              <w:t>1</w:t>
            </w:r>
            <w:r>
              <w:rPr>
                <w:sz w:val="21"/>
                <w:szCs w:val="21"/>
                <w:highlight w:val="none"/>
              </w:rPr>
              <w:t>1</w:t>
            </w:r>
          </w:p>
        </w:tc>
        <w:tc>
          <w:tcPr>
            <w:tcW w:w="407" w:type="pct"/>
            <w:noWrap w:val="0"/>
            <w:vAlign w:val="center"/>
          </w:tcPr>
          <w:p w14:paraId="0E7733BA">
            <w:pPr>
              <w:kinsoku w:val="0"/>
              <w:overflowPunct w:val="0"/>
              <w:autoSpaceDE w:val="0"/>
              <w:autoSpaceDN w:val="0"/>
              <w:adjustRightInd w:val="0"/>
              <w:jc w:val="center"/>
              <w:rPr>
                <w:sz w:val="21"/>
                <w:szCs w:val="21"/>
                <w:highlight w:val="none"/>
              </w:rPr>
            </w:pPr>
            <w:r>
              <w:rPr>
                <w:sz w:val="21"/>
                <w:szCs w:val="21"/>
                <w:highlight w:val="none"/>
              </w:rPr>
              <w:t>0.006</w:t>
            </w:r>
          </w:p>
        </w:tc>
        <w:tc>
          <w:tcPr>
            <w:tcW w:w="481" w:type="pct"/>
            <w:noWrap w:val="0"/>
            <w:vAlign w:val="center"/>
          </w:tcPr>
          <w:p w14:paraId="639FC213">
            <w:pPr>
              <w:kinsoku w:val="0"/>
              <w:overflowPunct w:val="0"/>
              <w:autoSpaceDE w:val="0"/>
              <w:autoSpaceDN w:val="0"/>
              <w:adjustRightInd w:val="0"/>
              <w:jc w:val="center"/>
              <w:rPr>
                <w:sz w:val="21"/>
                <w:szCs w:val="21"/>
                <w:highlight w:val="none"/>
              </w:rPr>
            </w:pPr>
            <w:r>
              <w:rPr>
                <w:sz w:val="21"/>
                <w:szCs w:val="21"/>
                <w:highlight w:val="none"/>
              </w:rPr>
              <w:t>0.004</w:t>
            </w:r>
          </w:p>
        </w:tc>
        <w:tc>
          <w:tcPr>
            <w:tcW w:w="427" w:type="pct"/>
            <w:noWrap w:val="0"/>
            <w:vAlign w:val="center"/>
          </w:tcPr>
          <w:p w14:paraId="2344AA7B">
            <w:pPr>
              <w:kinsoku w:val="0"/>
              <w:overflowPunct w:val="0"/>
              <w:autoSpaceDE w:val="0"/>
              <w:autoSpaceDN w:val="0"/>
              <w:adjustRightInd w:val="0"/>
              <w:jc w:val="center"/>
              <w:rPr>
                <w:sz w:val="21"/>
                <w:szCs w:val="21"/>
                <w:highlight w:val="none"/>
              </w:rPr>
            </w:pPr>
            <w:r>
              <w:rPr>
                <w:sz w:val="21"/>
                <w:szCs w:val="21"/>
                <w:highlight w:val="none"/>
              </w:rPr>
              <w:t>0.005</w:t>
            </w:r>
          </w:p>
        </w:tc>
        <w:tc>
          <w:tcPr>
            <w:tcW w:w="372" w:type="pct"/>
            <w:noWrap w:val="0"/>
            <w:vAlign w:val="center"/>
          </w:tcPr>
          <w:p w14:paraId="7529E705">
            <w:pPr>
              <w:kinsoku w:val="0"/>
              <w:overflowPunct w:val="0"/>
              <w:autoSpaceDE w:val="0"/>
              <w:autoSpaceDN w:val="0"/>
              <w:adjustRightInd w:val="0"/>
              <w:jc w:val="center"/>
              <w:rPr>
                <w:sz w:val="21"/>
                <w:szCs w:val="21"/>
                <w:highlight w:val="none"/>
              </w:rPr>
            </w:pPr>
            <w:r>
              <w:rPr>
                <w:sz w:val="21"/>
                <w:szCs w:val="21"/>
                <w:highlight w:val="none"/>
              </w:rPr>
              <w:t>0.004</w:t>
            </w:r>
          </w:p>
        </w:tc>
        <w:tc>
          <w:tcPr>
            <w:tcW w:w="481" w:type="pct"/>
            <w:noWrap w:val="0"/>
            <w:vAlign w:val="center"/>
          </w:tcPr>
          <w:p w14:paraId="7B276D46">
            <w:pPr>
              <w:kinsoku w:val="0"/>
              <w:overflowPunct w:val="0"/>
              <w:autoSpaceDE w:val="0"/>
              <w:autoSpaceDN w:val="0"/>
              <w:adjustRightInd w:val="0"/>
              <w:jc w:val="center"/>
              <w:rPr>
                <w:sz w:val="21"/>
                <w:szCs w:val="21"/>
                <w:highlight w:val="none"/>
              </w:rPr>
            </w:pPr>
            <w:r>
              <w:rPr>
                <w:sz w:val="21"/>
                <w:szCs w:val="21"/>
                <w:highlight w:val="none"/>
              </w:rPr>
              <w:t>0.002</w:t>
            </w:r>
          </w:p>
        </w:tc>
        <w:tc>
          <w:tcPr>
            <w:tcW w:w="427" w:type="pct"/>
            <w:noWrap w:val="0"/>
            <w:vAlign w:val="center"/>
          </w:tcPr>
          <w:p w14:paraId="48DAA13B">
            <w:pPr>
              <w:kinsoku w:val="0"/>
              <w:overflowPunct w:val="0"/>
              <w:autoSpaceDE w:val="0"/>
              <w:autoSpaceDN w:val="0"/>
              <w:adjustRightInd w:val="0"/>
              <w:jc w:val="center"/>
              <w:rPr>
                <w:sz w:val="21"/>
                <w:szCs w:val="21"/>
                <w:highlight w:val="none"/>
              </w:rPr>
            </w:pPr>
            <w:r>
              <w:rPr>
                <w:sz w:val="21"/>
                <w:szCs w:val="21"/>
                <w:highlight w:val="none"/>
              </w:rPr>
              <w:t>0.002</w:t>
            </w:r>
          </w:p>
        </w:tc>
        <w:tc>
          <w:tcPr>
            <w:tcW w:w="566" w:type="pct"/>
            <w:noWrap w:val="0"/>
            <w:vAlign w:val="center"/>
          </w:tcPr>
          <w:p w14:paraId="0A3C3125">
            <w:pPr>
              <w:kinsoku w:val="0"/>
              <w:overflowPunct w:val="0"/>
              <w:autoSpaceDE w:val="0"/>
              <w:autoSpaceDN w:val="0"/>
              <w:adjustRightInd w:val="0"/>
              <w:jc w:val="center"/>
              <w:rPr>
                <w:sz w:val="21"/>
                <w:szCs w:val="21"/>
                <w:highlight w:val="none"/>
              </w:rPr>
            </w:pPr>
            <w:r>
              <w:rPr>
                <w:sz w:val="21"/>
                <w:szCs w:val="21"/>
                <w:highlight w:val="none"/>
              </w:rPr>
              <w:t>0.5</w:t>
            </w:r>
          </w:p>
        </w:tc>
      </w:tr>
      <w:tr w14:paraId="7EE96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exact"/>
          <w:jc w:val="center"/>
        </w:trPr>
        <w:tc>
          <w:tcPr>
            <w:tcW w:w="816" w:type="pct"/>
            <w:noWrap w:val="0"/>
            <w:vAlign w:val="center"/>
          </w:tcPr>
          <w:p w14:paraId="11A39492">
            <w:pPr>
              <w:kinsoku w:val="0"/>
              <w:overflowPunct w:val="0"/>
              <w:autoSpaceDE w:val="0"/>
              <w:autoSpaceDN w:val="0"/>
              <w:adjustRightInd w:val="0"/>
              <w:jc w:val="center"/>
              <w:rPr>
                <w:sz w:val="21"/>
                <w:szCs w:val="21"/>
                <w:highlight w:val="none"/>
              </w:rPr>
            </w:pPr>
            <w:r>
              <w:rPr>
                <w:sz w:val="21"/>
                <w:szCs w:val="21"/>
                <w:highlight w:val="none"/>
              </w:rPr>
              <w:t>总钒</w:t>
            </w:r>
          </w:p>
        </w:tc>
        <w:tc>
          <w:tcPr>
            <w:tcW w:w="519" w:type="pct"/>
            <w:noWrap w:val="0"/>
            <w:vAlign w:val="center"/>
          </w:tcPr>
          <w:p w14:paraId="70992F2D">
            <w:pPr>
              <w:kinsoku w:val="0"/>
              <w:overflowPunct w:val="0"/>
              <w:autoSpaceDE w:val="0"/>
              <w:autoSpaceDN w:val="0"/>
              <w:adjustRightInd w:val="0"/>
              <w:jc w:val="center"/>
              <w:rPr>
                <w:sz w:val="21"/>
                <w:szCs w:val="21"/>
                <w:highlight w:val="none"/>
              </w:rPr>
            </w:pPr>
            <w:r>
              <w:rPr>
                <w:sz w:val="21"/>
                <w:szCs w:val="21"/>
                <w:highlight w:val="none"/>
              </w:rPr>
              <w:t>0.01L</w:t>
            </w:r>
          </w:p>
        </w:tc>
        <w:tc>
          <w:tcPr>
            <w:tcW w:w="498" w:type="pct"/>
            <w:noWrap w:val="0"/>
            <w:vAlign w:val="center"/>
          </w:tcPr>
          <w:p w14:paraId="553E5866">
            <w:pPr>
              <w:kinsoku w:val="0"/>
              <w:overflowPunct w:val="0"/>
              <w:autoSpaceDE w:val="0"/>
              <w:autoSpaceDN w:val="0"/>
              <w:adjustRightInd w:val="0"/>
              <w:jc w:val="center"/>
              <w:rPr>
                <w:sz w:val="21"/>
                <w:szCs w:val="21"/>
                <w:highlight w:val="none"/>
              </w:rPr>
            </w:pPr>
            <w:r>
              <w:rPr>
                <w:sz w:val="21"/>
                <w:szCs w:val="21"/>
                <w:highlight w:val="none"/>
              </w:rPr>
              <w:t>0.01L</w:t>
            </w:r>
          </w:p>
        </w:tc>
        <w:tc>
          <w:tcPr>
            <w:tcW w:w="407" w:type="pct"/>
            <w:noWrap w:val="0"/>
            <w:vAlign w:val="center"/>
          </w:tcPr>
          <w:p w14:paraId="0135F7BE">
            <w:pPr>
              <w:kinsoku w:val="0"/>
              <w:overflowPunct w:val="0"/>
              <w:autoSpaceDE w:val="0"/>
              <w:autoSpaceDN w:val="0"/>
              <w:adjustRightInd w:val="0"/>
              <w:jc w:val="center"/>
              <w:rPr>
                <w:sz w:val="21"/>
                <w:szCs w:val="21"/>
                <w:highlight w:val="none"/>
              </w:rPr>
            </w:pPr>
            <w:r>
              <w:rPr>
                <w:sz w:val="21"/>
                <w:szCs w:val="21"/>
                <w:highlight w:val="none"/>
              </w:rPr>
              <w:t>0.01L</w:t>
            </w:r>
          </w:p>
        </w:tc>
        <w:tc>
          <w:tcPr>
            <w:tcW w:w="481" w:type="pct"/>
            <w:noWrap w:val="0"/>
            <w:vAlign w:val="center"/>
          </w:tcPr>
          <w:p w14:paraId="522B0A44">
            <w:pPr>
              <w:kinsoku w:val="0"/>
              <w:overflowPunct w:val="0"/>
              <w:autoSpaceDE w:val="0"/>
              <w:autoSpaceDN w:val="0"/>
              <w:adjustRightInd w:val="0"/>
              <w:jc w:val="center"/>
              <w:rPr>
                <w:sz w:val="21"/>
                <w:szCs w:val="21"/>
                <w:highlight w:val="none"/>
              </w:rPr>
            </w:pPr>
            <w:r>
              <w:rPr>
                <w:sz w:val="21"/>
                <w:szCs w:val="21"/>
                <w:highlight w:val="none"/>
              </w:rPr>
              <w:t>0.01L</w:t>
            </w:r>
          </w:p>
        </w:tc>
        <w:tc>
          <w:tcPr>
            <w:tcW w:w="427" w:type="pct"/>
            <w:noWrap w:val="0"/>
            <w:vAlign w:val="center"/>
          </w:tcPr>
          <w:p w14:paraId="7496D3DB">
            <w:pPr>
              <w:kinsoku w:val="0"/>
              <w:overflowPunct w:val="0"/>
              <w:autoSpaceDE w:val="0"/>
              <w:autoSpaceDN w:val="0"/>
              <w:adjustRightInd w:val="0"/>
              <w:jc w:val="center"/>
              <w:rPr>
                <w:sz w:val="21"/>
                <w:szCs w:val="21"/>
                <w:highlight w:val="none"/>
              </w:rPr>
            </w:pPr>
            <w:r>
              <w:rPr>
                <w:sz w:val="21"/>
                <w:szCs w:val="21"/>
                <w:highlight w:val="none"/>
              </w:rPr>
              <w:t>0.01L</w:t>
            </w:r>
          </w:p>
        </w:tc>
        <w:tc>
          <w:tcPr>
            <w:tcW w:w="372" w:type="pct"/>
            <w:noWrap w:val="0"/>
            <w:vAlign w:val="center"/>
          </w:tcPr>
          <w:p w14:paraId="7A0DD4AD">
            <w:pPr>
              <w:kinsoku w:val="0"/>
              <w:overflowPunct w:val="0"/>
              <w:autoSpaceDE w:val="0"/>
              <w:autoSpaceDN w:val="0"/>
              <w:adjustRightInd w:val="0"/>
              <w:jc w:val="center"/>
              <w:rPr>
                <w:sz w:val="21"/>
                <w:szCs w:val="21"/>
                <w:highlight w:val="none"/>
              </w:rPr>
            </w:pPr>
            <w:r>
              <w:rPr>
                <w:sz w:val="21"/>
                <w:szCs w:val="21"/>
                <w:highlight w:val="none"/>
              </w:rPr>
              <w:t>0.01L</w:t>
            </w:r>
          </w:p>
        </w:tc>
        <w:tc>
          <w:tcPr>
            <w:tcW w:w="481" w:type="pct"/>
            <w:noWrap w:val="0"/>
            <w:vAlign w:val="center"/>
          </w:tcPr>
          <w:p w14:paraId="5C38A3CC">
            <w:pPr>
              <w:kinsoku w:val="0"/>
              <w:overflowPunct w:val="0"/>
              <w:autoSpaceDE w:val="0"/>
              <w:autoSpaceDN w:val="0"/>
              <w:adjustRightInd w:val="0"/>
              <w:jc w:val="center"/>
              <w:rPr>
                <w:sz w:val="21"/>
                <w:szCs w:val="21"/>
                <w:highlight w:val="none"/>
              </w:rPr>
            </w:pPr>
            <w:r>
              <w:rPr>
                <w:sz w:val="21"/>
                <w:szCs w:val="21"/>
                <w:highlight w:val="none"/>
              </w:rPr>
              <w:t>0.01L</w:t>
            </w:r>
          </w:p>
        </w:tc>
        <w:tc>
          <w:tcPr>
            <w:tcW w:w="427" w:type="pct"/>
            <w:noWrap w:val="0"/>
            <w:vAlign w:val="center"/>
          </w:tcPr>
          <w:p w14:paraId="54CCF4AA">
            <w:pPr>
              <w:kinsoku w:val="0"/>
              <w:overflowPunct w:val="0"/>
              <w:autoSpaceDE w:val="0"/>
              <w:autoSpaceDN w:val="0"/>
              <w:adjustRightInd w:val="0"/>
              <w:jc w:val="center"/>
              <w:rPr>
                <w:sz w:val="21"/>
                <w:szCs w:val="21"/>
                <w:highlight w:val="none"/>
              </w:rPr>
            </w:pPr>
            <w:r>
              <w:rPr>
                <w:sz w:val="21"/>
                <w:szCs w:val="21"/>
                <w:highlight w:val="none"/>
              </w:rPr>
              <w:t>0.01L</w:t>
            </w:r>
          </w:p>
        </w:tc>
        <w:tc>
          <w:tcPr>
            <w:tcW w:w="566" w:type="pct"/>
            <w:noWrap w:val="0"/>
            <w:vAlign w:val="center"/>
          </w:tcPr>
          <w:p w14:paraId="6B8C6433">
            <w:pPr>
              <w:kinsoku w:val="0"/>
              <w:overflowPunct w:val="0"/>
              <w:autoSpaceDE w:val="0"/>
              <w:autoSpaceDN w:val="0"/>
              <w:adjustRightInd w:val="0"/>
              <w:jc w:val="center"/>
              <w:rPr>
                <w:sz w:val="21"/>
                <w:szCs w:val="21"/>
                <w:highlight w:val="none"/>
              </w:rPr>
            </w:pPr>
            <w:r>
              <w:rPr>
                <w:sz w:val="21"/>
                <w:szCs w:val="21"/>
                <w:highlight w:val="none"/>
              </w:rPr>
              <w:t>/</w:t>
            </w:r>
          </w:p>
        </w:tc>
      </w:tr>
      <w:tr w14:paraId="23FD0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exact"/>
          <w:jc w:val="center"/>
        </w:trPr>
        <w:tc>
          <w:tcPr>
            <w:tcW w:w="816" w:type="pct"/>
            <w:noWrap w:val="0"/>
            <w:vAlign w:val="center"/>
          </w:tcPr>
          <w:p w14:paraId="693141A6">
            <w:pPr>
              <w:kinsoku w:val="0"/>
              <w:overflowPunct w:val="0"/>
              <w:autoSpaceDE w:val="0"/>
              <w:autoSpaceDN w:val="0"/>
              <w:adjustRightInd w:val="0"/>
              <w:jc w:val="center"/>
              <w:rPr>
                <w:sz w:val="21"/>
                <w:szCs w:val="21"/>
                <w:highlight w:val="none"/>
              </w:rPr>
            </w:pPr>
            <w:r>
              <w:rPr>
                <w:sz w:val="21"/>
                <w:szCs w:val="21"/>
                <w:highlight w:val="none"/>
              </w:rPr>
              <w:t>总铜</w:t>
            </w:r>
          </w:p>
        </w:tc>
        <w:tc>
          <w:tcPr>
            <w:tcW w:w="519" w:type="pct"/>
            <w:noWrap w:val="0"/>
            <w:vAlign w:val="center"/>
          </w:tcPr>
          <w:p w14:paraId="462C8792">
            <w:pPr>
              <w:kinsoku w:val="0"/>
              <w:overflowPunct w:val="0"/>
              <w:autoSpaceDE w:val="0"/>
              <w:autoSpaceDN w:val="0"/>
              <w:adjustRightInd w:val="0"/>
              <w:jc w:val="center"/>
              <w:rPr>
                <w:sz w:val="21"/>
                <w:szCs w:val="21"/>
                <w:highlight w:val="none"/>
              </w:rPr>
            </w:pPr>
            <w:r>
              <w:rPr>
                <w:sz w:val="21"/>
                <w:szCs w:val="21"/>
                <w:highlight w:val="none"/>
              </w:rPr>
              <w:t>0.04L</w:t>
            </w:r>
          </w:p>
        </w:tc>
        <w:tc>
          <w:tcPr>
            <w:tcW w:w="498" w:type="pct"/>
            <w:noWrap w:val="0"/>
            <w:vAlign w:val="center"/>
          </w:tcPr>
          <w:p w14:paraId="0B7B1226">
            <w:pPr>
              <w:kinsoku w:val="0"/>
              <w:overflowPunct w:val="0"/>
              <w:autoSpaceDE w:val="0"/>
              <w:autoSpaceDN w:val="0"/>
              <w:adjustRightInd w:val="0"/>
              <w:jc w:val="center"/>
              <w:rPr>
                <w:sz w:val="21"/>
                <w:szCs w:val="21"/>
                <w:highlight w:val="none"/>
              </w:rPr>
            </w:pPr>
            <w:r>
              <w:rPr>
                <w:sz w:val="21"/>
                <w:szCs w:val="21"/>
                <w:highlight w:val="none"/>
              </w:rPr>
              <w:t>0.04L</w:t>
            </w:r>
          </w:p>
        </w:tc>
        <w:tc>
          <w:tcPr>
            <w:tcW w:w="407" w:type="pct"/>
            <w:noWrap w:val="0"/>
            <w:vAlign w:val="center"/>
          </w:tcPr>
          <w:p w14:paraId="02EE6710">
            <w:pPr>
              <w:kinsoku w:val="0"/>
              <w:overflowPunct w:val="0"/>
              <w:autoSpaceDE w:val="0"/>
              <w:autoSpaceDN w:val="0"/>
              <w:adjustRightInd w:val="0"/>
              <w:jc w:val="center"/>
              <w:rPr>
                <w:sz w:val="21"/>
                <w:szCs w:val="21"/>
                <w:highlight w:val="none"/>
              </w:rPr>
            </w:pPr>
            <w:r>
              <w:rPr>
                <w:sz w:val="21"/>
                <w:szCs w:val="21"/>
                <w:highlight w:val="none"/>
              </w:rPr>
              <w:t>0.04L</w:t>
            </w:r>
          </w:p>
        </w:tc>
        <w:tc>
          <w:tcPr>
            <w:tcW w:w="481" w:type="pct"/>
            <w:noWrap w:val="0"/>
            <w:vAlign w:val="center"/>
          </w:tcPr>
          <w:p w14:paraId="1A6CE151">
            <w:pPr>
              <w:kinsoku w:val="0"/>
              <w:overflowPunct w:val="0"/>
              <w:autoSpaceDE w:val="0"/>
              <w:autoSpaceDN w:val="0"/>
              <w:adjustRightInd w:val="0"/>
              <w:jc w:val="center"/>
              <w:rPr>
                <w:sz w:val="21"/>
                <w:szCs w:val="21"/>
                <w:highlight w:val="none"/>
              </w:rPr>
            </w:pPr>
            <w:r>
              <w:rPr>
                <w:sz w:val="21"/>
                <w:szCs w:val="21"/>
                <w:highlight w:val="none"/>
              </w:rPr>
              <w:t>0.04L</w:t>
            </w:r>
          </w:p>
        </w:tc>
        <w:tc>
          <w:tcPr>
            <w:tcW w:w="427" w:type="pct"/>
            <w:noWrap w:val="0"/>
            <w:vAlign w:val="center"/>
          </w:tcPr>
          <w:p w14:paraId="4ACDE490">
            <w:pPr>
              <w:kinsoku w:val="0"/>
              <w:overflowPunct w:val="0"/>
              <w:autoSpaceDE w:val="0"/>
              <w:autoSpaceDN w:val="0"/>
              <w:adjustRightInd w:val="0"/>
              <w:jc w:val="center"/>
              <w:rPr>
                <w:sz w:val="21"/>
                <w:szCs w:val="21"/>
                <w:highlight w:val="none"/>
              </w:rPr>
            </w:pPr>
            <w:r>
              <w:rPr>
                <w:sz w:val="21"/>
                <w:szCs w:val="21"/>
                <w:highlight w:val="none"/>
              </w:rPr>
              <w:t>0.04L</w:t>
            </w:r>
          </w:p>
        </w:tc>
        <w:tc>
          <w:tcPr>
            <w:tcW w:w="372" w:type="pct"/>
            <w:noWrap w:val="0"/>
            <w:vAlign w:val="center"/>
          </w:tcPr>
          <w:p w14:paraId="412BB7EB">
            <w:pPr>
              <w:kinsoku w:val="0"/>
              <w:overflowPunct w:val="0"/>
              <w:autoSpaceDE w:val="0"/>
              <w:autoSpaceDN w:val="0"/>
              <w:adjustRightInd w:val="0"/>
              <w:jc w:val="center"/>
              <w:rPr>
                <w:sz w:val="21"/>
                <w:szCs w:val="21"/>
                <w:highlight w:val="none"/>
              </w:rPr>
            </w:pPr>
            <w:r>
              <w:rPr>
                <w:sz w:val="21"/>
                <w:szCs w:val="21"/>
                <w:highlight w:val="none"/>
              </w:rPr>
              <w:t>0.04L</w:t>
            </w:r>
          </w:p>
        </w:tc>
        <w:tc>
          <w:tcPr>
            <w:tcW w:w="481" w:type="pct"/>
            <w:noWrap w:val="0"/>
            <w:vAlign w:val="center"/>
          </w:tcPr>
          <w:p w14:paraId="3C5F9AB5">
            <w:pPr>
              <w:kinsoku w:val="0"/>
              <w:overflowPunct w:val="0"/>
              <w:autoSpaceDE w:val="0"/>
              <w:autoSpaceDN w:val="0"/>
              <w:adjustRightInd w:val="0"/>
              <w:jc w:val="center"/>
              <w:rPr>
                <w:sz w:val="21"/>
                <w:szCs w:val="21"/>
                <w:highlight w:val="none"/>
              </w:rPr>
            </w:pPr>
            <w:r>
              <w:rPr>
                <w:sz w:val="21"/>
                <w:szCs w:val="21"/>
                <w:highlight w:val="none"/>
              </w:rPr>
              <w:t>0.04L</w:t>
            </w:r>
          </w:p>
        </w:tc>
        <w:tc>
          <w:tcPr>
            <w:tcW w:w="427" w:type="pct"/>
            <w:noWrap w:val="0"/>
            <w:vAlign w:val="center"/>
          </w:tcPr>
          <w:p w14:paraId="41C0FE61">
            <w:pPr>
              <w:kinsoku w:val="0"/>
              <w:overflowPunct w:val="0"/>
              <w:autoSpaceDE w:val="0"/>
              <w:autoSpaceDN w:val="0"/>
              <w:adjustRightInd w:val="0"/>
              <w:jc w:val="center"/>
              <w:rPr>
                <w:sz w:val="21"/>
                <w:szCs w:val="21"/>
                <w:highlight w:val="none"/>
              </w:rPr>
            </w:pPr>
            <w:r>
              <w:rPr>
                <w:sz w:val="21"/>
                <w:szCs w:val="21"/>
                <w:highlight w:val="none"/>
              </w:rPr>
              <w:t>0.04L</w:t>
            </w:r>
          </w:p>
        </w:tc>
        <w:tc>
          <w:tcPr>
            <w:tcW w:w="566" w:type="pct"/>
            <w:noWrap w:val="0"/>
            <w:vAlign w:val="center"/>
          </w:tcPr>
          <w:p w14:paraId="42AB3136">
            <w:pPr>
              <w:kinsoku w:val="0"/>
              <w:overflowPunct w:val="0"/>
              <w:autoSpaceDE w:val="0"/>
              <w:autoSpaceDN w:val="0"/>
              <w:adjustRightInd w:val="0"/>
              <w:jc w:val="center"/>
              <w:rPr>
                <w:sz w:val="21"/>
                <w:szCs w:val="21"/>
                <w:highlight w:val="none"/>
              </w:rPr>
            </w:pPr>
            <w:r>
              <w:rPr>
                <w:sz w:val="21"/>
                <w:szCs w:val="21"/>
                <w:highlight w:val="none"/>
              </w:rPr>
              <w:t>0.5</w:t>
            </w:r>
          </w:p>
        </w:tc>
      </w:tr>
      <w:tr w14:paraId="1F739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1" w:hRule="exact"/>
          <w:jc w:val="center"/>
        </w:trPr>
        <w:tc>
          <w:tcPr>
            <w:tcW w:w="816" w:type="pct"/>
            <w:noWrap w:val="0"/>
            <w:vAlign w:val="center"/>
          </w:tcPr>
          <w:p w14:paraId="146034BB">
            <w:pPr>
              <w:kinsoku w:val="0"/>
              <w:overflowPunct w:val="0"/>
              <w:autoSpaceDE w:val="0"/>
              <w:autoSpaceDN w:val="0"/>
              <w:adjustRightInd w:val="0"/>
              <w:jc w:val="center"/>
              <w:rPr>
                <w:sz w:val="21"/>
                <w:szCs w:val="21"/>
                <w:highlight w:val="none"/>
              </w:rPr>
            </w:pPr>
            <w:r>
              <w:rPr>
                <w:sz w:val="21"/>
                <w:szCs w:val="21"/>
                <w:highlight w:val="none"/>
              </w:rPr>
              <w:t>总锌</w:t>
            </w:r>
          </w:p>
        </w:tc>
        <w:tc>
          <w:tcPr>
            <w:tcW w:w="519" w:type="pct"/>
            <w:noWrap w:val="0"/>
            <w:vAlign w:val="center"/>
          </w:tcPr>
          <w:p w14:paraId="512CC57B">
            <w:pPr>
              <w:kinsoku w:val="0"/>
              <w:overflowPunct w:val="0"/>
              <w:autoSpaceDE w:val="0"/>
              <w:autoSpaceDN w:val="0"/>
              <w:adjustRightInd w:val="0"/>
              <w:jc w:val="center"/>
              <w:rPr>
                <w:sz w:val="21"/>
                <w:szCs w:val="21"/>
                <w:highlight w:val="none"/>
              </w:rPr>
            </w:pPr>
            <w:r>
              <w:rPr>
                <w:sz w:val="21"/>
                <w:szCs w:val="21"/>
                <w:highlight w:val="none"/>
              </w:rPr>
              <w:t>0.009L</w:t>
            </w:r>
          </w:p>
        </w:tc>
        <w:tc>
          <w:tcPr>
            <w:tcW w:w="498" w:type="pct"/>
            <w:noWrap w:val="0"/>
            <w:vAlign w:val="center"/>
          </w:tcPr>
          <w:p w14:paraId="5557D4E7">
            <w:pPr>
              <w:kinsoku w:val="0"/>
              <w:overflowPunct w:val="0"/>
              <w:autoSpaceDE w:val="0"/>
              <w:autoSpaceDN w:val="0"/>
              <w:adjustRightInd w:val="0"/>
              <w:jc w:val="center"/>
              <w:rPr>
                <w:sz w:val="21"/>
                <w:szCs w:val="21"/>
                <w:highlight w:val="none"/>
              </w:rPr>
            </w:pPr>
            <w:r>
              <w:rPr>
                <w:sz w:val="21"/>
                <w:szCs w:val="21"/>
                <w:highlight w:val="none"/>
              </w:rPr>
              <w:t>0.009L</w:t>
            </w:r>
          </w:p>
        </w:tc>
        <w:tc>
          <w:tcPr>
            <w:tcW w:w="407" w:type="pct"/>
            <w:noWrap w:val="0"/>
            <w:vAlign w:val="center"/>
          </w:tcPr>
          <w:p w14:paraId="24254A92">
            <w:pPr>
              <w:kinsoku w:val="0"/>
              <w:overflowPunct w:val="0"/>
              <w:autoSpaceDE w:val="0"/>
              <w:autoSpaceDN w:val="0"/>
              <w:adjustRightInd w:val="0"/>
              <w:jc w:val="center"/>
              <w:rPr>
                <w:sz w:val="21"/>
                <w:szCs w:val="21"/>
                <w:highlight w:val="none"/>
              </w:rPr>
            </w:pPr>
            <w:r>
              <w:rPr>
                <w:sz w:val="21"/>
                <w:szCs w:val="21"/>
                <w:highlight w:val="none"/>
              </w:rPr>
              <w:t>0.009L</w:t>
            </w:r>
          </w:p>
        </w:tc>
        <w:tc>
          <w:tcPr>
            <w:tcW w:w="481" w:type="pct"/>
            <w:noWrap w:val="0"/>
            <w:vAlign w:val="center"/>
          </w:tcPr>
          <w:p w14:paraId="4A28DC87">
            <w:pPr>
              <w:kinsoku w:val="0"/>
              <w:overflowPunct w:val="0"/>
              <w:autoSpaceDE w:val="0"/>
              <w:autoSpaceDN w:val="0"/>
              <w:adjustRightInd w:val="0"/>
              <w:jc w:val="center"/>
              <w:rPr>
                <w:sz w:val="21"/>
                <w:szCs w:val="21"/>
                <w:highlight w:val="none"/>
              </w:rPr>
            </w:pPr>
            <w:r>
              <w:rPr>
                <w:sz w:val="21"/>
                <w:szCs w:val="21"/>
                <w:highlight w:val="none"/>
              </w:rPr>
              <w:t>0.009L</w:t>
            </w:r>
          </w:p>
        </w:tc>
        <w:tc>
          <w:tcPr>
            <w:tcW w:w="427" w:type="pct"/>
            <w:noWrap w:val="0"/>
            <w:vAlign w:val="center"/>
          </w:tcPr>
          <w:p w14:paraId="2E301B27">
            <w:pPr>
              <w:kinsoku w:val="0"/>
              <w:overflowPunct w:val="0"/>
              <w:autoSpaceDE w:val="0"/>
              <w:autoSpaceDN w:val="0"/>
              <w:adjustRightInd w:val="0"/>
              <w:jc w:val="center"/>
              <w:rPr>
                <w:sz w:val="21"/>
                <w:szCs w:val="21"/>
                <w:highlight w:val="none"/>
              </w:rPr>
            </w:pPr>
            <w:r>
              <w:rPr>
                <w:sz w:val="21"/>
                <w:szCs w:val="21"/>
                <w:highlight w:val="none"/>
              </w:rPr>
              <w:t>0.009L</w:t>
            </w:r>
          </w:p>
        </w:tc>
        <w:tc>
          <w:tcPr>
            <w:tcW w:w="372" w:type="pct"/>
            <w:noWrap w:val="0"/>
            <w:vAlign w:val="center"/>
          </w:tcPr>
          <w:p w14:paraId="32231AA9">
            <w:pPr>
              <w:kinsoku w:val="0"/>
              <w:overflowPunct w:val="0"/>
              <w:autoSpaceDE w:val="0"/>
              <w:autoSpaceDN w:val="0"/>
              <w:adjustRightInd w:val="0"/>
              <w:jc w:val="center"/>
              <w:rPr>
                <w:sz w:val="21"/>
                <w:szCs w:val="21"/>
                <w:highlight w:val="none"/>
              </w:rPr>
            </w:pPr>
            <w:r>
              <w:rPr>
                <w:sz w:val="21"/>
                <w:szCs w:val="21"/>
                <w:highlight w:val="none"/>
              </w:rPr>
              <w:t>0.009L</w:t>
            </w:r>
          </w:p>
        </w:tc>
        <w:tc>
          <w:tcPr>
            <w:tcW w:w="481" w:type="pct"/>
            <w:noWrap w:val="0"/>
            <w:vAlign w:val="center"/>
          </w:tcPr>
          <w:p w14:paraId="0AA7123F">
            <w:pPr>
              <w:kinsoku w:val="0"/>
              <w:overflowPunct w:val="0"/>
              <w:autoSpaceDE w:val="0"/>
              <w:autoSpaceDN w:val="0"/>
              <w:adjustRightInd w:val="0"/>
              <w:jc w:val="center"/>
              <w:rPr>
                <w:sz w:val="21"/>
                <w:szCs w:val="21"/>
                <w:highlight w:val="none"/>
              </w:rPr>
            </w:pPr>
            <w:r>
              <w:rPr>
                <w:sz w:val="21"/>
                <w:szCs w:val="21"/>
                <w:highlight w:val="none"/>
              </w:rPr>
              <w:t>0.009L</w:t>
            </w:r>
          </w:p>
        </w:tc>
        <w:tc>
          <w:tcPr>
            <w:tcW w:w="427" w:type="pct"/>
            <w:noWrap w:val="0"/>
            <w:vAlign w:val="center"/>
          </w:tcPr>
          <w:p w14:paraId="6DB0C1FF">
            <w:pPr>
              <w:kinsoku w:val="0"/>
              <w:overflowPunct w:val="0"/>
              <w:autoSpaceDE w:val="0"/>
              <w:autoSpaceDN w:val="0"/>
              <w:adjustRightInd w:val="0"/>
              <w:jc w:val="center"/>
              <w:rPr>
                <w:sz w:val="21"/>
                <w:szCs w:val="21"/>
                <w:highlight w:val="none"/>
              </w:rPr>
            </w:pPr>
            <w:r>
              <w:rPr>
                <w:sz w:val="21"/>
                <w:szCs w:val="21"/>
                <w:highlight w:val="none"/>
              </w:rPr>
              <w:t>0.009L</w:t>
            </w:r>
          </w:p>
        </w:tc>
        <w:tc>
          <w:tcPr>
            <w:tcW w:w="566" w:type="pct"/>
            <w:noWrap w:val="0"/>
            <w:vAlign w:val="center"/>
          </w:tcPr>
          <w:p w14:paraId="0B7E33D7">
            <w:pPr>
              <w:kinsoku w:val="0"/>
              <w:overflowPunct w:val="0"/>
              <w:autoSpaceDE w:val="0"/>
              <w:autoSpaceDN w:val="0"/>
              <w:adjustRightInd w:val="0"/>
              <w:jc w:val="center"/>
              <w:rPr>
                <w:sz w:val="21"/>
                <w:szCs w:val="21"/>
                <w:highlight w:val="none"/>
              </w:rPr>
            </w:pPr>
            <w:r>
              <w:rPr>
                <w:sz w:val="21"/>
                <w:szCs w:val="21"/>
                <w:highlight w:val="none"/>
              </w:rPr>
              <w:t>2.0</w:t>
            </w:r>
          </w:p>
        </w:tc>
      </w:tr>
      <w:tr w14:paraId="1A870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exact"/>
          <w:jc w:val="center"/>
        </w:trPr>
        <w:tc>
          <w:tcPr>
            <w:tcW w:w="816" w:type="pct"/>
            <w:noWrap w:val="0"/>
            <w:vAlign w:val="center"/>
          </w:tcPr>
          <w:p w14:paraId="08547F61">
            <w:pPr>
              <w:kinsoku w:val="0"/>
              <w:overflowPunct w:val="0"/>
              <w:autoSpaceDE w:val="0"/>
              <w:autoSpaceDN w:val="0"/>
              <w:adjustRightInd w:val="0"/>
              <w:jc w:val="center"/>
              <w:rPr>
                <w:sz w:val="21"/>
                <w:szCs w:val="21"/>
                <w:highlight w:val="none"/>
              </w:rPr>
            </w:pPr>
            <w:r>
              <w:rPr>
                <w:sz w:val="21"/>
                <w:szCs w:val="21"/>
                <w:highlight w:val="none"/>
              </w:rPr>
              <w:t>总氰化物</w:t>
            </w:r>
          </w:p>
        </w:tc>
        <w:tc>
          <w:tcPr>
            <w:tcW w:w="519" w:type="pct"/>
            <w:noWrap w:val="0"/>
            <w:vAlign w:val="center"/>
          </w:tcPr>
          <w:p w14:paraId="07E39475">
            <w:pPr>
              <w:kinsoku w:val="0"/>
              <w:overflowPunct w:val="0"/>
              <w:autoSpaceDE w:val="0"/>
              <w:autoSpaceDN w:val="0"/>
              <w:adjustRightInd w:val="0"/>
              <w:jc w:val="center"/>
              <w:rPr>
                <w:sz w:val="21"/>
                <w:szCs w:val="21"/>
                <w:highlight w:val="none"/>
              </w:rPr>
            </w:pPr>
            <w:r>
              <w:rPr>
                <w:sz w:val="21"/>
                <w:szCs w:val="21"/>
                <w:highlight w:val="none"/>
              </w:rPr>
              <w:t>0.007</w:t>
            </w:r>
          </w:p>
        </w:tc>
        <w:tc>
          <w:tcPr>
            <w:tcW w:w="498" w:type="pct"/>
            <w:noWrap w:val="0"/>
            <w:vAlign w:val="center"/>
          </w:tcPr>
          <w:p w14:paraId="5BD512E3">
            <w:pPr>
              <w:kinsoku w:val="0"/>
              <w:overflowPunct w:val="0"/>
              <w:autoSpaceDE w:val="0"/>
              <w:autoSpaceDN w:val="0"/>
              <w:adjustRightInd w:val="0"/>
              <w:jc w:val="center"/>
              <w:rPr>
                <w:sz w:val="21"/>
                <w:szCs w:val="21"/>
                <w:highlight w:val="none"/>
              </w:rPr>
            </w:pPr>
            <w:r>
              <w:rPr>
                <w:sz w:val="21"/>
                <w:szCs w:val="21"/>
                <w:highlight w:val="none"/>
              </w:rPr>
              <w:t>0.006</w:t>
            </w:r>
          </w:p>
        </w:tc>
        <w:tc>
          <w:tcPr>
            <w:tcW w:w="407" w:type="pct"/>
            <w:noWrap w:val="0"/>
            <w:vAlign w:val="center"/>
          </w:tcPr>
          <w:p w14:paraId="74476BF6">
            <w:pPr>
              <w:kinsoku w:val="0"/>
              <w:overflowPunct w:val="0"/>
              <w:autoSpaceDE w:val="0"/>
              <w:autoSpaceDN w:val="0"/>
              <w:adjustRightInd w:val="0"/>
              <w:jc w:val="center"/>
              <w:rPr>
                <w:sz w:val="21"/>
                <w:szCs w:val="21"/>
                <w:highlight w:val="none"/>
              </w:rPr>
            </w:pPr>
            <w:r>
              <w:rPr>
                <w:sz w:val="21"/>
                <w:szCs w:val="21"/>
                <w:highlight w:val="none"/>
              </w:rPr>
              <w:t>0.006</w:t>
            </w:r>
          </w:p>
        </w:tc>
        <w:tc>
          <w:tcPr>
            <w:tcW w:w="481" w:type="pct"/>
            <w:noWrap w:val="0"/>
            <w:vAlign w:val="center"/>
          </w:tcPr>
          <w:p w14:paraId="3627BE28">
            <w:pPr>
              <w:kinsoku w:val="0"/>
              <w:overflowPunct w:val="0"/>
              <w:autoSpaceDE w:val="0"/>
              <w:autoSpaceDN w:val="0"/>
              <w:adjustRightInd w:val="0"/>
              <w:jc w:val="center"/>
              <w:rPr>
                <w:sz w:val="21"/>
                <w:szCs w:val="21"/>
                <w:highlight w:val="none"/>
              </w:rPr>
            </w:pPr>
            <w:r>
              <w:rPr>
                <w:sz w:val="21"/>
                <w:szCs w:val="21"/>
                <w:highlight w:val="none"/>
              </w:rPr>
              <w:t>0.006</w:t>
            </w:r>
          </w:p>
        </w:tc>
        <w:tc>
          <w:tcPr>
            <w:tcW w:w="427" w:type="pct"/>
            <w:noWrap w:val="0"/>
            <w:vAlign w:val="center"/>
          </w:tcPr>
          <w:p w14:paraId="7EEA7F16">
            <w:pPr>
              <w:kinsoku w:val="0"/>
              <w:overflowPunct w:val="0"/>
              <w:autoSpaceDE w:val="0"/>
              <w:autoSpaceDN w:val="0"/>
              <w:adjustRightInd w:val="0"/>
              <w:jc w:val="center"/>
              <w:rPr>
                <w:sz w:val="21"/>
                <w:szCs w:val="21"/>
                <w:highlight w:val="none"/>
              </w:rPr>
            </w:pPr>
            <w:r>
              <w:rPr>
                <w:sz w:val="21"/>
                <w:szCs w:val="21"/>
                <w:highlight w:val="none"/>
              </w:rPr>
              <w:t>0.006</w:t>
            </w:r>
          </w:p>
        </w:tc>
        <w:tc>
          <w:tcPr>
            <w:tcW w:w="372" w:type="pct"/>
            <w:noWrap w:val="0"/>
            <w:vAlign w:val="center"/>
          </w:tcPr>
          <w:p w14:paraId="5CF25449">
            <w:pPr>
              <w:kinsoku w:val="0"/>
              <w:overflowPunct w:val="0"/>
              <w:autoSpaceDE w:val="0"/>
              <w:autoSpaceDN w:val="0"/>
              <w:adjustRightInd w:val="0"/>
              <w:jc w:val="center"/>
              <w:rPr>
                <w:sz w:val="21"/>
                <w:szCs w:val="21"/>
                <w:highlight w:val="none"/>
              </w:rPr>
            </w:pPr>
            <w:r>
              <w:rPr>
                <w:sz w:val="21"/>
                <w:szCs w:val="21"/>
                <w:highlight w:val="none"/>
              </w:rPr>
              <w:t>0.006</w:t>
            </w:r>
          </w:p>
        </w:tc>
        <w:tc>
          <w:tcPr>
            <w:tcW w:w="481" w:type="pct"/>
            <w:noWrap w:val="0"/>
            <w:vAlign w:val="center"/>
          </w:tcPr>
          <w:p w14:paraId="01CD113B">
            <w:pPr>
              <w:kinsoku w:val="0"/>
              <w:overflowPunct w:val="0"/>
              <w:autoSpaceDE w:val="0"/>
              <w:autoSpaceDN w:val="0"/>
              <w:adjustRightInd w:val="0"/>
              <w:jc w:val="center"/>
              <w:rPr>
                <w:sz w:val="21"/>
                <w:szCs w:val="21"/>
                <w:highlight w:val="none"/>
              </w:rPr>
            </w:pPr>
            <w:r>
              <w:rPr>
                <w:sz w:val="21"/>
                <w:szCs w:val="21"/>
                <w:highlight w:val="none"/>
              </w:rPr>
              <w:t>0.006</w:t>
            </w:r>
          </w:p>
        </w:tc>
        <w:tc>
          <w:tcPr>
            <w:tcW w:w="427" w:type="pct"/>
            <w:noWrap w:val="0"/>
            <w:vAlign w:val="center"/>
          </w:tcPr>
          <w:p w14:paraId="1F43AB7B">
            <w:pPr>
              <w:kinsoku w:val="0"/>
              <w:overflowPunct w:val="0"/>
              <w:autoSpaceDE w:val="0"/>
              <w:autoSpaceDN w:val="0"/>
              <w:adjustRightInd w:val="0"/>
              <w:jc w:val="center"/>
              <w:rPr>
                <w:sz w:val="21"/>
                <w:szCs w:val="21"/>
                <w:highlight w:val="none"/>
              </w:rPr>
            </w:pPr>
            <w:r>
              <w:rPr>
                <w:sz w:val="21"/>
                <w:szCs w:val="21"/>
                <w:highlight w:val="none"/>
              </w:rPr>
              <w:t>0.006</w:t>
            </w:r>
          </w:p>
        </w:tc>
        <w:tc>
          <w:tcPr>
            <w:tcW w:w="566" w:type="pct"/>
            <w:noWrap w:val="0"/>
            <w:vAlign w:val="center"/>
          </w:tcPr>
          <w:p w14:paraId="58885237">
            <w:pPr>
              <w:kinsoku w:val="0"/>
              <w:overflowPunct w:val="0"/>
              <w:autoSpaceDE w:val="0"/>
              <w:autoSpaceDN w:val="0"/>
              <w:adjustRightInd w:val="0"/>
              <w:jc w:val="center"/>
              <w:rPr>
                <w:sz w:val="21"/>
                <w:szCs w:val="21"/>
                <w:highlight w:val="none"/>
              </w:rPr>
            </w:pPr>
            <w:r>
              <w:rPr>
                <w:sz w:val="21"/>
                <w:szCs w:val="21"/>
                <w:highlight w:val="none"/>
              </w:rPr>
              <w:t>0.5</w:t>
            </w:r>
          </w:p>
        </w:tc>
      </w:tr>
      <w:tr w14:paraId="54D41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exact"/>
          <w:jc w:val="center"/>
        </w:trPr>
        <w:tc>
          <w:tcPr>
            <w:tcW w:w="816" w:type="pct"/>
            <w:noWrap w:val="0"/>
            <w:vAlign w:val="center"/>
          </w:tcPr>
          <w:p w14:paraId="493D01A4">
            <w:pPr>
              <w:kinsoku w:val="0"/>
              <w:overflowPunct w:val="0"/>
              <w:autoSpaceDE w:val="0"/>
              <w:autoSpaceDN w:val="0"/>
              <w:adjustRightInd w:val="0"/>
              <w:jc w:val="center"/>
              <w:rPr>
                <w:sz w:val="21"/>
                <w:szCs w:val="21"/>
                <w:highlight w:val="none"/>
              </w:rPr>
            </w:pPr>
            <w:r>
              <w:rPr>
                <w:sz w:val="21"/>
                <w:szCs w:val="21"/>
                <w:highlight w:val="none"/>
              </w:rPr>
              <w:t>阴离子表面活性剂</w:t>
            </w:r>
          </w:p>
        </w:tc>
        <w:tc>
          <w:tcPr>
            <w:tcW w:w="519" w:type="pct"/>
            <w:noWrap w:val="0"/>
            <w:vAlign w:val="center"/>
          </w:tcPr>
          <w:p w14:paraId="58AAA415">
            <w:pPr>
              <w:kinsoku w:val="0"/>
              <w:overflowPunct w:val="0"/>
              <w:autoSpaceDE w:val="0"/>
              <w:autoSpaceDN w:val="0"/>
              <w:adjustRightInd w:val="0"/>
              <w:jc w:val="center"/>
              <w:rPr>
                <w:sz w:val="21"/>
                <w:szCs w:val="21"/>
                <w:highlight w:val="none"/>
              </w:rPr>
            </w:pPr>
            <w:r>
              <w:rPr>
                <w:sz w:val="21"/>
                <w:szCs w:val="21"/>
                <w:highlight w:val="none"/>
              </w:rPr>
              <w:t>0.05</w:t>
            </w:r>
          </w:p>
        </w:tc>
        <w:tc>
          <w:tcPr>
            <w:tcW w:w="498" w:type="pct"/>
            <w:noWrap w:val="0"/>
            <w:vAlign w:val="center"/>
          </w:tcPr>
          <w:p w14:paraId="721BE902">
            <w:pPr>
              <w:kinsoku w:val="0"/>
              <w:overflowPunct w:val="0"/>
              <w:autoSpaceDE w:val="0"/>
              <w:autoSpaceDN w:val="0"/>
              <w:adjustRightInd w:val="0"/>
              <w:jc w:val="center"/>
              <w:rPr>
                <w:sz w:val="21"/>
                <w:szCs w:val="21"/>
                <w:highlight w:val="none"/>
              </w:rPr>
            </w:pPr>
            <w:r>
              <w:rPr>
                <w:sz w:val="21"/>
                <w:szCs w:val="21"/>
                <w:highlight w:val="none"/>
              </w:rPr>
              <w:t>0.04L</w:t>
            </w:r>
          </w:p>
        </w:tc>
        <w:tc>
          <w:tcPr>
            <w:tcW w:w="407" w:type="pct"/>
            <w:noWrap w:val="0"/>
            <w:vAlign w:val="center"/>
          </w:tcPr>
          <w:p w14:paraId="0FF75F94">
            <w:pPr>
              <w:kinsoku w:val="0"/>
              <w:overflowPunct w:val="0"/>
              <w:autoSpaceDE w:val="0"/>
              <w:autoSpaceDN w:val="0"/>
              <w:adjustRightInd w:val="0"/>
              <w:jc w:val="center"/>
              <w:rPr>
                <w:sz w:val="21"/>
                <w:szCs w:val="21"/>
                <w:highlight w:val="none"/>
              </w:rPr>
            </w:pPr>
            <w:r>
              <w:rPr>
                <w:sz w:val="21"/>
                <w:szCs w:val="21"/>
                <w:highlight w:val="none"/>
              </w:rPr>
              <w:t>0.04L</w:t>
            </w:r>
          </w:p>
        </w:tc>
        <w:tc>
          <w:tcPr>
            <w:tcW w:w="481" w:type="pct"/>
            <w:noWrap w:val="0"/>
            <w:vAlign w:val="center"/>
          </w:tcPr>
          <w:p w14:paraId="6C57D92E">
            <w:pPr>
              <w:kinsoku w:val="0"/>
              <w:overflowPunct w:val="0"/>
              <w:autoSpaceDE w:val="0"/>
              <w:autoSpaceDN w:val="0"/>
              <w:adjustRightInd w:val="0"/>
              <w:jc w:val="center"/>
              <w:rPr>
                <w:sz w:val="21"/>
                <w:szCs w:val="21"/>
                <w:highlight w:val="none"/>
              </w:rPr>
            </w:pPr>
            <w:r>
              <w:rPr>
                <w:sz w:val="21"/>
                <w:szCs w:val="21"/>
                <w:highlight w:val="none"/>
              </w:rPr>
              <w:t>0.04L</w:t>
            </w:r>
          </w:p>
        </w:tc>
        <w:tc>
          <w:tcPr>
            <w:tcW w:w="427" w:type="pct"/>
            <w:noWrap w:val="0"/>
            <w:vAlign w:val="center"/>
          </w:tcPr>
          <w:p w14:paraId="4A0BC286">
            <w:pPr>
              <w:kinsoku w:val="0"/>
              <w:overflowPunct w:val="0"/>
              <w:autoSpaceDE w:val="0"/>
              <w:autoSpaceDN w:val="0"/>
              <w:adjustRightInd w:val="0"/>
              <w:jc w:val="center"/>
              <w:rPr>
                <w:sz w:val="21"/>
                <w:szCs w:val="21"/>
                <w:highlight w:val="none"/>
              </w:rPr>
            </w:pPr>
            <w:r>
              <w:rPr>
                <w:sz w:val="21"/>
                <w:szCs w:val="21"/>
                <w:highlight w:val="none"/>
              </w:rPr>
              <w:t>0.07</w:t>
            </w:r>
          </w:p>
        </w:tc>
        <w:tc>
          <w:tcPr>
            <w:tcW w:w="372" w:type="pct"/>
            <w:noWrap w:val="0"/>
            <w:vAlign w:val="center"/>
          </w:tcPr>
          <w:p w14:paraId="12B64D4E">
            <w:pPr>
              <w:kinsoku w:val="0"/>
              <w:overflowPunct w:val="0"/>
              <w:autoSpaceDE w:val="0"/>
              <w:autoSpaceDN w:val="0"/>
              <w:adjustRightInd w:val="0"/>
              <w:jc w:val="center"/>
              <w:rPr>
                <w:sz w:val="21"/>
                <w:szCs w:val="21"/>
                <w:highlight w:val="none"/>
              </w:rPr>
            </w:pPr>
            <w:r>
              <w:rPr>
                <w:sz w:val="21"/>
                <w:szCs w:val="21"/>
                <w:highlight w:val="none"/>
              </w:rPr>
              <w:t>0.05</w:t>
            </w:r>
          </w:p>
        </w:tc>
        <w:tc>
          <w:tcPr>
            <w:tcW w:w="481" w:type="pct"/>
            <w:noWrap w:val="0"/>
            <w:vAlign w:val="center"/>
          </w:tcPr>
          <w:p w14:paraId="48C41009">
            <w:pPr>
              <w:kinsoku w:val="0"/>
              <w:overflowPunct w:val="0"/>
              <w:autoSpaceDE w:val="0"/>
              <w:autoSpaceDN w:val="0"/>
              <w:adjustRightInd w:val="0"/>
              <w:jc w:val="center"/>
              <w:rPr>
                <w:sz w:val="21"/>
                <w:szCs w:val="21"/>
                <w:highlight w:val="none"/>
              </w:rPr>
            </w:pPr>
            <w:r>
              <w:rPr>
                <w:sz w:val="21"/>
                <w:szCs w:val="21"/>
                <w:highlight w:val="none"/>
              </w:rPr>
              <w:t>0.48</w:t>
            </w:r>
          </w:p>
        </w:tc>
        <w:tc>
          <w:tcPr>
            <w:tcW w:w="427" w:type="pct"/>
            <w:noWrap w:val="0"/>
            <w:vAlign w:val="center"/>
          </w:tcPr>
          <w:p w14:paraId="37C3C107">
            <w:pPr>
              <w:kinsoku w:val="0"/>
              <w:overflowPunct w:val="0"/>
              <w:autoSpaceDE w:val="0"/>
              <w:autoSpaceDN w:val="0"/>
              <w:adjustRightInd w:val="0"/>
              <w:jc w:val="center"/>
              <w:rPr>
                <w:sz w:val="21"/>
                <w:szCs w:val="21"/>
                <w:highlight w:val="none"/>
              </w:rPr>
            </w:pPr>
            <w:r>
              <w:rPr>
                <w:sz w:val="21"/>
                <w:szCs w:val="21"/>
                <w:highlight w:val="none"/>
              </w:rPr>
              <w:t>0.06</w:t>
            </w:r>
          </w:p>
        </w:tc>
        <w:tc>
          <w:tcPr>
            <w:tcW w:w="566" w:type="pct"/>
            <w:noWrap w:val="0"/>
            <w:vAlign w:val="center"/>
          </w:tcPr>
          <w:p w14:paraId="2B9CD0B9">
            <w:pPr>
              <w:kinsoku w:val="0"/>
              <w:overflowPunct w:val="0"/>
              <w:autoSpaceDE w:val="0"/>
              <w:autoSpaceDN w:val="0"/>
              <w:adjustRightInd w:val="0"/>
              <w:jc w:val="center"/>
              <w:rPr>
                <w:sz w:val="21"/>
                <w:szCs w:val="21"/>
                <w:highlight w:val="none"/>
              </w:rPr>
            </w:pPr>
            <w:r>
              <w:rPr>
                <w:sz w:val="21"/>
                <w:szCs w:val="21"/>
                <w:highlight w:val="none"/>
              </w:rPr>
              <w:t>5.0</w:t>
            </w:r>
          </w:p>
        </w:tc>
      </w:tr>
      <w:tr w14:paraId="6DAE0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exact"/>
          <w:jc w:val="center"/>
        </w:trPr>
        <w:tc>
          <w:tcPr>
            <w:tcW w:w="816" w:type="pct"/>
            <w:noWrap w:val="0"/>
            <w:vAlign w:val="center"/>
          </w:tcPr>
          <w:p w14:paraId="2B590218">
            <w:pPr>
              <w:kinsoku w:val="0"/>
              <w:overflowPunct w:val="0"/>
              <w:autoSpaceDE w:val="0"/>
              <w:autoSpaceDN w:val="0"/>
              <w:adjustRightInd w:val="0"/>
              <w:jc w:val="center"/>
              <w:rPr>
                <w:sz w:val="21"/>
                <w:szCs w:val="21"/>
                <w:highlight w:val="none"/>
              </w:rPr>
            </w:pPr>
            <w:r>
              <w:rPr>
                <w:sz w:val="21"/>
                <w:szCs w:val="21"/>
                <w:highlight w:val="none"/>
              </w:rPr>
              <w:t>石油类</w:t>
            </w:r>
          </w:p>
        </w:tc>
        <w:tc>
          <w:tcPr>
            <w:tcW w:w="519" w:type="pct"/>
            <w:noWrap w:val="0"/>
            <w:vAlign w:val="center"/>
          </w:tcPr>
          <w:p w14:paraId="6DA7D115">
            <w:pPr>
              <w:kinsoku w:val="0"/>
              <w:overflowPunct w:val="0"/>
              <w:autoSpaceDE w:val="0"/>
              <w:autoSpaceDN w:val="0"/>
              <w:adjustRightInd w:val="0"/>
              <w:jc w:val="center"/>
              <w:rPr>
                <w:sz w:val="21"/>
                <w:szCs w:val="21"/>
                <w:highlight w:val="none"/>
              </w:rPr>
            </w:pPr>
            <w:r>
              <w:rPr>
                <w:sz w:val="21"/>
                <w:szCs w:val="21"/>
                <w:highlight w:val="none"/>
              </w:rPr>
              <w:t>0.06L</w:t>
            </w:r>
          </w:p>
        </w:tc>
        <w:tc>
          <w:tcPr>
            <w:tcW w:w="498" w:type="pct"/>
            <w:noWrap w:val="0"/>
            <w:vAlign w:val="center"/>
          </w:tcPr>
          <w:p w14:paraId="574D6800">
            <w:pPr>
              <w:kinsoku w:val="0"/>
              <w:overflowPunct w:val="0"/>
              <w:autoSpaceDE w:val="0"/>
              <w:autoSpaceDN w:val="0"/>
              <w:adjustRightInd w:val="0"/>
              <w:jc w:val="center"/>
              <w:rPr>
                <w:sz w:val="21"/>
                <w:szCs w:val="21"/>
                <w:highlight w:val="none"/>
              </w:rPr>
            </w:pPr>
            <w:r>
              <w:rPr>
                <w:sz w:val="21"/>
                <w:szCs w:val="21"/>
                <w:highlight w:val="none"/>
              </w:rPr>
              <w:t>0.06L</w:t>
            </w:r>
          </w:p>
        </w:tc>
        <w:tc>
          <w:tcPr>
            <w:tcW w:w="407" w:type="pct"/>
            <w:noWrap w:val="0"/>
            <w:vAlign w:val="center"/>
          </w:tcPr>
          <w:p w14:paraId="4F472ECC">
            <w:pPr>
              <w:kinsoku w:val="0"/>
              <w:overflowPunct w:val="0"/>
              <w:autoSpaceDE w:val="0"/>
              <w:autoSpaceDN w:val="0"/>
              <w:adjustRightInd w:val="0"/>
              <w:jc w:val="center"/>
              <w:rPr>
                <w:sz w:val="21"/>
                <w:szCs w:val="21"/>
                <w:highlight w:val="none"/>
              </w:rPr>
            </w:pPr>
            <w:r>
              <w:rPr>
                <w:sz w:val="21"/>
                <w:szCs w:val="21"/>
                <w:highlight w:val="none"/>
              </w:rPr>
              <w:t>0.06L</w:t>
            </w:r>
          </w:p>
        </w:tc>
        <w:tc>
          <w:tcPr>
            <w:tcW w:w="481" w:type="pct"/>
            <w:noWrap w:val="0"/>
            <w:vAlign w:val="center"/>
          </w:tcPr>
          <w:p w14:paraId="21AD980B">
            <w:pPr>
              <w:kinsoku w:val="0"/>
              <w:overflowPunct w:val="0"/>
              <w:autoSpaceDE w:val="0"/>
              <w:autoSpaceDN w:val="0"/>
              <w:adjustRightInd w:val="0"/>
              <w:jc w:val="center"/>
              <w:rPr>
                <w:sz w:val="21"/>
                <w:szCs w:val="21"/>
                <w:highlight w:val="none"/>
              </w:rPr>
            </w:pPr>
            <w:r>
              <w:rPr>
                <w:sz w:val="21"/>
                <w:szCs w:val="21"/>
                <w:highlight w:val="none"/>
              </w:rPr>
              <w:t>0.06L</w:t>
            </w:r>
          </w:p>
        </w:tc>
        <w:tc>
          <w:tcPr>
            <w:tcW w:w="427" w:type="pct"/>
            <w:noWrap w:val="0"/>
            <w:vAlign w:val="center"/>
          </w:tcPr>
          <w:p w14:paraId="21F02A85">
            <w:pPr>
              <w:kinsoku w:val="0"/>
              <w:overflowPunct w:val="0"/>
              <w:autoSpaceDE w:val="0"/>
              <w:autoSpaceDN w:val="0"/>
              <w:adjustRightInd w:val="0"/>
              <w:jc w:val="center"/>
              <w:rPr>
                <w:sz w:val="21"/>
                <w:szCs w:val="21"/>
                <w:highlight w:val="none"/>
              </w:rPr>
            </w:pPr>
            <w:r>
              <w:rPr>
                <w:sz w:val="21"/>
                <w:szCs w:val="21"/>
                <w:highlight w:val="none"/>
              </w:rPr>
              <w:t>0.06L</w:t>
            </w:r>
          </w:p>
        </w:tc>
        <w:tc>
          <w:tcPr>
            <w:tcW w:w="372" w:type="pct"/>
            <w:noWrap w:val="0"/>
            <w:vAlign w:val="center"/>
          </w:tcPr>
          <w:p w14:paraId="412781F6">
            <w:pPr>
              <w:kinsoku w:val="0"/>
              <w:overflowPunct w:val="0"/>
              <w:autoSpaceDE w:val="0"/>
              <w:autoSpaceDN w:val="0"/>
              <w:adjustRightInd w:val="0"/>
              <w:jc w:val="center"/>
              <w:rPr>
                <w:sz w:val="21"/>
                <w:szCs w:val="21"/>
                <w:highlight w:val="none"/>
              </w:rPr>
            </w:pPr>
            <w:r>
              <w:rPr>
                <w:sz w:val="21"/>
                <w:szCs w:val="21"/>
                <w:highlight w:val="none"/>
              </w:rPr>
              <w:t>0.06L</w:t>
            </w:r>
          </w:p>
        </w:tc>
        <w:tc>
          <w:tcPr>
            <w:tcW w:w="481" w:type="pct"/>
            <w:noWrap w:val="0"/>
            <w:vAlign w:val="center"/>
          </w:tcPr>
          <w:p w14:paraId="51764E6B">
            <w:pPr>
              <w:kinsoku w:val="0"/>
              <w:overflowPunct w:val="0"/>
              <w:autoSpaceDE w:val="0"/>
              <w:autoSpaceDN w:val="0"/>
              <w:adjustRightInd w:val="0"/>
              <w:jc w:val="center"/>
              <w:rPr>
                <w:sz w:val="21"/>
                <w:szCs w:val="21"/>
                <w:highlight w:val="none"/>
              </w:rPr>
            </w:pPr>
            <w:r>
              <w:rPr>
                <w:sz w:val="21"/>
                <w:szCs w:val="21"/>
                <w:highlight w:val="none"/>
              </w:rPr>
              <w:t>0.06L</w:t>
            </w:r>
          </w:p>
        </w:tc>
        <w:tc>
          <w:tcPr>
            <w:tcW w:w="427" w:type="pct"/>
            <w:noWrap w:val="0"/>
            <w:vAlign w:val="center"/>
          </w:tcPr>
          <w:p w14:paraId="6BF589B4">
            <w:pPr>
              <w:kinsoku w:val="0"/>
              <w:overflowPunct w:val="0"/>
              <w:autoSpaceDE w:val="0"/>
              <w:autoSpaceDN w:val="0"/>
              <w:adjustRightInd w:val="0"/>
              <w:jc w:val="center"/>
              <w:rPr>
                <w:sz w:val="21"/>
                <w:szCs w:val="21"/>
                <w:highlight w:val="none"/>
              </w:rPr>
            </w:pPr>
            <w:r>
              <w:rPr>
                <w:sz w:val="21"/>
                <w:szCs w:val="21"/>
                <w:highlight w:val="none"/>
              </w:rPr>
              <w:t>0.06L</w:t>
            </w:r>
          </w:p>
        </w:tc>
        <w:tc>
          <w:tcPr>
            <w:tcW w:w="566" w:type="pct"/>
            <w:noWrap w:val="0"/>
            <w:vAlign w:val="center"/>
          </w:tcPr>
          <w:p w14:paraId="78A535F4">
            <w:pPr>
              <w:kinsoku w:val="0"/>
              <w:overflowPunct w:val="0"/>
              <w:autoSpaceDE w:val="0"/>
              <w:autoSpaceDN w:val="0"/>
              <w:adjustRightInd w:val="0"/>
              <w:jc w:val="center"/>
              <w:rPr>
                <w:sz w:val="21"/>
                <w:szCs w:val="21"/>
                <w:highlight w:val="none"/>
              </w:rPr>
            </w:pPr>
            <w:r>
              <w:rPr>
                <w:sz w:val="21"/>
                <w:szCs w:val="21"/>
                <w:highlight w:val="none"/>
              </w:rPr>
              <w:t>10</w:t>
            </w:r>
          </w:p>
        </w:tc>
      </w:tr>
      <w:tr w14:paraId="44E11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exact"/>
          <w:jc w:val="center"/>
        </w:trPr>
        <w:tc>
          <w:tcPr>
            <w:tcW w:w="816" w:type="pct"/>
            <w:noWrap w:val="0"/>
            <w:vAlign w:val="center"/>
          </w:tcPr>
          <w:p w14:paraId="65F68577">
            <w:pPr>
              <w:kinsoku w:val="0"/>
              <w:overflowPunct w:val="0"/>
              <w:autoSpaceDE w:val="0"/>
              <w:autoSpaceDN w:val="0"/>
              <w:adjustRightInd w:val="0"/>
              <w:jc w:val="center"/>
              <w:rPr>
                <w:sz w:val="21"/>
                <w:szCs w:val="21"/>
                <w:highlight w:val="none"/>
              </w:rPr>
            </w:pPr>
            <w:r>
              <w:rPr>
                <w:sz w:val="21"/>
                <w:szCs w:val="21"/>
                <w:highlight w:val="none"/>
              </w:rPr>
              <w:t>动植物油</w:t>
            </w:r>
          </w:p>
        </w:tc>
        <w:tc>
          <w:tcPr>
            <w:tcW w:w="519" w:type="pct"/>
            <w:noWrap w:val="0"/>
            <w:vAlign w:val="center"/>
          </w:tcPr>
          <w:p w14:paraId="663FB62F">
            <w:pPr>
              <w:kinsoku w:val="0"/>
              <w:overflowPunct w:val="0"/>
              <w:autoSpaceDE w:val="0"/>
              <w:autoSpaceDN w:val="0"/>
              <w:adjustRightInd w:val="0"/>
              <w:jc w:val="center"/>
              <w:rPr>
                <w:sz w:val="21"/>
                <w:szCs w:val="21"/>
                <w:highlight w:val="none"/>
              </w:rPr>
            </w:pPr>
            <w:r>
              <w:rPr>
                <w:sz w:val="21"/>
                <w:szCs w:val="21"/>
                <w:highlight w:val="none"/>
              </w:rPr>
              <w:t>0.06L</w:t>
            </w:r>
          </w:p>
        </w:tc>
        <w:tc>
          <w:tcPr>
            <w:tcW w:w="498" w:type="pct"/>
            <w:noWrap w:val="0"/>
            <w:vAlign w:val="center"/>
          </w:tcPr>
          <w:p w14:paraId="799AE8FF">
            <w:pPr>
              <w:kinsoku w:val="0"/>
              <w:overflowPunct w:val="0"/>
              <w:autoSpaceDE w:val="0"/>
              <w:autoSpaceDN w:val="0"/>
              <w:adjustRightInd w:val="0"/>
              <w:jc w:val="center"/>
              <w:rPr>
                <w:sz w:val="21"/>
                <w:szCs w:val="21"/>
                <w:highlight w:val="none"/>
              </w:rPr>
            </w:pPr>
            <w:r>
              <w:rPr>
                <w:sz w:val="21"/>
                <w:szCs w:val="21"/>
                <w:highlight w:val="none"/>
              </w:rPr>
              <w:t>0.06L</w:t>
            </w:r>
          </w:p>
        </w:tc>
        <w:tc>
          <w:tcPr>
            <w:tcW w:w="407" w:type="pct"/>
            <w:noWrap w:val="0"/>
            <w:vAlign w:val="center"/>
          </w:tcPr>
          <w:p w14:paraId="2334AF43">
            <w:pPr>
              <w:kinsoku w:val="0"/>
              <w:overflowPunct w:val="0"/>
              <w:autoSpaceDE w:val="0"/>
              <w:autoSpaceDN w:val="0"/>
              <w:adjustRightInd w:val="0"/>
              <w:jc w:val="center"/>
              <w:rPr>
                <w:sz w:val="21"/>
                <w:szCs w:val="21"/>
                <w:highlight w:val="none"/>
              </w:rPr>
            </w:pPr>
            <w:r>
              <w:rPr>
                <w:sz w:val="21"/>
                <w:szCs w:val="21"/>
                <w:highlight w:val="none"/>
              </w:rPr>
              <w:t>0.06L</w:t>
            </w:r>
          </w:p>
        </w:tc>
        <w:tc>
          <w:tcPr>
            <w:tcW w:w="481" w:type="pct"/>
            <w:noWrap w:val="0"/>
            <w:vAlign w:val="center"/>
          </w:tcPr>
          <w:p w14:paraId="6B088D28">
            <w:pPr>
              <w:kinsoku w:val="0"/>
              <w:overflowPunct w:val="0"/>
              <w:autoSpaceDE w:val="0"/>
              <w:autoSpaceDN w:val="0"/>
              <w:adjustRightInd w:val="0"/>
              <w:jc w:val="center"/>
              <w:rPr>
                <w:sz w:val="21"/>
                <w:szCs w:val="21"/>
                <w:highlight w:val="none"/>
              </w:rPr>
            </w:pPr>
            <w:r>
              <w:rPr>
                <w:sz w:val="21"/>
                <w:szCs w:val="21"/>
                <w:highlight w:val="none"/>
              </w:rPr>
              <w:t>0.06L</w:t>
            </w:r>
          </w:p>
        </w:tc>
        <w:tc>
          <w:tcPr>
            <w:tcW w:w="427" w:type="pct"/>
            <w:noWrap w:val="0"/>
            <w:vAlign w:val="center"/>
          </w:tcPr>
          <w:p w14:paraId="7E1740F4">
            <w:pPr>
              <w:kinsoku w:val="0"/>
              <w:overflowPunct w:val="0"/>
              <w:autoSpaceDE w:val="0"/>
              <w:autoSpaceDN w:val="0"/>
              <w:adjustRightInd w:val="0"/>
              <w:jc w:val="center"/>
              <w:rPr>
                <w:sz w:val="21"/>
                <w:szCs w:val="21"/>
                <w:highlight w:val="none"/>
              </w:rPr>
            </w:pPr>
            <w:r>
              <w:rPr>
                <w:sz w:val="21"/>
                <w:szCs w:val="21"/>
                <w:highlight w:val="none"/>
              </w:rPr>
              <w:t>0.06L</w:t>
            </w:r>
          </w:p>
        </w:tc>
        <w:tc>
          <w:tcPr>
            <w:tcW w:w="372" w:type="pct"/>
            <w:noWrap w:val="0"/>
            <w:vAlign w:val="center"/>
          </w:tcPr>
          <w:p w14:paraId="3BA3C6C2">
            <w:pPr>
              <w:kinsoku w:val="0"/>
              <w:overflowPunct w:val="0"/>
              <w:autoSpaceDE w:val="0"/>
              <w:autoSpaceDN w:val="0"/>
              <w:adjustRightInd w:val="0"/>
              <w:jc w:val="center"/>
              <w:rPr>
                <w:sz w:val="21"/>
                <w:szCs w:val="21"/>
                <w:highlight w:val="none"/>
              </w:rPr>
            </w:pPr>
            <w:r>
              <w:rPr>
                <w:sz w:val="21"/>
                <w:szCs w:val="21"/>
                <w:highlight w:val="none"/>
              </w:rPr>
              <w:t>0.06L</w:t>
            </w:r>
          </w:p>
        </w:tc>
        <w:tc>
          <w:tcPr>
            <w:tcW w:w="481" w:type="pct"/>
            <w:noWrap w:val="0"/>
            <w:vAlign w:val="center"/>
          </w:tcPr>
          <w:p w14:paraId="52B992B6">
            <w:pPr>
              <w:kinsoku w:val="0"/>
              <w:overflowPunct w:val="0"/>
              <w:autoSpaceDE w:val="0"/>
              <w:autoSpaceDN w:val="0"/>
              <w:adjustRightInd w:val="0"/>
              <w:jc w:val="center"/>
              <w:rPr>
                <w:sz w:val="21"/>
                <w:szCs w:val="21"/>
                <w:highlight w:val="none"/>
              </w:rPr>
            </w:pPr>
            <w:r>
              <w:rPr>
                <w:sz w:val="21"/>
                <w:szCs w:val="21"/>
                <w:highlight w:val="none"/>
              </w:rPr>
              <w:t>0.06L</w:t>
            </w:r>
          </w:p>
        </w:tc>
        <w:tc>
          <w:tcPr>
            <w:tcW w:w="427" w:type="pct"/>
            <w:noWrap w:val="0"/>
            <w:vAlign w:val="center"/>
          </w:tcPr>
          <w:p w14:paraId="6BDB6BCB">
            <w:pPr>
              <w:kinsoku w:val="0"/>
              <w:overflowPunct w:val="0"/>
              <w:autoSpaceDE w:val="0"/>
              <w:autoSpaceDN w:val="0"/>
              <w:adjustRightInd w:val="0"/>
              <w:jc w:val="center"/>
              <w:rPr>
                <w:sz w:val="21"/>
                <w:szCs w:val="21"/>
                <w:highlight w:val="none"/>
              </w:rPr>
            </w:pPr>
            <w:r>
              <w:rPr>
                <w:sz w:val="21"/>
                <w:szCs w:val="21"/>
                <w:highlight w:val="none"/>
              </w:rPr>
              <w:t>0.06L</w:t>
            </w:r>
          </w:p>
        </w:tc>
        <w:tc>
          <w:tcPr>
            <w:tcW w:w="566" w:type="pct"/>
            <w:noWrap w:val="0"/>
            <w:vAlign w:val="center"/>
          </w:tcPr>
          <w:p w14:paraId="68B14669">
            <w:pPr>
              <w:kinsoku w:val="0"/>
              <w:overflowPunct w:val="0"/>
              <w:autoSpaceDE w:val="0"/>
              <w:autoSpaceDN w:val="0"/>
              <w:adjustRightInd w:val="0"/>
              <w:jc w:val="center"/>
              <w:rPr>
                <w:sz w:val="21"/>
                <w:szCs w:val="21"/>
                <w:highlight w:val="none"/>
              </w:rPr>
            </w:pPr>
            <w:r>
              <w:rPr>
                <w:sz w:val="21"/>
                <w:szCs w:val="21"/>
                <w:highlight w:val="none"/>
              </w:rPr>
              <w:t>20</w:t>
            </w:r>
          </w:p>
        </w:tc>
      </w:tr>
      <w:tr w14:paraId="34D1E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exact"/>
          <w:jc w:val="center"/>
        </w:trPr>
        <w:tc>
          <w:tcPr>
            <w:tcW w:w="816" w:type="pct"/>
            <w:noWrap w:val="0"/>
            <w:vAlign w:val="center"/>
          </w:tcPr>
          <w:p w14:paraId="289959B8">
            <w:pPr>
              <w:kinsoku w:val="0"/>
              <w:overflowPunct w:val="0"/>
              <w:autoSpaceDE w:val="0"/>
              <w:autoSpaceDN w:val="0"/>
              <w:adjustRightInd w:val="0"/>
              <w:jc w:val="center"/>
              <w:rPr>
                <w:sz w:val="21"/>
                <w:szCs w:val="21"/>
                <w:highlight w:val="none"/>
              </w:rPr>
            </w:pPr>
            <w:r>
              <w:rPr>
                <w:sz w:val="21"/>
                <w:szCs w:val="21"/>
                <w:highlight w:val="none"/>
              </w:rPr>
              <w:t>磷酸盐</w:t>
            </w:r>
          </w:p>
        </w:tc>
        <w:tc>
          <w:tcPr>
            <w:tcW w:w="519" w:type="pct"/>
            <w:noWrap w:val="0"/>
            <w:vAlign w:val="center"/>
          </w:tcPr>
          <w:p w14:paraId="12CD6639">
            <w:pPr>
              <w:kinsoku w:val="0"/>
              <w:overflowPunct w:val="0"/>
              <w:autoSpaceDE w:val="0"/>
              <w:autoSpaceDN w:val="0"/>
              <w:adjustRightInd w:val="0"/>
              <w:jc w:val="center"/>
              <w:rPr>
                <w:sz w:val="21"/>
                <w:szCs w:val="21"/>
                <w:highlight w:val="none"/>
              </w:rPr>
            </w:pPr>
            <w:r>
              <w:rPr>
                <w:sz w:val="21"/>
                <w:szCs w:val="21"/>
                <w:highlight w:val="none"/>
              </w:rPr>
              <w:t>0.01</w:t>
            </w:r>
          </w:p>
        </w:tc>
        <w:tc>
          <w:tcPr>
            <w:tcW w:w="498" w:type="pct"/>
            <w:noWrap w:val="0"/>
            <w:vAlign w:val="center"/>
          </w:tcPr>
          <w:p w14:paraId="74BA9BB0">
            <w:pPr>
              <w:kinsoku w:val="0"/>
              <w:overflowPunct w:val="0"/>
              <w:autoSpaceDE w:val="0"/>
              <w:autoSpaceDN w:val="0"/>
              <w:adjustRightInd w:val="0"/>
              <w:jc w:val="center"/>
              <w:rPr>
                <w:sz w:val="21"/>
                <w:szCs w:val="21"/>
                <w:highlight w:val="none"/>
              </w:rPr>
            </w:pPr>
            <w:r>
              <w:rPr>
                <w:sz w:val="21"/>
                <w:szCs w:val="21"/>
                <w:highlight w:val="none"/>
              </w:rPr>
              <w:t>0.01</w:t>
            </w:r>
          </w:p>
        </w:tc>
        <w:tc>
          <w:tcPr>
            <w:tcW w:w="407" w:type="pct"/>
            <w:noWrap w:val="0"/>
            <w:vAlign w:val="center"/>
          </w:tcPr>
          <w:p w14:paraId="198FBF04">
            <w:pPr>
              <w:kinsoku w:val="0"/>
              <w:overflowPunct w:val="0"/>
              <w:autoSpaceDE w:val="0"/>
              <w:autoSpaceDN w:val="0"/>
              <w:adjustRightInd w:val="0"/>
              <w:jc w:val="center"/>
              <w:rPr>
                <w:sz w:val="21"/>
                <w:szCs w:val="21"/>
                <w:highlight w:val="none"/>
              </w:rPr>
            </w:pPr>
            <w:r>
              <w:rPr>
                <w:sz w:val="21"/>
                <w:szCs w:val="21"/>
                <w:highlight w:val="none"/>
              </w:rPr>
              <w:t>0.01</w:t>
            </w:r>
          </w:p>
        </w:tc>
        <w:tc>
          <w:tcPr>
            <w:tcW w:w="481" w:type="pct"/>
            <w:noWrap w:val="0"/>
            <w:vAlign w:val="center"/>
          </w:tcPr>
          <w:p w14:paraId="6456A887">
            <w:pPr>
              <w:kinsoku w:val="0"/>
              <w:overflowPunct w:val="0"/>
              <w:autoSpaceDE w:val="0"/>
              <w:autoSpaceDN w:val="0"/>
              <w:adjustRightInd w:val="0"/>
              <w:jc w:val="center"/>
              <w:rPr>
                <w:sz w:val="21"/>
                <w:szCs w:val="21"/>
                <w:highlight w:val="none"/>
              </w:rPr>
            </w:pPr>
            <w:r>
              <w:rPr>
                <w:sz w:val="21"/>
                <w:szCs w:val="21"/>
                <w:highlight w:val="none"/>
              </w:rPr>
              <w:t>0.01</w:t>
            </w:r>
          </w:p>
        </w:tc>
        <w:tc>
          <w:tcPr>
            <w:tcW w:w="427" w:type="pct"/>
            <w:noWrap w:val="0"/>
            <w:vAlign w:val="center"/>
          </w:tcPr>
          <w:p w14:paraId="4704ADBB">
            <w:pPr>
              <w:kinsoku w:val="0"/>
              <w:overflowPunct w:val="0"/>
              <w:autoSpaceDE w:val="0"/>
              <w:autoSpaceDN w:val="0"/>
              <w:adjustRightInd w:val="0"/>
              <w:jc w:val="center"/>
              <w:rPr>
                <w:sz w:val="21"/>
                <w:szCs w:val="21"/>
                <w:highlight w:val="none"/>
              </w:rPr>
            </w:pPr>
            <w:r>
              <w:rPr>
                <w:sz w:val="21"/>
                <w:szCs w:val="21"/>
                <w:highlight w:val="none"/>
              </w:rPr>
              <w:t>0.02</w:t>
            </w:r>
          </w:p>
        </w:tc>
        <w:tc>
          <w:tcPr>
            <w:tcW w:w="372" w:type="pct"/>
            <w:noWrap w:val="0"/>
            <w:vAlign w:val="center"/>
          </w:tcPr>
          <w:p w14:paraId="3663DD84">
            <w:pPr>
              <w:kinsoku w:val="0"/>
              <w:overflowPunct w:val="0"/>
              <w:autoSpaceDE w:val="0"/>
              <w:autoSpaceDN w:val="0"/>
              <w:adjustRightInd w:val="0"/>
              <w:jc w:val="center"/>
              <w:rPr>
                <w:sz w:val="21"/>
                <w:szCs w:val="21"/>
                <w:highlight w:val="none"/>
              </w:rPr>
            </w:pPr>
            <w:r>
              <w:rPr>
                <w:sz w:val="21"/>
                <w:szCs w:val="21"/>
                <w:highlight w:val="none"/>
              </w:rPr>
              <w:t>0.12</w:t>
            </w:r>
          </w:p>
        </w:tc>
        <w:tc>
          <w:tcPr>
            <w:tcW w:w="481" w:type="pct"/>
            <w:noWrap w:val="0"/>
            <w:vAlign w:val="center"/>
          </w:tcPr>
          <w:p w14:paraId="1D4AB8AC">
            <w:pPr>
              <w:kinsoku w:val="0"/>
              <w:overflowPunct w:val="0"/>
              <w:autoSpaceDE w:val="0"/>
              <w:autoSpaceDN w:val="0"/>
              <w:adjustRightInd w:val="0"/>
              <w:jc w:val="center"/>
              <w:rPr>
                <w:sz w:val="21"/>
                <w:szCs w:val="21"/>
                <w:highlight w:val="none"/>
              </w:rPr>
            </w:pPr>
            <w:r>
              <w:rPr>
                <w:sz w:val="21"/>
                <w:szCs w:val="21"/>
                <w:highlight w:val="none"/>
              </w:rPr>
              <w:t>0.02</w:t>
            </w:r>
          </w:p>
        </w:tc>
        <w:tc>
          <w:tcPr>
            <w:tcW w:w="427" w:type="pct"/>
            <w:noWrap w:val="0"/>
            <w:vAlign w:val="center"/>
          </w:tcPr>
          <w:p w14:paraId="33B359C9">
            <w:pPr>
              <w:kinsoku w:val="0"/>
              <w:overflowPunct w:val="0"/>
              <w:autoSpaceDE w:val="0"/>
              <w:autoSpaceDN w:val="0"/>
              <w:adjustRightInd w:val="0"/>
              <w:jc w:val="center"/>
              <w:rPr>
                <w:sz w:val="21"/>
                <w:szCs w:val="21"/>
                <w:highlight w:val="none"/>
              </w:rPr>
            </w:pPr>
            <w:r>
              <w:rPr>
                <w:sz w:val="21"/>
                <w:szCs w:val="21"/>
                <w:highlight w:val="none"/>
              </w:rPr>
              <w:t>0.02</w:t>
            </w:r>
          </w:p>
        </w:tc>
        <w:tc>
          <w:tcPr>
            <w:tcW w:w="566" w:type="pct"/>
            <w:noWrap w:val="0"/>
            <w:vAlign w:val="center"/>
          </w:tcPr>
          <w:p w14:paraId="50C36BD0">
            <w:pPr>
              <w:kinsoku w:val="0"/>
              <w:overflowPunct w:val="0"/>
              <w:autoSpaceDE w:val="0"/>
              <w:autoSpaceDN w:val="0"/>
              <w:adjustRightInd w:val="0"/>
              <w:jc w:val="center"/>
              <w:rPr>
                <w:sz w:val="21"/>
                <w:szCs w:val="21"/>
                <w:highlight w:val="none"/>
              </w:rPr>
            </w:pPr>
            <w:r>
              <w:rPr>
                <w:sz w:val="21"/>
                <w:szCs w:val="21"/>
                <w:highlight w:val="none"/>
              </w:rPr>
              <w:t>0.5</w:t>
            </w:r>
          </w:p>
        </w:tc>
      </w:tr>
      <w:tr w14:paraId="02588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exact"/>
          <w:jc w:val="center"/>
        </w:trPr>
        <w:tc>
          <w:tcPr>
            <w:tcW w:w="816" w:type="pct"/>
            <w:noWrap w:val="0"/>
            <w:vAlign w:val="center"/>
          </w:tcPr>
          <w:p w14:paraId="18AB8D46">
            <w:pPr>
              <w:kinsoku w:val="0"/>
              <w:overflowPunct w:val="0"/>
              <w:autoSpaceDE w:val="0"/>
              <w:autoSpaceDN w:val="0"/>
              <w:adjustRightInd w:val="0"/>
              <w:jc w:val="center"/>
              <w:rPr>
                <w:sz w:val="21"/>
                <w:szCs w:val="21"/>
                <w:highlight w:val="none"/>
              </w:rPr>
            </w:pPr>
            <w:r>
              <w:rPr>
                <w:sz w:val="21"/>
                <w:szCs w:val="21"/>
                <w:highlight w:val="none"/>
              </w:rPr>
              <w:t>粪大肠菌群（MP</w:t>
            </w:r>
            <w:r>
              <w:rPr>
                <w:spacing w:val="-1"/>
                <w:sz w:val="21"/>
                <w:szCs w:val="21"/>
                <w:highlight w:val="none"/>
              </w:rPr>
              <w:t>N</w:t>
            </w:r>
            <w:r>
              <w:rPr>
                <w:sz w:val="21"/>
                <w:szCs w:val="21"/>
                <w:highlight w:val="none"/>
              </w:rPr>
              <w:t>/</w:t>
            </w:r>
            <w:r>
              <w:rPr>
                <w:spacing w:val="-3"/>
                <w:sz w:val="21"/>
                <w:szCs w:val="21"/>
                <w:highlight w:val="none"/>
              </w:rPr>
              <w:t>L</w:t>
            </w:r>
            <w:r>
              <w:rPr>
                <w:sz w:val="21"/>
                <w:szCs w:val="21"/>
                <w:highlight w:val="none"/>
              </w:rPr>
              <w:t>）</w:t>
            </w:r>
          </w:p>
        </w:tc>
        <w:tc>
          <w:tcPr>
            <w:tcW w:w="519" w:type="pct"/>
            <w:noWrap w:val="0"/>
            <w:vAlign w:val="center"/>
          </w:tcPr>
          <w:p w14:paraId="4FF59C98">
            <w:pPr>
              <w:kinsoku w:val="0"/>
              <w:overflowPunct w:val="0"/>
              <w:autoSpaceDE w:val="0"/>
              <w:autoSpaceDN w:val="0"/>
              <w:adjustRightInd w:val="0"/>
              <w:jc w:val="center"/>
              <w:rPr>
                <w:sz w:val="21"/>
                <w:szCs w:val="21"/>
                <w:highlight w:val="none"/>
              </w:rPr>
            </w:pPr>
            <w:r>
              <w:rPr>
                <w:sz w:val="21"/>
                <w:szCs w:val="21"/>
                <w:highlight w:val="none"/>
              </w:rPr>
              <w:t>＜20</w:t>
            </w:r>
          </w:p>
        </w:tc>
        <w:tc>
          <w:tcPr>
            <w:tcW w:w="498" w:type="pct"/>
            <w:noWrap w:val="0"/>
            <w:vAlign w:val="center"/>
          </w:tcPr>
          <w:p w14:paraId="3DB21C12">
            <w:pPr>
              <w:kinsoku w:val="0"/>
              <w:overflowPunct w:val="0"/>
              <w:autoSpaceDE w:val="0"/>
              <w:autoSpaceDN w:val="0"/>
              <w:adjustRightInd w:val="0"/>
              <w:jc w:val="center"/>
              <w:rPr>
                <w:sz w:val="21"/>
                <w:szCs w:val="21"/>
                <w:highlight w:val="none"/>
              </w:rPr>
            </w:pPr>
            <w:r>
              <w:rPr>
                <w:sz w:val="21"/>
                <w:szCs w:val="21"/>
                <w:highlight w:val="none"/>
              </w:rPr>
              <w:t>＜20</w:t>
            </w:r>
          </w:p>
        </w:tc>
        <w:tc>
          <w:tcPr>
            <w:tcW w:w="407" w:type="pct"/>
            <w:noWrap w:val="0"/>
            <w:vAlign w:val="center"/>
          </w:tcPr>
          <w:p w14:paraId="3B35639D">
            <w:pPr>
              <w:kinsoku w:val="0"/>
              <w:overflowPunct w:val="0"/>
              <w:autoSpaceDE w:val="0"/>
              <w:autoSpaceDN w:val="0"/>
              <w:adjustRightInd w:val="0"/>
              <w:jc w:val="center"/>
              <w:rPr>
                <w:sz w:val="21"/>
                <w:szCs w:val="21"/>
                <w:highlight w:val="none"/>
              </w:rPr>
            </w:pPr>
            <w:r>
              <w:rPr>
                <w:sz w:val="21"/>
                <w:szCs w:val="21"/>
                <w:highlight w:val="none"/>
              </w:rPr>
              <w:t>＜20</w:t>
            </w:r>
          </w:p>
        </w:tc>
        <w:tc>
          <w:tcPr>
            <w:tcW w:w="481" w:type="pct"/>
            <w:noWrap w:val="0"/>
            <w:vAlign w:val="center"/>
          </w:tcPr>
          <w:p w14:paraId="5CE2B0FA">
            <w:pPr>
              <w:kinsoku w:val="0"/>
              <w:overflowPunct w:val="0"/>
              <w:autoSpaceDE w:val="0"/>
              <w:autoSpaceDN w:val="0"/>
              <w:adjustRightInd w:val="0"/>
              <w:jc w:val="center"/>
              <w:rPr>
                <w:sz w:val="21"/>
                <w:szCs w:val="21"/>
                <w:highlight w:val="none"/>
              </w:rPr>
            </w:pPr>
            <w:r>
              <w:rPr>
                <w:sz w:val="21"/>
                <w:szCs w:val="21"/>
                <w:highlight w:val="none"/>
              </w:rPr>
              <w:t>＜20</w:t>
            </w:r>
          </w:p>
        </w:tc>
        <w:tc>
          <w:tcPr>
            <w:tcW w:w="427" w:type="pct"/>
            <w:noWrap w:val="0"/>
            <w:vAlign w:val="center"/>
          </w:tcPr>
          <w:p w14:paraId="4B930D1B">
            <w:pPr>
              <w:kinsoku w:val="0"/>
              <w:overflowPunct w:val="0"/>
              <w:autoSpaceDE w:val="0"/>
              <w:autoSpaceDN w:val="0"/>
              <w:adjustRightInd w:val="0"/>
              <w:jc w:val="center"/>
              <w:rPr>
                <w:sz w:val="21"/>
                <w:szCs w:val="21"/>
                <w:highlight w:val="none"/>
              </w:rPr>
            </w:pPr>
            <w:r>
              <w:rPr>
                <w:sz w:val="21"/>
                <w:szCs w:val="21"/>
                <w:highlight w:val="none"/>
              </w:rPr>
              <w:t>＜20</w:t>
            </w:r>
          </w:p>
        </w:tc>
        <w:tc>
          <w:tcPr>
            <w:tcW w:w="372" w:type="pct"/>
            <w:noWrap w:val="0"/>
            <w:vAlign w:val="center"/>
          </w:tcPr>
          <w:p w14:paraId="435954A7">
            <w:pPr>
              <w:kinsoku w:val="0"/>
              <w:overflowPunct w:val="0"/>
              <w:autoSpaceDE w:val="0"/>
              <w:autoSpaceDN w:val="0"/>
              <w:adjustRightInd w:val="0"/>
              <w:jc w:val="center"/>
              <w:rPr>
                <w:sz w:val="21"/>
                <w:szCs w:val="21"/>
                <w:highlight w:val="none"/>
              </w:rPr>
            </w:pPr>
            <w:r>
              <w:rPr>
                <w:sz w:val="21"/>
                <w:szCs w:val="21"/>
                <w:highlight w:val="none"/>
              </w:rPr>
              <w:t>＜20</w:t>
            </w:r>
          </w:p>
        </w:tc>
        <w:tc>
          <w:tcPr>
            <w:tcW w:w="481" w:type="pct"/>
            <w:noWrap w:val="0"/>
            <w:vAlign w:val="center"/>
          </w:tcPr>
          <w:p w14:paraId="79F7379C">
            <w:pPr>
              <w:kinsoku w:val="0"/>
              <w:overflowPunct w:val="0"/>
              <w:autoSpaceDE w:val="0"/>
              <w:autoSpaceDN w:val="0"/>
              <w:adjustRightInd w:val="0"/>
              <w:jc w:val="center"/>
              <w:rPr>
                <w:sz w:val="21"/>
                <w:szCs w:val="21"/>
                <w:highlight w:val="none"/>
              </w:rPr>
            </w:pPr>
            <w:r>
              <w:rPr>
                <w:sz w:val="21"/>
                <w:szCs w:val="21"/>
                <w:highlight w:val="none"/>
              </w:rPr>
              <w:t>＜20</w:t>
            </w:r>
          </w:p>
        </w:tc>
        <w:tc>
          <w:tcPr>
            <w:tcW w:w="427" w:type="pct"/>
            <w:noWrap w:val="0"/>
            <w:vAlign w:val="center"/>
          </w:tcPr>
          <w:p w14:paraId="65CCE871">
            <w:pPr>
              <w:kinsoku w:val="0"/>
              <w:overflowPunct w:val="0"/>
              <w:autoSpaceDE w:val="0"/>
              <w:autoSpaceDN w:val="0"/>
              <w:adjustRightInd w:val="0"/>
              <w:jc w:val="center"/>
              <w:rPr>
                <w:sz w:val="21"/>
                <w:szCs w:val="21"/>
                <w:highlight w:val="none"/>
              </w:rPr>
            </w:pPr>
            <w:r>
              <w:rPr>
                <w:sz w:val="21"/>
                <w:szCs w:val="21"/>
                <w:highlight w:val="none"/>
              </w:rPr>
              <w:t>＜20</w:t>
            </w:r>
          </w:p>
        </w:tc>
        <w:tc>
          <w:tcPr>
            <w:tcW w:w="566" w:type="pct"/>
            <w:noWrap w:val="0"/>
            <w:vAlign w:val="center"/>
          </w:tcPr>
          <w:p w14:paraId="52790569">
            <w:pPr>
              <w:kinsoku w:val="0"/>
              <w:overflowPunct w:val="0"/>
              <w:autoSpaceDE w:val="0"/>
              <w:autoSpaceDN w:val="0"/>
              <w:adjustRightInd w:val="0"/>
              <w:jc w:val="center"/>
              <w:rPr>
                <w:sz w:val="21"/>
                <w:szCs w:val="21"/>
                <w:highlight w:val="none"/>
              </w:rPr>
            </w:pPr>
            <w:r>
              <w:rPr>
                <w:sz w:val="21"/>
                <w:szCs w:val="21"/>
                <w:highlight w:val="none"/>
              </w:rPr>
              <w:t>100</w:t>
            </w:r>
          </w:p>
        </w:tc>
      </w:tr>
      <w:tr w14:paraId="2F16C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exact"/>
          <w:jc w:val="center"/>
        </w:trPr>
        <w:tc>
          <w:tcPr>
            <w:tcW w:w="816" w:type="pct"/>
            <w:noWrap w:val="0"/>
            <w:vAlign w:val="center"/>
          </w:tcPr>
          <w:p w14:paraId="16535EC9">
            <w:pPr>
              <w:kinsoku w:val="0"/>
              <w:overflowPunct w:val="0"/>
              <w:autoSpaceDE w:val="0"/>
              <w:autoSpaceDN w:val="0"/>
              <w:adjustRightInd w:val="0"/>
              <w:jc w:val="center"/>
              <w:rPr>
                <w:sz w:val="21"/>
                <w:szCs w:val="21"/>
                <w:highlight w:val="none"/>
              </w:rPr>
            </w:pPr>
            <w:r>
              <w:rPr>
                <w:sz w:val="21"/>
                <w:szCs w:val="21"/>
                <w:highlight w:val="none"/>
              </w:rPr>
              <w:t>电导率（</w:t>
            </w:r>
            <w:r>
              <w:rPr>
                <w:spacing w:val="-2"/>
                <w:sz w:val="21"/>
                <w:szCs w:val="21"/>
                <w:highlight w:val="none"/>
              </w:rPr>
              <w:t>μ</w:t>
            </w:r>
            <w:r>
              <w:rPr>
                <w:sz w:val="21"/>
                <w:szCs w:val="21"/>
                <w:highlight w:val="none"/>
              </w:rPr>
              <w:t>s/</w:t>
            </w:r>
            <w:r>
              <w:rPr>
                <w:spacing w:val="-1"/>
                <w:sz w:val="21"/>
                <w:szCs w:val="21"/>
                <w:highlight w:val="none"/>
              </w:rPr>
              <w:t>c</w:t>
            </w:r>
            <w:r>
              <w:rPr>
                <w:sz w:val="21"/>
                <w:szCs w:val="21"/>
                <w:highlight w:val="none"/>
              </w:rPr>
              <w:t>m）</w:t>
            </w:r>
          </w:p>
        </w:tc>
        <w:tc>
          <w:tcPr>
            <w:tcW w:w="519" w:type="pct"/>
            <w:noWrap w:val="0"/>
            <w:vAlign w:val="center"/>
          </w:tcPr>
          <w:p w14:paraId="198D9453">
            <w:pPr>
              <w:kinsoku w:val="0"/>
              <w:overflowPunct w:val="0"/>
              <w:autoSpaceDE w:val="0"/>
              <w:autoSpaceDN w:val="0"/>
              <w:adjustRightInd w:val="0"/>
              <w:jc w:val="center"/>
              <w:rPr>
                <w:sz w:val="21"/>
                <w:szCs w:val="21"/>
                <w:highlight w:val="none"/>
              </w:rPr>
            </w:pPr>
            <w:r>
              <w:rPr>
                <w:sz w:val="21"/>
                <w:szCs w:val="21"/>
                <w:highlight w:val="none"/>
              </w:rPr>
              <w:t>467</w:t>
            </w:r>
          </w:p>
        </w:tc>
        <w:tc>
          <w:tcPr>
            <w:tcW w:w="498" w:type="pct"/>
            <w:noWrap w:val="0"/>
            <w:vAlign w:val="center"/>
          </w:tcPr>
          <w:p w14:paraId="376C4796">
            <w:pPr>
              <w:kinsoku w:val="0"/>
              <w:overflowPunct w:val="0"/>
              <w:autoSpaceDE w:val="0"/>
              <w:autoSpaceDN w:val="0"/>
              <w:adjustRightInd w:val="0"/>
              <w:jc w:val="center"/>
              <w:rPr>
                <w:sz w:val="21"/>
                <w:szCs w:val="21"/>
                <w:highlight w:val="none"/>
              </w:rPr>
            </w:pPr>
            <w:r>
              <w:rPr>
                <w:sz w:val="21"/>
                <w:szCs w:val="21"/>
                <w:highlight w:val="none"/>
              </w:rPr>
              <w:t>468</w:t>
            </w:r>
          </w:p>
        </w:tc>
        <w:tc>
          <w:tcPr>
            <w:tcW w:w="407" w:type="pct"/>
            <w:noWrap w:val="0"/>
            <w:vAlign w:val="center"/>
          </w:tcPr>
          <w:p w14:paraId="0FFA21BE">
            <w:pPr>
              <w:kinsoku w:val="0"/>
              <w:overflowPunct w:val="0"/>
              <w:autoSpaceDE w:val="0"/>
              <w:autoSpaceDN w:val="0"/>
              <w:adjustRightInd w:val="0"/>
              <w:jc w:val="center"/>
              <w:rPr>
                <w:sz w:val="21"/>
                <w:szCs w:val="21"/>
                <w:highlight w:val="none"/>
              </w:rPr>
            </w:pPr>
            <w:r>
              <w:rPr>
                <w:sz w:val="21"/>
                <w:szCs w:val="21"/>
                <w:highlight w:val="none"/>
              </w:rPr>
              <w:t>465</w:t>
            </w:r>
          </w:p>
        </w:tc>
        <w:tc>
          <w:tcPr>
            <w:tcW w:w="481" w:type="pct"/>
            <w:noWrap w:val="0"/>
            <w:vAlign w:val="center"/>
          </w:tcPr>
          <w:p w14:paraId="245B0619">
            <w:pPr>
              <w:kinsoku w:val="0"/>
              <w:overflowPunct w:val="0"/>
              <w:autoSpaceDE w:val="0"/>
              <w:autoSpaceDN w:val="0"/>
              <w:adjustRightInd w:val="0"/>
              <w:jc w:val="center"/>
              <w:rPr>
                <w:sz w:val="21"/>
                <w:szCs w:val="21"/>
                <w:highlight w:val="none"/>
              </w:rPr>
            </w:pPr>
            <w:r>
              <w:rPr>
                <w:sz w:val="21"/>
                <w:szCs w:val="21"/>
                <w:highlight w:val="none"/>
              </w:rPr>
              <w:t>467</w:t>
            </w:r>
          </w:p>
        </w:tc>
        <w:tc>
          <w:tcPr>
            <w:tcW w:w="427" w:type="pct"/>
            <w:noWrap w:val="0"/>
            <w:vAlign w:val="center"/>
          </w:tcPr>
          <w:p w14:paraId="4640C602">
            <w:pPr>
              <w:kinsoku w:val="0"/>
              <w:overflowPunct w:val="0"/>
              <w:autoSpaceDE w:val="0"/>
              <w:autoSpaceDN w:val="0"/>
              <w:adjustRightInd w:val="0"/>
              <w:jc w:val="center"/>
              <w:rPr>
                <w:sz w:val="21"/>
                <w:szCs w:val="21"/>
                <w:highlight w:val="none"/>
              </w:rPr>
            </w:pPr>
            <w:r>
              <w:rPr>
                <w:sz w:val="21"/>
                <w:szCs w:val="21"/>
                <w:highlight w:val="none"/>
              </w:rPr>
              <w:t>413</w:t>
            </w:r>
          </w:p>
        </w:tc>
        <w:tc>
          <w:tcPr>
            <w:tcW w:w="372" w:type="pct"/>
            <w:noWrap w:val="0"/>
            <w:vAlign w:val="center"/>
          </w:tcPr>
          <w:p w14:paraId="51EFD66B">
            <w:pPr>
              <w:kinsoku w:val="0"/>
              <w:overflowPunct w:val="0"/>
              <w:autoSpaceDE w:val="0"/>
              <w:autoSpaceDN w:val="0"/>
              <w:adjustRightInd w:val="0"/>
              <w:jc w:val="center"/>
              <w:rPr>
                <w:sz w:val="21"/>
                <w:szCs w:val="21"/>
                <w:highlight w:val="none"/>
              </w:rPr>
            </w:pPr>
            <w:r>
              <w:rPr>
                <w:sz w:val="21"/>
                <w:szCs w:val="21"/>
                <w:highlight w:val="none"/>
              </w:rPr>
              <w:t>413</w:t>
            </w:r>
          </w:p>
        </w:tc>
        <w:tc>
          <w:tcPr>
            <w:tcW w:w="481" w:type="pct"/>
            <w:noWrap w:val="0"/>
            <w:vAlign w:val="center"/>
          </w:tcPr>
          <w:p w14:paraId="06AE3BCC">
            <w:pPr>
              <w:kinsoku w:val="0"/>
              <w:overflowPunct w:val="0"/>
              <w:autoSpaceDE w:val="0"/>
              <w:autoSpaceDN w:val="0"/>
              <w:adjustRightInd w:val="0"/>
              <w:jc w:val="center"/>
              <w:rPr>
                <w:sz w:val="21"/>
                <w:szCs w:val="21"/>
                <w:highlight w:val="none"/>
              </w:rPr>
            </w:pPr>
            <w:r>
              <w:rPr>
                <w:sz w:val="21"/>
                <w:szCs w:val="21"/>
                <w:highlight w:val="none"/>
              </w:rPr>
              <w:t>415</w:t>
            </w:r>
          </w:p>
        </w:tc>
        <w:tc>
          <w:tcPr>
            <w:tcW w:w="427" w:type="pct"/>
            <w:noWrap w:val="0"/>
            <w:vAlign w:val="center"/>
          </w:tcPr>
          <w:p w14:paraId="1BE75937">
            <w:pPr>
              <w:kinsoku w:val="0"/>
              <w:overflowPunct w:val="0"/>
              <w:autoSpaceDE w:val="0"/>
              <w:autoSpaceDN w:val="0"/>
              <w:adjustRightInd w:val="0"/>
              <w:jc w:val="center"/>
              <w:rPr>
                <w:sz w:val="21"/>
                <w:szCs w:val="21"/>
                <w:highlight w:val="none"/>
              </w:rPr>
            </w:pPr>
            <w:r>
              <w:rPr>
                <w:sz w:val="21"/>
                <w:szCs w:val="21"/>
                <w:highlight w:val="none"/>
              </w:rPr>
              <w:t>414</w:t>
            </w:r>
          </w:p>
        </w:tc>
        <w:tc>
          <w:tcPr>
            <w:tcW w:w="566" w:type="pct"/>
            <w:noWrap w:val="0"/>
            <w:vAlign w:val="center"/>
          </w:tcPr>
          <w:p w14:paraId="666FAEAE">
            <w:pPr>
              <w:kinsoku w:val="0"/>
              <w:overflowPunct w:val="0"/>
              <w:autoSpaceDE w:val="0"/>
              <w:autoSpaceDN w:val="0"/>
              <w:adjustRightInd w:val="0"/>
              <w:jc w:val="center"/>
              <w:rPr>
                <w:sz w:val="21"/>
                <w:szCs w:val="21"/>
                <w:highlight w:val="none"/>
              </w:rPr>
            </w:pPr>
            <w:r>
              <w:rPr>
                <w:sz w:val="21"/>
                <w:szCs w:val="21"/>
                <w:highlight w:val="none"/>
              </w:rPr>
              <w:t>/</w:t>
            </w:r>
          </w:p>
        </w:tc>
      </w:tr>
      <w:tr w14:paraId="1B481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exact"/>
          <w:jc w:val="center"/>
        </w:trPr>
        <w:tc>
          <w:tcPr>
            <w:tcW w:w="816" w:type="pct"/>
            <w:noWrap w:val="0"/>
            <w:vAlign w:val="center"/>
          </w:tcPr>
          <w:p w14:paraId="043570FC">
            <w:pPr>
              <w:kinsoku w:val="0"/>
              <w:overflowPunct w:val="0"/>
              <w:autoSpaceDE w:val="0"/>
              <w:autoSpaceDN w:val="0"/>
              <w:adjustRightInd w:val="0"/>
              <w:jc w:val="center"/>
              <w:rPr>
                <w:sz w:val="21"/>
                <w:szCs w:val="21"/>
                <w:highlight w:val="none"/>
              </w:rPr>
            </w:pPr>
            <w:r>
              <w:rPr>
                <w:sz w:val="21"/>
                <w:szCs w:val="21"/>
                <w:highlight w:val="none"/>
              </w:rPr>
              <w:t>全盐量</w:t>
            </w:r>
          </w:p>
        </w:tc>
        <w:tc>
          <w:tcPr>
            <w:tcW w:w="519" w:type="pct"/>
            <w:noWrap w:val="0"/>
            <w:vAlign w:val="center"/>
          </w:tcPr>
          <w:p w14:paraId="0ED2B9F8">
            <w:pPr>
              <w:kinsoku w:val="0"/>
              <w:overflowPunct w:val="0"/>
              <w:autoSpaceDE w:val="0"/>
              <w:autoSpaceDN w:val="0"/>
              <w:adjustRightInd w:val="0"/>
              <w:jc w:val="center"/>
              <w:rPr>
                <w:sz w:val="21"/>
                <w:szCs w:val="21"/>
                <w:highlight w:val="none"/>
              </w:rPr>
            </w:pPr>
            <w:r>
              <w:rPr>
                <w:sz w:val="21"/>
                <w:szCs w:val="21"/>
                <w:highlight w:val="none"/>
              </w:rPr>
              <w:t>335</w:t>
            </w:r>
          </w:p>
        </w:tc>
        <w:tc>
          <w:tcPr>
            <w:tcW w:w="498" w:type="pct"/>
            <w:noWrap w:val="0"/>
            <w:vAlign w:val="center"/>
          </w:tcPr>
          <w:p w14:paraId="2DD47A0F">
            <w:pPr>
              <w:kinsoku w:val="0"/>
              <w:overflowPunct w:val="0"/>
              <w:autoSpaceDE w:val="0"/>
              <w:autoSpaceDN w:val="0"/>
              <w:adjustRightInd w:val="0"/>
              <w:jc w:val="center"/>
              <w:rPr>
                <w:sz w:val="21"/>
                <w:szCs w:val="21"/>
                <w:highlight w:val="none"/>
              </w:rPr>
            </w:pPr>
            <w:r>
              <w:rPr>
                <w:sz w:val="21"/>
                <w:szCs w:val="21"/>
                <w:highlight w:val="none"/>
              </w:rPr>
              <w:t>350</w:t>
            </w:r>
          </w:p>
        </w:tc>
        <w:tc>
          <w:tcPr>
            <w:tcW w:w="407" w:type="pct"/>
            <w:noWrap w:val="0"/>
            <w:vAlign w:val="center"/>
          </w:tcPr>
          <w:p w14:paraId="341B2755">
            <w:pPr>
              <w:kinsoku w:val="0"/>
              <w:overflowPunct w:val="0"/>
              <w:autoSpaceDE w:val="0"/>
              <w:autoSpaceDN w:val="0"/>
              <w:adjustRightInd w:val="0"/>
              <w:jc w:val="center"/>
              <w:rPr>
                <w:sz w:val="21"/>
                <w:szCs w:val="21"/>
                <w:highlight w:val="none"/>
              </w:rPr>
            </w:pPr>
            <w:r>
              <w:rPr>
                <w:sz w:val="21"/>
                <w:szCs w:val="21"/>
                <w:highlight w:val="none"/>
              </w:rPr>
              <w:t>348</w:t>
            </w:r>
          </w:p>
        </w:tc>
        <w:tc>
          <w:tcPr>
            <w:tcW w:w="481" w:type="pct"/>
            <w:noWrap w:val="0"/>
            <w:vAlign w:val="center"/>
          </w:tcPr>
          <w:p w14:paraId="183D1BCA">
            <w:pPr>
              <w:kinsoku w:val="0"/>
              <w:overflowPunct w:val="0"/>
              <w:autoSpaceDE w:val="0"/>
              <w:autoSpaceDN w:val="0"/>
              <w:adjustRightInd w:val="0"/>
              <w:jc w:val="center"/>
              <w:rPr>
                <w:sz w:val="21"/>
                <w:szCs w:val="21"/>
                <w:highlight w:val="none"/>
              </w:rPr>
            </w:pPr>
            <w:r>
              <w:rPr>
                <w:sz w:val="21"/>
                <w:szCs w:val="21"/>
                <w:highlight w:val="none"/>
              </w:rPr>
              <w:t>393</w:t>
            </w:r>
          </w:p>
        </w:tc>
        <w:tc>
          <w:tcPr>
            <w:tcW w:w="427" w:type="pct"/>
            <w:noWrap w:val="0"/>
            <w:vAlign w:val="center"/>
          </w:tcPr>
          <w:p w14:paraId="059B1E57">
            <w:pPr>
              <w:kinsoku w:val="0"/>
              <w:overflowPunct w:val="0"/>
              <w:autoSpaceDE w:val="0"/>
              <w:autoSpaceDN w:val="0"/>
              <w:adjustRightInd w:val="0"/>
              <w:jc w:val="center"/>
              <w:rPr>
                <w:sz w:val="21"/>
                <w:szCs w:val="21"/>
                <w:highlight w:val="none"/>
              </w:rPr>
            </w:pPr>
            <w:r>
              <w:rPr>
                <w:sz w:val="21"/>
                <w:szCs w:val="21"/>
                <w:highlight w:val="none"/>
              </w:rPr>
              <w:t>3</w:t>
            </w:r>
            <w:r>
              <w:rPr>
                <w:spacing w:val="-5"/>
                <w:sz w:val="21"/>
                <w:szCs w:val="21"/>
                <w:highlight w:val="none"/>
              </w:rPr>
              <w:t>1</w:t>
            </w:r>
            <w:r>
              <w:rPr>
                <w:sz w:val="21"/>
                <w:szCs w:val="21"/>
                <w:highlight w:val="none"/>
              </w:rPr>
              <w:t>1</w:t>
            </w:r>
          </w:p>
        </w:tc>
        <w:tc>
          <w:tcPr>
            <w:tcW w:w="372" w:type="pct"/>
            <w:noWrap w:val="0"/>
            <w:vAlign w:val="center"/>
          </w:tcPr>
          <w:p w14:paraId="4D9E225A">
            <w:pPr>
              <w:kinsoku w:val="0"/>
              <w:overflowPunct w:val="0"/>
              <w:autoSpaceDE w:val="0"/>
              <w:autoSpaceDN w:val="0"/>
              <w:adjustRightInd w:val="0"/>
              <w:jc w:val="center"/>
              <w:rPr>
                <w:sz w:val="21"/>
                <w:szCs w:val="21"/>
                <w:highlight w:val="none"/>
              </w:rPr>
            </w:pPr>
            <w:r>
              <w:rPr>
                <w:sz w:val="21"/>
                <w:szCs w:val="21"/>
                <w:highlight w:val="none"/>
              </w:rPr>
              <w:t>328</w:t>
            </w:r>
          </w:p>
        </w:tc>
        <w:tc>
          <w:tcPr>
            <w:tcW w:w="481" w:type="pct"/>
            <w:noWrap w:val="0"/>
            <w:vAlign w:val="center"/>
          </w:tcPr>
          <w:p w14:paraId="5A7986BF">
            <w:pPr>
              <w:kinsoku w:val="0"/>
              <w:overflowPunct w:val="0"/>
              <w:autoSpaceDE w:val="0"/>
              <w:autoSpaceDN w:val="0"/>
              <w:adjustRightInd w:val="0"/>
              <w:jc w:val="center"/>
              <w:rPr>
                <w:sz w:val="21"/>
                <w:szCs w:val="21"/>
                <w:highlight w:val="none"/>
              </w:rPr>
            </w:pPr>
            <w:r>
              <w:rPr>
                <w:sz w:val="21"/>
                <w:szCs w:val="21"/>
                <w:highlight w:val="none"/>
              </w:rPr>
              <w:t>399</w:t>
            </w:r>
          </w:p>
        </w:tc>
        <w:tc>
          <w:tcPr>
            <w:tcW w:w="427" w:type="pct"/>
            <w:noWrap w:val="0"/>
            <w:vAlign w:val="center"/>
          </w:tcPr>
          <w:p w14:paraId="21A7F13E">
            <w:pPr>
              <w:kinsoku w:val="0"/>
              <w:overflowPunct w:val="0"/>
              <w:autoSpaceDE w:val="0"/>
              <w:autoSpaceDN w:val="0"/>
              <w:adjustRightInd w:val="0"/>
              <w:jc w:val="center"/>
              <w:rPr>
                <w:sz w:val="21"/>
                <w:szCs w:val="21"/>
                <w:highlight w:val="none"/>
              </w:rPr>
            </w:pPr>
            <w:r>
              <w:rPr>
                <w:sz w:val="21"/>
                <w:szCs w:val="21"/>
                <w:highlight w:val="none"/>
              </w:rPr>
              <w:t>336</w:t>
            </w:r>
          </w:p>
        </w:tc>
        <w:tc>
          <w:tcPr>
            <w:tcW w:w="566" w:type="pct"/>
            <w:noWrap w:val="0"/>
            <w:vAlign w:val="center"/>
          </w:tcPr>
          <w:p w14:paraId="17D8051A">
            <w:pPr>
              <w:kinsoku w:val="0"/>
              <w:overflowPunct w:val="0"/>
              <w:autoSpaceDE w:val="0"/>
              <w:autoSpaceDN w:val="0"/>
              <w:adjustRightInd w:val="0"/>
              <w:jc w:val="center"/>
              <w:rPr>
                <w:sz w:val="21"/>
                <w:szCs w:val="21"/>
                <w:highlight w:val="none"/>
              </w:rPr>
            </w:pPr>
            <w:r>
              <w:rPr>
                <w:sz w:val="21"/>
                <w:szCs w:val="21"/>
                <w:highlight w:val="none"/>
              </w:rPr>
              <w:t>/</w:t>
            </w:r>
          </w:p>
        </w:tc>
      </w:tr>
    </w:tbl>
    <w:p w14:paraId="5C45F580">
      <w:pPr>
        <w:widowControl/>
        <w:snapToGrid w:val="0"/>
        <w:jc w:val="center"/>
        <w:rPr>
          <w:szCs w:val="21"/>
          <w:highlight w:val="none"/>
        </w:rPr>
      </w:pPr>
      <w:r>
        <w:rPr>
          <w:b/>
          <w:bCs/>
          <w:szCs w:val="21"/>
          <w:highlight w:val="none"/>
        </w:rPr>
        <w:t>表</w:t>
      </w:r>
      <w:r>
        <w:rPr>
          <w:rFonts w:hint="eastAsia"/>
          <w:b/>
          <w:bCs/>
          <w:szCs w:val="21"/>
          <w:highlight w:val="none"/>
          <w:lang w:val="en-US" w:eastAsia="zh-CN"/>
        </w:rPr>
        <w:t xml:space="preserve">3-8   </w:t>
      </w:r>
      <w:r>
        <w:rPr>
          <w:b/>
          <w:bCs/>
          <w:szCs w:val="21"/>
          <w:highlight w:val="none"/>
        </w:rPr>
        <w:t>回用单元回用（清净废水处理）出口回用水水质监测结果（</w:t>
      </w:r>
      <w:r>
        <w:rPr>
          <w:b/>
          <w:bCs/>
          <w:spacing w:val="-2"/>
          <w:szCs w:val="21"/>
          <w:highlight w:val="none"/>
        </w:rPr>
        <w:t>mg</w:t>
      </w:r>
      <w:r>
        <w:rPr>
          <w:b/>
          <w:bCs/>
          <w:spacing w:val="2"/>
          <w:szCs w:val="21"/>
          <w:highlight w:val="none"/>
        </w:rPr>
        <w:t>/L</w:t>
      </w:r>
      <w:r>
        <w:rPr>
          <w:b/>
          <w:bCs/>
          <w:spacing w:val="-1"/>
          <w:szCs w:val="21"/>
          <w:highlight w:val="none"/>
        </w:rPr>
        <w:t>，</w:t>
      </w:r>
      <w:r>
        <w:rPr>
          <w:b/>
          <w:bCs/>
          <w:spacing w:val="2"/>
          <w:szCs w:val="21"/>
          <w:highlight w:val="none"/>
        </w:rPr>
        <w:t>特</w:t>
      </w:r>
      <w:r>
        <w:rPr>
          <w:b/>
          <w:bCs/>
          <w:spacing w:val="-1"/>
          <w:szCs w:val="21"/>
          <w:highlight w:val="none"/>
        </w:rPr>
        <w:t>殊</w:t>
      </w:r>
      <w:r>
        <w:rPr>
          <w:b/>
          <w:bCs/>
          <w:spacing w:val="2"/>
          <w:szCs w:val="21"/>
          <w:highlight w:val="none"/>
        </w:rPr>
        <w:t>项</w:t>
      </w:r>
      <w:r>
        <w:rPr>
          <w:b/>
          <w:bCs/>
          <w:spacing w:val="-1"/>
          <w:szCs w:val="21"/>
          <w:highlight w:val="none"/>
        </w:rPr>
        <w:t>目</w:t>
      </w:r>
      <w:r>
        <w:rPr>
          <w:b/>
          <w:bCs/>
          <w:spacing w:val="2"/>
          <w:szCs w:val="21"/>
          <w:highlight w:val="none"/>
        </w:rPr>
        <w:t>除</w:t>
      </w:r>
      <w:r>
        <w:rPr>
          <w:b/>
          <w:bCs/>
          <w:spacing w:val="-1"/>
          <w:szCs w:val="21"/>
          <w:highlight w:val="none"/>
        </w:rPr>
        <w:t>外</w:t>
      </w:r>
      <w:r>
        <w:rPr>
          <w:b/>
          <w:bCs/>
          <w:szCs w:val="21"/>
          <w:highlight w:val="none"/>
        </w:rPr>
        <w:t>）</w:t>
      </w:r>
    </w:p>
    <w:tbl>
      <w:tblPr>
        <w:tblStyle w:val="19"/>
        <w:tblW w:w="501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503"/>
        <w:gridCol w:w="1100"/>
        <w:gridCol w:w="1150"/>
        <w:gridCol w:w="1150"/>
        <w:gridCol w:w="1298"/>
        <w:gridCol w:w="1150"/>
        <w:gridCol w:w="1298"/>
        <w:gridCol w:w="1150"/>
        <w:gridCol w:w="1441"/>
        <w:gridCol w:w="1249"/>
      </w:tblGrid>
      <w:tr w14:paraId="65005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exact"/>
          <w:jc w:val="center"/>
        </w:trPr>
        <w:tc>
          <w:tcPr>
            <w:tcW w:w="928" w:type="pct"/>
            <w:vMerge w:val="restart"/>
            <w:noWrap w:val="0"/>
            <w:vAlign w:val="center"/>
          </w:tcPr>
          <w:p w14:paraId="1A8E2390">
            <w:pPr>
              <w:kinsoku w:val="0"/>
              <w:overflowPunct w:val="0"/>
              <w:autoSpaceDE w:val="0"/>
              <w:autoSpaceDN w:val="0"/>
              <w:adjustRightInd w:val="0"/>
              <w:jc w:val="center"/>
              <w:rPr>
                <w:sz w:val="21"/>
                <w:szCs w:val="21"/>
                <w:highlight w:val="none"/>
              </w:rPr>
            </w:pPr>
            <w:r>
              <w:rPr>
                <w:spacing w:val="-1"/>
                <w:sz w:val="21"/>
                <w:szCs w:val="21"/>
                <w:highlight w:val="none"/>
              </w:rPr>
              <w:t>检</w:t>
            </w:r>
            <w:r>
              <w:rPr>
                <w:spacing w:val="2"/>
                <w:sz w:val="21"/>
                <w:szCs w:val="21"/>
                <w:highlight w:val="none"/>
              </w:rPr>
              <w:t>测</w:t>
            </w:r>
            <w:r>
              <w:rPr>
                <w:spacing w:val="-1"/>
                <w:sz w:val="21"/>
                <w:szCs w:val="21"/>
                <w:highlight w:val="none"/>
              </w:rPr>
              <w:t>因</w:t>
            </w:r>
            <w:r>
              <w:rPr>
                <w:sz w:val="21"/>
                <w:szCs w:val="21"/>
                <w:highlight w:val="none"/>
              </w:rPr>
              <w:t>子</w:t>
            </w:r>
          </w:p>
        </w:tc>
        <w:tc>
          <w:tcPr>
            <w:tcW w:w="4071" w:type="pct"/>
            <w:gridSpan w:val="9"/>
            <w:noWrap w:val="0"/>
            <w:vAlign w:val="center"/>
          </w:tcPr>
          <w:p w14:paraId="2834E7EF">
            <w:pPr>
              <w:kinsoku w:val="0"/>
              <w:overflowPunct w:val="0"/>
              <w:autoSpaceDE w:val="0"/>
              <w:autoSpaceDN w:val="0"/>
              <w:adjustRightInd w:val="0"/>
              <w:jc w:val="center"/>
              <w:rPr>
                <w:sz w:val="21"/>
                <w:szCs w:val="21"/>
                <w:highlight w:val="none"/>
              </w:rPr>
            </w:pPr>
            <w:r>
              <w:rPr>
                <w:rFonts w:hint="eastAsia"/>
                <w:spacing w:val="-1"/>
                <w:sz w:val="21"/>
                <w:szCs w:val="21"/>
                <w:highlight w:val="none"/>
                <w:lang w:eastAsia="zh-CN"/>
              </w:rPr>
              <w:t>监测</w:t>
            </w:r>
            <w:r>
              <w:rPr>
                <w:spacing w:val="-1"/>
                <w:sz w:val="21"/>
                <w:szCs w:val="21"/>
                <w:highlight w:val="none"/>
              </w:rPr>
              <w:t>点</w:t>
            </w:r>
            <w:r>
              <w:rPr>
                <w:sz w:val="21"/>
                <w:szCs w:val="21"/>
                <w:highlight w:val="none"/>
              </w:rPr>
              <w:t>位</w:t>
            </w:r>
          </w:p>
        </w:tc>
      </w:tr>
      <w:tr w14:paraId="2B594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exact"/>
          <w:jc w:val="center"/>
        </w:trPr>
        <w:tc>
          <w:tcPr>
            <w:tcW w:w="928" w:type="pct"/>
            <w:vMerge w:val="continue"/>
            <w:noWrap w:val="0"/>
            <w:vAlign w:val="center"/>
          </w:tcPr>
          <w:p w14:paraId="54881017">
            <w:pPr>
              <w:kinsoku w:val="0"/>
              <w:overflowPunct w:val="0"/>
              <w:autoSpaceDE w:val="0"/>
              <w:autoSpaceDN w:val="0"/>
              <w:adjustRightInd w:val="0"/>
              <w:jc w:val="center"/>
              <w:rPr>
                <w:sz w:val="21"/>
                <w:szCs w:val="21"/>
                <w:highlight w:val="none"/>
              </w:rPr>
            </w:pPr>
          </w:p>
        </w:tc>
        <w:tc>
          <w:tcPr>
            <w:tcW w:w="4071" w:type="pct"/>
            <w:gridSpan w:val="9"/>
            <w:noWrap w:val="0"/>
            <w:vAlign w:val="center"/>
          </w:tcPr>
          <w:p w14:paraId="7BE20AB2">
            <w:pPr>
              <w:kinsoku w:val="0"/>
              <w:overflowPunct w:val="0"/>
              <w:autoSpaceDE w:val="0"/>
              <w:autoSpaceDN w:val="0"/>
              <w:adjustRightInd w:val="0"/>
              <w:jc w:val="center"/>
              <w:rPr>
                <w:sz w:val="21"/>
                <w:szCs w:val="21"/>
                <w:highlight w:val="none"/>
              </w:rPr>
            </w:pPr>
            <w:r>
              <w:rPr>
                <w:sz w:val="21"/>
                <w:szCs w:val="21"/>
                <w:highlight w:val="none"/>
              </w:rPr>
              <w:t>废水处理系统及回用单元回用工序2</w:t>
            </w:r>
          </w:p>
        </w:tc>
      </w:tr>
      <w:tr w14:paraId="52551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9" w:hRule="exact"/>
          <w:jc w:val="center"/>
        </w:trPr>
        <w:tc>
          <w:tcPr>
            <w:tcW w:w="928" w:type="pct"/>
            <w:vMerge w:val="continue"/>
            <w:noWrap w:val="0"/>
            <w:vAlign w:val="center"/>
          </w:tcPr>
          <w:p w14:paraId="616C5A56">
            <w:pPr>
              <w:kinsoku w:val="0"/>
              <w:overflowPunct w:val="0"/>
              <w:autoSpaceDE w:val="0"/>
              <w:autoSpaceDN w:val="0"/>
              <w:adjustRightInd w:val="0"/>
              <w:jc w:val="center"/>
              <w:rPr>
                <w:sz w:val="21"/>
                <w:szCs w:val="21"/>
                <w:highlight w:val="none"/>
              </w:rPr>
            </w:pPr>
          </w:p>
        </w:tc>
        <w:tc>
          <w:tcPr>
            <w:tcW w:w="408" w:type="pct"/>
            <w:noWrap w:val="0"/>
            <w:vAlign w:val="center"/>
          </w:tcPr>
          <w:p w14:paraId="179F87F5">
            <w:pPr>
              <w:kinsoku w:val="0"/>
              <w:overflowPunct w:val="0"/>
              <w:autoSpaceDE w:val="0"/>
              <w:autoSpaceDN w:val="0"/>
              <w:adjustRightInd w:val="0"/>
              <w:jc w:val="center"/>
              <w:rPr>
                <w:sz w:val="21"/>
                <w:szCs w:val="21"/>
                <w:highlight w:val="none"/>
              </w:rPr>
            </w:pPr>
            <w:r>
              <w:rPr>
                <w:sz w:val="21"/>
                <w:szCs w:val="21"/>
                <w:highlight w:val="none"/>
              </w:rPr>
              <w:t>第1次</w:t>
            </w:r>
          </w:p>
        </w:tc>
        <w:tc>
          <w:tcPr>
            <w:tcW w:w="426" w:type="pct"/>
            <w:noWrap w:val="0"/>
            <w:vAlign w:val="center"/>
          </w:tcPr>
          <w:p w14:paraId="39051AB3">
            <w:pPr>
              <w:kinsoku w:val="0"/>
              <w:overflowPunct w:val="0"/>
              <w:autoSpaceDE w:val="0"/>
              <w:autoSpaceDN w:val="0"/>
              <w:adjustRightInd w:val="0"/>
              <w:jc w:val="center"/>
              <w:rPr>
                <w:sz w:val="21"/>
                <w:szCs w:val="21"/>
                <w:highlight w:val="none"/>
              </w:rPr>
            </w:pPr>
            <w:r>
              <w:rPr>
                <w:sz w:val="21"/>
                <w:szCs w:val="21"/>
                <w:highlight w:val="none"/>
              </w:rPr>
              <w:t>第2次</w:t>
            </w:r>
          </w:p>
        </w:tc>
        <w:tc>
          <w:tcPr>
            <w:tcW w:w="426" w:type="pct"/>
            <w:noWrap w:val="0"/>
            <w:vAlign w:val="center"/>
          </w:tcPr>
          <w:p w14:paraId="79FBE432">
            <w:pPr>
              <w:kinsoku w:val="0"/>
              <w:overflowPunct w:val="0"/>
              <w:autoSpaceDE w:val="0"/>
              <w:autoSpaceDN w:val="0"/>
              <w:adjustRightInd w:val="0"/>
              <w:jc w:val="center"/>
              <w:rPr>
                <w:sz w:val="21"/>
                <w:szCs w:val="21"/>
                <w:highlight w:val="none"/>
              </w:rPr>
            </w:pPr>
            <w:r>
              <w:rPr>
                <w:sz w:val="21"/>
                <w:szCs w:val="21"/>
                <w:highlight w:val="none"/>
              </w:rPr>
              <w:t>第3次</w:t>
            </w:r>
          </w:p>
        </w:tc>
        <w:tc>
          <w:tcPr>
            <w:tcW w:w="481" w:type="pct"/>
            <w:noWrap w:val="0"/>
            <w:vAlign w:val="center"/>
          </w:tcPr>
          <w:p w14:paraId="4B50799B">
            <w:pPr>
              <w:kinsoku w:val="0"/>
              <w:overflowPunct w:val="0"/>
              <w:autoSpaceDE w:val="0"/>
              <w:autoSpaceDN w:val="0"/>
              <w:adjustRightInd w:val="0"/>
              <w:jc w:val="center"/>
              <w:rPr>
                <w:sz w:val="21"/>
                <w:szCs w:val="21"/>
                <w:highlight w:val="none"/>
              </w:rPr>
            </w:pPr>
            <w:r>
              <w:rPr>
                <w:sz w:val="21"/>
                <w:szCs w:val="21"/>
                <w:highlight w:val="none"/>
              </w:rPr>
              <w:t>第4次</w:t>
            </w:r>
          </w:p>
        </w:tc>
        <w:tc>
          <w:tcPr>
            <w:tcW w:w="426" w:type="pct"/>
            <w:noWrap w:val="0"/>
            <w:vAlign w:val="center"/>
          </w:tcPr>
          <w:p w14:paraId="15C78D06">
            <w:pPr>
              <w:kinsoku w:val="0"/>
              <w:overflowPunct w:val="0"/>
              <w:autoSpaceDE w:val="0"/>
              <w:autoSpaceDN w:val="0"/>
              <w:adjustRightInd w:val="0"/>
              <w:jc w:val="center"/>
              <w:rPr>
                <w:sz w:val="21"/>
                <w:szCs w:val="21"/>
                <w:highlight w:val="none"/>
              </w:rPr>
            </w:pPr>
            <w:r>
              <w:rPr>
                <w:sz w:val="21"/>
                <w:szCs w:val="21"/>
                <w:highlight w:val="none"/>
              </w:rPr>
              <w:t>第1次</w:t>
            </w:r>
          </w:p>
        </w:tc>
        <w:tc>
          <w:tcPr>
            <w:tcW w:w="481" w:type="pct"/>
            <w:noWrap w:val="0"/>
            <w:vAlign w:val="center"/>
          </w:tcPr>
          <w:p w14:paraId="5C656DD1">
            <w:pPr>
              <w:kinsoku w:val="0"/>
              <w:overflowPunct w:val="0"/>
              <w:autoSpaceDE w:val="0"/>
              <w:autoSpaceDN w:val="0"/>
              <w:adjustRightInd w:val="0"/>
              <w:jc w:val="center"/>
              <w:rPr>
                <w:sz w:val="21"/>
                <w:szCs w:val="21"/>
                <w:highlight w:val="none"/>
              </w:rPr>
            </w:pPr>
            <w:r>
              <w:rPr>
                <w:sz w:val="21"/>
                <w:szCs w:val="21"/>
                <w:highlight w:val="none"/>
              </w:rPr>
              <w:t>第2次</w:t>
            </w:r>
          </w:p>
        </w:tc>
        <w:tc>
          <w:tcPr>
            <w:tcW w:w="426" w:type="pct"/>
            <w:noWrap w:val="0"/>
            <w:vAlign w:val="center"/>
          </w:tcPr>
          <w:p w14:paraId="591E52EE">
            <w:pPr>
              <w:kinsoku w:val="0"/>
              <w:overflowPunct w:val="0"/>
              <w:autoSpaceDE w:val="0"/>
              <w:autoSpaceDN w:val="0"/>
              <w:adjustRightInd w:val="0"/>
              <w:jc w:val="center"/>
              <w:rPr>
                <w:sz w:val="21"/>
                <w:szCs w:val="21"/>
                <w:highlight w:val="none"/>
              </w:rPr>
            </w:pPr>
            <w:r>
              <w:rPr>
                <w:sz w:val="21"/>
                <w:szCs w:val="21"/>
                <w:highlight w:val="none"/>
              </w:rPr>
              <w:t>第3次</w:t>
            </w:r>
          </w:p>
        </w:tc>
        <w:tc>
          <w:tcPr>
            <w:tcW w:w="534" w:type="pct"/>
            <w:noWrap w:val="0"/>
            <w:vAlign w:val="center"/>
          </w:tcPr>
          <w:p w14:paraId="4169E51A">
            <w:pPr>
              <w:kinsoku w:val="0"/>
              <w:overflowPunct w:val="0"/>
              <w:autoSpaceDE w:val="0"/>
              <w:autoSpaceDN w:val="0"/>
              <w:adjustRightInd w:val="0"/>
              <w:jc w:val="center"/>
              <w:rPr>
                <w:sz w:val="21"/>
                <w:szCs w:val="21"/>
                <w:highlight w:val="none"/>
              </w:rPr>
            </w:pPr>
            <w:r>
              <w:rPr>
                <w:sz w:val="21"/>
                <w:szCs w:val="21"/>
                <w:highlight w:val="none"/>
              </w:rPr>
              <w:t>第4次</w:t>
            </w:r>
          </w:p>
        </w:tc>
        <w:tc>
          <w:tcPr>
            <w:tcW w:w="459" w:type="pct"/>
            <w:noWrap w:val="0"/>
            <w:vAlign w:val="center"/>
          </w:tcPr>
          <w:p w14:paraId="57DB8639">
            <w:pPr>
              <w:kinsoku w:val="0"/>
              <w:overflowPunct w:val="0"/>
              <w:autoSpaceDE w:val="0"/>
              <w:autoSpaceDN w:val="0"/>
              <w:adjustRightInd w:val="0"/>
              <w:jc w:val="center"/>
              <w:rPr>
                <w:sz w:val="21"/>
                <w:szCs w:val="21"/>
                <w:highlight w:val="none"/>
              </w:rPr>
            </w:pPr>
            <w:r>
              <w:rPr>
                <w:sz w:val="21"/>
                <w:szCs w:val="21"/>
                <w:highlight w:val="none"/>
              </w:rPr>
              <w:t>标准值</w:t>
            </w:r>
          </w:p>
        </w:tc>
      </w:tr>
      <w:tr w14:paraId="6F5CB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exact"/>
          <w:jc w:val="center"/>
        </w:trPr>
        <w:tc>
          <w:tcPr>
            <w:tcW w:w="928" w:type="pct"/>
            <w:noWrap w:val="0"/>
            <w:vAlign w:val="center"/>
          </w:tcPr>
          <w:p w14:paraId="50847EA7">
            <w:pPr>
              <w:kinsoku w:val="0"/>
              <w:overflowPunct w:val="0"/>
              <w:autoSpaceDE w:val="0"/>
              <w:autoSpaceDN w:val="0"/>
              <w:adjustRightInd w:val="0"/>
              <w:jc w:val="center"/>
              <w:rPr>
                <w:sz w:val="21"/>
                <w:szCs w:val="21"/>
                <w:highlight w:val="none"/>
              </w:rPr>
            </w:pPr>
            <w:r>
              <w:rPr>
                <w:sz w:val="21"/>
                <w:szCs w:val="21"/>
                <w:highlight w:val="none"/>
              </w:rPr>
              <w:t>p</w:t>
            </w:r>
            <w:r>
              <w:rPr>
                <w:spacing w:val="-1"/>
                <w:sz w:val="21"/>
                <w:szCs w:val="21"/>
                <w:highlight w:val="none"/>
              </w:rPr>
              <w:t>H</w:t>
            </w:r>
            <w:r>
              <w:rPr>
                <w:rFonts w:hint="eastAsia"/>
                <w:spacing w:val="1"/>
                <w:sz w:val="21"/>
                <w:szCs w:val="21"/>
                <w:highlight w:val="none"/>
                <w:lang w:eastAsia="zh-CN"/>
              </w:rPr>
              <w:t>（</w:t>
            </w:r>
            <w:r>
              <w:rPr>
                <w:sz w:val="21"/>
                <w:szCs w:val="21"/>
                <w:highlight w:val="none"/>
              </w:rPr>
              <w:t>无量纲</w:t>
            </w:r>
            <w:r>
              <w:rPr>
                <w:rFonts w:hint="eastAsia"/>
                <w:spacing w:val="1"/>
                <w:sz w:val="21"/>
                <w:szCs w:val="21"/>
                <w:highlight w:val="none"/>
                <w:lang w:eastAsia="zh-CN"/>
              </w:rPr>
              <w:t>）</w:t>
            </w:r>
          </w:p>
        </w:tc>
        <w:tc>
          <w:tcPr>
            <w:tcW w:w="408" w:type="pct"/>
            <w:noWrap w:val="0"/>
            <w:vAlign w:val="center"/>
          </w:tcPr>
          <w:p w14:paraId="61A4A1AA">
            <w:pPr>
              <w:kinsoku w:val="0"/>
              <w:overflowPunct w:val="0"/>
              <w:autoSpaceDE w:val="0"/>
              <w:autoSpaceDN w:val="0"/>
              <w:adjustRightInd w:val="0"/>
              <w:jc w:val="center"/>
              <w:rPr>
                <w:sz w:val="21"/>
                <w:szCs w:val="21"/>
                <w:highlight w:val="none"/>
              </w:rPr>
            </w:pPr>
            <w:r>
              <w:rPr>
                <w:spacing w:val="1"/>
                <w:sz w:val="21"/>
                <w:szCs w:val="21"/>
                <w:highlight w:val="none"/>
              </w:rPr>
              <w:t>6</w:t>
            </w:r>
            <w:r>
              <w:rPr>
                <w:sz w:val="21"/>
                <w:szCs w:val="21"/>
                <w:highlight w:val="none"/>
              </w:rPr>
              <w:t>.</w:t>
            </w:r>
            <w:r>
              <w:rPr>
                <w:spacing w:val="1"/>
                <w:sz w:val="21"/>
                <w:szCs w:val="21"/>
                <w:highlight w:val="none"/>
              </w:rPr>
              <w:t>5</w:t>
            </w:r>
            <w:r>
              <w:rPr>
                <w:sz w:val="21"/>
                <w:szCs w:val="21"/>
                <w:highlight w:val="none"/>
              </w:rPr>
              <w:t>3</w:t>
            </w:r>
          </w:p>
        </w:tc>
        <w:tc>
          <w:tcPr>
            <w:tcW w:w="426" w:type="pct"/>
            <w:noWrap w:val="0"/>
            <w:vAlign w:val="center"/>
          </w:tcPr>
          <w:p w14:paraId="18558D6A">
            <w:pPr>
              <w:kinsoku w:val="0"/>
              <w:overflowPunct w:val="0"/>
              <w:autoSpaceDE w:val="0"/>
              <w:autoSpaceDN w:val="0"/>
              <w:adjustRightInd w:val="0"/>
              <w:jc w:val="center"/>
              <w:rPr>
                <w:sz w:val="21"/>
                <w:szCs w:val="21"/>
                <w:highlight w:val="none"/>
              </w:rPr>
            </w:pPr>
            <w:r>
              <w:rPr>
                <w:spacing w:val="1"/>
                <w:sz w:val="21"/>
                <w:szCs w:val="21"/>
                <w:highlight w:val="none"/>
              </w:rPr>
              <w:t>6</w:t>
            </w:r>
            <w:r>
              <w:rPr>
                <w:sz w:val="21"/>
                <w:szCs w:val="21"/>
                <w:highlight w:val="none"/>
              </w:rPr>
              <w:t>.</w:t>
            </w:r>
            <w:r>
              <w:rPr>
                <w:spacing w:val="1"/>
                <w:sz w:val="21"/>
                <w:szCs w:val="21"/>
                <w:highlight w:val="none"/>
              </w:rPr>
              <w:t>6</w:t>
            </w:r>
            <w:r>
              <w:rPr>
                <w:sz w:val="21"/>
                <w:szCs w:val="21"/>
                <w:highlight w:val="none"/>
              </w:rPr>
              <w:t>4</w:t>
            </w:r>
          </w:p>
        </w:tc>
        <w:tc>
          <w:tcPr>
            <w:tcW w:w="426" w:type="pct"/>
            <w:noWrap w:val="0"/>
            <w:vAlign w:val="center"/>
          </w:tcPr>
          <w:p w14:paraId="77390CE8">
            <w:pPr>
              <w:kinsoku w:val="0"/>
              <w:overflowPunct w:val="0"/>
              <w:autoSpaceDE w:val="0"/>
              <w:autoSpaceDN w:val="0"/>
              <w:adjustRightInd w:val="0"/>
              <w:jc w:val="center"/>
              <w:rPr>
                <w:sz w:val="21"/>
                <w:szCs w:val="21"/>
                <w:highlight w:val="none"/>
              </w:rPr>
            </w:pPr>
            <w:r>
              <w:rPr>
                <w:sz w:val="21"/>
                <w:szCs w:val="21"/>
                <w:highlight w:val="none"/>
              </w:rPr>
              <w:t>7.31</w:t>
            </w:r>
          </w:p>
        </w:tc>
        <w:tc>
          <w:tcPr>
            <w:tcW w:w="481" w:type="pct"/>
            <w:noWrap w:val="0"/>
            <w:vAlign w:val="center"/>
          </w:tcPr>
          <w:p w14:paraId="222D7633">
            <w:pPr>
              <w:kinsoku w:val="0"/>
              <w:overflowPunct w:val="0"/>
              <w:autoSpaceDE w:val="0"/>
              <w:autoSpaceDN w:val="0"/>
              <w:adjustRightInd w:val="0"/>
              <w:jc w:val="center"/>
              <w:rPr>
                <w:sz w:val="21"/>
                <w:szCs w:val="21"/>
                <w:highlight w:val="none"/>
              </w:rPr>
            </w:pPr>
            <w:r>
              <w:rPr>
                <w:sz w:val="21"/>
                <w:szCs w:val="21"/>
                <w:highlight w:val="none"/>
              </w:rPr>
              <w:t>7.18</w:t>
            </w:r>
          </w:p>
        </w:tc>
        <w:tc>
          <w:tcPr>
            <w:tcW w:w="426" w:type="pct"/>
            <w:noWrap w:val="0"/>
            <w:vAlign w:val="center"/>
          </w:tcPr>
          <w:p w14:paraId="65907CB4">
            <w:pPr>
              <w:kinsoku w:val="0"/>
              <w:overflowPunct w:val="0"/>
              <w:autoSpaceDE w:val="0"/>
              <w:autoSpaceDN w:val="0"/>
              <w:adjustRightInd w:val="0"/>
              <w:jc w:val="center"/>
              <w:rPr>
                <w:sz w:val="21"/>
                <w:szCs w:val="21"/>
                <w:highlight w:val="none"/>
              </w:rPr>
            </w:pPr>
            <w:r>
              <w:rPr>
                <w:sz w:val="21"/>
                <w:szCs w:val="21"/>
                <w:highlight w:val="none"/>
              </w:rPr>
              <w:t>6.40</w:t>
            </w:r>
          </w:p>
        </w:tc>
        <w:tc>
          <w:tcPr>
            <w:tcW w:w="481" w:type="pct"/>
            <w:noWrap w:val="0"/>
            <w:vAlign w:val="center"/>
          </w:tcPr>
          <w:p w14:paraId="786E2E24">
            <w:pPr>
              <w:kinsoku w:val="0"/>
              <w:overflowPunct w:val="0"/>
              <w:autoSpaceDE w:val="0"/>
              <w:autoSpaceDN w:val="0"/>
              <w:adjustRightInd w:val="0"/>
              <w:jc w:val="center"/>
              <w:rPr>
                <w:sz w:val="21"/>
                <w:szCs w:val="21"/>
                <w:highlight w:val="none"/>
              </w:rPr>
            </w:pPr>
            <w:r>
              <w:rPr>
                <w:sz w:val="21"/>
                <w:szCs w:val="21"/>
                <w:highlight w:val="none"/>
              </w:rPr>
              <w:t>6.42</w:t>
            </w:r>
          </w:p>
        </w:tc>
        <w:tc>
          <w:tcPr>
            <w:tcW w:w="426" w:type="pct"/>
            <w:noWrap w:val="0"/>
            <w:vAlign w:val="center"/>
          </w:tcPr>
          <w:p w14:paraId="04994B92">
            <w:pPr>
              <w:kinsoku w:val="0"/>
              <w:overflowPunct w:val="0"/>
              <w:autoSpaceDE w:val="0"/>
              <w:autoSpaceDN w:val="0"/>
              <w:adjustRightInd w:val="0"/>
              <w:jc w:val="center"/>
              <w:rPr>
                <w:sz w:val="21"/>
                <w:szCs w:val="21"/>
                <w:highlight w:val="none"/>
              </w:rPr>
            </w:pPr>
            <w:r>
              <w:rPr>
                <w:sz w:val="21"/>
                <w:szCs w:val="21"/>
                <w:highlight w:val="none"/>
              </w:rPr>
              <w:t>6.65</w:t>
            </w:r>
          </w:p>
        </w:tc>
        <w:tc>
          <w:tcPr>
            <w:tcW w:w="534" w:type="pct"/>
            <w:noWrap w:val="0"/>
            <w:vAlign w:val="center"/>
          </w:tcPr>
          <w:p w14:paraId="3A1CC8D9">
            <w:pPr>
              <w:kinsoku w:val="0"/>
              <w:overflowPunct w:val="0"/>
              <w:autoSpaceDE w:val="0"/>
              <w:autoSpaceDN w:val="0"/>
              <w:adjustRightInd w:val="0"/>
              <w:jc w:val="center"/>
              <w:rPr>
                <w:sz w:val="21"/>
                <w:szCs w:val="21"/>
                <w:highlight w:val="none"/>
              </w:rPr>
            </w:pPr>
            <w:r>
              <w:rPr>
                <w:sz w:val="21"/>
                <w:szCs w:val="21"/>
                <w:highlight w:val="none"/>
              </w:rPr>
              <w:t>6.68</w:t>
            </w:r>
          </w:p>
        </w:tc>
        <w:tc>
          <w:tcPr>
            <w:tcW w:w="459" w:type="pct"/>
            <w:noWrap w:val="0"/>
            <w:vAlign w:val="bottom"/>
          </w:tcPr>
          <w:p w14:paraId="1C6200A1">
            <w:pPr>
              <w:kinsoku w:val="0"/>
              <w:overflowPunct w:val="0"/>
              <w:autoSpaceDE w:val="0"/>
              <w:autoSpaceDN w:val="0"/>
              <w:adjustRightInd w:val="0"/>
              <w:jc w:val="center"/>
              <w:rPr>
                <w:sz w:val="21"/>
                <w:szCs w:val="21"/>
                <w:highlight w:val="none"/>
              </w:rPr>
            </w:pPr>
            <w:r>
              <w:rPr>
                <w:sz w:val="21"/>
                <w:szCs w:val="21"/>
                <w:highlight w:val="none"/>
              </w:rPr>
              <w:t>6~9</w:t>
            </w:r>
          </w:p>
        </w:tc>
      </w:tr>
      <w:tr w14:paraId="02941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exact"/>
          <w:jc w:val="center"/>
        </w:trPr>
        <w:tc>
          <w:tcPr>
            <w:tcW w:w="928" w:type="pct"/>
            <w:noWrap w:val="0"/>
            <w:vAlign w:val="center"/>
          </w:tcPr>
          <w:p w14:paraId="580656E0">
            <w:pPr>
              <w:kinsoku w:val="0"/>
              <w:overflowPunct w:val="0"/>
              <w:autoSpaceDE w:val="0"/>
              <w:autoSpaceDN w:val="0"/>
              <w:adjustRightInd w:val="0"/>
              <w:jc w:val="center"/>
              <w:rPr>
                <w:sz w:val="21"/>
                <w:szCs w:val="21"/>
                <w:highlight w:val="none"/>
              </w:rPr>
            </w:pPr>
            <w:r>
              <w:rPr>
                <w:spacing w:val="-1"/>
                <w:sz w:val="21"/>
                <w:szCs w:val="21"/>
                <w:highlight w:val="none"/>
              </w:rPr>
              <w:t>水</w:t>
            </w:r>
            <w:r>
              <w:rPr>
                <w:spacing w:val="2"/>
                <w:sz w:val="21"/>
                <w:szCs w:val="21"/>
                <w:highlight w:val="none"/>
              </w:rPr>
              <w:t>温（</w:t>
            </w:r>
            <w:r>
              <w:rPr>
                <w:spacing w:val="-1"/>
                <w:sz w:val="21"/>
                <w:szCs w:val="21"/>
                <w:highlight w:val="none"/>
              </w:rPr>
              <w:t>℃</w:t>
            </w:r>
            <w:r>
              <w:rPr>
                <w:sz w:val="21"/>
                <w:szCs w:val="21"/>
                <w:highlight w:val="none"/>
              </w:rPr>
              <w:t>）</w:t>
            </w:r>
          </w:p>
        </w:tc>
        <w:tc>
          <w:tcPr>
            <w:tcW w:w="408" w:type="pct"/>
            <w:noWrap w:val="0"/>
            <w:vAlign w:val="center"/>
          </w:tcPr>
          <w:p w14:paraId="4A3F838D">
            <w:pPr>
              <w:kinsoku w:val="0"/>
              <w:overflowPunct w:val="0"/>
              <w:autoSpaceDE w:val="0"/>
              <w:autoSpaceDN w:val="0"/>
              <w:adjustRightInd w:val="0"/>
              <w:jc w:val="center"/>
              <w:rPr>
                <w:sz w:val="21"/>
                <w:szCs w:val="21"/>
                <w:highlight w:val="none"/>
              </w:rPr>
            </w:pPr>
            <w:r>
              <w:rPr>
                <w:spacing w:val="1"/>
                <w:sz w:val="21"/>
                <w:szCs w:val="21"/>
                <w:highlight w:val="none"/>
              </w:rPr>
              <w:t>27</w:t>
            </w:r>
            <w:r>
              <w:rPr>
                <w:sz w:val="21"/>
                <w:szCs w:val="21"/>
                <w:highlight w:val="none"/>
              </w:rPr>
              <w:t>.4</w:t>
            </w:r>
          </w:p>
        </w:tc>
        <w:tc>
          <w:tcPr>
            <w:tcW w:w="426" w:type="pct"/>
            <w:noWrap w:val="0"/>
            <w:vAlign w:val="center"/>
          </w:tcPr>
          <w:p w14:paraId="3DF8DC08">
            <w:pPr>
              <w:kinsoku w:val="0"/>
              <w:overflowPunct w:val="0"/>
              <w:autoSpaceDE w:val="0"/>
              <w:autoSpaceDN w:val="0"/>
              <w:adjustRightInd w:val="0"/>
              <w:jc w:val="center"/>
              <w:rPr>
                <w:sz w:val="21"/>
                <w:szCs w:val="21"/>
                <w:highlight w:val="none"/>
              </w:rPr>
            </w:pPr>
            <w:r>
              <w:rPr>
                <w:spacing w:val="1"/>
                <w:sz w:val="21"/>
                <w:szCs w:val="21"/>
                <w:highlight w:val="none"/>
              </w:rPr>
              <w:t>27</w:t>
            </w:r>
            <w:r>
              <w:rPr>
                <w:sz w:val="21"/>
                <w:szCs w:val="21"/>
                <w:highlight w:val="none"/>
              </w:rPr>
              <w:t>.8</w:t>
            </w:r>
          </w:p>
        </w:tc>
        <w:tc>
          <w:tcPr>
            <w:tcW w:w="426" w:type="pct"/>
            <w:noWrap w:val="0"/>
            <w:vAlign w:val="center"/>
          </w:tcPr>
          <w:p w14:paraId="68FD76B3">
            <w:pPr>
              <w:kinsoku w:val="0"/>
              <w:overflowPunct w:val="0"/>
              <w:autoSpaceDE w:val="0"/>
              <w:autoSpaceDN w:val="0"/>
              <w:adjustRightInd w:val="0"/>
              <w:jc w:val="center"/>
              <w:rPr>
                <w:sz w:val="21"/>
                <w:szCs w:val="21"/>
                <w:highlight w:val="none"/>
              </w:rPr>
            </w:pPr>
            <w:r>
              <w:rPr>
                <w:sz w:val="21"/>
                <w:szCs w:val="21"/>
                <w:highlight w:val="none"/>
              </w:rPr>
              <w:t>28.9</w:t>
            </w:r>
          </w:p>
        </w:tc>
        <w:tc>
          <w:tcPr>
            <w:tcW w:w="481" w:type="pct"/>
            <w:noWrap w:val="0"/>
            <w:vAlign w:val="center"/>
          </w:tcPr>
          <w:p w14:paraId="282A7DF1">
            <w:pPr>
              <w:kinsoku w:val="0"/>
              <w:overflowPunct w:val="0"/>
              <w:autoSpaceDE w:val="0"/>
              <w:autoSpaceDN w:val="0"/>
              <w:adjustRightInd w:val="0"/>
              <w:jc w:val="center"/>
              <w:rPr>
                <w:sz w:val="21"/>
                <w:szCs w:val="21"/>
                <w:highlight w:val="none"/>
              </w:rPr>
            </w:pPr>
            <w:r>
              <w:rPr>
                <w:sz w:val="21"/>
                <w:szCs w:val="21"/>
                <w:highlight w:val="none"/>
              </w:rPr>
              <w:t>28.9</w:t>
            </w:r>
          </w:p>
        </w:tc>
        <w:tc>
          <w:tcPr>
            <w:tcW w:w="426" w:type="pct"/>
            <w:noWrap w:val="0"/>
            <w:vAlign w:val="center"/>
          </w:tcPr>
          <w:p w14:paraId="543764BD">
            <w:pPr>
              <w:kinsoku w:val="0"/>
              <w:overflowPunct w:val="0"/>
              <w:autoSpaceDE w:val="0"/>
              <w:autoSpaceDN w:val="0"/>
              <w:adjustRightInd w:val="0"/>
              <w:jc w:val="center"/>
              <w:rPr>
                <w:sz w:val="21"/>
                <w:szCs w:val="21"/>
                <w:highlight w:val="none"/>
              </w:rPr>
            </w:pPr>
            <w:r>
              <w:rPr>
                <w:sz w:val="21"/>
                <w:szCs w:val="21"/>
                <w:highlight w:val="none"/>
              </w:rPr>
              <w:t>26.2</w:t>
            </w:r>
          </w:p>
        </w:tc>
        <w:tc>
          <w:tcPr>
            <w:tcW w:w="481" w:type="pct"/>
            <w:noWrap w:val="0"/>
            <w:vAlign w:val="center"/>
          </w:tcPr>
          <w:p w14:paraId="3DAC0F50">
            <w:pPr>
              <w:kinsoku w:val="0"/>
              <w:overflowPunct w:val="0"/>
              <w:autoSpaceDE w:val="0"/>
              <w:autoSpaceDN w:val="0"/>
              <w:adjustRightInd w:val="0"/>
              <w:jc w:val="center"/>
              <w:rPr>
                <w:sz w:val="21"/>
                <w:szCs w:val="21"/>
                <w:highlight w:val="none"/>
              </w:rPr>
            </w:pPr>
            <w:r>
              <w:rPr>
                <w:sz w:val="21"/>
                <w:szCs w:val="21"/>
                <w:highlight w:val="none"/>
              </w:rPr>
              <w:t>26.1</w:t>
            </w:r>
          </w:p>
        </w:tc>
        <w:tc>
          <w:tcPr>
            <w:tcW w:w="426" w:type="pct"/>
            <w:noWrap w:val="0"/>
            <w:vAlign w:val="center"/>
          </w:tcPr>
          <w:p w14:paraId="7386F10A">
            <w:pPr>
              <w:kinsoku w:val="0"/>
              <w:overflowPunct w:val="0"/>
              <w:autoSpaceDE w:val="0"/>
              <w:autoSpaceDN w:val="0"/>
              <w:adjustRightInd w:val="0"/>
              <w:jc w:val="center"/>
              <w:rPr>
                <w:sz w:val="21"/>
                <w:szCs w:val="21"/>
                <w:highlight w:val="none"/>
              </w:rPr>
            </w:pPr>
            <w:r>
              <w:rPr>
                <w:sz w:val="21"/>
                <w:szCs w:val="21"/>
                <w:highlight w:val="none"/>
              </w:rPr>
              <w:t>26.8</w:t>
            </w:r>
          </w:p>
        </w:tc>
        <w:tc>
          <w:tcPr>
            <w:tcW w:w="534" w:type="pct"/>
            <w:noWrap w:val="0"/>
            <w:vAlign w:val="center"/>
          </w:tcPr>
          <w:p w14:paraId="026FED07">
            <w:pPr>
              <w:kinsoku w:val="0"/>
              <w:overflowPunct w:val="0"/>
              <w:autoSpaceDE w:val="0"/>
              <w:autoSpaceDN w:val="0"/>
              <w:adjustRightInd w:val="0"/>
              <w:jc w:val="center"/>
              <w:rPr>
                <w:sz w:val="21"/>
                <w:szCs w:val="21"/>
                <w:highlight w:val="none"/>
              </w:rPr>
            </w:pPr>
            <w:r>
              <w:rPr>
                <w:sz w:val="21"/>
                <w:szCs w:val="21"/>
                <w:highlight w:val="none"/>
              </w:rPr>
              <w:t>27.0</w:t>
            </w:r>
          </w:p>
        </w:tc>
        <w:tc>
          <w:tcPr>
            <w:tcW w:w="459" w:type="pct"/>
            <w:noWrap w:val="0"/>
            <w:vAlign w:val="bottom"/>
          </w:tcPr>
          <w:p w14:paraId="23B5E166">
            <w:pPr>
              <w:kinsoku w:val="0"/>
              <w:overflowPunct w:val="0"/>
              <w:autoSpaceDE w:val="0"/>
              <w:autoSpaceDN w:val="0"/>
              <w:adjustRightInd w:val="0"/>
              <w:jc w:val="center"/>
              <w:rPr>
                <w:sz w:val="21"/>
                <w:szCs w:val="21"/>
                <w:highlight w:val="none"/>
              </w:rPr>
            </w:pPr>
            <w:r>
              <w:rPr>
                <w:sz w:val="21"/>
                <w:szCs w:val="21"/>
                <w:highlight w:val="none"/>
              </w:rPr>
              <w:t>/</w:t>
            </w:r>
          </w:p>
        </w:tc>
      </w:tr>
      <w:tr w14:paraId="49AF4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exact"/>
          <w:jc w:val="center"/>
        </w:trPr>
        <w:tc>
          <w:tcPr>
            <w:tcW w:w="928" w:type="pct"/>
            <w:noWrap w:val="0"/>
            <w:vAlign w:val="center"/>
          </w:tcPr>
          <w:p w14:paraId="3CD8A041">
            <w:pPr>
              <w:kinsoku w:val="0"/>
              <w:overflowPunct w:val="0"/>
              <w:autoSpaceDE w:val="0"/>
              <w:autoSpaceDN w:val="0"/>
              <w:adjustRightInd w:val="0"/>
              <w:jc w:val="center"/>
              <w:rPr>
                <w:sz w:val="21"/>
                <w:szCs w:val="21"/>
                <w:highlight w:val="none"/>
              </w:rPr>
            </w:pPr>
            <w:r>
              <w:rPr>
                <w:sz w:val="21"/>
                <w:szCs w:val="21"/>
                <w:highlight w:val="none"/>
              </w:rPr>
              <w:t>色度（倍）</w:t>
            </w:r>
          </w:p>
        </w:tc>
        <w:tc>
          <w:tcPr>
            <w:tcW w:w="408" w:type="pct"/>
            <w:noWrap w:val="0"/>
            <w:vAlign w:val="center"/>
          </w:tcPr>
          <w:p w14:paraId="39CF6A16">
            <w:pPr>
              <w:kinsoku w:val="0"/>
              <w:overflowPunct w:val="0"/>
              <w:autoSpaceDE w:val="0"/>
              <w:autoSpaceDN w:val="0"/>
              <w:adjustRightInd w:val="0"/>
              <w:jc w:val="center"/>
              <w:rPr>
                <w:sz w:val="21"/>
                <w:szCs w:val="21"/>
                <w:highlight w:val="none"/>
              </w:rPr>
            </w:pPr>
            <w:r>
              <w:rPr>
                <w:sz w:val="21"/>
                <w:szCs w:val="21"/>
                <w:highlight w:val="none"/>
              </w:rPr>
              <w:t>1</w:t>
            </w:r>
          </w:p>
        </w:tc>
        <w:tc>
          <w:tcPr>
            <w:tcW w:w="426" w:type="pct"/>
            <w:noWrap w:val="0"/>
            <w:vAlign w:val="center"/>
          </w:tcPr>
          <w:p w14:paraId="4EC56339">
            <w:pPr>
              <w:kinsoku w:val="0"/>
              <w:overflowPunct w:val="0"/>
              <w:autoSpaceDE w:val="0"/>
              <w:autoSpaceDN w:val="0"/>
              <w:adjustRightInd w:val="0"/>
              <w:jc w:val="center"/>
              <w:rPr>
                <w:sz w:val="21"/>
                <w:szCs w:val="21"/>
                <w:highlight w:val="none"/>
              </w:rPr>
            </w:pPr>
            <w:r>
              <w:rPr>
                <w:sz w:val="21"/>
                <w:szCs w:val="21"/>
                <w:highlight w:val="none"/>
              </w:rPr>
              <w:t>1</w:t>
            </w:r>
          </w:p>
        </w:tc>
        <w:tc>
          <w:tcPr>
            <w:tcW w:w="426" w:type="pct"/>
            <w:noWrap w:val="0"/>
            <w:vAlign w:val="center"/>
          </w:tcPr>
          <w:p w14:paraId="5C1F1309">
            <w:pPr>
              <w:kinsoku w:val="0"/>
              <w:overflowPunct w:val="0"/>
              <w:autoSpaceDE w:val="0"/>
              <w:autoSpaceDN w:val="0"/>
              <w:adjustRightInd w:val="0"/>
              <w:jc w:val="center"/>
              <w:rPr>
                <w:sz w:val="21"/>
                <w:szCs w:val="21"/>
                <w:highlight w:val="none"/>
              </w:rPr>
            </w:pPr>
            <w:r>
              <w:rPr>
                <w:sz w:val="21"/>
                <w:szCs w:val="21"/>
                <w:highlight w:val="none"/>
              </w:rPr>
              <w:t>1</w:t>
            </w:r>
          </w:p>
        </w:tc>
        <w:tc>
          <w:tcPr>
            <w:tcW w:w="481" w:type="pct"/>
            <w:noWrap w:val="0"/>
            <w:vAlign w:val="center"/>
          </w:tcPr>
          <w:p w14:paraId="0C64EB05">
            <w:pPr>
              <w:kinsoku w:val="0"/>
              <w:overflowPunct w:val="0"/>
              <w:autoSpaceDE w:val="0"/>
              <w:autoSpaceDN w:val="0"/>
              <w:adjustRightInd w:val="0"/>
              <w:jc w:val="center"/>
              <w:rPr>
                <w:sz w:val="21"/>
                <w:szCs w:val="21"/>
                <w:highlight w:val="none"/>
              </w:rPr>
            </w:pPr>
            <w:r>
              <w:rPr>
                <w:sz w:val="21"/>
                <w:szCs w:val="21"/>
                <w:highlight w:val="none"/>
              </w:rPr>
              <w:t>1</w:t>
            </w:r>
          </w:p>
        </w:tc>
        <w:tc>
          <w:tcPr>
            <w:tcW w:w="426" w:type="pct"/>
            <w:noWrap w:val="0"/>
            <w:vAlign w:val="center"/>
          </w:tcPr>
          <w:p w14:paraId="5D265634">
            <w:pPr>
              <w:kinsoku w:val="0"/>
              <w:overflowPunct w:val="0"/>
              <w:autoSpaceDE w:val="0"/>
              <w:autoSpaceDN w:val="0"/>
              <w:adjustRightInd w:val="0"/>
              <w:jc w:val="center"/>
              <w:rPr>
                <w:sz w:val="21"/>
                <w:szCs w:val="21"/>
                <w:highlight w:val="none"/>
              </w:rPr>
            </w:pPr>
            <w:r>
              <w:rPr>
                <w:sz w:val="21"/>
                <w:szCs w:val="21"/>
                <w:highlight w:val="none"/>
              </w:rPr>
              <w:t>1</w:t>
            </w:r>
          </w:p>
        </w:tc>
        <w:tc>
          <w:tcPr>
            <w:tcW w:w="481" w:type="pct"/>
            <w:noWrap w:val="0"/>
            <w:vAlign w:val="center"/>
          </w:tcPr>
          <w:p w14:paraId="115FDF56">
            <w:pPr>
              <w:kinsoku w:val="0"/>
              <w:overflowPunct w:val="0"/>
              <w:autoSpaceDE w:val="0"/>
              <w:autoSpaceDN w:val="0"/>
              <w:adjustRightInd w:val="0"/>
              <w:jc w:val="center"/>
              <w:rPr>
                <w:sz w:val="21"/>
                <w:szCs w:val="21"/>
                <w:highlight w:val="none"/>
              </w:rPr>
            </w:pPr>
            <w:r>
              <w:rPr>
                <w:sz w:val="21"/>
                <w:szCs w:val="21"/>
                <w:highlight w:val="none"/>
              </w:rPr>
              <w:t>1</w:t>
            </w:r>
          </w:p>
        </w:tc>
        <w:tc>
          <w:tcPr>
            <w:tcW w:w="426" w:type="pct"/>
            <w:noWrap w:val="0"/>
            <w:vAlign w:val="center"/>
          </w:tcPr>
          <w:p w14:paraId="6BA11607">
            <w:pPr>
              <w:kinsoku w:val="0"/>
              <w:overflowPunct w:val="0"/>
              <w:autoSpaceDE w:val="0"/>
              <w:autoSpaceDN w:val="0"/>
              <w:adjustRightInd w:val="0"/>
              <w:jc w:val="center"/>
              <w:rPr>
                <w:sz w:val="21"/>
                <w:szCs w:val="21"/>
                <w:highlight w:val="none"/>
              </w:rPr>
            </w:pPr>
            <w:r>
              <w:rPr>
                <w:sz w:val="21"/>
                <w:szCs w:val="21"/>
                <w:highlight w:val="none"/>
              </w:rPr>
              <w:t>1</w:t>
            </w:r>
          </w:p>
        </w:tc>
        <w:tc>
          <w:tcPr>
            <w:tcW w:w="534" w:type="pct"/>
            <w:noWrap w:val="0"/>
            <w:vAlign w:val="center"/>
          </w:tcPr>
          <w:p w14:paraId="0F5AADBC">
            <w:pPr>
              <w:kinsoku w:val="0"/>
              <w:overflowPunct w:val="0"/>
              <w:autoSpaceDE w:val="0"/>
              <w:autoSpaceDN w:val="0"/>
              <w:adjustRightInd w:val="0"/>
              <w:jc w:val="center"/>
              <w:rPr>
                <w:sz w:val="21"/>
                <w:szCs w:val="21"/>
                <w:highlight w:val="none"/>
              </w:rPr>
            </w:pPr>
            <w:r>
              <w:rPr>
                <w:sz w:val="21"/>
                <w:szCs w:val="21"/>
                <w:highlight w:val="none"/>
              </w:rPr>
              <w:t>1</w:t>
            </w:r>
          </w:p>
        </w:tc>
        <w:tc>
          <w:tcPr>
            <w:tcW w:w="459" w:type="pct"/>
            <w:noWrap w:val="0"/>
            <w:vAlign w:val="bottom"/>
          </w:tcPr>
          <w:p w14:paraId="6D6FF3F9">
            <w:pPr>
              <w:kinsoku w:val="0"/>
              <w:overflowPunct w:val="0"/>
              <w:autoSpaceDE w:val="0"/>
              <w:autoSpaceDN w:val="0"/>
              <w:adjustRightInd w:val="0"/>
              <w:jc w:val="center"/>
              <w:rPr>
                <w:sz w:val="21"/>
                <w:szCs w:val="21"/>
                <w:highlight w:val="none"/>
              </w:rPr>
            </w:pPr>
            <w:r>
              <w:rPr>
                <w:sz w:val="21"/>
                <w:szCs w:val="21"/>
                <w:highlight w:val="none"/>
              </w:rPr>
              <w:t>80</w:t>
            </w:r>
          </w:p>
        </w:tc>
      </w:tr>
      <w:tr w14:paraId="1E06B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exact"/>
          <w:jc w:val="center"/>
        </w:trPr>
        <w:tc>
          <w:tcPr>
            <w:tcW w:w="928" w:type="pct"/>
            <w:noWrap w:val="0"/>
            <w:vAlign w:val="center"/>
          </w:tcPr>
          <w:p w14:paraId="17817F50">
            <w:pPr>
              <w:kinsoku w:val="0"/>
              <w:overflowPunct w:val="0"/>
              <w:autoSpaceDE w:val="0"/>
              <w:autoSpaceDN w:val="0"/>
              <w:adjustRightInd w:val="0"/>
              <w:jc w:val="center"/>
              <w:rPr>
                <w:sz w:val="21"/>
                <w:szCs w:val="21"/>
                <w:highlight w:val="none"/>
              </w:rPr>
            </w:pPr>
            <w:r>
              <w:rPr>
                <w:sz w:val="21"/>
                <w:szCs w:val="21"/>
                <w:highlight w:val="none"/>
              </w:rPr>
              <w:t>悬浮物</w:t>
            </w:r>
          </w:p>
        </w:tc>
        <w:tc>
          <w:tcPr>
            <w:tcW w:w="408" w:type="pct"/>
            <w:noWrap w:val="0"/>
            <w:vAlign w:val="center"/>
          </w:tcPr>
          <w:p w14:paraId="41A90D1B">
            <w:pPr>
              <w:kinsoku w:val="0"/>
              <w:overflowPunct w:val="0"/>
              <w:autoSpaceDE w:val="0"/>
              <w:autoSpaceDN w:val="0"/>
              <w:adjustRightInd w:val="0"/>
              <w:jc w:val="center"/>
              <w:rPr>
                <w:sz w:val="21"/>
                <w:szCs w:val="21"/>
                <w:highlight w:val="none"/>
              </w:rPr>
            </w:pPr>
            <w:r>
              <w:rPr>
                <w:sz w:val="21"/>
                <w:szCs w:val="21"/>
                <w:highlight w:val="none"/>
              </w:rPr>
              <w:t>7</w:t>
            </w:r>
          </w:p>
        </w:tc>
        <w:tc>
          <w:tcPr>
            <w:tcW w:w="426" w:type="pct"/>
            <w:noWrap w:val="0"/>
            <w:vAlign w:val="center"/>
          </w:tcPr>
          <w:p w14:paraId="3F840549">
            <w:pPr>
              <w:kinsoku w:val="0"/>
              <w:overflowPunct w:val="0"/>
              <w:autoSpaceDE w:val="0"/>
              <w:autoSpaceDN w:val="0"/>
              <w:adjustRightInd w:val="0"/>
              <w:jc w:val="center"/>
              <w:rPr>
                <w:sz w:val="21"/>
                <w:szCs w:val="21"/>
                <w:highlight w:val="none"/>
              </w:rPr>
            </w:pPr>
            <w:r>
              <w:rPr>
                <w:spacing w:val="1"/>
                <w:sz w:val="21"/>
                <w:szCs w:val="21"/>
                <w:highlight w:val="none"/>
              </w:rPr>
              <w:t>1</w:t>
            </w:r>
            <w:r>
              <w:rPr>
                <w:sz w:val="21"/>
                <w:szCs w:val="21"/>
                <w:highlight w:val="none"/>
              </w:rPr>
              <w:t>0</w:t>
            </w:r>
          </w:p>
        </w:tc>
        <w:tc>
          <w:tcPr>
            <w:tcW w:w="426" w:type="pct"/>
            <w:noWrap w:val="0"/>
            <w:vAlign w:val="center"/>
          </w:tcPr>
          <w:p w14:paraId="430C3A96">
            <w:pPr>
              <w:kinsoku w:val="0"/>
              <w:overflowPunct w:val="0"/>
              <w:autoSpaceDE w:val="0"/>
              <w:autoSpaceDN w:val="0"/>
              <w:adjustRightInd w:val="0"/>
              <w:jc w:val="center"/>
              <w:rPr>
                <w:sz w:val="21"/>
                <w:szCs w:val="21"/>
                <w:highlight w:val="none"/>
              </w:rPr>
            </w:pPr>
            <w:r>
              <w:rPr>
                <w:sz w:val="21"/>
                <w:szCs w:val="21"/>
                <w:highlight w:val="none"/>
              </w:rPr>
              <w:t>13</w:t>
            </w:r>
          </w:p>
        </w:tc>
        <w:tc>
          <w:tcPr>
            <w:tcW w:w="481" w:type="pct"/>
            <w:noWrap w:val="0"/>
            <w:vAlign w:val="center"/>
          </w:tcPr>
          <w:p w14:paraId="16C9488B">
            <w:pPr>
              <w:kinsoku w:val="0"/>
              <w:overflowPunct w:val="0"/>
              <w:autoSpaceDE w:val="0"/>
              <w:autoSpaceDN w:val="0"/>
              <w:adjustRightInd w:val="0"/>
              <w:jc w:val="center"/>
              <w:rPr>
                <w:sz w:val="21"/>
                <w:szCs w:val="21"/>
                <w:highlight w:val="none"/>
              </w:rPr>
            </w:pPr>
            <w:r>
              <w:rPr>
                <w:sz w:val="21"/>
                <w:szCs w:val="21"/>
                <w:highlight w:val="none"/>
              </w:rPr>
              <w:t>8</w:t>
            </w:r>
          </w:p>
        </w:tc>
        <w:tc>
          <w:tcPr>
            <w:tcW w:w="426" w:type="pct"/>
            <w:noWrap w:val="0"/>
            <w:vAlign w:val="center"/>
          </w:tcPr>
          <w:p w14:paraId="1E88EC4C">
            <w:pPr>
              <w:kinsoku w:val="0"/>
              <w:overflowPunct w:val="0"/>
              <w:autoSpaceDE w:val="0"/>
              <w:autoSpaceDN w:val="0"/>
              <w:adjustRightInd w:val="0"/>
              <w:jc w:val="center"/>
              <w:rPr>
                <w:sz w:val="21"/>
                <w:szCs w:val="21"/>
                <w:highlight w:val="none"/>
              </w:rPr>
            </w:pPr>
            <w:r>
              <w:rPr>
                <w:sz w:val="21"/>
                <w:szCs w:val="21"/>
                <w:highlight w:val="none"/>
              </w:rPr>
              <w:t>9</w:t>
            </w:r>
          </w:p>
        </w:tc>
        <w:tc>
          <w:tcPr>
            <w:tcW w:w="481" w:type="pct"/>
            <w:noWrap w:val="0"/>
            <w:vAlign w:val="center"/>
          </w:tcPr>
          <w:p w14:paraId="7C48C87C">
            <w:pPr>
              <w:kinsoku w:val="0"/>
              <w:overflowPunct w:val="0"/>
              <w:autoSpaceDE w:val="0"/>
              <w:autoSpaceDN w:val="0"/>
              <w:adjustRightInd w:val="0"/>
              <w:jc w:val="center"/>
              <w:rPr>
                <w:sz w:val="21"/>
                <w:szCs w:val="21"/>
                <w:highlight w:val="none"/>
              </w:rPr>
            </w:pPr>
            <w:r>
              <w:rPr>
                <w:sz w:val="21"/>
                <w:szCs w:val="21"/>
                <w:highlight w:val="none"/>
              </w:rPr>
              <w:t>6</w:t>
            </w:r>
          </w:p>
        </w:tc>
        <w:tc>
          <w:tcPr>
            <w:tcW w:w="426" w:type="pct"/>
            <w:noWrap w:val="0"/>
            <w:vAlign w:val="center"/>
          </w:tcPr>
          <w:p w14:paraId="4B0A6350">
            <w:pPr>
              <w:kinsoku w:val="0"/>
              <w:overflowPunct w:val="0"/>
              <w:autoSpaceDE w:val="0"/>
              <w:autoSpaceDN w:val="0"/>
              <w:adjustRightInd w:val="0"/>
              <w:jc w:val="center"/>
              <w:rPr>
                <w:sz w:val="21"/>
                <w:szCs w:val="21"/>
                <w:highlight w:val="none"/>
              </w:rPr>
            </w:pPr>
            <w:r>
              <w:rPr>
                <w:sz w:val="21"/>
                <w:szCs w:val="21"/>
                <w:highlight w:val="none"/>
              </w:rPr>
              <w:t>13</w:t>
            </w:r>
          </w:p>
        </w:tc>
        <w:tc>
          <w:tcPr>
            <w:tcW w:w="534" w:type="pct"/>
            <w:noWrap w:val="0"/>
            <w:vAlign w:val="center"/>
          </w:tcPr>
          <w:p w14:paraId="43595624">
            <w:pPr>
              <w:kinsoku w:val="0"/>
              <w:overflowPunct w:val="0"/>
              <w:autoSpaceDE w:val="0"/>
              <w:autoSpaceDN w:val="0"/>
              <w:adjustRightInd w:val="0"/>
              <w:jc w:val="center"/>
              <w:rPr>
                <w:sz w:val="21"/>
                <w:szCs w:val="21"/>
                <w:highlight w:val="none"/>
              </w:rPr>
            </w:pPr>
            <w:r>
              <w:rPr>
                <w:sz w:val="21"/>
                <w:szCs w:val="21"/>
                <w:highlight w:val="none"/>
              </w:rPr>
              <w:t>7</w:t>
            </w:r>
          </w:p>
        </w:tc>
        <w:tc>
          <w:tcPr>
            <w:tcW w:w="459" w:type="pct"/>
            <w:noWrap w:val="0"/>
            <w:vAlign w:val="center"/>
          </w:tcPr>
          <w:p w14:paraId="5E5AAA17">
            <w:pPr>
              <w:kinsoku w:val="0"/>
              <w:overflowPunct w:val="0"/>
              <w:autoSpaceDE w:val="0"/>
              <w:autoSpaceDN w:val="0"/>
              <w:adjustRightInd w:val="0"/>
              <w:jc w:val="center"/>
              <w:rPr>
                <w:sz w:val="21"/>
                <w:szCs w:val="21"/>
                <w:highlight w:val="none"/>
              </w:rPr>
            </w:pPr>
            <w:r>
              <w:rPr>
                <w:sz w:val="21"/>
                <w:szCs w:val="21"/>
                <w:highlight w:val="none"/>
              </w:rPr>
              <w:t>70</w:t>
            </w:r>
          </w:p>
        </w:tc>
      </w:tr>
      <w:tr w14:paraId="0A85A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exact"/>
          <w:jc w:val="center"/>
        </w:trPr>
        <w:tc>
          <w:tcPr>
            <w:tcW w:w="928" w:type="pct"/>
            <w:noWrap w:val="0"/>
            <w:vAlign w:val="center"/>
          </w:tcPr>
          <w:p w14:paraId="7F8A071A">
            <w:pPr>
              <w:kinsoku w:val="0"/>
              <w:overflowPunct w:val="0"/>
              <w:autoSpaceDE w:val="0"/>
              <w:autoSpaceDN w:val="0"/>
              <w:adjustRightInd w:val="0"/>
              <w:jc w:val="center"/>
              <w:rPr>
                <w:sz w:val="21"/>
                <w:szCs w:val="21"/>
                <w:highlight w:val="none"/>
              </w:rPr>
            </w:pPr>
            <w:r>
              <w:rPr>
                <w:sz w:val="21"/>
                <w:szCs w:val="21"/>
                <w:highlight w:val="none"/>
              </w:rPr>
              <w:t>化学需氧量</w:t>
            </w:r>
          </w:p>
        </w:tc>
        <w:tc>
          <w:tcPr>
            <w:tcW w:w="408" w:type="pct"/>
            <w:noWrap w:val="0"/>
            <w:vAlign w:val="center"/>
          </w:tcPr>
          <w:p w14:paraId="02236930">
            <w:pPr>
              <w:kinsoku w:val="0"/>
              <w:overflowPunct w:val="0"/>
              <w:autoSpaceDE w:val="0"/>
              <w:autoSpaceDN w:val="0"/>
              <w:adjustRightInd w:val="0"/>
              <w:jc w:val="center"/>
              <w:rPr>
                <w:sz w:val="21"/>
                <w:szCs w:val="21"/>
                <w:highlight w:val="none"/>
              </w:rPr>
            </w:pPr>
            <w:r>
              <w:rPr>
                <w:sz w:val="21"/>
                <w:szCs w:val="21"/>
                <w:highlight w:val="none"/>
              </w:rPr>
              <w:t>9</w:t>
            </w:r>
          </w:p>
        </w:tc>
        <w:tc>
          <w:tcPr>
            <w:tcW w:w="426" w:type="pct"/>
            <w:noWrap w:val="0"/>
            <w:vAlign w:val="center"/>
          </w:tcPr>
          <w:p w14:paraId="5194A704">
            <w:pPr>
              <w:kinsoku w:val="0"/>
              <w:overflowPunct w:val="0"/>
              <w:autoSpaceDE w:val="0"/>
              <w:autoSpaceDN w:val="0"/>
              <w:adjustRightInd w:val="0"/>
              <w:jc w:val="center"/>
              <w:rPr>
                <w:sz w:val="21"/>
                <w:szCs w:val="21"/>
                <w:highlight w:val="none"/>
              </w:rPr>
            </w:pPr>
            <w:r>
              <w:rPr>
                <w:sz w:val="21"/>
                <w:szCs w:val="21"/>
                <w:highlight w:val="none"/>
              </w:rPr>
              <w:t>8</w:t>
            </w:r>
          </w:p>
        </w:tc>
        <w:tc>
          <w:tcPr>
            <w:tcW w:w="426" w:type="pct"/>
            <w:noWrap w:val="0"/>
            <w:vAlign w:val="center"/>
          </w:tcPr>
          <w:p w14:paraId="3021F986">
            <w:pPr>
              <w:kinsoku w:val="0"/>
              <w:overflowPunct w:val="0"/>
              <w:autoSpaceDE w:val="0"/>
              <w:autoSpaceDN w:val="0"/>
              <w:adjustRightInd w:val="0"/>
              <w:jc w:val="center"/>
              <w:rPr>
                <w:sz w:val="21"/>
                <w:szCs w:val="21"/>
                <w:highlight w:val="none"/>
              </w:rPr>
            </w:pPr>
            <w:r>
              <w:rPr>
                <w:sz w:val="21"/>
                <w:szCs w:val="21"/>
                <w:highlight w:val="none"/>
              </w:rPr>
              <w:t>9</w:t>
            </w:r>
          </w:p>
        </w:tc>
        <w:tc>
          <w:tcPr>
            <w:tcW w:w="481" w:type="pct"/>
            <w:noWrap w:val="0"/>
            <w:vAlign w:val="center"/>
          </w:tcPr>
          <w:p w14:paraId="4919AF0F">
            <w:pPr>
              <w:kinsoku w:val="0"/>
              <w:overflowPunct w:val="0"/>
              <w:autoSpaceDE w:val="0"/>
              <w:autoSpaceDN w:val="0"/>
              <w:adjustRightInd w:val="0"/>
              <w:jc w:val="center"/>
              <w:rPr>
                <w:sz w:val="21"/>
                <w:szCs w:val="21"/>
                <w:highlight w:val="none"/>
              </w:rPr>
            </w:pPr>
            <w:r>
              <w:rPr>
                <w:sz w:val="21"/>
                <w:szCs w:val="21"/>
                <w:highlight w:val="none"/>
              </w:rPr>
              <w:t>9</w:t>
            </w:r>
          </w:p>
        </w:tc>
        <w:tc>
          <w:tcPr>
            <w:tcW w:w="426" w:type="pct"/>
            <w:noWrap w:val="0"/>
            <w:vAlign w:val="center"/>
          </w:tcPr>
          <w:p w14:paraId="48AD84A7">
            <w:pPr>
              <w:kinsoku w:val="0"/>
              <w:overflowPunct w:val="0"/>
              <w:autoSpaceDE w:val="0"/>
              <w:autoSpaceDN w:val="0"/>
              <w:adjustRightInd w:val="0"/>
              <w:jc w:val="center"/>
              <w:rPr>
                <w:sz w:val="21"/>
                <w:szCs w:val="21"/>
                <w:highlight w:val="none"/>
              </w:rPr>
            </w:pPr>
            <w:r>
              <w:rPr>
                <w:sz w:val="21"/>
                <w:szCs w:val="21"/>
                <w:highlight w:val="none"/>
              </w:rPr>
              <w:t>8</w:t>
            </w:r>
          </w:p>
        </w:tc>
        <w:tc>
          <w:tcPr>
            <w:tcW w:w="481" w:type="pct"/>
            <w:noWrap w:val="0"/>
            <w:vAlign w:val="center"/>
          </w:tcPr>
          <w:p w14:paraId="335ADCE0">
            <w:pPr>
              <w:kinsoku w:val="0"/>
              <w:overflowPunct w:val="0"/>
              <w:autoSpaceDE w:val="0"/>
              <w:autoSpaceDN w:val="0"/>
              <w:adjustRightInd w:val="0"/>
              <w:jc w:val="center"/>
              <w:rPr>
                <w:sz w:val="21"/>
                <w:szCs w:val="21"/>
                <w:highlight w:val="none"/>
              </w:rPr>
            </w:pPr>
            <w:r>
              <w:rPr>
                <w:sz w:val="21"/>
                <w:szCs w:val="21"/>
                <w:highlight w:val="none"/>
              </w:rPr>
              <w:t>7</w:t>
            </w:r>
          </w:p>
        </w:tc>
        <w:tc>
          <w:tcPr>
            <w:tcW w:w="426" w:type="pct"/>
            <w:noWrap w:val="0"/>
            <w:vAlign w:val="center"/>
          </w:tcPr>
          <w:p w14:paraId="5A2BC3D0">
            <w:pPr>
              <w:kinsoku w:val="0"/>
              <w:overflowPunct w:val="0"/>
              <w:autoSpaceDE w:val="0"/>
              <w:autoSpaceDN w:val="0"/>
              <w:adjustRightInd w:val="0"/>
              <w:jc w:val="center"/>
              <w:rPr>
                <w:sz w:val="21"/>
                <w:szCs w:val="21"/>
                <w:highlight w:val="none"/>
              </w:rPr>
            </w:pPr>
            <w:r>
              <w:rPr>
                <w:sz w:val="21"/>
                <w:szCs w:val="21"/>
                <w:highlight w:val="none"/>
              </w:rPr>
              <w:t>8</w:t>
            </w:r>
          </w:p>
        </w:tc>
        <w:tc>
          <w:tcPr>
            <w:tcW w:w="534" w:type="pct"/>
            <w:noWrap w:val="0"/>
            <w:vAlign w:val="center"/>
          </w:tcPr>
          <w:p w14:paraId="4E565D21">
            <w:pPr>
              <w:kinsoku w:val="0"/>
              <w:overflowPunct w:val="0"/>
              <w:autoSpaceDE w:val="0"/>
              <w:autoSpaceDN w:val="0"/>
              <w:adjustRightInd w:val="0"/>
              <w:jc w:val="center"/>
              <w:rPr>
                <w:sz w:val="21"/>
                <w:szCs w:val="21"/>
                <w:highlight w:val="none"/>
              </w:rPr>
            </w:pPr>
            <w:r>
              <w:rPr>
                <w:sz w:val="21"/>
                <w:szCs w:val="21"/>
                <w:highlight w:val="none"/>
              </w:rPr>
              <w:t>5</w:t>
            </w:r>
          </w:p>
        </w:tc>
        <w:tc>
          <w:tcPr>
            <w:tcW w:w="459" w:type="pct"/>
            <w:noWrap w:val="0"/>
            <w:vAlign w:val="bottom"/>
          </w:tcPr>
          <w:p w14:paraId="6A65969B">
            <w:pPr>
              <w:kinsoku w:val="0"/>
              <w:overflowPunct w:val="0"/>
              <w:autoSpaceDE w:val="0"/>
              <w:autoSpaceDN w:val="0"/>
              <w:adjustRightInd w:val="0"/>
              <w:jc w:val="center"/>
              <w:rPr>
                <w:sz w:val="21"/>
                <w:szCs w:val="21"/>
                <w:highlight w:val="none"/>
              </w:rPr>
            </w:pPr>
            <w:r>
              <w:rPr>
                <w:sz w:val="21"/>
                <w:szCs w:val="21"/>
                <w:highlight w:val="none"/>
              </w:rPr>
              <w:t>100</w:t>
            </w:r>
          </w:p>
        </w:tc>
      </w:tr>
      <w:tr w14:paraId="13DEF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exact"/>
          <w:jc w:val="center"/>
        </w:trPr>
        <w:tc>
          <w:tcPr>
            <w:tcW w:w="928" w:type="pct"/>
            <w:noWrap w:val="0"/>
            <w:vAlign w:val="center"/>
          </w:tcPr>
          <w:p w14:paraId="1ACB32AB">
            <w:pPr>
              <w:kinsoku w:val="0"/>
              <w:overflowPunct w:val="0"/>
              <w:autoSpaceDE w:val="0"/>
              <w:autoSpaceDN w:val="0"/>
              <w:adjustRightInd w:val="0"/>
              <w:jc w:val="center"/>
              <w:rPr>
                <w:sz w:val="21"/>
                <w:szCs w:val="21"/>
                <w:highlight w:val="none"/>
              </w:rPr>
            </w:pPr>
            <w:r>
              <w:rPr>
                <w:sz w:val="21"/>
                <w:szCs w:val="21"/>
                <w:highlight w:val="none"/>
              </w:rPr>
              <w:t>五日生化需氧量</w:t>
            </w:r>
          </w:p>
        </w:tc>
        <w:tc>
          <w:tcPr>
            <w:tcW w:w="408" w:type="pct"/>
            <w:noWrap w:val="0"/>
            <w:vAlign w:val="center"/>
          </w:tcPr>
          <w:p w14:paraId="016343FD">
            <w:pPr>
              <w:kinsoku w:val="0"/>
              <w:overflowPunct w:val="0"/>
              <w:autoSpaceDE w:val="0"/>
              <w:autoSpaceDN w:val="0"/>
              <w:adjustRightInd w:val="0"/>
              <w:jc w:val="center"/>
              <w:rPr>
                <w:sz w:val="21"/>
                <w:szCs w:val="21"/>
                <w:highlight w:val="none"/>
              </w:rPr>
            </w:pPr>
            <w:r>
              <w:rPr>
                <w:spacing w:val="1"/>
                <w:sz w:val="21"/>
                <w:szCs w:val="21"/>
                <w:highlight w:val="none"/>
              </w:rPr>
              <w:t>3</w:t>
            </w:r>
            <w:r>
              <w:rPr>
                <w:sz w:val="21"/>
                <w:szCs w:val="21"/>
                <w:highlight w:val="none"/>
              </w:rPr>
              <w:t>.6</w:t>
            </w:r>
          </w:p>
        </w:tc>
        <w:tc>
          <w:tcPr>
            <w:tcW w:w="426" w:type="pct"/>
            <w:noWrap w:val="0"/>
            <w:vAlign w:val="center"/>
          </w:tcPr>
          <w:p w14:paraId="77A57880">
            <w:pPr>
              <w:kinsoku w:val="0"/>
              <w:overflowPunct w:val="0"/>
              <w:autoSpaceDE w:val="0"/>
              <w:autoSpaceDN w:val="0"/>
              <w:adjustRightInd w:val="0"/>
              <w:jc w:val="center"/>
              <w:rPr>
                <w:sz w:val="21"/>
                <w:szCs w:val="21"/>
                <w:highlight w:val="none"/>
              </w:rPr>
            </w:pPr>
            <w:r>
              <w:rPr>
                <w:spacing w:val="1"/>
                <w:sz w:val="21"/>
                <w:szCs w:val="21"/>
                <w:highlight w:val="none"/>
              </w:rPr>
              <w:t>3</w:t>
            </w:r>
            <w:r>
              <w:rPr>
                <w:sz w:val="21"/>
                <w:szCs w:val="21"/>
                <w:highlight w:val="none"/>
              </w:rPr>
              <w:t>.5</w:t>
            </w:r>
          </w:p>
        </w:tc>
        <w:tc>
          <w:tcPr>
            <w:tcW w:w="426" w:type="pct"/>
            <w:noWrap w:val="0"/>
            <w:vAlign w:val="center"/>
          </w:tcPr>
          <w:p w14:paraId="56903331">
            <w:pPr>
              <w:kinsoku w:val="0"/>
              <w:overflowPunct w:val="0"/>
              <w:autoSpaceDE w:val="0"/>
              <w:autoSpaceDN w:val="0"/>
              <w:adjustRightInd w:val="0"/>
              <w:jc w:val="center"/>
              <w:rPr>
                <w:sz w:val="21"/>
                <w:szCs w:val="21"/>
                <w:highlight w:val="none"/>
              </w:rPr>
            </w:pPr>
            <w:r>
              <w:rPr>
                <w:sz w:val="21"/>
                <w:szCs w:val="21"/>
                <w:highlight w:val="none"/>
              </w:rPr>
              <w:t>3.2</w:t>
            </w:r>
          </w:p>
        </w:tc>
        <w:tc>
          <w:tcPr>
            <w:tcW w:w="481" w:type="pct"/>
            <w:noWrap w:val="0"/>
            <w:vAlign w:val="center"/>
          </w:tcPr>
          <w:p w14:paraId="5B2DA054">
            <w:pPr>
              <w:kinsoku w:val="0"/>
              <w:overflowPunct w:val="0"/>
              <w:autoSpaceDE w:val="0"/>
              <w:autoSpaceDN w:val="0"/>
              <w:adjustRightInd w:val="0"/>
              <w:jc w:val="center"/>
              <w:rPr>
                <w:sz w:val="21"/>
                <w:szCs w:val="21"/>
                <w:highlight w:val="none"/>
              </w:rPr>
            </w:pPr>
            <w:r>
              <w:rPr>
                <w:sz w:val="21"/>
                <w:szCs w:val="21"/>
                <w:highlight w:val="none"/>
              </w:rPr>
              <w:t>3.2</w:t>
            </w:r>
          </w:p>
        </w:tc>
        <w:tc>
          <w:tcPr>
            <w:tcW w:w="426" w:type="pct"/>
            <w:noWrap w:val="0"/>
            <w:vAlign w:val="center"/>
          </w:tcPr>
          <w:p w14:paraId="2EB3C4F7">
            <w:pPr>
              <w:kinsoku w:val="0"/>
              <w:overflowPunct w:val="0"/>
              <w:autoSpaceDE w:val="0"/>
              <w:autoSpaceDN w:val="0"/>
              <w:adjustRightInd w:val="0"/>
              <w:jc w:val="center"/>
              <w:rPr>
                <w:sz w:val="21"/>
                <w:szCs w:val="21"/>
                <w:highlight w:val="none"/>
              </w:rPr>
            </w:pPr>
            <w:r>
              <w:rPr>
                <w:sz w:val="21"/>
                <w:szCs w:val="21"/>
                <w:highlight w:val="none"/>
              </w:rPr>
              <w:t>3.3</w:t>
            </w:r>
          </w:p>
        </w:tc>
        <w:tc>
          <w:tcPr>
            <w:tcW w:w="481" w:type="pct"/>
            <w:noWrap w:val="0"/>
            <w:vAlign w:val="center"/>
          </w:tcPr>
          <w:p w14:paraId="3B6F07E3">
            <w:pPr>
              <w:kinsoku w:val="0"/>
              <w:overflowPunct w:val="0"/>
              <w:autoSpaceDE w:val="0"/>
              <w:autoSpaceDN w:val="0"/>
              <w:adjustRightInd w:val="0"/>
              <w:jc w:val="center"/>
              <w:rPr>
                <w:sz w:val="21"/>
                <w:szCs w:val="21"/>
                <w:highlight w:val="none"/>
              </w:rPr>
            </w:pPr>
            <w:r>
              <w:rPr>
                <w:sz w:val="21"/>
                <w:szCs w:val="21"/>
                <w:highlight w:val="none"/>
              </w:rPr>
              <w:t>2.8</w:t>
            </w:r>
          </w:p>
        </w:tc>
        <w:tc>
          <w:tcPr>
            <w:tcW w:w="426" w:type="pct"/>
            <w:noWrap w:val="0"/>
            <w:vAlign w:val="center"/>
          </w:tcPr>
          <w:p w14:paraId="2F0B1200">
            <w:pPr>
              <w:kinsoku w:val="0"/>
              <w:overflowPunct w:val="0"/>
              <w:autoSpaceDE w:val="0"/>
              <w:autoSpaceDN w:val="0"/>
              <w:adjustRightInd w:val="0"/>
              <w:jc w:val="center"/>
              <w:rPr>
                <w:sz w:val="21"/>
                <w:szCs w:val="21"/>
                <w:highlight w:val="none"/>
              </w:rPr>
            </w:pPr>
            <w:r>
              <w:rPr>
                <w:sz w:val="21"/>
                <w:szCs w:val="21"/>
                <w:highlight w:val="none"/>
              </w:rPr>
              <w:t>2.9</w:t>
            </w:r>
          </w:p>
        </w:tc>
        <w:tc>
          <w:tcPr>
            <w:tcW w:w="534" w:type="pct"/>
            <w:noWrap w:val="0"/>
            <w:vAlign w:val="center"/>
          </w:tcPr>
          <w:p w14:paraId="5323E41B">
            <w:pPr>
              <w:kinsoku w:val="0"/>
              <w:overflowPunct w:val="0"/>
              <w:autoSpaceDE w:val="0"/>
              <w:autoSpaceDN w:val="0"/>
              <w:adjustRightInd w:val="0"/>
              <w:jc w:val="center"/>
              <w:rPr>
                <w:sz w:val="21"/>
                <w:szCs w:val="21"/>
                <w:highlight w:val="none"/>
              </w:rPr>
            </w:pPr>
            <w:r>
              <w:rPr>
                <w:sz w:val="21"/>
                <w:szCs w:val="21"/>
                <w:highlight w:val="none"/>
              </w:rPr>
              <w:t>2.8</w:t>
            </w:r>
          </w:p>
        </w:tc>
        <w:tc>
          <w:tcPr>
            <w:tcW w:w="459" w:type="pct"/>
            <w:noWrap w:val="0"/>
            <w:vAlign w:val="bottom"/>
          </w:tcPr>
          <w:p w14:paraId="6D36C7C8">
            <w:pPr>
              <w:kinsoku w:val="0"/>
              <w:overflowPunct w:val="0"/>
              <w:autoSpaceDE w:val="0"/>
              <w:autoSpaceDN w:val="0"/>
              <w:adjustRightInd w:val="0"/>
              <w:jc w:val="center"/>
              <w:rPr>
                <w:sz w:val="21"/>
                <w:szCs w:val="21"/>
                <w:highlight w:val="none"/>
              </w:rPr>
            </w:pPr>
            <w:r>
              <w:rPr>
                <w:sz w:val="21"/>
                <w:szCs w:val="21"/>
                <w:highlight w:val="none"/>
              </w:rPr>
              <w:t>30</w:t>
            </w:r>
          </w:p>
        </w:tc>
      </w:tr>
      <w:tr w14:paraId="0FED7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9" w:hRule="exact"/>
          <w:jc w:val="center"/>
        </w:trPr>
        <w:tc>
          <w:tcPr>
            <w:tcW w:w="928" w:type="pct"/>
            <w:noWrap w:val="0"/>
            <w:vAlign w:val="center"/>
          </w:tcPr>
          <w:p w14:paraId="037DE975">
            <w:pPr>
              <w:kinsoku w:val="0"/>
              <w:overflowPunct w:val="0"/>
              <w:autoSpaceDE w:val="0"/>
              <w:autoSpaceDN w:val="0"/>
              <w:adjustRightInd w:val="0"/>
              <w:jc w:val="center"/>
              <w:rPr>
                <w:sz w:val="21"/>
                <w:szCs w:val="21"/>
                <w:highlight w:val="none"/>
              </w:rPr>
            </w:pPr>
            <w:r>
              <w:rPr>
                <w:sz w:val="21"/>
                <w:szCs w:val="21"/>
                <w:highlight w:val="none"/>
              </w:rPr>
              <w:t>氨氮</w:t>
            </w:r>
          </w:p>
        </w:tc>
        <w:tc>
          <w:tcPr>
            <w:tcW w:w="408" w:type="pct"/>
            <w:noWrap w:val="0"/>
            <w:vAlign w:val="center"/>
          </w:tcPr>
          <w:p w14:paraId="713AB225">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02</w:t>
            </w:r>
            <w:r>
              <w:rPr>
                <w:spacing w:val="-2"/>
                <w:sz w:val="21"/>
                <w:szCs w:val="21"/>
                <w:highlight w:val="none"/>
              </w:rPr>
              <w:t>5</w:t>
            </w:r>
            <w:r>
              <w:rPr>
                <w:sz w:val="21"/>
                <w:szCs w:val="21"/>
                <w:highlight w:val="none"/>
              </w:rPr>
              <w:t>L</w:t>
            </w:r>
          </w:p>
        </w:tc>
        <w:tc>
          <w:tcPr>
            <w:tcW w:w="426" w:type="pct"/>
            <w:noWrap w:val="0"/>
            <w:vAlign w:val="center"/>
          </w:tcPr>
          <w:p w14:paraId="469566C6">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02</w:t>
            </w:r>
            <w:r>
              <w:rPr>
                <w:spacing w:val="-2"/>
                <w:sz w:val="21"/>
                <w:szCs w:val="21"/>
                <w:highlight w:val="none"/>
              </w:rPr>
              <w:t>5</w:t>
            </w:r>
            <w:r>
              <w:rPr>
                <w:sz w:val="21"/>
                <w:szCs w:val="21"/>
                <w:highlight w:val="none"/>
              </w:rPr>
              <w:t>L</w:t>
            </w:r>
          </w:p>
        </w:tc>
        <w:tc>
          <w:tcPr>
            <w:tcW w:w="426" w:type="pct"/>
            <w:noWrap w:val="0"/>
            <w:vAlign w:val="center"/>
          </w:tcPr>
          <w:p w14:paraId="05B2F540">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02</w:t>
            </w:r>
            <w:r>
              <w:rPr>
                <w:spacing w:val="-2"/>
                <w:sz w:val="21"/>
                <w:szCs w:val="21"/>
                <w:highlight w:val="none"/>
              </w:rPr>
              <w:t>5</w:t>
            </w:r>
            <w:r>
              <w:rPr>
                <w:sz w:val="21"/>
                <w:szCs w:val="21"/>
                <w:highlight w:val="none"/>
              </w:rPr>
              <w:t>L</w:t>
            </w:r>
          </w:p>
        </w:tc>
        <w:tc>
          <w:tcPr>
            <w:tcW w:w="481" w:type="pct"/>
            <w:noWrap w:val="0"/>
            <w:vAlign w:val="center"/>
          </w:tcPr>
          <w:p w14:paraId="24A7F0B2">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2"/>
                <w:sz w:val="21"/>
                <w:szCs w:val="21"/>
                <w:highlight w:val="none"/>
              </w:rPr>
              <w:t>2</w:t>
            </w:r>
            <w:r>
              <w:rPr>
                <w:spacing w:val="1"/>
                <w:sz w:val="21"/>
                <w:szCs w:val="21"/>
                <w:highlight w:val="none"/>
              </w:rPr>
              <w:t>5</w:t>
            </w:r>
            <w:r>
              <w:rPr>
                <w:sz w:val="21"/>
                <w:szCs w:val="21"/>
                <w:highlight w:val="none"/>
              </w:rPr>
              <w:t>L</w:t>
            </w:r>
          </w:p>
        </w:tc>
        <w:tc>
          <w:tcPr>
            <w:tcW w:w="426" w:type="pct"/>
            <w:noWrap w:val="0"/>
            <w:vAlign w:val="center"/>
          </w:tcPr>
          <w:p w14:paraId="5A3270EF">
            <w:pPr>
              <w:kinsoku w:val="0"/>
              <w:overflowPunct w:val="0"/>
              <w:autoSpaceDE w:val="0"/>
              <w:autoSpaceDN w:val="0"/>
              <w:adjustRightInd w:val="0"/>
              <w:jc w:val="center"/>
              <w:rPr>
                <w:sz w:val="21"/>
                <w:szCs w:val="21"/>
                <w:highlight w:val="none"/>
              </w:rPr>
            </w:pPr>
            <w:r>
              <w:rPr>
                <w:sz w:val="21"/>
                <w:szCs w:val="21"/>
                <w:highlight w:val="none"/>
              </w:rPr>
              <w:t>0.292</w:t>
            </w:r>
          </w:p>
        </w:tc>
        <w:tc>
          <w:tcPr>
            <w:tcW w:w="481" w:type="pct"/>
            <w:noWrap w:val="0"/>
            <w:vAlign w:val="center"/>
          </w:tcPr>
          <w:p w14:paraId="5E684F21">
            <w:pPr>
              <w:kinsoku w:val="0"/>
              <w:overflowPunct w:val="0"/>
              <w:autoSpaceDE w:val="0"/>
              <w:autoSpaceDN w:val="0"/>
              <w:adjustRightInd w:val="0"/>
              <w:jc w:val="center"/>
              <w:rPr>
                <w:sz w:val="21"/>
                <w:szCs w:val="21"/>
                <w:highlight w:val="none"/>
              </w:rPr>
            </w:pPr>
            <w:r>
              <w:rPr>
                <w:sz w:val="21"/>
                <w:szCs w:val="21"/>
                <w:highlight w:val="none"/>
              </w:rPr>
              <w:t>0.344</w:t>
            </w:r>
          </w:p>
        </w:tc>
        <w:tc>
          <w:tcPr>
            <w:tcW w:w="426" w:type="pct"/>
            <w:noWrap w:val="0"/>
            <w:vAlign w:val="center"/>
          </w:tcPr>
          <w:p w14:paraId="67E7D058">
            <w:pPr>
              <w:kinsoku w:val="0"/>
              <w:overflowPunct w:val="0"/>
              <w:autoSpaceDE w:val="0"/>
              <w:autoSpaceDN w:val="0"/>
              <w:adjustRightInd w:val="0"/>
              <w:jc w:val="center"/>
              <w:rPr>
                <w:sz w:val="21"/>
                <w:szCs w:val="21"/>
                <w:highlight w:val="none"/>
              </w:rPr>
            </w:pPr>
            <w:r>
              <w:rPr>
                <w:sz w:val="21"/>
                <w:szCs w:val="21"/>
                <w:highlight w:val="none"/>
              </w:rPr>
              <w:t>0.025L</w:t>
            </w:r>
          </w:p>
        </w:tc>
        <w:tc>
          <w:tcPr>
            <w:tcW w:w="534" w:type="pct"/>
            <w:noWrap w:val="0"/>
            <w:vAlign w:val="center"/>
          </w:tcPr>
          <w:p w14:paraId="0CB8615E">
            <w:pPr>
              <w:kinsoku w:val="0"/>
              <w:overflowPunct w:val="0"/>
              <w:autoSpaceDE w:val="0"/>
              <w:autoSpaceDN w:val="0"/>
              <w:adjustRightInd w:val="0"/>
              <w:jc w:val="center"/>
              <w:rPr>
                <w:sz w:val="21"/>
                <w:szCs w:val="21"/>
                <w:highlight w:val="none"/>
              </w:rPr>
            </w:pPr>
            <w:r>
              <w:rPr>
                <w:sz w:val="21"/>
                <w:szCs w:val="21"/>
                <w:highlight w:val="none"/>
              </w:rPr>
              <w:t>0.025L</w:t>
            </w:r>
          </w:p>
        </w:tc>
        <w:tc>
          <w:tcPr>
            <w:tcW w:w="459" w:type="pct"/>
            <w:noWrap w:val="0"/>
            <w:vAlign w:val="bottom"/>
          </w:tcPr>
          <w:p w14:paraId="1FA35574">
            <w:pPr>
              <w:kinsoku w:val="0"/>
              <w:overflowPunct w:val="0"/>
              <w:autoSpaceDE w:val="0"/>
              <w:autoSpaceDN w:val="0"/>
              <w:adjustRightInd w:val="0"/>
              <w:jc w:val="center"/>
              <w:rPr>
                <w:sz w:val="21"/>
                <w:szCs w:val="21"/>
                <w:highlight w:val="none"/>
              </w:rPr>
            </w:pPr>
            <w:r>
              <w:rPr>
                <w:sz w:val="21"/>
                <w:szCs w:val="21"/>
                <w:highlight w:val="none"/>
              </w:rPr>
              <w:t>15</w:t>
            </w:r>
          </w:p>
        </w:tc>
      </w:tr>
      <w:tr w14:paraId="5BF67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exact"/>
          <w:jc w:val="center"/>
        </w:trPr>
        <w:tc>
          <w:tcPr>
            <w:tcW w:w="928" w:type="pct"/>
            <w:noWrap w:val="0"/>
            <w:vAlign w:val="center"/>
          </w:tcPr>
          <w:p w14:paraId="69F95E22">
            <w:pPr>
              <w:kinsoku w:val="0"/>
              <w:overflowPunct w:val="0"/>
              <w:autoSpaceDE w:val="0"/>
              <w:autoSpaceDN w:val="0"/>
              <w:adjustRightInd w:val="0"/>
              <w:jc w:val="center"/>
              <w:rPr>
                <w:sz w:val="21"/>
                <w:szCs w:val="21"/>
                <w:highlight w:val="none"/>
              </w:rPr>
            </w:pPr>
            <w:r>
              <w:rPr>
                <w:sz w:val="21"/>
                <w:szCs w:val="21"/>
                <w:highlight w:val="none"/>
              </w:rPr>
              <w:t>总磷</w:t>
            </w:r>
          </w:p>
        </w:tc>
        <w:tc>
          <w:tcPr>
            <w:tcW w:w="408" w:type="pct"/>
            <w:noWrap w:val="0"/>
            <w:vAlign w:val="center"/>
          </w:tcPr>
          <w:p w14:paraId="41181804">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z w:val="21"/>
                <w:szCs w:val="21"/>
                <w:highlight w:val="none"/>
              </w:rPr>
              <w:t>3</w:t>
            </w:r>
          </w:p>
        </w:tc>
        <w:tc>
          <w:tcPr>
            <w:tcW w:w="426" w:type="pct"/>
            <w:noWrap w:val="0"/>
            <w:vAlign w:val="center"/>
          </w:tcPr>
          <w:p w14:paraId="6B366850">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z w:val="21"/>
                <w:szCs w:val="21"/>
                <w:highlight w:val="none"/>
              </w:rPr>
              <w:t>4</w:t>
            </w:r>
          </w:p>
        </w:tc>
        <w:tc>
          <w:tcPr>
            <w:tcW w:w="426" w:type="pct"/>
            <w:noWrap w:val="0"/>
            <w:vAlign w:val="center"/>
          </w:tcPr>
          <w:p w14:paraId="783654F9">
            <w:pPr>
              <w:kinsoku w:val="0"/>
              <w:overflowPunct w:val="0"/>
              <w:autoSpaceDE w:val="0"/>
              <w:autoSpaceDN w:val="0"/>
              <w:adjustRightInd w:val="0"/>
              <w:jc w:val="center"/>
              <w:rPr>
                <w:sz w:val="21"/>
                <w:szCs w:val="21"/>
                <w:highlight w:val="none"/>
              </w:rPr>
            </w:pPr>
            <w:r>
              <w:rPr>
                <w:sz w:val="21"/>
                <w:szCs w:val="21"/>
                <w:highlight w:val="none"/>
              </w:rPr>
              <w:t>0.03</w:t>
            </w:r>
          </w:p>
        </w:tc>
        <w:tc>
          <w:tcPr>
            <w:tcW w:w="481" w:type="pct"/>
            <w:noWrap w:val="0"/>
            <w:vAlign w:val="center"/>
          </w:tcPr>
          <w:p w14:paraId="41513C2A">
            <w:pPr>
              <w:kinsoku w:val="0"/>
              <w:overflowPunct w:val="0"/>
              <w:autoSpaceDE w:val="0"/>
              <w:autoSpaceDN w:val="0"/>
              <w:adjustRightInd w:val="0"/>
              <w:jc w:val="center"/>
              <w:rPr>
                <w:sz w:val="21"/>
                <w:szCs w:val="21"/>
                <w:highlight w:val="none"/>
              </w:rPr>
            </w:pPr>
            <w:r>
              <w:rPr>
                <w:sz w:val="21"/>
                <w:szCs w:val="21"/>
                <w:highlight w:val="none"/>
              </w:rPr>
              <w:t>0.03</w:t>
            </w:r>
          </w:p>
        </w:tc>
        <w:tc>
          <w:tcPr>
            <w:tcW w:w="426" w:type="pct"/>
            <w:noWrap w:val="0"/>
            <w:vAlign w:val="center"/>
          </w:tcPr>
          <w:p w14:paraId="0C5CDC12">
            <w:pPr>
              <w:kinsoku w:val="0"/>
              <w:overflowPunct w:val="0"/>
              <w:autoSpaceDE w:val="0"/>
              <w:autoSpaceDN w:val="0"/>
              <w:adjustRightInd w:val="0"/>
              <w:jc w:val="center"/>
              <w:rPr>
                <w:sz w:val="21"/>
                <w:szCs w:val="21"/>
                <w:highlight w:val="none"/>
              </w:rPr>
            </w:pPr>
            <w:r>
              <w:rPr>
                <w:sz w:val="21"/>
                <w:szCs w:val="21"/>
                <w:highlight w:val="none"/>
              </w:rPr>
              <w:t>0.22</w:t>
            </w:r>
          </w:p>
        </w:tc>
        <w:tc>
          <w:tcPr>
            <w:tcW w:w="481" w:type="pct"/>
            <w:noWrap w:val="0"/>
            <w:vAlign w:val="center"/>
          </w:tcPr>
          <w:p w14:paraId="62188935">
            <w:pPr>
              <w:kinsoku w:val="0"/>
              <w:overflowPunct w:val="0"/>
              <w:autoSpaceDE w:val="0"/>
              <w:autoSpaceDN w:val="0"/>
              <w:adjustRightInd w:val="0"/>
              <w:jc w:val="center"/>
              <w:rPr>
                <w:sz w:val="21"/>
                <w:szCs w:val="21"/>
                <w:highlight w:val="none"/>
              </w:rPr>
            </w:pPr>
            <w:r>
              <w:rPr>
                <w:sz w:val="21"/>
                <w:szCs w:val="21"/>
                <w:highlight w:val="none"/>
              </w:rPr>
              <w:t>0.13</w:t>
            </w:r>
          </w:p>
        </w:tc>
        <w:tc>
          <w:tcPr>
            <w:tcW w:w="426" w:type="pct"/>
            <w:noWrap w:val="0"/>
            <w:vAlign w:val="center"/>
          </w:tcPr>
          <w:p w14:paraId="1CAEACE4">
            <w:pPr>
              <w:kinsoku w:val="0"/>
              <w:overflowPunct w:val="0"/>
              <w:autoSpaceDE w:val="0"/>
              <w:autoSpaceDN w:val="0"/>
              <w:adjustRightInd w:val="0"/>
              <w:jc w:val="center"/>
              <w:rPr>
                <w:sz w:val="21"/>
                <w:szCs w:val="21"/>
                <w:highlight w:val="none"/>
              </w:rPr>
            </w:pPr>
            <w:r>
              <w:rPr>
                <w:sz w:val="21"/>
                <w:szCs w:val="21"/>
                <w:highlight w:val="none"/>
              </w:rPr>
              <w:t>0.52</w:t>
            </w:r>
          </w:p>
        </w:tc>
        <w:tc>
          <w:tcPr>
            <w:tcW w:w="534" w:type="pct"/>
            <w:noWrap w:val="0"/>
            <w:vAlign w:val="center"/>
          </w:tcPr>
          <w:p w14:paraId="10DE4D8A">
            <w:pPr>
              <w:kinsoku w:val="0"/>
              <w:overflowPunct w:val="0"/>
              <w:autoSpaceDE w:val="0"/>
              <w:autoSpaceDN w:val="0"/>
              <w:adjustRightInd w:val="0"/>
              <w:jc w:val="center"/>
              <w:rPr>
                <w:sz w:val="21"/>
                <w:szCs w:val="21"/>
                <w:highlight w:val="none"/>
              </w:rPr>
            </w:pPr>
            <w:r>
              <w:rPr>
                <w:sz w:val="21"/>
                <w:szCs w:val="21"/>
                <w:highlight w:val="none"/>
              </w:rPr>
              <w:t>0.04</w:t>
            </w:r>
          </w:p>
        </w:tc>
        <w:tc>
          <w:tcPr>
            <w:tcW w:w="459" w:type="pct"/>
            <w:noWrap w:val="0"/>
            <w:vAlign w:val="bottom"/>
          </w:tcPr>
          <w:p w14:paraId="22709BCC">
            <w:pPr>
              <w:kinsoku w:val="0"/>
              <w:overflowPunct w:val="0"/>
              <w:autoSpaceDE w:val="0"/>
              <w:autoSpaceDN w:val="0"/>
              <w:adjustRightInd w:val="0"/>
              <w:jc w:val="center"/>
              <w:rPr>
                <w:sz w:val="21"/>
                <w:szCs w:val="21"/>
                <w:highlight w:val="none"/>
              </w:rPr>
            </w:pPr>
            <w:r>
              <w:rPr>
                <w:sz w:val="21"/>
                <w:szCs w:val="21"/>
                <w:highlight w:val="none"/>
              </w:rPr>
              <w:t>/</w:t>
            </w:r>
          </w:p>
        </w:tc>
      </w:tr>
      <w:tr w14:paraId="1453D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exact"/>
          <w:jc w:val="center"/>
        </w:trPr>
        <w:tc>
          <w:tcPr>
            <w:tcW w:w="928" w:type="pct"/>
            <w:noWrap w:val="0"/>
            <w:vAlign w:val="center"/>
          </w:tcPr>
          <w:p w14:paraId="5D9FCE8D">
            <w:pPr>
              <w:kinsoku w:val="0"/>
              <w:overflowPunct w:val="0"/>
              <w:autoSpaceDE w:val="0"/>
              <w:autoSpaceDN w:val="0"/>
              <w:adjustRightInd w:val="0"/>
              <w:jc w:val="center"/>
              <w:rPr>
                <w:sz w:val="21"/>
                <w:szCs w:val="21"/>
                <w:highlight w:val="none"/>
              </w:rPr>
            </w:pPr>
            <w:r>
              <w:rPr>
                <w:sz w:val="21"/>
                <w:szCs w:val="21"/>
                <w:highlight w:val="none"/>
              </w:rPr>
              <w:t>总氮</w:t>
            </w:r>
          </w:p>
        </w:tc>
        <w:tc>
          <w:tcPr>
            <w:tcW w:w="408" w:type="pct"/>
            <w:noWrap w:val="0"/>
            <w:vAlign w:val="center"/>
          </w:tcPr>
          <w:p w14:paraId="479B41D8">
            <w:pPr>
              <w:kinsoku w:val="0"/>
              <w:overflowPunct w:val="0"/>
              <w:autoSpaceDE w:val="0"/>
              <w:autoSpaceDN w:val="0"/>
              <w:adjustRightInd w:val="0"/>
              <w:jc w:val="center"/>
              <w:rPr>
                <w:sz w:val="21"/>
                <w:szCs w:val="21"/>
                <w:highlight w:val="none"/>
              </w:rPr>
            </w:pPr>
            <w:r>
              <w:rPr>
                <w:spacing w:val="1"/>
                <w:sz w:val="21"/>
                <w:szCs w:val="21"/>
                <w:highlight w:val="none"/>
              </w:rPr>
              <w:t>22</w:t>
            </w:r>
            <w:r>
              <w:rPr>
                <w:sz w:val="21"/>
                <w:szCs w:val="21"/>
                <w:highlight w:val="none"/>
              </w:rPr>
              <w:t>.3</w:t>
            </w:r>
          </w:p>
        </w:tc>
        <w:tc>
          <w:tcPr>
            <w:tcW w:w="426" w:type="pct"/>
            <w:noWrap w:val="0"/>
            <w:vAlign w:val="center"/>
          </w:tcPr>
          <w:p w14:paraId="191DB264">
            <w:pPr>
              <w:kinsoku w:val="0"/>
              <w:overflowPunct w:val="0"/>
              <w:autoSpaceDE w:val="0"/>
              <w:autoSpaceDN w:val="0"/>
              <w:adjustRightInd w:val="0"/>
              <w:jc w:val="center"/>
              <w:rPr>
                <w:sz w:val="21"/>
                <w:szCs w:val="21"/>
                <w:highlight w:val="none"/>
              </w:rPr>
            </w:pPr>
            <w:r>
              <w:rPr>
                <w:spacing w:val="1"/>
                <w:sz w:val="21"/>
                <w:szCs w:val="21"/>
                <w:highlight w:val="none"/>
              </w:rPr>
              <w:t>7</w:t>
            </w:r>
            <w:r>
              <w:rPr>
                <w:sz w:val="21"/>
                <w:szCs w:val="21"/>
                <w:highlight w:val="none"/>
              </w:rPr>
              <w:t>.</w:t>
            </w:r>
            <w:r>
              <w:rPr>
                <w:spacing w:val="1"/>
                <w:sz w:val="21"/>
                <w:szCs w:val="21"/>
                <w:highlight w:val="none"/>
              </w:rPr>
              <w:t>7</w:t>
            </w:r>
            <w:r>
              <w:rPr>
                <w:sz w:val="21"/>
                <w:szCs w:val="21"/>
                <w:highlight w:val="none"/>
              </w:rPr>
              <w:t>3</w:t>
            </w:r>
          </w:p>
        </w:tc>
        <w:tc>
          <w:tcPr>
            <w:tcW w:w="426" w:type="pct"/>
            <w:noWrap w:val="0"/>
            <w:vAlign w:val="center"/>
          </w:tcPr>
          <w:p w14:paraId="2189798B">
            <w:pPr>
              <w:kinsoku w:val="0"/>
              <w:overflowPunct w:val="0"/>
              <w:autoSpaceDE w:val="0"/>
              <w:autoSpaceDN w:val="0"/>
              <w:adjustRightInd w:val="0"/>
              <w:jc w:val="center"/>
              <w:rPr>
                <w:sz w:val="21"/>
                <w:szCs w:val="21"/>
                <w:highlight w:val="none"/>
              </w:rPr>
            </w:pPr>
            <w:r>
              <w:rPr>
                <w:sz w:val="21"/>
                <w:szCs w:val="21"/>
                <w:highlight w:val="none"/>
              </w:rPr>
              <w:t>7.61</w:t>
            </w:r>
          </w:p>
        </w:tc>
        <w:tc>
          <w:tcPr>
            <w:tcW w:w="481" w:type="pct"/>
            <w:noWrap w:val="0"/>
            <w:vAlign w:val="center"/>
          </w:tcPr>
          <w:p w14:paraId="62BBEA59">
            <w:pPr>
              <w:kinsoku w:val="0"/>
              <w:overflowPunct w:val="0"/>
              <w:autoSpaceDE w:val="0"/>
              <w:autoSpaceDN w:val="0"/>
              <w:adjustRightInd w:val="0"/>
              <w:jc w:val="center"/>
              <w:rPr>
                <w:sz w:val="21"/>
                <w:szCs w:val="21"/>
                <w:highlight w:val="none"/>
              </w:rPr>
            </w:pPr>
            <w:r>
              <w:rPr>
                <w:sz w:val="21"/>
                <w:szCs w:val="21"/>
                <w:highlight w:val="none"/>
              </w:rPr>
              <w:t>8.44</w:t>
            </w:r>
          </w:p>
        </w:tc>
        <w:tc>
          <w:tcPr>
            <w:tcW w:w="426" w:type="pct"/>
            <w:noWrap w:val="0"/>
            <w:vAlign w:val="center"/>
          </w:tcPr>
          <w:p w14:paraId="60500F7A">
            <w:pPr>
              <w:kinsoku w:val="0"/>
              <w:overflowPunct w:val="0"/>
              <w:autoSpaceDE w:val="0"/>
              <w:autoSpaceDN w:val="0"/>
              <w:adjustRightInd w:val="0"/>
              <w:jc w:val="center"/>
              <w:rPr>
                <w:sz w:val="21"/>
                <w:szCs w:val="21"/>
                <w:highlight w:val="none"/>
              </w:rPr>
            </w:pPr>
            <w:r>
              <w:rPr>
                <w:sz w:val="21"/>
                <w:szCs w:val="21"/>
                <w:highlight w:val="none"/>
              </w:rPr>
              <w:t>6.91</w:t>
            </w:r>
          </w:p>
        </w:tc>
        <w:tc>
          <w:tcPr>
            <w:tcW w:w="481" w:type="pct"/>
            <w:noWrap w:val="0"/>
            <w:vAlign w:val="center"/>
          </w:tcPr>
          <w:p w14:paraId="13DFC5DC">
            <w:pPr>
              <w:kinsoku w:val="0"/>
              <w:overflowPunct w:val="0"/>
              <w:autoSpaceDE w:val="0"/>
              <w:autoSpaceDN w:val="0"/>
              <w:adjustRightInd w:val="0"/>
              <w:jc w:val="center"/>
              <w:rPr>
                <w:sz w:val="21"/>
                <w:szCs w:val="21"/>
                <w:highlight w:val="none"/>
              </w:rPr>
            </w:pPr>
            <w:r>
              <w:rPr>
                <w:sz w:val="21"/>
                <w:szCs w:val="21"/>
                <w:highlight w:val="none"/>
              </w:rPr>
              <w:t>6.79</w:t>
            </w:r>
          </w:p>
        </w:tc>
        <w:tc>
          <w:tcPr>
            <w:tcW w:w="426" w:type="pct"/>
            <w:noWrap w:val="0"/>
            <w:vAlign w:val="center"/>
          </w:tcPr>
          <w:p w14:paraId="558A45F2">
            <w:pPr>
              <w:kinsoku w:val="0"/>
              <w:overflowPunct w:val="0"/>
              <w:autoSpaceDE w:val="0"/>
              <w:autoSpaceDN w:val="0"/>
              <w:adjustRightInd w:val="0"/>
              <w:jc w:val="center"/>
              <w:rPr>
                <w:sz w:val="21"/>
                <w:szCs w:val="21"/>
                <w:highlight w:val="none"/>
              </w:rPr>
            </w:pPr>
            <w:r>
              <w:rPr>
                <w:sz w:val="21"/>
                <w:szCs w:val="21"/>
                <w:highlight w:val="none"/>
              </w:rPr>
              <w:t>6.67</w:t>
            </w:r>
          </w:p>
        </w:tc>
        <w:tc>
          <w:tcPr>
            <w:tcW w:w="534" w:type="pct"/>
            <w:noWrap w:val="0"/>
            <w:vAlign w:val="center"/>
          </w:tcPr>
          <w:p w14:paraId="2741DB4F">
            <w:pPr>
              <w:kinsoku w:val="0"/>
              <w:overflowPunct w:val="0"/>
              <w:autoSpaceDE w:val="0"/>
              <w:autoSpaceDN w:val="0"/>
              <w:adjustRightInd w:val="0"/>
              <w:jc w:val="center"/>
              <w:rPr>
                <w:sz w:val="21"/>
                <w:szCs w:val="21"/>
                <w:highlight w:val="none"/>
              </w:rPr>
            </w:pPr>
            <w:r>
              <w:rPr>
                <w:sz w:val="21"/>
                <w:szCs w:val="21"/>
                <w:highlight w:val="none"/>
              </w:rPr>
              <w:t>6.34</w:t>
            </w:r>
          </w:p>
        </w:tc>
        <w:tc>
          <w:tcPr>
            <w:tcW w:w="459" w:type="pct"/>
            <w:noWrap w:val="0"/>
            <w:vAlign w:val="bottom"/>
          </w:tcPr>
          <w:p w14:paraId="5CB07E96">
            <w:pPr>
              <w:kinsoku w:val="0"/>
              <w:overflowPunct w:val="0"/>
              <w:autoSpaceDE w:val="0"/>
              <w:autoSpaceDN w:val="0"/>
              <w:adjustRightInd w:val="0"/>
              <w:jc w:val="center"/>
              <w:rPr>
                <w:sz w:val="21"/>
                <w:szCs w:val="21"/>
                <w:highlight w:val="none"/>
              </w:rPr>
            </w:pPr>
            <w:r>
              <w:rPr>
                <w:sz w:val="21"/>
                <w:szCs w:val="21"/>
                <w:highlight w:val="none"/>
              </w:rPr>
              <w:t>/</w:t>
            </w:r>
          </w:p>
        </w:tc>
      </w:tr>
      <w:tr w14:paraId="08E53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exact"/>
          <w:jc w:val="center"/>
        </w:trPr>
        <w:tc>
          <w:tcPr>
            <w:tcW w:w="928" w:type="pct"/>
            <w:noWrap w:val="0"/>
            <w:vAlign w:val="center"/>
          </w:tcPr>
          <w:p w14:paraId="2A897CDE">
            <w:pPr>
              <w:kinsoku w:val="0"/>
              <w:overflowPunct w:val="0"/>
              <w:autoSpaceDE w:val="0"/>
              <w:autoSpaceDN w:val="0"/>
              <w:adjustRightInd w:val="0"/>
              <w:jc w:val="center"/>
              <w:rPr>
                <w:sz w:val="21"/>
                <w:szCs w:val="21"/>
                <w:highlight w:val="none"/>
              </w:rPr>
            </w:pPr>
            <w:r>
              <w:rPr>
                <w:sz w:val="21"/>
                <w:szCs w:val="21"/>
                <w:highlight w:val="none"/>
              </w:rPr>
              <w:t>硫化物</w:t>
            </w:r>
          </w:p>
        </w:tc>
        <w:tc>
          <w:tcPr>
            <w:tcW w:w="408" w:type="pct"/>
            <w:noWrap w:val="0"/>
            <w:vAlign w:val="center"/>
          </w:tcPr>
          <w:p w14:paraId="28C8A4B1">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00</w:t>
            </w:r>
            <w:r>
              <w:rPr>
                <w:spacing w:val="-2"/>
                <w:sz w:val="21"/>
                <w:szCs w:val="21"/>
                <w:highlight w:val="none"/>
              </w:rPr>
              <w:t>5</w:t>
            </w:r>
            <w:r>
              <w:rPr>
                <w:sz w:val="21"/>
                <w:szCs w:val="21"/>
                <w:highlight w:val="none"/>
              </w:rPr>
              <w:t>L</w:t>
            </w:r>
          </w:p>
        </w:tc>
        <w:tc>
          <w:tcPr>
            <w:tcW w:w="426" w:type="pct"/>
            <w:noWrap w:val="0"/>
            <w:vAlign w:val="center"/>
          </w:tcPr>
          <w:p w14:paraId="3EEF63CD">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00</w:t>
            </w:r>
            <w:r>
              <w:rPr>
                <w:spacing w:val="-2"/>
                <w:sz w:val="21"/>
                <w:szCs w:val="21"/>
                <w:highlight w:val="none"/>
              </w:rPr>
              <w:t>5</w:t>
            </w:r>
            <w:r>
              <w:rPr>
                <w:sz w:val="21"/>
                <w:szCs w:val="21"/>
                <w:highlight w:val="none"/>
              </w:rPr>
              <w:t>L</w:t>
            </w:r>
          </w:p>
        </w:tc>
        <w:tc>
          <w:tcPr>
            <w:tcW w:w="426" w:type="pct"/>
            <w:noWrap w:val="0"/>
            <w:vAlign w:val="center"/>
          </w:tcPr>
          <w:p w14:paraId="3F0C7FC9">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00</w:t>
            </w:r>
            <w:r>
              <w:rPr>
                <w:spacing w:val="-2"/>
                <w:sz w:val="21"/>
                <w:szCs w:val="21"/>
                <w:highlight w:val="none"/>
              </w:rPr>
              <w:t>5</w:t>
            </w:r>
            <w:r>
              <w:rPr>
                <w:sz w:val="21"/>
                <w:szCs w:val="21"/>
                <w:highlight w:val="none"/>
              </w:rPr>
              <w:t>L</w:t>
            </w:r>
          </w:p>
        </w:tc>
        <w:tc>
          <w:tcPr>
            <w:tcW w:w="481" w:type="pct"/>
            <w:noWrap w:val="0"/>
            <w:vAlign w:val="center"/>
          </w:tcPr>
          <w:p w14:paraId="30C04836">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2"/>
                <w:sz w:val="21"/>
                <w:szCs w:val="21"/>
                <w:highlight w:val="none"/>
              </w:rPr>
              <w:t>0</w:t>
            </w:r>
            <w:r>
              <w:rPr>
                <w:spacing w:val="1"/>
                <w:sz w:val="21"/>
                <w:szCs w:val="21"/>
                <w:highlight w:val="none"/>
              </w:rPr>
              <w:t>5</w:t>
            </w:r>
            <w:r>
              <w:rPr>
                <w:sz w:val="21"/>
                <w:szCs w:val="21"/>
                <w:highlight w:val="none"/>
              </w:rPr>
              <w:t>L</w:t>
            </w:r>
          </w:p>
        </w:tc>
        <w:tc>
          <w:tcPr>
            <w:tcW w:w="426" w:type="pct"/>
            <w:noWrap w:val="0"/>
            <w:vAlign w:val="center"/>
          </w:tcPr>
          <w:p w14:paraId="6DB35474">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00</w:t>
            </w:r>
            <w:r>
              <w:rPr>
                <w:spacing w:val="-2"/>
                <w:sz w:val="21"/>
                <w:szCs w:val="21"/>
                <w:highlight w:val="none"/>
              </w:rPr>
              <w:t>5</w:t>
            </w:r>
            <w:r>
              <w:rPr>
                <w:sz w:val="21"/>
                <w:szCs w:val="21"/>
                <w:highlight w:val="none"/>
              </w:rPr>
              <w:t>L</w:t>
            </w:r>
          </w:p>
        </w:tc>
        <w:tc>
          <w:tcPr>
            <w:tcW w:w="481" w:type="pct"/>
            <w:noWrap w:val="0"/>
            <w:vAlign w:val="center"/>
          </w:tcPr>
          <w:p w14:paraId="575E47CE">
            <w:pPr>
              <w:kinsoku w:val="0"/>
              <w:overflowPunct w:val="0"/>
              <w:autoSpaceDE w:val="0"/>
              <w:autoSpaceDN w:val="0"/>
              <w:adjustRightInd w:val="0"/>
              <w:jc w:val="center"/>
              <w:rPr>
                <w:sz w:val="21"/>
                <w:szCs w:val="21"/>
                <w:highlight w:val="none"/>
              </w:rPr>
            </w:pPr>
            <w:r>
              <w:rPr>
                <w:sz w:val="21"/>
                <w:szCs w:val="21"/>
                <w:highlight w:val="none"/>
              </w:rPr>
              <w:t>0.009</w:t>
            </w:r>
          </w:p>
        </w:tc>
        <w:tc>
          <w:tcPr>
            <w:tcW w:w="426" w:type="pct"/>
            <w:noWrap w:val="0"/>
            <w:vAlign w:val="center"/>
          </w:tcPr>
          <w:p w14:paraId="0496E62F">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2"/>
                <w:sz w:val="21"/>
                <w:szCs w:val="21"/>
                <w:highlight w:val="none"/>
              </w:rPr>
              <w:t>0</w:t>
            </w:r>
            <w:r>
              <w:rPr>
                <w:spacing w:val="1"/>
                <w:sz w:val="21"/>
                <w:szCs w:val="21"/>
                <w:highlight w:val="none"/>
              </w:rPr>
              <w:t>5</w:t>
            </w:r>
            <w:r>
              <w:rPr>
                <w:sz w:val="21"/>
                <w:szCs w:val="21"/>
                <w:highlight w:val="none"/>
              </w:rPr>
              <w:t>L</w:t>
            </w:r>
          </w:p>
        </w:tc>
        <w:tc>
          <w:tcPr>
            <w:tcW w:w="534" w:type="pct"/>
            <w:noWrap w:val="0"/>
            <w:vAlign w:val="center"/>
          </w:tcPr>
          <w:p w14:paraId="523AD130">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2"/>
                <w:sz w:val="21"/>
                <w:szCs w:val="21"/>
                <w:highlight w:val="none"/>
              </w:rPr>
              <w:t>0</w:t>
            </w:r>
            <w:r>
              <w:rPr>
                <w:spacing w:val="1"/>
                <w:sz w:val="21"/>
                <w:szCs w:val="21"/>
                <w:highlight w:val="none"/>
              </w:rPr>
              <w:t>5</w:t>
            </w:r>
            <w:r>
              <w:rPr>
                <w:sz w:val="21"/>
                <w:szCs w:val="21"/>
                <w:highlight w:val="none"/>
              </w:rPr>
              <w:t>L</w:t>
            </w:r>
          </w:p>
        </w:tc>
        <w:tc>
          <w:tcPr>
            <w:tcW w:w="459" w:type="pct"/>
            <w:noWrap w:val="0"/>
            <w:vAlign w:val="bottom"/>
          </w:tcPr>
          <w:p w14:paraId="6CB7F0C0">
            <w:pPr>
              <w:kinsoku w:val="0"/>
              <w:overflowPunct w:val="0"/>
              <w:autoSpaceDE w:val="0"/>
              <w:autoSpaceDN w:val="0"/>
              <w:adjustRightInd w:val="0"/>
              <w:jc w:val="center"/>
              <w:rPr>
                <w:sz w:val="21"/>
                <w:szCs w:val="21"/>
                <w:highlight w:val="none"/>
              </w:rPr>
            </w:pPr>
            <w:r>
              <w:rPr>
                <w:sz w:val="21"/>
                <w:szCs w:val="21"/>
                <w:highlight w:val="none"/>
              </w:rPr>
              <w:t>1.0</w:t>
            </w:r>
          </w:p>
        </w:tc>
      </w:tr>
      <w:tr w14:paraId="50F12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exact"/>
          <w:jc w:val="center"/>
        </w:trPr>
        <w:tc>
          <w:tcPr>
            <w:tcW w:w="928" w:type="pct"/>
            <w:noWrap w:val="0"/>
            <w:vAlign w:val="center"/>
          </w:tcPr>
          <w:p w14:paraId="21C02761">
            <w:pPr>
              <w:kinsoku w:val="0"/>
              <w:overflowPunct w:val="0"/>
              <w:autoSpaceDE w:val="0"/>
              <w:autoSpaceDN w:val="0"/>
              <w:adjustRightInd w:val="0"/>
              <w:jc w:val="center"/>
              <w:rPr>
                <w:sz w:val="21"/>
                <w:szCs w:val="21"/>
                <w:highlight w:val="none"/>
              </w:rPr>
            </w:pPr>
            <w:r>
              <w:rPr>
                <w:sz w:val="21"/>
                <w:szCs w:val="21"/>
                <w:highlight w:val="none"/>
              </w:rPr>
              <w:t>氟化物</w:t>
            </w:r>
          </w:p>
        </w:tc>
        <w:tc>
          <w:tcPr>
            <w:tcW w:w="408" w:type="pct"/>
            <w:noWrap w:val="0"/>
            <w:vAlign w:val="center"/>
          </w:tcPr>
          <w:p w14:paraId="3F868AEC">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4</w:t>
            </w:r>
            <w:r>
              <w:rPr>
                <w:sz w:val="21"/>
                <w:szCs w:val="21"/>
                <w:highlight w:val="none"/>
              </w:rPr>
              <w:t>0</w:t>
            </w:r>
          </w:p>
        </w:tc>
        <w:tc>
          <w:tcPr>
            <w:tcW w:w="426" w:type="pct"/>
            <w:noWrap w:val="0"/>
            <w:vAlign w:val="center"/>
          </w:tcPr>
          <w:p w14:paraId="7959FFA8">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4</w:t>
            </w:r>
            <w:r>
              <w:rPr>
                <w:sz w:val="21"/>
                <w:szCs w:val="21"/>
                <w:highlight w:val="none"/>
              </w:rPr>
              <w:t>1</w:t>
            </w:r>
          </w:p>
        </w:tc>
        <w:tc>
          <w:tcPr>
            <w:tcW w:w="426" w:type="pct"/>
            <w:noWrap w:val="0"/>
            <w:vAlign w:val="center"/>
          </w:tcPr>
          <w:p w14:paraId="7EFD02EA">
            <w:pPr>
              <w:kinsoku w:val="0"/>
              <w:overflowPunct w:val="0"/>
              <w:autoSpaceDE w:val="0"/>
              <w:autoSpaceDN w:val="0"/>
              <w:adjustRightInd w:val="0"/>
              <w:jc w:val="center"/>
              <w:rPr>
                <w:sz w:val="21"/>
                <w:szCs w:val="21"/>
                <w:highlight w:val="none"/>
              </w:rPr>
            </w:pPr>
            <w:r>
              <w:rPr>
                <w:sz w:val="21"/>
                <w:szCs w:val="21"/>
                <w:highlight w:val="none"/>
              </w:rPr>
              <w:t>0.39</w:t>
            </w:r>
          </w:p>
        </w:tc>
        <w:tc>
          <w:tcPr>
            <w:tcW w:w="481" w:type="pct"/>
            <w:noWrap w:val="0"/>
            <w:vAlign w:val="center"/>
          </w:tcPr>
          <w:p w14:paraId="640D4724">
            <w:pPr>
              <w:kinsoku w:val="0"/>
              <w:overflowPunct w:val="0"/>
              <w:autoSpaceDE w:val="0"/>
              <w:autoSpaceDN w:val="0"/>
              <w:adjustRightInd w:val="0"/>
              <w:jc w:val="center"/>
              <w:rPr>
                <w:sz w:val="21"/>
                <w:szCs w:val="21"/>
                <w:highlight w:val="none"/>
              </w:rPr>
            </w:pPr>
            <w:r>
              <w:rPr>
                <w:sz w:val="21"/>
                <w:szCs w:val="21"/>
                <w:highlight w:val="none"/>
              </w:rPr>
              <w:t>0.42</w:t>
            </w:r>
          </w:p>
        </w:tc>
        <w:tc>
          <w:tcPr>
            <w:tcW w:w="426" w:type="pct"/>
            <w:noWrap w:val="0"/>
            <w:vAlign w:val="center"/>
          </w:tcPr>
          <w:p w14:paraId="2BC156C8">
            <w:pPr>
              <w:kinsoku w:val="0"/>
              <w:overflowPunct w:val="0"/>
              <w:autoSpaceDE w:val="0"/>
              <w:autoSpaceDN w:val="0"/>
              <w:adjustRightInd w:val="0"/>
              <w:jc w:val="center"/>
              <w:rPr>
                <w:sz w:val="21"/>
                <w:szCs w:val="21"/>
                <w:highlight w:val="none"/>
              </w:rPr>
            </w:pPr>
            <w:r>
              <w:rPr>
                <w:sz w:val="21"/>
                <w:szCs w:val="21"/>
                <w:highlight w:val="none"/>
              </w:rPr>
              <w:t>0.47</w:t>
            </w:r>
          </w:p>
        </w:tc>
        <w:tc>
          <w:tcPr>
            <w:tcW w:w="481" w:type="pct"/>
            <w:noWrap w:val="0"/>
            <w:vAlign w:val="center"/>
          </w:tcPr>
          <w:p w14:paraId="02745843">
            <w:pPr>
              <w:kinsoku w:val="0"/>
              <w:overflowPunct w:val="0"/>
              <w:autoSpaceDE w:val="0"/>
              <w:autoSpaceDN w:val="0"/>
              <w:adjustRightInd w:val="0"/>
              <w:jc w:val="center"/>
              <w:rPr>
                <w:sz w:val="21"/>
                <w:szCs w:val="21"/>
                <w:highlight w:val="none"/>
              </w:rPr>
            </w:pPr>
            <w:r>
              <w:rPr>
                <w:sz w:val="21"/>
                <w:szCs w:val="21"/>
                <w:highlight w:val="none"/>
              </w:rPr>
              <w:t>0.45</w:t>
            </w:r>
          </w:p>
        </w:tc>
        <w:tc>
          <w:tcPr>
            <w:tcW w:w="426" w:type="pct"/>
            <w:noWrap w:val="0"/>
            <w:vAlign w:val="center"/>
          </w:tcPr>
          <w:p w14:paraId="373703CF">
            <w:pPr>
              <w:kinsoku w:val="0"/>
              <w:overflowPunct w:val="0"/>
              <w:autoSpaceDE w:val="0"/>
              <w:autoSpaceDN w:val="0"/>
              <w:adjustRightInd w:val="0"/>
              <w:jc w:val="center"/>
              <w:rPr>
                <w:sz w:val="21"/>
                <w:szCs w:val="21"/>
                <w:highlight w:val="none"/>
              </w:rPr>
            </w:pPr>
            <w:r>
              <w:rPr>
                <w:sz w:val="21"/>
                <w:szCs w:val="21"/>
                <w:highlight w:val="none"/>
              </w:rPr>
              <w:t>0.39</w:t>
            </w:r>
          </w:p>
        </w:tc>
        <w:tc>
          <w:tcPr>
            <w:tcW w:w="534" w:type="pct"/>
            <w:noWrap w:val="0"/>
            <w:vAlign w:val="center"/>
          </w:tcPr>
          <w:p w14:paraId="0746D8D9">
            <w:pPr>
              <w:kinsoku w:val="0"/>
              <w:overflowPunct w:val="0"/>
              <w:autoSpaceDE w:val="0"/>
              <w:autoSpaceDN w:val="0"/>
              <w:adjustRightInd w:val="0"/>
              <w:jc w:val="center"/>
              <w:rPr>
                <w:sz w:val="21"/>
                <w:szCs w:val="21"/>
                <w:highlight w:val="none"/>
              </w:rPr>
            </w:pPr>
            <w:r>
              <w:rPr>
                <w:sz w:val="21"/>
                <w:szCs w:val="21"/>
                <w:highlight w:val="none"/>
              </w:rPr>
              <w:t>0.33</w:t>
            </w:r>
          </w:p>
        </w:tc>
        <w:tc>
          <w:tcPr>
            <w:tcW w:w="459" w:type="pct"/>
            <w:noWrap w:val="0"/>
            <w:vAlign w:val="bottom"/>
          </w:tcPr>
          <w:p w14:paraId="4BA00FF4">
            <w:pPr>
              <w:kinsoku w:val="0"/>
              <w:overflowPunct w:val="0"/>
              <w:autoSpaceDE w:val="0"/>
              <w:autoSpaceDN w:val="0"/>
              <w:adjustRightInd w:val="0"/>
              <w:jc w:val="center"/>
              <w:rPr>
                <w:sz w:val="21"/>
                <w:szCs w:val="21"/>
                <w:highlight w:val="none"/>
              </w:rPr>
            </w:pPr>
            <w:r>
              <w:rPr>
                <w:sz w:val="21"/>
                <w:szCs w:val="21"/>
                <w:highlight w:val="none"/>
              </w:rPr>
              <w:t>10</w:t>
            </w:r>
          </w:p>
        </w:tc>
      </w:tr>
      <w:tr w14:paraId="1EF39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exact"/>
          <w:jc w:val="center"/>
        </w:trPr>
        <w:tc>
          <w:tcPr>
            <w:tcW w:w="928" w:type="pct"/>
            <w:noWrap w:val="0"/>
            <w:vAlign w:val="center"/>
          </w:tcPr>
          <w:p w14:paraId="47BAC528">
            <w:pPr>
              <w:kinsoku w:val="0"/>
              <w:overflowPunct w:val="0"/>
              <w:autoSpaceDE w:val="0"/>
              <w:autoSpaceDN w:val="0"/>
              <w:adjustRightInd w:val="0"/>
              <w:jc w:val="center"/>
              <w:rPr>
                <w:sz w:val="21"/>
                <w:szCs w:val="21"/>
                <w:highlight w:val="none"/>
              </w:rPr>
            </w:pPr>
            <w:r>
              <w:rPr>
                <w:sz w:val="21"/>
                <w:szCs w:val="21"/>
                <w:highlight w:val="none"/>
              </w:rPr>
              <w:t>总铅（μ</w:t>
            </w:r>
            <w:r>
              <w:rPr>
                <w:spacing w:val="-3"/>
                <w:sz w:val="21"/>
                <w:szCs w:val="21"/>
                <w:highlight w:val="none"/>
              </w:rPr>
              <w:t>g</w:t>
            </w:r>
            <w:r>
              <w:rPr>
                <w:sz w:val="21"/>
                <w:szCs w:val="21"/>
                <w:highlight w:val="none"/>
              </w:rPr>
              <w:t>/L）</w:t>
            </w:r>
          </w:p>
        </w:tc>
        <w:tc>
          <w:tcPr>
            <w:tcW w:w="408" w:type="pct"/>
            <w:noWrap w:val="0"/>
            <w:vAlign w:val="center"/>
          </w:tcPr>
          <w:p w14:paraId="66C19C58">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2"/>
                <w:sz w:val="21"/>
                <w:szCs w:val="21"/>
                <w:highlight w:val="none"/>
              </w:rPr>
              <w:t>2</w:t>
            </w:r>
            <w:r>
              <w:rPr>
                <w:spacing w:val="1"/>
                <w:sz w:val="21"/>
                <w:szCs w:val="21"/>
                <w:highlight w:val="none"/>
              </w:rPr>
              <w:t>5</w:t>
            </w:r>
            <w:r>
              <w:rPr>
                <w:sz w:val="21"/>
                <w:szCs w:val="21"/>
                <w:highlight w:val="none"/>
              </w:rPr>
              <w:t>L</w:t>
            </w:r>
          </w:p>
        </w:tc>
        <w:tc>
          <w:tcPr>
            <w:tcW w:w="426" w:type="pct"/>
            <w:noWrap w:val="0"/>
            <w:vAlign w:val="center"/>
          </w:tcPr>
          <w:p w14:paraId="0E2016D0">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25</w:t>
            </w:r>
            <w:r>
              <w:rPr>
                <w:sz w:val="21"/>
                <w:szCs w:val="21"/>
                <w:highlight w:val="none"/>
              </w:rPr>
              <w:t>L</w:t>
            </w:r>
          </w:p>
        </w:tc>
        <w:tc>
          <w:tcPr>
            <w:tcW w:w="426" w:type="pct"/>
            <w:noWrap w:val="0"/>
            <w:vAlign w:val="center"/>
          </w:tcPr>
          <w:p w14:paraId="1DFA2A2A">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25</w:t>
            </w:r>
            <w:r>
              <w:rPr>
                <w:sz w:val="21"/>
                <w:szCs w:val="21"/>
                <w:highlight w:val="none"/>
              </w:rPr>
              <w:t>L</w:t>
            </w:r>
          </w:p>
        </w:tc>
        <w:tc>
          <w:tcPr>
            <w:tcW w:w="481" w:type="pct"/>
            <w:noWrap w:val="0"/>
            <w:vAlign w:val="center"/>
          </w:tcPr>
          <w:p w14:paraId="35E8251D">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2</w:t>
            </w:r>
            <w:r>
              <w:rPr>
                <w:spacing w:val="-2"/>
                <w:sz w:val="21"/>
                <w:szCs w:val="21"/>
                <w:highlight w:val="none"/>
              </w:rPr>
              <w:t>5</w:t>
            </w:r>
            <w:r>
              <w:rPr>
                <w:sz w:val="21"/>
                <w:szCs w:val="21"/>
                <w:highlight w:val="none"/>
              </w:rPr>
              <w:t>L</w:t>
            </w:r>
          </w:p>
        </w:tc>
        <w:tc>
          <w:tcPr>
            <w:tcW w:w="426" w:type="pct"/>
            <w:noWrap w:val="0"/>
            <w:vAlign w:val="center"/>
          </w:tcPr>
          <w:p w14:paraId="65509546">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25</w:t>
            </w:r>
            <w:r>
              <w:rPr>
                <w:sz w:val="21"/>
                <w:szCs w:val="21"/>
                <w:highlight w:val="none"/>
              </w:rPr>
              <w:t>L</w:t>
            </w:r>
          </w:p>
        </w:tc>
        <w:tc>
          <w:tcPr>
            <w:tcW w:w="481" w:type="pct"/>
            <w:noWrap w:val="0"/>
            <w:vAlign w:val="center"/>
          </w:tcPr>
          <w:p w14:paraId="034ED823">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2</w:t>
            </w:r>
            <w:r>
              <w:rPr>
                <w:spacing w:val="-2"/>
                <w:sz w:val="21"/>
                <w:szCs w:val="21"/>
                <w:highlight w:val="none"/>
              </w:rPr>
              <w:t>5</w:t>
            </w:r>
            <w:r>
              <w:rPr>
                <w:sz w:val="21"/>
                <w:szCs w:val="21"/>
                <w:highlight w:val="none"/>
              </w:rPr>
              <w:t>L</w:t>
            </w:r>
          </w:p>
        </w:tc>
        <w:tc>
          <w:tcPr>
            <w:tcW w:w="426" w:type="pct"/>
            <w:noWrap w:val="0"/>
            <w:vAlign w:val="center"/>
          </w:tcPr>
          <w:p w14:paraId="2A1E1623">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25</w:t>
            </w:r>
            <w:r>
              <w:rPr>
                <w:sz w:val="21"/>
                <w:szCs w:val="21"/>
                <w:highlight w:val="none"/>
              </w:rPr>
              <w:t>L</w:t>
            </w:r>
          </w:p>
        </w:tc>
        <w:tc>
          <w:tcPr>
            <w:tcW w:w="534" w:type="pct"/>
            <w:noWrap w:val="0"/>
            <w:vAlign w:val="center"/>
          </w:tcPr>
          <w:p w14:paraId="625E384F">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25</w:t>
            </w:r>
            <w:r>
              <w:rPr>
                <w:sz w:val="21"/>
                <w:szCs w:val="21"/>
                <w:highlight w:val="none"/>
              </w:rPr>
              <w:t>L</w:t>
            </w:r>
          </w:p>
        </w:tc>
        <w:tc>
          <w:tcPr>
            <w:tcW w:w="459" w:type="pct"/>
            <w:noWrap w:val="0"/>
            <w:vAlign w:val="center"/>
          </w:tcPr>
          <w:p w14:paraId="2BB75B8C">
            <w:pPr>
              <w:kinsoku w:val="0"/>
              <w:overflowPunct w:val="0"/>
              <w:autoSpaceDE w:val="0"/>
              <w:autoSpaceDN w:val="0"/>
              <w:adjustRightInd w:val="0"/>
              <w:jc w:val="center"/>
              <w:rPr>
                <w:sz w:val="21"/>
                <w:szCs w:val="21"/>
                <w:highlight w:val="none"/>
              </w:rPr>
            </w:pPr>
            <w:r>
              <w:rPr>
                <w:sz w:val="21"/>
                <w:szCs w:val="21"/>
                <w:highlight w:val="none"/>
              </w:rPr>
              <w:t>1.0</w:t>
            </w:r>
            <w:r>
              <w:rPr>
                <w:szCs w:val="21"/>
                <w:highlight w:val="none"/>
              </w:rPr>
              <w:t>mg/L</w:t>
            </w:r>
          </w:p>
        </w:tc>
      </w:tr>
      <w:tr w14:paraId="2BC16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exact"/>
          <w:jc w:val="center"/>
        </w:trPr>
        <w:tc>
          <w:tcPr>
            <w:tcW w:w="928" w:type="pct"/>
            <w:noWrap w:val="0"/>
            <w:vAlign w:val="center"/>
          </w:tcPr>
          <w:p w14:paraId="537596AB">
            <w:pPr>
              <w:kinsoku w:val="0"/>
              <w:overflowPunct w:val="0"/>
              <w:autoSpaceDE w:val="0"/>
              <w:autoSpaceDN w:val="0"/>
              <w:adjustRightInd w:val="0"/>
              <w:jc w:val="center"/>
              <w:rPr>
                <w:sz w:val="21"/>
                <w:szCs w:val="21"/>
                <w:highlight w:val="none"/>
              </w:rPr>
            </w:pPr>
            <w:r>
              <w:rPr>
                <w:sz w:val="21"/>
                <w:szCs w:val="21"/>
                <w:highlight w:val="none"/>
              </w:rPr>
              <w:t>总镉（μ</w:t>
            </w:r>
            <w:r>
              <w:rPr>
                <w:spacing w:val="-3"/>
                <w:sz w:val="21"/>
                <w:szCs w:val="21"/>
                <w:highlight w:val="none"/>
              </w:rPr>
              <w:t>g</w:t>
            </w:r>
            <w:r>
              <w:rPr>
                <w:sz w:val="21"/>
                <w:szCs w:val="21"/>
                <w:highlight w:val="none"/>
              </w:rPr>
              <w:t>/L）</w:t>
            </w:r>
          </w:p>
        </w:tc>
        <w:tc>
          <w:tcPr>
            <w:tcW w:w="408" w:type="pct"/>
            <w:noWrap w:val="0"/>
            <w:vAlign w:val="center"/>
          </w:tcPr>
          <w:p w14:paraId="261C6CFC">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02</w:t>
            </w:r>
            <w:r>
              <w:rPr>
                <w:spacing w:val="-2"/>
                <w:sz w:val="21"/>
                <w:szCs w:val="21"/>
                <w:highlight w:val="none"/>
              </w:rPr>
              <w:t>5</w:t>
            </w:r>
            <w:r>
              <w:rPr>
                <w:sz w:val="21"/>
                <w:szCs w:val="21"/>
                <w:highlight w:val="none"/>
              </w:rPr>
              <w:t>L</w:t>
            </w:r>
          </w:p>
        </w:tc>
        <w:tc>
          <w:tcPr>
            <w:tcW w:w="426" w:type="pct"/>
            <w:noWrap w:val="0"/>
            <w:vAlign w:val="center"/>
          </w:tcPr>
          <w:p w14:paraId="623B2C33">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02</w:t>
            </w:r>
            <w:r>
              <w:rPr>
                <w:spacing w:val="-2"/>
                <w:sz w:val="21"/>
                <w:szCs w:val="21"/>
                <w:highlight w:val="none"/>
              </w:rPr>
              <w:t>5</w:t>
            </w:r>
            <w:r>
              <w:rPr>
                <w:sz w:val="21"/>
                <w:szCs w:val="21"/>
                <w:highlight w:val="none"/>
              </w:rPr>
              <w:t>L</w:t>
            </w:r>
          </w:p>
        </w:tc>
        <w:tc>
          <w:tcPr>
            <w:tcW w:w="426" w:type="pct"/>
            <w:noWrap w:val="0"/>
            <w:vAlign w:val="center"/>
          </w:tcPr>
          <w:p w14:paraId="7E14DC96">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02</w:t>
            </w:r>
            <w:r>
              <w:rPr>
                <w:spacing w:val="-2"/>
                <w:sz w:val="21"/>
                <w:szCs w:val="21"/>
                <w:highlight w:val="none"/>
              </w:rPr>
              <w:t>5</w:t>
            </w:r>
            <w:r>
              <w:rPr>
                <w:sz w:val="21"/>
                <w:szCs w:val="21"/>
                <w:highlight w:val="none"/>
              </w:rPr>
              <w:t>L</w:t>
            </w:r>
          </w:p>
        </w:tc>
        <w:tc>
          <w:tcPr>
            <w:tcW w:w="481" w:type="pct"/>
            <w:noWrap w:val="0"/>
            <w:vAlign w:val="center"/>
          </w:tcPr>
          <w:p w14:paraId="3CB4E568">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2"/>
                <w:sz w:val="21"/>
                <w:szCs w:val="21"/>
                <w:highlight w:val="none"/>
              </w:rPr>
              <w:t>2</w:t>
            </w:r>
            <w:r>
              <w:rPr>
                <w:spacing w:val="1"/>
                <w:sz w:val="21"/>
                <w:szCs w:val="21"/>
                <w:highlight w:val="none"/>
              </w:rPr>
              <w:t>5</w:t>
            </w:r>
            <w:r>
              <w:rPr>
                <w:sz w:val="21"/>
                <w:szCs w:val="21"/>
                <w:highlight w:val="none"/>
              </w:rPr>
              <w:t>L</w:t>
            </w:r>
          </w:p>
        </w:tc>
        <w:tc>
          <w:tcPr>
            <w:tcW w:w="426" w:type="pct"/>
            <w:noWrap w:val="0"/>
            <w:vAlign w:val="center"/>
          </w:tcPr>
          <w:p w14:paraId="590AB82D">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02</w:t>
            </w:r>
            <w:r>
              <w:rPr>
                <w:spacing w:val="-2"/>
                <w:sz w:val="21"/>
                <w:szCs w:val="21"/>
                <w:highlight w:val="none"/>
              </w:rPr>
              <w:t>5</w:t>
            </w:r>
            <w:r>
              <w:rPr>
                <w:sz w:val="21"/>
                <w:szCs w:val="21"/>
                <w:highlight w:val="none"/>
              </w:rPr>
              <w:t>L</w:t>
            </w:r>
          </w:p>
        </w:tc>
        <w:tc>
          <w:tcPr>
            <w:tcW w:w="481" w:type="pct"/>
            <w:noWrap w:val="0"/>
            <w:vAlign w:val="center"/>
          </w:tcPr>
          <w:p w14:paraId="5933FFBF">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02</w:t>
            </w:r>
            <w:r>
              <w:rPr>
                <w:spacing w:val="-2"/>
                <w:sz w:val="21"/>
                <w:szCs w:val="21"/>
                <w:highlight w:val="none"/>
              </w:rPr>
              <w:t>5</w:t>
            </w:r>
            <w:r>
              <w:rPr>
                <w:sz w:val="21"/>
                <w:szCs w:val="21"/>
                <w:highlight w:val="none"/>
              </w:rPr>
              <w:t>L</w:t>
            </w:r>
          </w:p>
        </w:tc>
        <w:tc>
          <w:tcPr>
            <w:tcW w:w="426" w:type="pct"/>
            <w:noWrap w:val="0"/>
            <w:vAlign w:val="center"/>
          </w:tcPr>
          <w:p w14:paraId="23DDE014">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2"/>
                <w:sz w:val="21"/>
                <w:szCs w:val="21"/>
                <w:highlight w:val="none"/>
              </w:rPr>
              <w:t>2</w:t>
            </w:r>
            <w:r>
              <w:rPr>
                <w:spacing w:val="1"/>
                <w:sz w:val="21"/>
                <w:szCs w:val="21"/>
                <w:highlight w:val="none"/>
              </w:rPr>
              <w:t>5</w:t>
            </w:r>
            <w:r>
              <w:rPr>
                <w:sz w:val="21"/>
                <w:szCs w:val="21"/>
                <w:highlight w:val="none"/>
              </w:rPr>
              <w:t>L</w:t>
            </w:r>
          </w:p>
        </w:tc>
        <w:tc>
          <w:tcPr>
            <w:tcW w:w="534" w:type="pct"/>
            <w:noWrap w:val="0"/>
            <w:vAlign w:val="center"/>
          </w:tcPr>
          <w:p w14:paraId="46C2DFF2">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2"/>
                <w:sz w:val="21"/>
                <w:szCs w:val="21"/>
                <w:highlight w:val="none"/>
              </w:rPr>
              <w:t>2</w:t>
            </w:r>
            <w:r>
              <w:rPr>
                <w:spacing w:val="1"/>
                <w:sz w:val="21"/>
                <w:szCs w:val="21"/>
                <w:highlight w:val="none"/>
              </w:rPr>
              <w:t>5</w:t>
            </w:r>
            <w:r>
              <w:rPr>
                <w:sz w:val="21"/>
                <w:szCs w:val="21"/>
                <w:highlight w:val="none"/>
              </w:rPr>
              <w:t>L</w:t>
            </w:r>
          </w:p>
        </w:tc>
        <w:tc>
          <w:tcPr>
            <w:tcW w:w="459" w:type="pct"/>
            <w:noWrap w:val="0"/>
            <w:vAlign w:val="center"/>
          </w:tcPr>
          <w:p w14:paraId="1CE8CFDB">
            <w:pPr>
              <w:kinsoku w:val="0"/>
              <w:overflowPunct w:val="0"/>
              <w:autoSpaceDE w:val="0"/>
              <w:autoSpaceDN w:val="0"/>
              <w:adjustRightInd w:val="0"/>
              <w:jc w:val="center"/>
              <w:rPr>
                <w:sz w:val="21"/>
                <w:szCs w:val="21"/>
                <w:highlight w:val="none"/>
              </w:rPr>
            </w:pPr>
            <w:r>
              <w:rPr>
                <w:sz w:val="21"/>
                <w:szCs w:val="21"/>
                <w:highlight w:val="none"/>
              </w:rPr>
              <w:t>0.1</w:t>
            </w:r>
            <w:r>
              <w:rPr>
                <w:szCs w:val="21"/>
                <w:highlight w:val="none"/>
              </w:rPr>
              <w:t>mg/L</w:t>
            </w:r>
          </w:p>
        </w:tc>
      </w:tr>
      <w:tr w14:paraId="689D2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exact"/>
          <w:jc w:val="center"/>
        </w:trPr>
        <w:tc>
          <w:tcPr>
            <w:tcW w:w="928" w:type="pct"/>
            <w:noWrap w:val="0"/>
            <w:vAlign w:val="center"/>
          </w:tcPr>
          <w:p w14:paraId="0513D01E">
            <w:pPr>
              <w:kinsoku w:val="0"/>
              <w:overflowPunct w:val="0"/>
              <w:autoSpaceDE w:val="0"/>
              <w:autoSpaceDN w:val="0"/>
              <w:adjustRightInd w:val="0"/>
              <w:jc w:val="center"/>
              <w:rPr>
                <w:sz w:val="21"/>
                <w:szCs w:val="21"/>
                <w:highlight w:val="none"/>
              </w:rPr>
            </w:pPr>
            <w:r>
              <w:rPr>
                <w:sz w:val="21"/>
                <w:szCs w:val="21"/>
                <w:highlight w:val="none"/>
              </w:rPr>
              <w:t>六价铬</w:t>
            </w:r>
          </w:p>
        </w:tc>
        <w:tc>
          <w:tcPr>
            <w:tcW w:w="408" w:type="pct"/>
            <w:noWrap w:val="0"/>
            <w:vAlign w:val="center"/>
          </w:tcPr>
          <w:p w14:paraId="5304258E">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00</w:t>
            </w:r>
            <w:r>
              <w:rPr>
                <w:spacing w:val="-2"/>
                <w:sz w:val="21"/>
                <w:szCs w:val="21"/>
                <w:highlight w:val="none"/>
              </w:rPr>
              <w:t>4</w:t>
            </w:r>
            <w:r>
              <w:rPr>
                <w:sz w:val="21"/>
                <w:szCs w:val="21"/>
                <w:highlight w:val="none"/>
              </w:rPr>
              <w:t>L</w:t>
            </w:r>
          </w:p>
        </w:tc>
        <w:tc>
          <w:tcPr>
            <w:tcW w:w="426" w:type="pct"/>
            <w:noWrap w:val="0"/>
            <w:vAlign w:val="center"/>
          </w:tcPr>
          <w:p w14:paraId="31454DF2">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00</w:t>
            </w:r>
            <w:r>
              <w:rPr>
                <w:spacing w:val="-2"/>
                <w:sz w:val="21"/>
                <w:szCs w:val="21"/>
                <w:highlight w:val="none"/>
              </w:rPr>
              <w:t>4</w:t>
            </w:r>
            <w:r>
              <w:rPr>
                <w:sz w:val="21"/>
                <w:szCs w:val="21"/>
                <w:highlight w:val="none"/>
              </w:rPr>
              <w:t>L</w:t>
            </w:r>
          </w:p>
        </w:tc>
        <w:tc>
          <w:tcPr>
            <w:tcW w:w="426" w:type="pct"/>
            <w:noWrap w:val="0"/>
            <w:vAlign w:val="center"/>
          </w:tcPr>
          <w:p w14:paraId="1FA73C3C">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00</w:t>
            </w:r>
            <w:r>
              <w:rPr>
                <w:spacing w:val="-2"/>
                <w:sz w:val="21"/>
                <w:szCs w:val="21"/>
                <w:highlight w:val="none"/>
              </w:rPr>
              <w:t>4</w:t>
            </w:r>
            <w:r>
              <w:rPr>
                <w:sz w:val="21"/>
                <w:szCs w:val="21"/>
                <w:highlight w:val="none"/>
              </w:rPr>
              <w:t>L</w:t>
            </w:r>
          </w:p>
        </w:tc>
        <w:tc>
          <w:tcPr>
            <w:tcW w:w="481" w:type="pct"/>
            <w:noWrap w:val="0"/>
            <w:vAlign w:val="center"/>
          </w:tcPr>
          <w:p w14:paraId="2821F5F9">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2"/>
                <w:sz w:val="21"/>
                <w:szCs w:val="21"/>
                <w:highlight w:val="none"/>
              </w:rPr>
              <w:t>0</w:t>
            </w:r>
            <w:r>
              <w:rPr>
                <w:spacing w:val="1"/>
                <w:sz w:val="21"/>
                <w:szCs w:val="21"/>
                <w:highlight w:val="none"/>
              </w:rPr>
              <w:t>4</w:t>
            </w:r>
            <w:r>
              <w:rPr>
                <w:sz w:val="21"/>
                <w:szCs w:val="21"/>
                <w:highlight w:val="none"/>
              </w:rPr>
              <w:t>L</w:t>
            </w:r>
          </w:p>
        </w:tc>
        <w:tc>
          <w:tcPr>
            <w:tcW w:w="426" w:type="pct"/>
            <w:noWrap w:val="0"/>
            <w:vAlign w:val="center"/>
          </w:tcPr>
          <w:p w14:paraId="5679766C">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00</w:t>
            </w:r>
            <w:r>
              <w:rPr>
                <w:spacing w:val="-2"/>
                <w:sz w:val="21"/>
                <w:szCs w:val="21"/>
                <w:highlight w:val="none"/>
              </w:rPr>
              <w:t>4</w:t>
            </w:r>
            <w:r>
              <w:rPr>
                <w:sz w:val="21"/>
                <w:szCs w:val="21"/>
                <w:highlight w:val="none"/>
              </w:rPr>
              <w:t>L</w:t>
            </w:r>
          </w:p>
        </w:tc>
        <w:tc>
          <w:tcPr>
            <w:tcW w:w="481" w:type="pct"/>
            <w:noWrap w:val="0"/>
            <w:vAlign w:val="center"/>
          </w:tcPr>
          <w:p w14:paraId="1AF8D279">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00</w:t>
            </w:r>
            <w:r>
              <w:rPr>
                <w:spacing w:val="-2"/>
                <w:sz w:val="21"/>
                <w:szCs w:val="21"/>
                <w:highlight w:val="none"/>
              </w:rPr>
              <w:t>4</w:t>
            </w:r>
            <w:r>
              <w:rPr>
                <w:sz w:val="21"/>
                <w:szCs w:val="21"/>
                <w:highlight w:val="none"/>
              </w:rPr>
              <w:t>L</w:t>
            </w:r>
          </w:p>
        </w:tc>
        <w:tc>
          <w:tcPr>
            <w:tcW w:w="426" w:type="pct"/>
            <w:noWrap w:val="0"/>
            <w:vAlign w:val="center"/>
          </w:tcPr>
          <w:p w14:paraId="24D34C2B">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2"/>
                <w:sz w:val="21"/>
                <w:szCs w:val="21"/>
                <w:highlight w:val="none"/>
              </w:rPr>
              <w:t>0</w:t>
            </w:r>
            <w:r>
              <w:rPr>
                <w:spacing w:val="1"/>
                <w:sz w:val="21"/>
                <w:szCs w:val="21"/>
                <w:highlight w:val="none"/>
              </w:rPr>
              <w:t>4</w:t>
            </w:r>
            <w:r>
              <w:rPr>
                <w:sz w:val="21"/>
                <w:szCs w:val="21"/>
                <w:highlight w:val="none"/>
              </w:rPr>
              <w:t>L</w:t>
            </w:r>
          </w:p>
        </w:tc>
        <w:tc>
          <w:tcPr>
            <w:tcW w:w="534" w:type="pct"/>
            <w:noWrap w:val="0"/>
            <w:vAlign w:val="center"/>
          </w:tcPr>
          <w:p w14:paraId="443917EE">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2"/>
                <w:sz w:val="21"/>
                <w:szCs w:val="21"/>
                <w:highlight w:val="none"/>
              </w:rPr>
              <w:t>0</w:t>
            </w:r>
            <w:r>
              <w:rPr>
                <w:spacing w:val="1"/>
                <w:sz w:val="21"/>
                <w:szCs w:val="21"/>
                <w:highlight w:val="none"/>
              </w:rPr>
              <w:t>4</w:t>
            </w:r>
            <w:r>
              <w:rPr>
                <w:sz w:val="21"/>
                <w:szCs w:val="21"/>
                <w:highlight w:val="none"/>
              </w:rPr>
              <w:t>L</w:t>
            </w:r>
          </w:p>
        </w:tc>
        <w:tc>
          <w:tcPr>
            <w:tcW w:w="459" w:type="pct"/>
            <w:noWrap w:val="0"/>
            <w:vAlign w:val="center"/>
          </w:tcPr>
          <w:p w14:paraId="4EEA8A69">
            <w:pPr>
              <w:kinsoku w:val="0"/>
              <w:overflowPunct w:val="0"/>
              <w:autoSpaceDE w:val="0"/>
              <w:autoSpaceDN w:val="0"/>
              <w:adjustRightInd w:val="0"/>
              <w:jc w:val="center"/>
              <w:rPr>
                <w:sz w:val="21"/>
                <w:szCs w:val="21"/>
                <w:highlight w:val="none"/>
              </w:rPr>
            </w:pPr>
            <w:r>
              <w:rPr>
                <w:sz w:val="21"/>
                <w:szCs w:val="21"/>
                <w:highlight w:val="none"/>
              </w:rPr>
              <w:t>0.5</w:t>
            </w:r>
          </w:p>
        </w:tc>
      </w:tr>
      <w:tr w14:paraId="4C5DE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exact"/>
          <w:jc w:val="center"/>
        </w:trPr>
        <w:tc>
          <w:tcPr>
            <w:tcW w:w="928" w:type="pct"/>
            <w:noWrap w:val="0"/>
            <w:vAlign w:val="center"/>
          </w:tcPr>
          <w:p w14:paraId="73236DD4">
            <w:pPr>
              <w:kinsoku w:val="0"/>
              <w:overflowPunct w:val="0"/>
              <w:autoSpaceDE w:val="0"/>
              <w:autoSpaceDN w:val="0"/>
              <w:adjustRightInd w:val="0"/>
              <w:jc w:val="center"/>
              <w:rPr>
                <w:sz w:val="21"/>
                <w:szCs w:val="21"/>
                <w:highlight w:val="none"/>
              </w:rPr>
            </w:pPr>
            <w:r>
              <w:rPr>
                <w:sz w:val="21"/>
                <w:szCs w:val="21"/>
                <w:highlight w:val="none"/>
              </w:rPr>
              <w:t>总铬</w:t>
            </w:r>
          </w:p>
        </w:tc>
        <w:tc>
          <w:tcPr>
            <w:tcW w:w="408" w:type="pct"/>
            <w:noWrap w:val="0"/>
            <w:vAlign w:val="center"/>
          </w:tcPr>
          <w:p w14:paraId="46C7B0FB">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2"/>
                <w:sz w:val="21"/>
                <w:szCs w:val="21"/>
                <w:highlight w:val="none"/>
              </w:rPr>
              <w:t>0</w:t>
            </w:r>
            <w:r>
              <w:rPr>
                <w:spacing w:val="1"/>
                <w:sz w:val="21"/>
                <w:szCs w:val="21"/>
                <w:highlight w:val="none"/>
              </w:rPr>
              <w:t>3</w:t>
            </w:r>
            <w:r>
              <w:rPr>
                <w:sz w:val="21"/>
                <w:szCs w:val="21"/>
                <w:highlight w:val="none"/>
              </w:rPr>
              <w:t>L</w:t>
            </w:r>
          </w:p>
        </w:tc>
        <w:tc>
          <w:tcPr>
            <w:tcW w:w="426" w:type="pct"/>
            <w:noWrap w:val="0"/>
            <w:vAlign w:val="center"/>
          </w:tcPr>
          <w:p w14:paraId="5160D21A">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03</w:t>
            </w:r>
            <w:r>
              <w:rPr>
                <w:sz w:val="21"/>
                <w:szCs w:val="21"/>
                <w:highlight w:val="none"/>
              </w:rPr>
              <w:t>L</w:t>
            </w:r>
          </w:p>
        </w:tc>
        <w:tc>
          <w:tcPr>
            <w:tcW w:w="426" w:type="pct"/>
            <w:noWrap w:val="0"/>
            <w:vAlign w:val="center"/>
          </w:tcPr>
          <w:p w14:paraId="021425B0">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03</w:t>
            </w:r>
            <w:r>
              <w:rPr>
                <w:sz w:val="21"/>
                <w:szCs w:val="21"/>
                <w:highlight w:val="none"/>
              </w:rPr>
              <w:t>L</w:t>
            </w:r>
          </w:p>
        </w:tc>
        <w:tc>
          <w:tcPr>
            <w:tcW w:w="481" w:type="pct"/>
            <w:noWrap w:val="0"/>
            <w:vAlign w:val="center"/>
          </w:tcPr>
          <w:p w14:paraId="22FC7E1A">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2"/>
                <w:sz w:val="21"/>
                <w:szCs w:val="21"/>
                <w:highlight w:val="none"/>
              </w:rPr>
              <w:t>3</w:t>
            </w:r>
            <w:r>
              <w:rPr>
                <w:sz w:val="21"/>
                <w:szCs w:val="21"/>
                <w:highlight w:val="none"/>
              </w:rPr>
              <w:t>L</w:t>
            </w:r>
          </w:p>
        </w:tc>
        <w:tc>
          <w:tcPr>
            <w:tcW w:w="426" w:type="pct"/>
            <w:noWrap w:val="0"/>
            <w:vAlign w:val="center"/>
          </w:tcPr>
          <w:p w14:paraId="528C90A7">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03</w:t>
            </w:r>
            <w:r>
              <w:rPr>
                <w:sz w:val="21"/>
                <w:szCs w:val="21"/>
                <w:highlight w:val="none"/>
              </w:rPr>
              <w:t>L</w:t>
            </w:r>
          </w:p>
        </w:tc>
        <w:tc>
          <w:tcPr>
            <w:tcW w:w="481" w:type="pct"/>
            <w:noWrap w:val="0"/>
            <w:vAlign w:val="center"/>
          </w:tcPr>
          <w:p w14:paraId="4D13D20E">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2"/>
                <w:sz w:val="21"/>
                <w:szCs w:val="21"/>
                <w:highlight w:val="none"/>
              </w:rPr>
              <w:t>3</w:t>
            </w:r>
            <w:r>
              <w:rPr>
                <w:sz w:val="21"/>
                <w:szCs w:val="21"/>
                <w:highlight w:val="none"/>
              </w:rPr>
              <w:t>L</w:t>
            </w:r>
          </w:p>
        </w:tc>
        <w:tc>
          <w:tcPr>
            <w:tcW w:w="426" w:type="pct"/>
            <w:noWrap w:val="0"/>
            <w:vAlign w:val="center"/>
          </w:tcPr>
          <w:p w14:paraId="746EE0FB">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03</w:t>
            </w:r>
            <w:r>
              <w:rPr>
                <w:sz w:val="21"/>
                <w:szCs w:val="21"/>
                <w:highlight w:val="none"/>
              </w:rPr>
              <w:t>L</w:t>
            </w:r>
          </w:p>
        </w:tc>
        <w:tc>
          <w:tcPr>
            <w:tcW w:w="534" w:type="pct"/>
            <w:noWrap w:val="0"/>
            <w:vAlign w:val="center"/>
          </w:tcPr>
          <w:p w14:paraId="232333E0">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03</w:t>
            </w:r>
            <w:r>
              <w:rPr>
                <w:sz w:val="21"/>
                <w:szCs w:val="21"/>
                <w:highlight w:val="none"/>
              </w:rPr>
              <w:t>L</w:t>
            </w:r>
          </w:p>
        </w:tc>
        <w:tc>
          <w:tcPr>
            <w:tcW w:w="459" w:type="pct"/>
            <w:noWrap w:val="0"/>
            <w:vAlign w:val="center"/>
          </w:tcPr>
          <w:p w14:paraId="68C9430C">
            <w:pPr>
              <w:kinsoku w:val="0"/>
              <w:overflowPunct w:val="0"/>
              <w:autoSpaceDE w:val="0"/>
              <w:autoSpaceDN w:val="0"/>
              <w:adjustRightInd w:val="0"/>
              <w:jc w:val="center"/>
              <w:rPr>
                <w:sz w:val="21"/>
                <w:szCs w:val="21"/>
                <w:highlight w:val="none"/>
              </w:rPr>
            </w:pPr>
            <w:r>
              <w:rPr>
                <w:sz w:val="21"/>
                <w:szCs w:val="21"/>
                <w:highlight w:val="none"/>
              </w:rPr>
              <w:t>1.5</w:t>
            </w:r>
          </w:p>
        </w:tc>
      </w:tr>
      <w:tr w14:paraId="16D1D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exact"/>
          <w:jc w:val="center"/>
        </w:trPr>
        <w:tc>
          <w:tcPr>
            <w:tcW w:w="928" w:type="pct"/>
            <w:noWrap w:val="0"/>
            <w:vAlign w:val="center"/>
          </w:tcPr>
          <w:p w14:paraId="3F9C45E2">
            <w:pPr>
              <w:kinsoku w:val="0"/>
              <w:overflowPunct w:val="0"/>
              <w:autoSpaceDE w:val="0"/>
              <w:autoSpaceDN w:val="0"/>
              <w:adjustRightInd w:val="0"/>
              <w:jc w:val="center"/>
              <w:rPr>
                <w:sz w:val="21"/>
                <w:szCs w:val="21"/>
                <w:highlight w:val="none"/>
              </w:rPr>
            </w:pPr>
            <w:r>
              <w:rPr>
                <w:sz w:val="21"/>
                <w:szCs w:val="21"/>
                <w:highlight w:val="none"/>
              </w:rPr>
              <w:t>总砷（μ</w:t>
            </w:r>
            <w:r>
              <w:rPr>
                <w:spacing w:val="-3"/>
                <w:sz w:val="21"/>
                <w:szCs w:val="21"/>
                <w:highlight w:val="none"/>
              </w:rPr>
              <w:t>g</w:t>
            </w:r>
            <w:r>
              <w:rPr>
                <w:sz w:val="21"/>
                <w:szCs w:val="21"/>
                <w:highlight w:val="none"/>
              </w:rPr>
              <w:t>/L）</w:t>
            </w:r>
          </w:p>
        </w:tc>
        <w:tc>
          <w:tcPr>
            <w:tcW w:w="408" w:type="pct"/>
            <w:noWrap w:val="0"/>
            <w:vAlign w:val="center"/>
          </w:tcPr>
          <w:p w14:paraId="20CBE5AA">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3</w:t>
            </w:r>
            <w:r>
              <w:rPr>
                <w:sz w:val="21"/>
                <w:szCs w:val="21"/>
                <w:highlight w:val="none"/>
              </w:rPr>
              <w:t>L</w:t>
            </w:r>
          </w:p>
        </w:tc>
        <w:tc>
          <w:tcPr>
            <w:tcW w:w="426" w:type="pct"/>
            <w:noWrap w:val="0"/>
            <w:vAlign w:val="center"/>
          </w:tcPr>
          <w:p w14:paraId="0DB7CE68">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3</w:t>
            </w:r>
            <w:r>
              <w:rPr>
                <w:sz w:val="21"/>
                <w:szCs w:val="21"/>
                <w:highlight w:val="none"/>
              </w:rPr>
              <w:t>L</w:t>
            </w:r>
          </w:p>
        </w:tc>
        <w:tc>
          <w:tcPr>
            <w:tcW w:w="426" w:type="pct"/>
            <w:noWrap w:val="0"/>
            <w:vAlign w:val="center"/>
          </w:tcPr>
          <w:p w14:paraId="624D55C6">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3</w:t>
            </w:r>
            <w:r>
              <w:rPr>
                <w:sz w:val="21"/>
                <w:szCs w:val="21"/>
                <w:highlight w:val="none"/>
              </w:rPr>
              <w:t>L</w:t>
            </w:r>
          </w:p>
        </w:tc>
        <w:tc>
          <w:tcPr>
            <w:tcW w:w="481" w:type="pct"/>
            <w:noWrap w:val="0"/>
            <w:vAlign w:val="center"/>
          </w:tcPr>
          <w:p w14:paraId="73678D02">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3</w:t>
            </w:r>
            <w:r>
              <w:rPr>
                <w:sz w:val="21"/>
                <w:szCs w:val="21"/>
                <w:highlight w:val="none"/>
              </w:rPr>
              <w:t>L</w:t>
            </w:r>
          </w:p>
        </w:tc>
        <w:tc>
          <w:tcPr>
            <w:tcW w:w="426" w:type="pct"/>
            <w:noWrap w:val="0"/>
            <w:vAlign w:val="center"/>
          </w:tcPr>
          <w:p w14:paraId="6A898244">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3</w:t>
            </w:r>
            <w:r>
              <w:rPr>
                <w:sz w:val="21"/>
                <w:szCs w:val="21"/>
                <w:highlight w:val="none"/>
              </w:rPr>
              <w:t>L</w:t>
            </w:r>
          </w:p>
        </w:tc>
        <w:tc>
          <w:tcPr>
            <w:tcW w:w="481" w:type="pct"/>
            <w:noWrap w:val="0"/>
            <w:vAlign w:val="center"/>
          </w:tcPr>
          <w:p w14:paraId="6EE0274D">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3</w:t>
            </w:r>
            <w:r>
              <w:rPr>
                <w:sz w:val="21"/>
                <w:szCs w:val="21"/>
                <w:highlight w:val="none"/>
              </w:rPr>
              <w:t>L</w:t>
            </w:r>
          </w:p>
        </w:tc>
        <w:tc>
          <w:tcPr>
            <w:tcW w:w="426" w:type="pct"/>
            <w:noWrap w:val="0"/>
            <w:vAlign w:val="center"/>
          </w:tcPr>
          <w:p w14:paraId="4D85BAF6">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2"/>
                <w:sz w:val="21"/>
                <w:szCs w:val="21"/>
                <w:highlight w:val="none"/>
              </w:rPr>
              <w:t>3</w:t>
            </w:r>
            <w:r>
              <w:rPr>
                <w:sz w:val="21"/>
                <w:szCs w:val="21"/>
                <w:highlight w:val="none"/>
              </w:rPr>
              <w:t>L</w:t>
            </w:r>
          </w:p>
        </w:tc>
        <w:tc>
          <w:tcPr>
            <w:tcW w:w="534" w:type="pct"/>
            <w:noWrap w:val="0"/>
            <w:vAlign w:val="center"/>
          </w:tcPr>
          <w:p w14:paraId="7E47F25C">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3</w:t>
            </w:r>
            <w:r>
              <w:rPr>
                <w:sz w:val="21"/>
                <w:szCs w:val="21"/>
                <w:highlight w:val="none"/>
              </w:rPr>
              <w:t>L</w:t>
            </w:r>
          </w:p>
        </w:tc>
        <w:tc>
          <w:tcPr>
            <w:tcW w:w="459" w:type="pct"/>
            <w:noWrap w:val="0"/>
            <w:vAlign w:val="center"/>
          </w:tcPr>
          <w:p w14:paraId="15335868">
            <w:pPr>
              <w:kinsoku w:val="0"/>
              <w:overflowPunct w:val="0"/>
              <w:autoSpaceDE w:val="0"/>
              <w:autoSpaceDN w:val="0"/>
              <w:adjustRightInd w:val="0"/>
              <w:jc w:val="center"/>
              <w:rPr>
                <w:sz w:val="21"/>
                <w:szCs w:val="21"/>
                <w:highlight w:val="none"/>
              </w:rPr>
            </w:pPr>
            <w:r>
              <w:rPr>
                <w:sz w:val="21"/>
                <w:szCs w:val="21"/>
                <w:highlight w:val="none"/>
              </w:rPr>
              <w:t>0.5</w:t>
            </w:r>
            <w:r>
              <w:rPr>
                <w:szCs w:val="21"/>
                <w:highlight w:val="none"/>
              </w:rPr>
              <w:t>mg/L</w:t>
            </w:r>
          </w:p>
        </w:tc>
      </w:tr>
      <w:tr w14:paraId="430B2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exact"/>
          <w:jc w:val="center"/>
        </w:trPr>
        <w:tc>
          <w:tcPr>
            <w:tcW w:w="928" w:type="pct"/>
            <w:noWrap w:val="0"/>
            <w:vAlign w:val="center"/>
          </w:tcPr>
          <w:p w14:paraId="76FE5AD5">
            <w:pPr>
              <w:kinsoku w:val="0"/>
              <w:overflowPunct w:val="0"/>
              <w:autoSpaceDE w:val="0"/>
              <w:autoSpaceDN w:val="0"/>
              <w:adjustRightInd w:val="0"/>
              <w:jc w:val="center"/>
              <w:rPr>
                <w:sz w:val="21"/>
                <w:szCs w:val="21"/>
                <w:highlight w:val="none"/>
              </w:rPr>
            </w:pPr>
            <w:r>
              <w:rPr>
                <w:sz w:val="21"/>
                <w:szCs w:val="21"/>
                <w:highlight w:val="none"/>
              </w:rPr>
              <w:t>总汞（μ</w:t>
            </w:r>
            <w:r>
              <w:rPr>
                <w:spacing w:val="-3"/>
                <w:sz w:val="21"/>
                <w:szCs w:val="21"/>
                <w:highlight w:val="none"/>
              </w:rPr>
              <w:t>g</w:t>
            </w:r>
            <w:r>
              <w:rPr>
                <w:sz w:val="21"/>
                <w:szCs w:val="21"/>
                <w:highlight w:val="none"/>
              </w:rPr>
              <w:t>/L）</w:t>
            </w:r>
          </w:p>
        </w:tc>
        <w:tc>
          <w:tcPr>
            <w:tcW w:w="408" w:type="pct"/>
            <w:noWrap w:val="0"/>
            <w:vAlign w:val="center"/>
          </w:tcPr>
          <w:p w14:paraId="3A982A80">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1</w:t>
            </w:r>
            <w:r>
              <w:rPr>
                <w:sz w:val="21"/>
                <w:szCs w:val="21"/>
                <w:highlight w:val="none"/>
              </w:rPr>
              <w:t>3</w:t>
            </w:r>
          </w:p>
        </w:tc>
        <w:tc>
          <w:tcPr>
            <w:tcW w:w="426" w:type="pct"/>
            <w:noWrap w:val="0"/>
            <w:vAlign w:val="center"/>
          </w:tcPr>
          <w:p w14:paraId="66D4025A">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1</w:t>
            </w:r>
            <w:r>
              <w:rPr>
                <w:sz w:val="21"/>
                <w:szCs w:val="21"/>
                <w:highlight w:val="none"/>
              </w:rPr>
              <w:t>3</w:t>
            </w:r>
          </w:p>
        </w:tc>
        <w:tc>
          <w:tcPr>
            <w:tcW w:w="426" w:type="pct"/>
            <w:noWrap w:val="0"/>
            <w:vAlign w:val="center"/>
          </w:tcPr>
          <w:p w14:paraId="25224574">
            <w:pPr>
              <w:kinsoku w:val="0"/>
              <w:overflowPunct w:val="0"/>
              <w:autoSpaceDE w:val="0"/>
              <w:autoSpaceDN w:val="0"/>
              <w:adjustRightInd w:val="0"/>
              <w:jc w:val="center"/>
              <w:rPr>
                <w:sz w:val="21"/>
                <w:szCs w:val="21"/>
                <w:highlight w:val="none"/>
              </w:rPr>
            </w:pPr>
            <w:r>
              <w:rPr>
                <w:sz w:val="21"/>
                <w:szCs w:val="21"/>
                <w:highlight w:val="none"/>
              </w:rPr>
              <w:t>0.13</w:t>
            </w:r>
          </w:p>
        </w:tc>
        <w:tc>
          <w:tcPr>
            <w:tcW w:w="481" w:type="pct"/>
            <w:noWrap w:val="0"/>
            <w:vAlign w:val="center"/>
          </w:tcPr>
          <w:p w14:paraId="7D60607A">
            <w:pPr>
              <w:kinsoku w:val="0"/>
              <w:overflowPunct w:val="0"/>
              <w:autoSpaceDE w:val="0"/>
              <w:autoSpaceDN w:val="0"/>
              <w:adjustRightInd w:val="0"/>
              <w:jc w:val="center"/>
              <w:rPr>
                <w:sz w:val="21"/>
                <w:szCs w:val="21"/>
                <w:highlight w:val="none"/>
              </w:rPr>
            </w:pPr>
            <w:r>
              <w:rPr>
                <w:sz w:val="21"/>
                <w:szCs w:val="21"/>
                <w:highlight w:val="none"/>
              </w:rPr>
              <w:t>0.14</w:t>
            </w:r>
          </w:p>
        </w:tc>
        <w:tc>
          <w:tcPr>
            <w:tcW w:w="426" w:type="pct"/>
            <w:noWrap w:val="0"/>
            <w:vAlign w:val="center"/>
          </w:tcPr>
          <w:p w14:paraId="3D49A276">
            <w:pPr>
              <w:kinsoku w:val="0"/>
              <w:overflowPunct w:val="0"/>
              <w:autoSpaceDE w:val="0"/>
              <w:autoSpaceDN w:val="0"/>
              <w:adjustRightInd w:val="0"/>
              <w:jc w:val="center"/>
              <w:rPr>
                <w:sz w:val="21"/>
                <w:szCs w:val="21"/>
                <w:highlight w:val="none"/>
              </w:rPr>
            </w:pPr>
            <w:r>
              <w:rPr>
                <w:sz w:val="21"/>
                <w:szCs w:val="21"/>
                <w:highlight w:val="none"/>
              </w:rPr>
              <w:t>0.14</w:t>
            </w:r>
          </w:p>
        </w:tc>
        <w:tc>
          <w:tcPr>
            <w:tcW w:w="481" w:type="pct"/>
            <w:noWrap w:val="0"/>
            <w:vAlign w:val="center"/>
          </w:tcPr>
          <w:p w14:paraId="3970C5DC">
            <w:pPr>
              <w:kinsoku w:val="0"/>
              <w:overflowPunct w:val="0"/>
              <w:autoSpaceDE w:val="0"/>
              <w:autoSpaceDN w:val="0"/>
              <w:adjustRightInd w:val="0"/>
              <w:jc w:val="center"/>
              <w:rPr>
                <w:sz w:val="21"/>
                <w:szCs w:val="21"/>
                <w:highlight w:val="none"/>
              </w:rPr>
            </w:pPr>
            <w:r>
              <w:rPr>
                <w:sz w:val="21"/>
                <w:szCs w:val="21"/>
                <w:highlight w:val="none"/>
              </w:rPr>
              <w:t>0.15</w:t>
            </w:r>
          </w:p>
        </w:tc>
        <w:tc>
          <w:tcPr>
            <w:tcW w:w="426" w:type="pct"/>
            <w:noWrap w:val="0"/>
            <w:vAlign w:val="center"/>
          </w:tcPr>
          <w:p w14:paraId="53567C47">
            <w:pPr>
              <w:kinsoku w:val="0"/>
              <w:overflowPunct w:val="0"/>
              <w:autoSpaceDE w:val="0"/>
              <w:autoSpaceDN w:val="0"/>
              <w:adjustRightInd w:val="0"/>
              <w:jc w:val="center"/>
              <w:rPr>
                <w:sz w:val="21"/>
                <w:szCs w:val="21"/>
                <w:highlight w:val="none"/>
              </w:rPr>
            </w:pPr>
            <w:r>
              <w:rPr>
                <w:sz w:val="21"/>
                <w:szCs w:val="21"/>
                <w:highlight w:val="none"/>
              </w:rPr>
              <w:t>0.14</w:t>
            </w:r>
          </w:p>
        </w:tc>
        <w:tc>
          <w:tcPr>
            <w:tcW w:w="534" w:type="pct"/>
            <w:noWrap w:val="0"/>
            <w:vAlign w:val="center"/>
          </w:tcPr>
          <w:p w14:paraId="7D5EA687">
            <w:pPr>
              <w:kinsoku w:val="0"/>
              <w:overflowPunct w:val="0"/>
              <w:autoSpaceDE w:val="0"/>
              <w:autoSpaceDN w:val="0"/>
              <w:adjustRightInd w:val="0"/>
              <w:jc w:val="center"/>
              <w:rPr>
                <w:sz w:val="21"/>
                <w:szCs w:val="21"/>
                <w:highlight w:val="none"/>
              </w:rPr>
            </w:pPr>
            <w:r>
              <w:rPr>
                <w:sz w:val="21"/>
                <w:szCs w:val="21"/>
                <w:highlight w:val="none"/>
              </w:rPr>
              <w:t>0.14</w:t>
            </w:r>
          </w:p>
        </w:tc>
        <w:tc>
          <w:tcPr>
            <w:tcW w:w="459" w:type="pct"/>
            <w:noWrap w:val="0"/>
            <w:vAlign w:val="center"/>
          </w:tcPr>
          <w:p w14:paraId="0AB1CADC">
            <w:pPr>
              <w:kinsoku w:val="0"/>
              <w:overflowPunct w:val="0"/>
              <w:autoSpaceDE w:val="0"/>
              <w:autoSpaceDN w:val="0"/>
              <w:adjustRightInd w:val="0"/>
              <w:jc w:val="center"/>
              <w:rPr>
                <w:sz w:val="21"/>
                <w:szCs w:val="21"/>
                <w:highlight w:val="none"/>
              </w:rPr>
            </w:pPr>
            <w:r>
              <w:rPr>
                <w:sz w:val="21"/>
                <w:szCs w:val="21"/>
                <w:highlight w:val="none"/>
              </w:rPr>
              <w:t>0.05</w:t>
            </w:r>
            <w:r>
              <w:rPr>
                <w:szCs w:val="21"/>
                <w:highlight w:val="none"/>
              </w:rPr>
              <w:t>mg/L</w:t>
            </w:r>
          </w:p>
        </w:tc>
      </w:tr>
      <w:tr w14:paraId="03E69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 w:hRule="exact"/>
          <w:jc w:val="center"/>
        </w:trPr>
        <w:tc>
          <w:tcPr>
            <w:tcW w:w="928" w:type="pct"/>
            <w:noWrap w:val="0"/>
            <w:vAlign w:val="center"/>
          </w:tcPr>
          <w:p w14:paraId="4611CD16">
            <w:pPr>
              <w:kinsoku w:val="0"/>
              <w:overflowPunct w:val="0"/>
              <w:autoSpaceDE w:val="0"/>
              <w:autoSpaceDN w:val="0"/>
              <w:adjustRightInd w:val="0"/>
              <w:jc w:val="center"/>
              <w:rPr>
                <w:sz w:val="21"/>
                <w:szCs w:val="21"/>
                <w:highlight w:val="none"/>
              </w:rPr>
            </w:pPr>
            <w:r>
              <w:rPr>
                <w:sz w:val="21"/>
                <w:szCs w:val="21"/>
                <w:highlight w:val="none"/>
              </w:rPr>
              <w:t>挥发酚</w:t>
            </w:r>
          </w:p>
        </w:tc>
        <w:tc>
          <w:tcPr>
            <w:tcW w:w="408" w:type="pct"/>
            <w:noWrap w:val="0"/>
            <w:vAlign w:val="center"/>
          </w:tcPr>
          <w:p w14:paraId="6C9559AC">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00</w:t>
            </w:r>
            <w:r>
              <w:rPr>
                <w:sz w:val="21"/>
                <w:szCs w:val="21"/>
                <w:highlight w:val="none"/>
              </w:rPr>
              <w:t>3</w:t>
            </w:r>
          </w:p>
        </w:tc>
        <w:tc>
          <w:tcPr>
            <w:tcW w:w="426" w:type="pct"/>
            <w:noWrap w:val="0"/>
            <w:vAlign w:val="center"/>
          </w:tcPr>
          <w:p w14:paraId="2D7BA900">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2"/>
                <w:sz w:val="21"/>
                <w:szCs w:val="21"/>
                <w:highlight w:val="none"/>
              </w:rPr>
              <w:t>0</w:t>
            </w:r>
            <w:r>
              <w:rPr>
                <w:spacing w:val="1"/>
                <w:sz w:val="21"/>
                <w:szCs w:val="21"/>
                <w:highlight w:val="none"/>
              </w:rPr>
              <w:t>0</w:t>
            </w:r>
            <w:r>
              <w:rPr>
                <w:sz w:val="21"/>
                <w:szCs w:val="21"/>
                <w:highlight w:val="none"/>
              </w:rPr>
              <w:t>2</w:t>
            </w:r>
          </w:p>
        </w:tc>
        <w:tc>
          <w:tcPr>
            <w:tcW w:w="426" w:type="pct"/>
            <w:noWrap w:val="0"/>
            <w:vAlign w:val="center"/>
          </w:tcPr>
          <w:p w14:paraId="0C6BF2C6">
            <w:pPr>
              <w:kinsoku w:val="0"/>
              <w:overflowPunct w:val="0"/>
              <w:autoSpaceDE w:val="0"/>
              <w:autoSpaceDN w:val="0"/>
              <w:adjustRightInd w:val="0"/>
              <w:jc w:val="center"/>
              <w:rPr>
                <w:sz w:val="21"/>
                <w:szCs w:val="21"/>
                <w:highlight w:val="none"/>
              </w:rPr>
            </w:pPr>
            <w:r>
              <w:rPr>
                <w:sz w:val="21"/>
                <w:szCs w:val="21"/>
                <w:highlight w:val="none"/>
              </w:rPr>
              <w:t>0.004</w:t>
            </w:r>
          </w:p>
        </w:tc>
        <w:tc>
          <w:tcPr>
            <w:tcW w:w="481" w:type="pct"/>
            <w:noWrap w:val="0"/>
            <w:vAlign w:val="center"/>
          </w:tcPr>
          <w:p w14:paraId="11ED455B">
            <w:pPr>
              <w:kinsoku w:val="0"/>
              <w:overflowPunct w:val="0"/>
              <w:autoSpaceDE w:val="0"/>
              <w:autoSpaceDN w:val="0"/>
              <w:adjustRightInd w:val="0"/>
              <w:jc w:val="center"/>
              <w:rPr>
                <w:sz w:val="21"/>
                <w:szCs w:val="21"/>
                <w:highlight w:val="none"/>
              </w:rPr>
            </w:pPr>
            <w:r>
              <w:rPr>
                <w:sz w:val="21"/>
                <w:szCs w:val="21"/>
                <w:highlight w:val="none"/>
              </w:rPr>
              <w:t>0.003</w:t>
            </w:r>
          </w:p>
        </w:tc>
        <w:tc>
          <w:tcPr>
            <w:tcW w:w="426" w:type="pct"/>
            <w:noWrap w:val="0"/>
            <w:vAlign w:val="center"/>
          </w:tcPr>
          <w:p w14:paraId="104FA8AD">
            <w:pPr>
              <w:kinsoku w:val="0"/>
              <w:overflowPunct w:val="0"/>
              <w:autoSpaceDE w:val="0"/>
              <w:autoSpaceDN w:val="0"/>
              <w:adjustRightInd w:val="0"/>
              <w:jc w:val="center"/>
              <w:rPr>
                <w:sz w:val="21"/>
                <w:szCs w:val="21"/>
                <w:highlight w:val="none"/>
              </w:rPr>
            </w:pPr>
            <w:r>
              <w:rPr>
                <w:sz w:val="21"/>
                <w:szCs w:val="21"/>
                <w:highlight w:val="none"/>
              </w:rPr>
              <w:t>0.003</w:t>
            </w:r>
          </w:p>
        </w:tc>
        <w:tc>
          <w:tcPr>
            <w:tcW w:w="481" w:type="pct"/>
            <w:noWrap w:val="0"/>
            <w:vAlign w:val="center"/>
          </w:tcPr>
          <w:p w14:paraId="73D9CFF0">
            <w:pPr>
              <w:kinsoku w:val="0"/>
              <w:overflowPunct w:val="0"/>
              <w:autoSpaceDE w:val="0"/>
              <w:autoSpaceDN w:val="0"/>
              <w:adjustRightInd w:val="0"/>
              <w:jc w:val="center"/>
              <w:rPr>
                <w:sz w:val="21"/>
                <w:szCs w:val="21"/>
                <w:highlight w:val="none"/>
              </w:rPr>
            </w:pPr>
            <w:r>
              <w:rPr>
                <w:sz w:val="21"/>
                <w:szCs w:val="21"/>
                <w:highlight w:val="none"/>
              </w:rPr>
              <w:t>0.002</w:t>
            </w:r>
          </w:p>
        </w:tc>
        <w:tc>
          <w:tcPr>
            <w:tcW w:w="426" w:type="pct"/>
            <w:noWrap w:val="0"/>
            <w:vAlign w:val="center"/>
          </w:tcPr>
          <w:p w14:paraId="0D04C6B5">
            <w:pPr>
              <w:kinsoku w:val="0"/>
              <w:overflowPunct w:val="0"/>
              <w:autoSpaceDE w:val="0"/>
              <w:autoSpaceDN w:val="0"/>
              <w:adjustRightInd w:val="0"/>
              <w:jc w:val="center"/>
              <w:rPr>
                <w:sz w:val="21"/>
                <w:szCs w:val="21"/>
                <w:highlight w:val="none"/>
              </w:rPr>
            </w:pPr>
            <w:r>
              <w:rPr>
                <w:sz w:val="21"/>
                <w:szCs w:val="21"/>
                <w:highlight w:val="none"/>
              </w:rPr>
              <w:t>0.002L</w:t>
            </w:r>
          </w:p>
        </w:tc>
        <w:tc>
          <w:tcPr>
            <w:tcW w:w="534" w:type="pct"/>
            <w:noWrap w:val="0"/>
            <w:vAlign w:val="center"/>
          </w:tcPr>
          <w:p w14:paraId="658F1135">
            <w:pPr>
              <w:kinsoku w:val="0"/>
              <w:overflowPunct w:val="0"/>
              <w:autoSpaceDE w:val="0"/>
              <w:autoSpaceDN w:val="0"/>
              <w:adjustRightInd w:val="0"/>
              <w:jc w:val="center"/>
              <w:rPr>
                <w:sz w:val="21"/>
                <w:szCs w:val="21"/>
                <w:highlight w:val="none"/>
              </w:rPr>
            </w:pPr>
            <w:r>
              <w:rPr>
                <w:sz w:val="21"/>
                <w:szCs w:val="21"/>
                <w:highlight w:val="none"/>
              </w:rPr>
              <w:t>0.002L</w:t>
            </w:r>
          </w:p>
        </w:tc>
        <w:tc>
          <w:tcPr>
            <w:tcW w:w="459" w:type="pct"/>
            <w:noWrap w:val="0"/>
            <w:vAlign w:val="center"/>
          </w:tcPr>
          <w:p w14:paraId="578E7AB9">
            <w:pPr>
              <w:kinsoku w:val="0"/>
              <w:overflowPunct w:val="0"/>
              <w:autoSpaceDE w:val="0"/>
              <w:autoSpaceDN w:val="0"/>
              <w:adjustRightInd w:val="0"/>
              <w:jc w:val="center"/>
              <w:rPr>
                <w:sz w:val="21"/>
                <w:szCs w:val="21"/>
                <w:highlight w:val="none"/>
              </w:rPr>
            </w:pPr>
            <w:r>
              <w:rPr>
                <w:sz w:val="21"/>
                <w:szCs w:val="21"/>
                <w:highlight w:val="none"/>
              </w:rPr>
              <w:t>0.5</w:t>
            </w:r>
          </w:p>
        </w:tc>
      </w:tr>
      <w:tr w14:paraId="3D057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exact"/>
          <w:jc w:val="center"/>
        </w:trPr>
        <w:tc>
          <w:tcPr>
            <w:tcW w:w="928" w:type="pct"/>
            <w:noWrap w:val="0"/>
            <w:vAlign w:val="center"/>
          </w:tcPr>
          <w:p w14:paraId="7E15995C">
            <w:pPr>
              <w:kinsoku w:val="0"/>
              <w:overflowPunct w:val="0"/>
              <w:autoSpaceDE w:val="0"/>
              <w:autoSpaceDN w:val="0"/>
              <w:adjustRightInd w:val="0"/>
              <w:jc w:val="center"/>
              <w:rPr>
                <w:sz w:val="21"/>
                <w:szCs w:val="21"/>
                <w:highlight w:val="none"/>
              </w:rPr>
            </w:pPr>
            <w:r>
              <w:rPr>
                <w:sz w:val="21"/>
                <w:szCs w:val="21"/>
                <w:highlight w:val="none"/>
              </w:rPr>
              <w:t>总钒</w:t>
            </w:r>
          </w:p>
        </w:tc>
        <w:tc>
          <w:tcPr>
            <w:tcW w:w="408" w:type="pct"/>
            <w:noWrap w:val="0"/>
            <w:vAlign w:val="center"/>
          </w:tcPr>
          <w:p w14:paraId="40ECE76F">
            <w:pPr>
              <w:kinsoku w:val="0"/>
              <w:overflowPunct w:val="0"/>
              <w:autoSpaceDE w:val="0"/>
              <w:autoSpaceDN w:val="0"/>
              <w:adjustRightInd w:val="0"/>
              <w:jc w:val="center"/>
              <w:rPr>
                <w:sz w:val="21"/>
                <w:szCs w:val="21"/>
                <w:highlight w:val="none"/>
              </w:rPr>
            </w:pPr>
            <w:r>
              <w:rPr>
                <w:sz w:val="21"/>
                <w:szCs w:val="21"/>
                <w:highlight w:val="none"/>
              </w:rPr>
              <w:t>0.01L</w:t>
            </w:r>
          </w:p>
        </w:tc>
        <w:tc>
          <w:tcPr>
            <w:tcW w:w="426" w:type="pct"/>
            <w:noWrap w:val="0"/>
            <w:vAlign w:val="center"/>
          </w:tcPr>
          <w:p w14:paraId="1EAFEA30">
            <w:pPr>
              <w:kinsoku w:val="0"/>
              <w:overflowPunct w:val="0"/>
              <w:autoSpaceDE w:val="0"/>
              <w:autoSpaceDN w:val="0"/>
              <w:adjustRightInd w:val="0"/>
              <w:jc w:val="center"/>
              <w:rPr>
                <w:sz w:val="21"/>
                <w:szCs w:val="21"/>
                <w:highlight w:val="none"/>
              </w:rPr>
            </w:pPr>
            <w:r>
              <w:rPr>
                <w:sz w:val="21"/>
                <w:szCs w:val="21"/>
                <w:highlight w:val="none"/>
              </w:rPr>
              <w:t>0.01L</w:t>
            </w:r>
          </w:p>
        </w:tc>
        <w:tc>
          <w:tcPr>
            <w:tcW w:w="426" w:type="pct"/>
            <w:noWrap w:val="0"/>
            <w:vAlign w:val="center"/>
          </w:tcPr>
          <w:p w14:paraId="36920AA4">
            <w:pPr>
              <w:kinsoku w:val="0"/>
              <w:overflowPunct w:val="0"/>
              <w:autoSpaceDE w:val="0"/>
              <w:autoSpaceDN w:val="0"/>
              <w:adjustRightInd w:val="0"/>
              <w:jc w:val="center"/>
              <w:rPr>
                <w:sz w:val="21"/>
                <w:szCs w:val="21"/>
                <w:highlight w:val="none"/>
              </w:rPr>
            </w:pPr>
            <w:r>
              <w:rPr>
                <w:sz w:val="21"/>
                <w:szCs w:val="21"/>
                <w:highlight w:val="none"/>
              </w:rPr>
              <w:t>0.01L</w:t>
            </w:r>
          </w:p>
        </w:tc>
        <w:tc>
          <w:tcPr>
            <w:tcW w:w="481" w:type="pct"/>
            <w:noWrap w:val="0"/>
            <w:vAlign w:val="center"/>
          </w:tcPr>
          <w:p w14:paraId="666EB959">
            <w:pPr>
              <w:kinsoku w:val="0"/>
              <w:overflowPunct w:val="0"/>
              <w:autoSpaceDE w:val="0"/>
              <w:autoSpaceDN w:val="0"/>
              <w:adjustRightInd w:val="0"/>
              <w:jc w:val="center"/>
              <w:rPr>
                <w:sz w:val="21"/>
                <w:szCs w:val="21"/>
                <w:highlight w:val="none"/>
              </w:rPr>
            </w:pPr>
            <w:r>
              <w:rPr>
                <w:sz w:val="21"/>
                <w:szCs w:val="21"/>
                <w:highlight w:val="none"/>
              </w:rPr>
              <w:t>0.01L</w:t>
            </w:r>
          </w:p>
        </w:tc>
        <w:tc>
          <w:tcPr>
            <w:tcW w:w="426" w:type="pct"/>
            <w:noWrap w:val="0"/>
            <w:vAlign w:val="center"/>
          </w:tcPr>
          <w:p w14:paraId="4A0A2AC0">
            <w:pPr>
              <w:kinsoku w:val="0"/>
              <w:overflowPunct w:val="0"/>
              <w:autoSpaceDE w:val="0"/>
              <w:autoSpaceDN w:val="0"/>
              <w:adjustRightInd w:val="0"/>
              <w:jc w:val="center"/>
              <w:rPr>
                <w:sz w:val="21"/>
                <w:szCs w:val="21"/>
                <w:highlight w:val="none"/>
              </w:rPr>
            </w:pPr>
            <w:r>
              <w:rPr>
                <w:sz w:val="21"/>
                <w:szCs w:val="21"/>
                <w:highlight w:val="none"/>
              </w:rPr>
              <w:t>0.01L</w:t>
            </w:r>
          </w:p>
        </w:tc>
        <w:tc>
          <w:tcPr>
            <w:tcW w:w="481" w:type="pct"/>
            <w:noWrap w:val="0"/>
            <w:vAlign w:val="center"/>
          </w:tcPr>
          <w:p w14:paraId="6707DF58">
            <w:pPr>
              <w:kinsoku w:val="0"/>
              <w:overflowPunct w:val="0"/>
              <w:autoSpaceDE w:val="0"/>
              <w:autoSpaceDN w:val="0"/>
              <w:adjustRightInd w:val="0"/>
              <w:jc w:val="center"/>
              <w:rPr>
                <w:sz w:val="21"/>
                <w:szCs w:val="21"/>
                <w:highlight w:val="none"/>
              </w:rPr>
            </w:pPr>
            <w:r>
              <w:rPr>
                <w:sz w:val="21"/>
                <w:szCs w:val="21"/>
                <w:highlight w:val="none"/>
              </w:rPr>
              <w:t>0.01L</w:t>
            </w:r>
          </w:p>
        </w:tc>
        <w:tc>
          <w:tcPr>
            <w:tcW w:w="426" w:type="pct"/>
            <w:noWrap w:val="0"/>
            <w:vAlign w:val="center"/>
          </w:tcPr>
          <w:p w14:paraId="0903E70B">
            <w:pPr>
              <w:kinsoku w:val="0"/>
              <w:overflowPunct w:val="0"/>
              <w:autoSpaceDE w:val="0"/>
              <w:autoSpaceDN w:val="0"/>
              <w:adjustRightInd w:val="0"/>
              <w:jc w:val="center"/>
              <w:rPr>
                <w:sz w:val="21"/>
                <w:szCs w:val="21"/>
                <w:highlight w:val="none"/>
              </w:rPr>
            </w:pPr>
            <w:r>
              <w:rPr>
                <w:sz w:val="21"/>
                <w:szCs w:val="21"/>
                <w:highlight w:val="none"/>
              </w:rPr>
              <w:t>0.01L</w:t>
            </w:r>
          </w:p>
        </w:tc>
        <w:tc>
          <w:tcPr>
            <w:tcW w:w="534" w:type="pct"/>
            <w:noWrap w:val="0"/>
            <w:vAlign w:val="center"/>
          </w:tcPr>
          <w:p w14:paraId="7232E974">
            <w:pPr>
              <w:kinsoku w:val="0"/>
              <w:overflowPunct w:val="0"/>
              <w:autoSpaceDE w:val="0"/>
              <w:autoSpaceDN w:val="0"/>
              <w:adjustRightInd w:val="0"/>
              <w:jc w:val="center"/>
              <w:rPr>
                <w:sz w:val="21"/>
                <w:szCs w:val="21"/>
                <w:highlight w:val="none"/>
              </w:rPr>
            </w:pPr>
            <w:r>
              <w:rPr>
                <w:sz w:val="21"/>
                <w:szCs w:val="21"/>
                <w:highlight w:val="none"/>
              </w:rPr>
              <w:t>0.01L</w:t>
            </w:r>
          </w:p>
        </w:tc>
        <w:tc>
          <w:tcPr>
            <w:tcW w:w="459" w:type="pct"/>
            <w:noWrap w:val="0"/>
            <w:vAlign w:val="center"/>
          </w:tcPr>
          <w:p w14:paraId="3832FAD5">
            <w:pPr>
              <w:kinsoku w:val="0"/>
              <w:overflowPunct w:val="0"/>
              <w:autoSpaceDE w:val="0"/>
              <w:autoSpaceDN w:val="0"/>
              <w:adjustRightInd w:val="0"/>
              <w:jc w:val="center"/>
              <w:rPr>
                <w:sz w:val="21"/>
                <w:szCs w:val="21"/>
                <w:highlight w:val="none"/>
              </w:rPr>
            </w:pPr>
            <w:r>
              <w:rPr>
                <w:sz w:val="21"/>
                <w:szCs w:val="21"/>
                <w:highlight w:val="none"/>
              </w:rPr>
              <w:t>/</w:t>
            </w:r>
          </w:p>
        </w:tc>
      </w:tr>
      <w:tr w14:paraId="4BDEC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exact"/>
          <w:jc w:val="center"/>
        </w:trPr>
        <w:tc>
          <w:tcPr>
            <w:tcW w:w="928" w:type="pct"/>
            <w:noWrap w:val="0"/>
            <w:vAlign w:val="center"/>
          </w:tcPr>
          <w:p w14:paraId="64346F7A">
            <w:pPr>
              <w:kinsoku w:val="0"/>
              <w:overflowPunct w:val="0"/>
              <w:autoSpaceDE w:val="0"/>
              <w:autoSpaceDN w:val="0"/>
              <w:adjustRightInd w:val="0"/>
              <w:jc w:val="center"/>
              <w:rPr>
                <w:sz w:val="21"/>
                <w:szCs w:val="21"/>
                <w:highlight w:val="none"/>
              </w:rPr>
            </w:pPr>
            <w:r>
              <w:rPr>
                <w:sz w:val="21"/>
                <w:szCs w:val="21"/>
                <w:highlight w:val="none"/>
              </w:rPr>
              <w:t>总铜</w:t>
            </w:r>
          </w:p>
        </w:tc>
        <w:tc>
          <w:tcPr>
            <w:tcW w:w="408" w:type="pct"/>
            <w:noWrap w:val="0"/>
            <w:vAlign w:val="center"/>
          </w:tcPr>
          <w:p w14:paraId="25983483">
            <w:pPr>
              <w:kinsoku w:val="0"/>
              <w:overflowPunct w:val="0"/>
              <w:autoSpaceDE w:val="0"/>
              <w:autoSpaceDN w:val="0"/>
              <w:adjustRightInd w:val="0"/>
              <w:jc w:val="center"/>
              <w:rPr>
                <w:sz w:val="21"/>
                <w:szCs w:val="21"/>
                <w:highlight w:val="none"/>
              </w:rPr>
            </w:pPr>
            <w:r>
              <w:rPr>
                <w:sz w:val="21"/>
                <w:szCs w:val="21"/>
                <w:highlight w:val="none"/>
              </w:rPr>
              <w:t>0.04L</w:t>
            </w:r>
          </w:p>
        </w:tc>
        <w:tc>
          <w:tcPr>
            <w:tcW w:w="426" w:type="pct"/>
            <w:noWrap w:val="0"/>
            <w:vAlign w:val="center"/>
          </w:tcPr>
          <w:p w14:paraId="247CA4DF">
            <w:pPr>
              <w:kinsoku w:val="0"/>
              <w:overflowPunct w:val="0"/>
              <w:autoSpaceDE w:val="0"/>
              <w:autoSpaceDN w:val="0"/>
              <w:adjustRightInd w:val="0"/>
              <w:jc w:val="center"/>
              <w:rPr>
                <w:sz w:val="21"/>
                <w:szCs w:val="21"/>
                <w:highlight w:val="none"/>
              </w:rPr>
            </w:pPr>
            <w:r>
              <w:rPr>
                <w:sz w:val="21"/>
                <w:szCs w:val="21"/>
                <w:highlight w:val="none"/>
              </w:rPr>
              <w:t>0.04L</w:t>
            </w:r>
          </w:p>
        </w:tc>
        <w:tc>
          <w:tcPr>
            <w:tcW w:w="426" w:type="pct"/>
            <w:noWrap w:val="0"/>
            <w:vAlign w:val="center"/>
          </w:tcPr>
          <w:p w14:paraId="51B00C8D">
            <w:pPr>
              <w:kinsoku w:val="0"/>
              <w:overflowPunct w:val="0"/>
              <w:autoSpaceDE w:val="0"/>
              <w:autoSpaceDN w:val="0"/>
              <w:adjustRightInd w:val="0"/>
              <w:jc w:val="center"/>
              <w:rPr>
                <w:sz w:val="21"/>
                <w:szCs w:val="21"/>
                <w:highlight w:val="none"/>
              </w:rPr>
            </w:pPr>
            <w:r>
              <w:rPr>
                <w:sz w:val="21"/>
                <w:szCs w:val="21"/>
                <w:highlight w:val="none"/>
              </w:rPr>
              <w:t>0.04L</w:t>
            </w:r>
          </w:p>
        </w:tc>
        <w:tc>
          <w:tcPr>
            <w:tcW w:w="481" w:type="pct"/>
            <w:noWrap w:val="0"/>
            <w:vAlign w:val="center"/>
          </w:tcPr>
          <w:p w14:paraId="13BFC09A">
            <w:pPr>
              <w:kinsoku w:val="0"/>
              <w:overflowPunct w:val="0"/>
              <w:autoSpaceDE w:val="0"/>
              <w:autoSpaceDN w:val="0"/>
              <w:adjustRightInd w:val="0"/>
              <w:jc w:val="center"/>
              <w:rPr>
                <w:sz w:val="21"/>
                <w:szCs w:val="21"/>
                <w:highlight w:val="none"/>
              </w:rPr>
            </w:pPr>
            <w:r>
              <w:rPr>
                <w:sz w:val="21"/>
                <w:szCs w:val="21"/>
                <w:highlight w:val="none"/>
              </w:rPr>
              <w:t>0.04L</w:t>
            </w:r>
          </w:p>
        </w:tc>
        <w:tc>
          <w:tcPr>
            <w:tcW w:w="426" w:type="pct"/>
            <w:noWrap w:val="0"/>
            <w:vAlign w:val="center"/>
          </w:tcPr>
          <w:p w14:paraId="74F93F85">
            <w:pPr>
              <w:kinsoku w:val="0"/>
              <w:overflowPunct w:val="0"/>
              <w:autoSpaceDE w:val="0"/>
              <w:autoSpaceDN w:val="0"/>
              <w:adjustRightInd w:val="0"/>
              <w:jc w:val="center"/>
              <w:rPr>
                <w:sz w:val="21"/>
                <w:szCs w:val="21"/>
                <w:highlight w:val="none"/>
              </w:rPr>
            </w:pPr>
            <w:r>
              <w:rPr>
                <w:sz w:val="21"/>
                <w:szCs w:val="21"/>
                <w:highlight w:val="none"/>
              </w:rPr>
              <w:t>0.04L</w:t>
            </w:r>
          </w:p>
        </w:tc>
        <w:tc>
          <w:tcPr>
            <w:tcW w:w="481" w:type="pct"/>
            <w:noWrap w:val="0"/>
            <w:vAlign w:val="center"/>
          </w:tcPr>
          <w:p w14:paraId="1E974042">
            <w:pPr>
              <w:kinsoku w:val="0"/>
              <w:overflowPunct w:val="0"/>
              <w:autoSpaceDE w:val="0"/>
              <w:autoSpaceDN w:val="0"/>
              <w:adjustRightInd w:val="0"/>
              <w:jc w:val="center"/>
              <w:rPr>
                <w:sz w:val="21"/>
                <w:szCs w:val="21"/>
                <w:highlight w:val="none"/>
              </w:rPr>
            </w:pPr>
            <w:r>
              <w:rPr>
                <w:sz w:val="21"/>
                <w:szCs w:val="21"/>
                <w:highlight w:val="none"/>
              </w:rPr>
              <w:t>0.04L</w:t>
            </w:r>
          </w:p>
        </w:tc>
        <w:tc>
          <w:tcPr>
            <w:tcW w:w="426" w:type="pct"/>
            <w:noWrap w:val="0"/>
            <w:vAlign w:val="center"/>
          </w:tcPr>
          <w:p w14:paraId="3E3B0D20">
            <w:pPr>
              <w:kinsoku w:val="0"/>
              <w:overflowPunct w:val="0"/>
              <w:autoSpaceDE w:val="0"/>
              <w:autoSpaceDN w:val="0"/>
              <w:adjustRightInd w:val="0"/>
              <w:jc w:val="center"/>
              <w:rPr>
                <w:sz w:val="21"/>
                <w:szCs w:val="21"/>
                <w:highlight w:val="none"/>
              </w:rPr>
            </w:pPr>
            <w:r>
              <w:rPr>
                <w:sz w:val="21"/>
                <w:szCs w:val="21"/>
                <w:highlight w:val="none"/>
              </w:rPr>
              <w:t>0.04L</w:t>
            </w:r>
          </w:p>
        </w:tc>
        <w:tc>
          <w:tcPr>
            <w:tcW w:w="534" w:type="pct"/>
            <w:noWrap w:val="0"/>
            <w:vAlign w:val="center"/>
          </w:tcPr>
          <w:p w14:paraId="642AE86A">
            <w:pPr>
              <w:kinsoku w:val="0"/>
              <w:overflowPunct w:val="0"/>
              <w:autoSpaceDE w:val="0"/>
              <w:autoSpaceDN w:val="0"/>
              <w:adjustRightInd w:val="0"/>
              <w:jc w:val="center"/>
              <w:rPr>
                <w:sz w:val="21"/>
                <w:szCs w:val="21"/>
                <w:highlight w:val="none"/>
              </w:rPr>
            </w:pPr>
            <w:r>
              <w:rPr>
                <w:sz w:val="21"/>
                <w:szCs w:val="21"/>
                <w:highlight w:val="none"/>
              </w:rPr>
              <w:t>0.04L</w:t>
            </w:r>
          </w:p>
        </w:tc>
        <w:tc>
          <w:tcPr>
            <w:tcW w:w="459" w:type="pct"/>
            <w:noWrap w:val="0"/>
            <w:vAlign w:val="center"/>
          </w:tcPr>
          <w:p w14:paraId="155FB23B">
            <w:pPr>
              <w:kinsoku w:val="0"/>
              <w:overflowPunct w:val="0"/>
              <w:autoSpaceDE w:val="0"/>
              <w:autoSpaceDN w:val="0"/>
              <w:adjustRightInd w:val="0"/>
              <w:jc w:val="center"/>
              <w:rPr>
                <w:sz w:val="21"/>
                <w:szCs w:val="21"/>
                <w:highlight w:val="none"/>
              </w:rPr>
            </w:pPr>
            <w:r>
              <w:rPr>
                <w:sz w:val="21"/>
                <w:szCs w:val="21"/>
                <w:highlight w:val="none"/>
              </w:rPr>
              <w:t>0.5</w:t>
            </w:r>
          </w:p>
        </w:tc>
      </w:tr>
      <w:tr w14:paraId="54541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3" w:hRule="exact"/>
          <w:jc w:val="center"/>
        </w:trPr>
        <w:tc>
          <w:tcPr>
            <w:tcW w:w="928" w:type="pct"/>
            <w:noWrap w:val="0"/>
            <w:vAlign w:val="center"/>
          </w:tcPr>
          <w:p w14:paraId="09CF0926">
            <w:pPr>
              <w:kinsoku w:val="0"/>
              <w:overflowPunct w:val="0"/>
              <w:autoSpaceDE w:val="0"/>
              <w:autoSpaceDN w:val="0"/>
              <w:adjustRightInd w:val="0"/>
              <w:jc w:val="center"/>
              <w:rPr>
                <w:sz w:val="21"/>
                <w:szCs w:val="21"/>
                <w:highlight w:val="none"/>
              </w:rPr>
            </w:pPr>
            <w:r>
              <w:rPr>
                <w:sz w:val="21"/>
                <w:szCs w:val="21"/>
                <w:highlight w:val="none"/>
              </w:rPr>
              <w:t>总锌</w:t>
            </w:r>
          </w:p>
        </w:tc>
        <w:tc>
          <w:tcPr>
            <w:tcW w:w="408" w:type="pct"/>
            <w:noWrap w:val="0"/>
            <w:vAlign w:val="center"/>
          </w:tcPr>
          <w:p w14:paraId="12F19B9A">
            <w:pPr>
              <w:kinsoku w:val="0"/>
              <w:overflowPunct w:val="0"/>
              <w:autoSpaceDE w:val="0"/>
              <w:autoSpaceDN w:val="0"/>
              <w:adjustRightInd w:val="0"/>
              <w:jc w:val="center"/>
              <w:rPr>
                <w:sz w:val="21"/>
                <w:szCs w:val="21"/>
                <w:highlight w:val="none"/>
              </w:rPr>
            </w:pPr>
            <w:r>
              <w:rPr>
                <w:sz w:val="21"/>
                <w:szCs w:val="21"/>
                <w:highlight w:val="none"/>
              </w:rPr>
              <w:t>0.009L</w:t>
            </w:r>
          </w:p>
        </w:tc>
        <w:tc>
          <w:tcPr>
            <w:tcW w:w="426" w:type="pct"/>
            <w:noWrap w:val="0"/>
            <w:vAlign w:val="center"/>
          </w:tcPr>
          <w:p w14:paraId="2548E098">
            <w:pPr>
              <w:kinsoku w:val="0"/>
              <w:overflowPunct w:val="0"/>
              <w:autoSpaceDE w:val="0"/>
              <w:autoSpaceDN w:val="0"/>
              <w:adjustRightInd w:val="0"/>
              <w:jc w:val="center"/>
              <w:rPr>
                <w:sz w:val="21"/>
                <w:szCs w:val="21"/>
                <w:highlight w:val="none"/>
              </w:rPr>
            </w:pPr>
            <w:r>
              <w:rPr>
                <w:sz w:val="21"/>
                <w:szCs w:val="21"/>
                <w:highlight w:val="none"/>
              </w:rPr>
              <w:t>0.009L</w:t>
            </w:r>
          </w:p>
        </w:tc>
        <w:tc>
          <w:tcPr>
            <w:tcW w:w="426" w:type="pct"/>
            <w:noWrap w:val="0"/>
            <w:vAlign w:val="center"/>
          </w:tcPr>
          <w:p w14:paraId="3560E1A6">
            <w:pPr>
              <w:kinsoku w:val="0"/>
              <w:overflowPunct w:val="0"/>
              <w:autoSpaceDE w:val="0"/>
              <w:autoSpaceDN w:val="0"/>
              <w:adjustRightInd w:val="0"/>
              <w:jc w:val="center"/>
              <w:rPr>
                <w:sz w:val="21"/>
                <w:szCs w:val="21"/>
                <w:highlight w:val="none"/>
              </w:rPr>
            </w:pPr>
            <w:r>
              <w:rPr>
                <w:sz w:val="21"/>
                <w:szCs w:val="21"/>
                <w:highlight w:val="none"/>
              </w:rPr>
              <w:t>0.009L</w:t>
            </w:r>
          </w:p>
        </w:tc>
        <w:tc>
          <w:tcPr>
            <w:tcW w:w="481" w:type="pct"/>
            <w:noWrap w:val="0"/>
            <w:vAlign w:val="center"/>
          </w:tcPr>
          <w:p w14:paraId="5DCCDF25">
            <w:pPr>
              <w:kinsoku w:val="0"/>
              <w:overflowPunct w:val="0"/>
              <w:autoSpaceDE w:val="0"/>
              <w:autoSpaceDN w:val="0"/>
              <w:adjustRightInd w:val="0"/>
              <w:jc w:val="center"/>
              <w:rPr>
                <w:sz w:val="21"/>
                <w:szCs w:val="21"/>
                <w:highlight w:val="none"/>
              </w:rPr>
            </w:pPr>
            <w:r>
              <w:rPr>
                <w:sz w:val="21"/>
                <w:szCs w:val="21"/>
                <w:highlight w:val="none"/>
              </w:rPr>
              <w:t>0.009L</w:t>
            </w:r>
          </w:p>
        </w:tc>
        <w:tc>
          <w:tcPr>
            <w:tcW w:w="426" w:type="pct"/>
            <w:noWrap w:val="0"/>
            <w:vAlign w:val="center"/>
          </w:tcPr>
          <w:p w14:paraId="341E2BEF">
            <w:pPr>
              <w:kinsoku w:val="0"/>
              <w:overflowPunct w:val="0"/>
              <w:autoSpaceDE w:val="0"/>
              <w:autoSpaceDN w:val="0"/>
              <w:adjustRightInd w:val="0"/>
              <w:jc w:val="center"/>
              <w:rPr>
                <w:sz w:val="21"/>
                <w:szCs w:val="21"/>
                <w:highlight w:val="none"/>
              </w:rPr>
            </w:pPr>
            <w:r>
              <w:rPr>
                <w:sz w:val="21"/>
                <w:szCs w:val="21"/>
                <w:highlight w:val="none"/>
              </w:rPr>
              <w:t>0.009L</w:t>
            </w:r>
          </w:p>
        </w:tc>
        <w:tc>
          <w:tcPr>
            <w:tcW w:w="481" w:type="pct"/>
            <w:noWrap w:val="0"/>
            <w:vAlign w:val="center"/>
          </w:tcPr>
          <w:p w14:paraId="72E2692C">
            <w:pPr>
              <w:kinsoku w:val="0"/>
              <w:overflowPunct w:val="0"/>
              <w:autoSpaceDE w:val="0"/>
              <w:autoSpaceDN w:val="0"/>
              <w:adjustRightInd w:val="0"/>
              <w:jc w:val="center"/>
              <w:rPr>
                <w:sz w:val="21"/>
                <w:szCs w:val="21"/>
                <w:highlight w:val="none"/>
              </w:rPr>
            </w:pPr>
            <w:r>
              <w:rPr>
                <w:sz w:val="21"/>
                <w:szCs w:val="21"/>
                <w:highlight w:val="none"/>
              </w:rPr>
              <w:t>0.009L</w:t>
            </w:r>
          </w:p>
        </w:tc>
        <w:tc>
          <w:tcPr>
            <w:tcW w:w="426" w:type="pct"/>
            <w:noWrap w:val="0"/>
            <w:vAlign w:val="center"/>
          </w:tcPr>
          <w:p w14:paraId="61FC6F37">
            <w:pPr>
              <w:kinsoku w:val="0"/>
              <w:overflowPunct w:val="0"/>
              <w:autoSpaceDE w:val="0"/>
              <w:autoSpaceDN w:val="0"/>
              <w:adjustRightInd w:val="0"/>
              <w:jc w:val="center"/>
              <w:rPr>
                <w:sz w:val="21"/>
                <w:szCs w:val="21"/>
                <w:highlight w:val="none"/>
              </w:rPr>
            </w:pPr>
            <w:r>
              <w:rPr>
                <w:sz w:val="21"/>
                <w:szCs w:val="21"/>
                <w:highlight w:val="none"/>
              </w:rPr>
              <w:t>0.009L</w:t>
            </w:r>
          </w:p>
        </w:tc>
        <w:tc>
          <w:tcPr>
            <w:tcW w:w="534" w:type="pct"/>
            <w:noWrap w:val="0"/>
            <w:vAlign w:val="center"/>
          </w:tcPr>
          <w:p w14:paraId="765BDA46">
            <w:pPr>
              <w:kinsoku w:val="0"/>
              <w:overflowPunct w:val="0"/>
              <w:autoSpaceDE w:val="0"/>
              <w:autoSpaceDN w:val="0"/>
              <w:adjustRightInd w:val="0"/>
              <w:jc w:val="center"/>
              <w:rPr>
                <w:sz w:val="21"/>
                <w:szCs w:val="21"/>
                <w:highlight w:val="none"/>
              </w:rPr>
            </w:pPr>
            <w:r>
              <w:rPr>
                <w:sz w:val="21"/>
                <w:szCs w:val="21"/>
                <w:highlight w:val="none"/>
              </w:rPr>
              <w:t>0.009L</w:t>
            </w:r>
          </w:p>
        </w:tc>
        <w:tc>
          <w:tcPr>
            <w:tcW w:w="459" w:type="pct"/>
            <w:noWrap w:val="0"/>
            <w:vAlign w:val="center"/>
          </w:tcPr>
          <w:p w14:paraId="0D273244">
            <w:pPr>
              <w:kinsoku w:val="0"/>
              <w:overflowPunct w:val="0"/>
              <w:autoSpaceDE w:val="0"/>
              <w:autoSpaceDN w:val="0"/>
              <w:adjustRightInd w:val="0"/>
              <w:jc w:val="center"/>
              <w:rPr>
                <w:sz w:val="21"/>
                <w:szCs w:val="21"/>
                <w:highlight w:val="none"/>
              </w:rPr>
            </w:pPr>
            <w:r>
              <w:rPr>
                <w:sz w:val="21"/>
                <w:szCs w:val="21"/>
                <w:highlight w:val="none"/>
              </w:rPr>
              <w:t>2.0</w:t>
            </w:r>
          </w:p>
        </w:tc>
      </w:tr>
      <w:tr w14:paraId="01972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0" w:hRule="exact"/>
          <w:jc w:val="center"/>
        </w:trPr>
        <w:tc>
          <w:tcPr>
            <w:tcW w:w="928" w:type="pct"/>
            <w:noWrap w:val="0"/>
            <w:vAlign w:val="center"/>
          </w:tcPr>
          <w:p w14:paraId="23898C8B">
            <w:pPr>
              <w:kinsoku w:val="0"/>
              <w:overflowPunct w:val="0"/>
              <w:autoSpaceDE w:val="0"/>
              <w:autoSpaceDN w:val="0"/>
              <w:adjustRightInd w:val="0"/>
              <w:jc w:val="center"/>
              <w:rPr>
                <w:sz w:val="21"/>
                <w:szCs w:val="21"/>
                <w:highlight w:val="none"/>
              </w:rPr>
            </w:pPr>
            <w:r>
              <w:rPr>
                <w:sz w:val="21"/>
                <w:szCs w:val="21"/>
                <w:highlight w:val="none"/>
              </w:rPr>
              <w:t>总氰化物</w:t>
            </w:r>
          </w:p>
        </w:tc>
        <w:tc>
          <w:tcPr>
            <w:tcW w:w="408" w:type="pct"/>
            <w:noWrap w:val="0"/>
            <w:vAlign w:val="center"/>
          </w:tcPr>
          <w:p w14:paraId="5EA22296">
            <w:pPr>
              <w:kinsoku w:val="0"/>
              <w:overflowPunct w:val="0"/>
              <w:autoSpaceDE w:val="0"/>
              <w:autoSpaceDN w:val="0"/>
              <w:adjustRightInd w:val="0"/>
              <w:jc w:val="center"/>
              <w:rPr>
                <w:sz w:val="21"/>
                <w:szCs w:val="21"/>
                <w:highlight w:val="none"/>
              </w:rPr>
            </w:pPr>
            <w:r>
              <w:rPr>
                <w:sz w:val="21"/>
                <w:szCs w:val="21"/>
                <w:highlight w:val="none"/>
              </w:rPr>
              <w:t>0.003</w:t>
            </w:r>
          </w:p>
        </w:tc>
        <w:tc>
          <w:tcPr>
            <w:tcW w:w="426" w:type="pct"/>
            <w:noWrap w:val="0"/>
            <w:vAlign w:val="center"/>
          </w:tcPr>
          <w:p w14:paraId="0C12BD27">
            <w:pPr>
              <w:kinsoku w:val="0"/>
              <w:overflowPunct w:val="0"/>
              <w:autoSpaceDE w:val="0"/>
              <w:autoSpaceDN w:val="0"/>
              <w:adjustRightInd w:val="0"/>
              <w:jc w:val="center"/>
              <w:rPr>
                <w:sz w:val="21"/>
                <w:szCs w:val="21"/>
                <w:highlight w:val="none"/>
              </w:rPr>
            </w:pPr>
            <w:r>
              <w:rPr>
                <w:sz w:val="21"/>
                <w:szCs w:val="21"/>
                <w:highlight w:val="none"/>
              </w:rPr>
              <w:t>0.004</w:t>
            </w:r>
          </w:p>
        </w:tc>
        <w:tc>
          <w:tcPr>
            <w:tcW w:w="426" w:type="pct"/>
            <w:noWrap w:val="0"/>
            <w:vAlign w:val="center"/>
          </w:tcPr>
          <w:p w14:paraId="7D8116F8">
            <w:pPr>
              <w:kinsoku w:val="0"/>
              <w:overflowPunct w:val="0"/>
              <w:autoSpaceDE w:val="0"/>
              <w:autoSpaceDN w:val="0"/>
              <w:adjustRightInd w:val="0"/>
              <w:jc w:val="center"/>
              <w:rPr>
                <w:sz w:val="21"/>
                <w:szCs w:val="21"/>
                <w:highlight w:val="none"/>
              </w:rPr>
            </w:pPr>
            <w:r>
              <w:rPr>
                <w:sz w:val="21"/>
                <w:szCs w:val="21"/>
                <w:highlight w:val="none"/>
              </w:rPr>
              <w:t>0.005</w:t>
            </w:r>
          </w:p>
        </w:tc>
        <w:tc>
          <w:tcPr>
            <w:tcW w:w="481" w:type="pct"/>
            <w:noWrap w:val="0"/>
            <w:vAlign w:val="center"/>
          </w:tcPr>
          <w:p w14:paraId="2179D152">
            <w:pPr>
              <w:kinsoku w:val="0"/>
              <w:overflowPunct w:val="0"/>
              <w:autoSpaceDE w:val="0"/>
              <w:autoSpaceDN w:val="0"/>
              <w:adjustRightInd w:val="0"/>
              <w:jc w:val="center"/>
              <w:rPr>
                <w:sz w:val="21"/>
                <w:szCs w:val="21"/>
                <w:highlight w:val="none"/>
              </w:rPr>
            </w:pPr>
            <w:r>
              <w:rPr>
                <w:sz w:val="21"/>
                <w:szCs w:val="21"/>
                <w:highlight w:val="none"/>
              </w:rPr>
              <w:t>0.004</w:t>
            </w:r>
          </w:p>
        </w:tc>
        <w:tc>
          <w:tcPr>
            <w:tcW w:w="426" w:type="pct"/>
            <w:noWrap w:val="0"/>
            <w:vAlign w:val="center"/>
          </w:tcPr>
          <w:p w14:paraId="7B75D048">
            <w:pPr>
              <w:kinsoku w:val="0"/>
              <w:overflowPunct w:val="0"/>
              <w:autoSpaceDE w:val="0"/>
              <w:autoSpaceDN w:val="0"/>
              <w:adjustRightInd w:val="0"/>
              <w:jc w:val="center"/>
              <w:rPr>
                <w:sz w:val="21"/>
                <w:szCs w:val="21"/>
                <w:highlight w:val="none"/>
              </w:rPr>
            </w:pPr>
            <w:r>
              <w:rPr>
                <w:sz w:val="21"/>
                <w:szCs w:val="21"/>
                <w:highlight w:val="none"/>
              </w:rPr>
              <w:t>0.004</w:t>
            </w:r>
          </w:p>
        </w:tc>
        <w:tc>
          <w:tcPr>
            <w:tcW w:w="481" w:type="pct"/>
            <w:noWrap w:val="0"/>
            <w:vAlign w:val="center"/>
          </w:tcPr>
          <w:p w14:paraId="1D716BF7">
            <w:pPr>
              <w:kinsoku w:val="0"/>
              <w:overflowPunct w:val="0"/>
              <w:autoSpaceDE w:val="0"/>
              <w:autoSpaceDN w:val="0"/>
              <w:adjustRightInd w:val="0"/>
              <w:jc w:val="center"/>
              <w:rPr>
                <w:sz w:val="21"/>
                <w:szCs w:val="21"/>
                <w:highlight w:val="none"/>
              </w:rPr>
            </w:pPr>
            <w:r>
              <w:rPr>
                <w:sz w:val="21"/>
                <w:szCs w:val="21"/>
                <w:highlight w:val="none"/>
              </w:rPr>
              <w:t>0.004</w:t>
            </w:r>
          </w:p>
        </w:tc>
        <w:tc>
          <w:tcPr>
            <w:tcW w:w="426" w:type="pct"/>
            <w:noWrap w:val="0"/>
            <w:vAlign w:val="center"/>
          </w:tcPr>
          <w:p w14:paraId="67FDBF5A">
            <w:pPr>
              <w:kinsoku w:val="0"/>
              <w:overflowPunct w:val="0"/>
              <w:autoSpaceDE w:val="0"/>
              <w:autoSpaceDN w:val="0"/>
              <w:adjustRightInd w:val="0"/>
              <w:jc w:val="center"/>
              <w:rPr>
                <w:sz w:val="21"/>
                <w:szCs w:val="21"/>
                <w:highlight w:val="none"/>
              </w:rPr>
            </w:pPr>
            <w:r>
              <w:rPr>
                <w:sz w:val="21"/>
                <w:szCs w:val="21"/>
                <w:highlight w:val="none"/>
              </w:rPr>
              <w:t>0.005</w:t>
            </w:r>
          </w:p>
        </w:tc>
        <w:tc>
          <w:tcPr>
            <w:tcW w:w="534" w:type="pct"/>
            <w:noWrap w:val="0"/>
            <w:vAlign w:val="center"/>
          </w:tcPr>
          <w:p w14:paraId="52409BE3">
            <w:pPr>
              <w:kinsoku w:val="0"/>
              <w:overflowPunct w:val="0"/>
              <w:autoSpaceDE w:val="0"/>
              <w:autoSpaceDN w:val="0"/>
              <w:adjustRightInd w:val="0"/>
              <w:jc w:val="center"/>
              <w:rPr>
                <w:sz w:val="21"/>
                <w:szCs w:val="21"/>
                <w:highlight w:val="none"/>
              </w:rPr>
            </w:pPr>
            <w:r>
              <w:rPr>
                <w:sz w:val="21"/>
                <w:szCs w:val="21"/>
                <w:highlight w:val="none"/>
              </w:rPr>
              <w:t>0.001L</w:t>
            </w:r>
          </w:p>
        </w:tc>
        <w:tc>
          <w:tcPr>
            <w:tcW w:w="459" w:type="pct"/>
            <w:noWrap w:val="0"/>
            <w:vAlign w:val="center"/>
          </w:tcPr>
          <w:p w14:paraId="4891BEBC">
            <w:pPr>
              <w:kinsoku w:val="0"/>
              <w:overflowPunct w:val="0"/>
              <w:autoSpaceDE w:val="0"/>
              <w:autoSpaceDN w:val="0"/>
              <w:adjustRightInd w:val="0"/>
              <w:jc w:val="center"/>
              <w:rPr>
                <w:sz w:val="21"/>
                <w:szCs w:val="21"/>
                <w:highlight w:val="none"/>
              </w:rPr>
            </w:pPr>
            <w:r>
              <w:rPr>
                <w:sz w:val="21"/>
                <w:szCs w:val="21"/>
                <w:highlight w:val="none"/>
              </w:rPr>
              <w:t>0.5</w:t>
            </w:r>
          </w:p>
        </w:tc>
      </w:tr>
      <w:tr w14:paraId="04EA3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exact"/>
          <w:jc w:val="center"/>
        </w:trPr>
        <w:tc>
          <w:tcPr>
            <w:tcW w:w="928" w:type="pct"/>
            <w:noWrap w:val="0"/>
            <w:vAlign w:val="center"/>
          </w:tcPr>
          <w:p w14:paraId="24E7646F">
            <w:pPr>
              <w:kinsoku w:val="0"/>
              <w:overflowPunct w:val="0"/>
              <w:autoSpaceDE w:val="0"/>
              <w:autoSpaceDN w:val="0"/>
              <w:adjustRightInd w:val="0"/>
              <w:jc w:val="center"/>
              <w:rPr>
                <w:sz w:val="21"/>
                <w:szCs w:val="21"/>
                <w:highlight w:val="none"/>
              </w:rPr>
            </w:pPr>
            <w:r>
              <w:rPr>
                <w:sz w:val="21"/>
                <w:szCs w:val="21"/>
                <w:highlight w:val="none"/>
              </w:rPr>
              <w:t>阴离子表面活性剂</w:t>
            </w:r>
          </w:p>
        </w:tc>
        <w:tc>
          <w:tcPr>
            <w:tcW w:w="408" w:type="pct"/>
            <w:noWrap w:val="0"/>
            <w:vAlign w:val="center"/>
          </w:tcPr>
          <w:p w14:paraId="0BC91EC9">
            <w:pPr>
              <w:kinsoku w:val="0"/>
              <w:overflowPunct w:val="0"/>
              <w:autoSpaceDE w:val="0"/>
              <w:autoSpaceDN w:val="0"/>
              <w:adjustRightInd w:val="0"/>
              <w:jc w:val="center"/>
              <w:rPr>
                <w:sz w:val="21"/>
                <w:szCs w:val="21"/>
                <w:highlight w:val="none"/>
              </w:rPr>
            </w:pPr>
            <w:r>
              <w:rPr>
                <w:sz w:val="21"/>
                <w:szCs w:val="21"/>
                <w:highlight w:val="none"/>
              </w:rPr>
              <w:t>0.04L</w:t>
            </w:r>
          </w:p>
        </w:tc>
        <w:tc>
          <w:tcPr>
            <w:tcW w:w="426" w:type="pct"/>
            <w:noWrap w:val="0"/>
            <w:vAlign w:val="center"/>
          </w:tcPr>
          <w:p w14:paraId="4DCC8610">
            <w:pPr>
              <w:kinsoku w:val="0"/>
              <w:overflowPunct w:val="0"/>
              <w:autoSpaceDE w:val="0"/>
              <w:autoSpaceDN w:val="0"/>
              <w:adjustRightInd w:val="0"/>
              <w:jc w:val="center"/>
              <w:rPr>
                <w:sz w:val="21"/>
                <w:szCs w:val="21"/>
                <w:highlight w:val="none"/>
              </w:rPr>
            </w:pPr>
            <w:r>
              <w:rPr>
                <w:sz w:val="21"/>
                <w:szCs w:val="21"/>
                <w:highlight w:val="none"/>
              </w:rPr>
              <w:t>0.04L</w:t>
            </w:r>
          </w:p>
        </w:tc>
        <w:tc>
          <w:tcPr>
            <w:tcW w:w="426" w:type="pct"/>
            <w:noWrap w:val="0"/>
            <w:vAlign w:val="center"/>
          </w:tcPr>
          <w:p w14:paraId="7CA26E52">
            <w:pPr>
              <w:kinsoku w:val="0"/>
              <w:overflowPunct w:val="0"/>
              <w:autoSpaceDE w:val="0"/>
              <w:autoSpaceDN w:val="0"/>
              <w:adjustRightInd w:val="0"/>
              <w:jc w:val="center"/>
              <w:rPr>
                <w:sz w:val="21"/>
                <w:szCs w:val="21"/>
                <w:highlight w:val="none"/>
              </w:rPr>
            </w:pPr>
            <w:r>
              <w:rPr>
                <w:sz w:val="21"/>
                <w:szCs w:val="21"/>
                <w:highlight w:val="none"/>
              </w:rPr>
              <w:t>0.49</w:t>
            </w:r>
          </w:p>
        </w:tc>
        <w:tc>
          <w:tcPr>
            <w:tcW w:w="481" w:type="pct"/>
            <w:noWrap w:val="0"/>
            <w:vAlign w:val="center"/>
          </w:tcPr>
          <w:p w14:paraId="3FD451BB">
            <w:pPr>
              <w:kinsoku w:val="0"/>
              <w:overflowPunct w:val="0"/>
              <w:autoSpaceDE w:val="0"/>
              <w:autoSpaceDN w:val="0"/>
              <w:adjustRightInd w:val="0"/>
              <w:jc w:val="center"/>
              <w:rPr>
                <w:sz w:val="21"/>
                <w:szCs w:val="21"/>
                <w:highlight w:val="none"/>
              </w:rPr>
            </w:pPr>
            <w:r>
              <w:rPr>
                <w:sz w:val="21"/>
                <w:szCs w:val="21"/>
                <w:highlight w:val="none"/>
              </w:rPr>
              <w:t>0.09</w:t>
            </w:r>
          </w:p>
        </w:tc>
        <w:tc>
          <w:tcPr>
            <w:tcW w:w="426" w:type="pct"/>
            <w:noWrap w:val="0"/>
            <w:vAlign w:val="center"/>
          </w:tcPr>
          <w:p w14:paraId="33D5B1EF">
            <w:pPr>
              <w:kinsoku w:val="0"/>
              <w:overflowPunct w:val="0"/>
              <w:autoSpaceDE w:val="0"/>
              <w:autoSpaceDN w:val="0"/>
              <w:adjustRightInd w:val="0"/>
              <w:jc w:val="center"/>
              <w:rPr>
                <w:sz w:val="21"/>
                <w:szCs w:val="21"/>
                <w:highlight w:val="none"/>
              </w:rPr>
            </w:pPr>
            <w:r>
              <w:rPr>
                <w:sz w:val="21"/>
                <w:szCs w:val="21"/>
                <w:highlight w:val="none"/>
              </w:rPr>
              <w:t>0.07</w:t>
            </w:r>
          </w:p>
        </w:tc>
        <w:tc>
          <w:tcPr>
            <w:tcW w:w="481" w:type="pct"/>
            <w:noWrap w:val="0"/>
            <w:vAlign w:val="center"/>
          </w:tcPr>
          <w:p w14:paraId="20BB5F47">
            <w:pPr>
              <w:kinsoku w:val="0"/>
              <w:overflowPunct w:val="0"/>
              <w:autoSpaceDE w:val="0"/>
              <w:autoSpaceDN w:val="0"/>
              <w:adjustRightInd w:val="0"/>
              <w:jc w:val="center"/>
              <w:rPr>
                <w:sz w:val="21"/>
                <w:szCs w:val="21"/>
                <w:highlight w:val="none"/>
              </w:rPr>
            </w:pPr>
            <w:r>
              <w:rPr>
                <w:sz w:val="21"/>
                <w:szCs w:val="21"/>
                <w:highlight w:val="none"/>
              </w:rPr>
              <w:t>0.18</w:t>
            </w:r>
          </w:p>
        </w:tc>
        <w:tc>
          <w:tcPr>
            <w:tcW w:w="426" w:type="pct"/>
            <w:noWrap w:val="0"/>
            <w:vAlign w:val="center"/>
          </w:tcPr>
          <w:p w14:paraId="30F2E897">
            <w:pPr>
              <w:kinsoku w:val="0"/>
              <w:overflowPunct w:val="0"/>
              <w:autoSpaceDE w:val="0"/>
              <w:autoSpaceDN w:val="0"/>
              <w:adjustRightInd w:val="0"/>
              <w:jc w:val="center"/>
              <w:rPr>
                <w:sz w:val="21"/>
                <w:szCs w:val="21"/>
                <w:highlight w:val="none"/>
              </w:rPr>
            </w:pPr>
            <w:r>
              <w:rPr>
                <w:sz w:val="21"/>
                <w:szCs w:val="21"/>
                <w:highlight w:val="none"/>
              </w:rPr>
              <w:t>0.57</w:t>
            </w:r>
          </w:p>
        </w:tc>
        <w:tc>
          <w:tcPr>
            <w:tcW w:w="534" w:type="pct"/>
            <w:noWrap w:val="0"/>
            <w:vAlign w:val="center"/>
          </w:tcPr>
          <w:p w14:paraId="1330E444">
            <w:pPr>
              <w:kinsoku w:val="0"/>
              <w:overflowPunct w:val="0"/>
              <w:autoSpaceDE w:val="0"/>
              <w:autoSpaceDN w:val="0"/>
              <w:adjustRightInd w:val="0"/>
              <w:jc w:val="center"/>
              <w:rPr>
                <w:sz w:val="21"/>
                <w:szCs w:val="21"/>
                <w:highlight w:val="none"/>
              </w:rPr>
            </w:pPr>
            <w:r>
              <w:rPr>
                <w:sz w:val="21"/>
                <w:szCs w:val="21"/>
                <w:highlight w:val="none"/>
              </w:rPr>
              <w:t>0.17</w:t>
            </w:r>
          </w:p>
        </w:tc>
        <w:tc>
          <w:tcPr>
            <w:tcW w:w="459" w:type="pct"/>
            <w:noWrap w:val="0"/>
            <w:vAlign w:val="center"/>
          </w:tcPr>
          <w:p w14:paraId="2E46662C">
            <w:pPr>
              <w:kinsoku w:val="0"/>
              <w:overflowPunct w:val="0"/>
              <w:autoSpaceDE w:val="0"/>
              <w:autoSpaceDN w:val="0"/>
              <w:adjustRightInd w:val="0"/>
              <w:jc w:val="center"/>
              <w:rPr>
                <w:sz w:val="21"/>
                <w:szCs w:val="21"/>
                <w:highlight w:val="none"/>
              </w:rPr>
            </w:pPr>
            <w:r>
              <w:rPr>
                <w:sz w:val="21"/>
                <w:szCs w:val="21"/>
                <w:highlight w:val="none"/>
              </w:rPr>
              <w:t>5.0</w:t>
            </w:r>
          </w:p>
        </w:tc>
      </w:tr>
      <w:tr w14:paraId="05E40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exact"/>
          <w:jc w:val="center"/>
        </w:trPr>
        <w:tc>
          <w:tcPr>
            <w:tcW w:w="928" w:type="pct"/>
            <w:noWrap w:val="0"/>
            <w:vAlign w:val="center"/>
          </w:tcPr>
          <w:p w14:paraId="78C1363A">
            <w:pPr>
              <w:kinsoku w:val="0"/>
              <w:overflowPunct w:val="0"/>
              <w:autoSpaceDE w:val="0"/>
              <w:autoSpaceDN w:val="0"/>
              <w:adjustRightInd w:val="0"/>
              <w:jc w:val="center"/>
              <w:rPr>
                <w:sz w:val="21"/>
                <w:szCs w:val="21"/>
                <w:highlight w:val="none"/>
              </w:rPr>
            </w:pPr>
            <w:r>
              <w:rPr>
                <w:sz w:val="21"/>
                <w:szCs w:val="21"/>
                <w:highlight w:val="none"/>
              </w:rPr>
              <w:t>石油类</w:t>
            </w:r>
          </w:p>
        </w:tc>
        <w:tc>
          <w:tcPr>
            <w:tcW w:w="408" w:type="pct"/>
            <w:noWrap w:val="0"/>
            <w:vAlign w:val="center"/>
          </w:tcPr>
          <w:p w14:paraId="313DDEC2">
            <w:pPr>
              <w:kinsoku w:val="0"/>
              <w:overflowPunct w:val="0"/>
              <w:autoSpaceDE w:val="0"/>
              <w:autoSpaceDN w:val="0"/>
              <w:adjustRightInd w:val="0"/>
              <w:jc w:val="center"/>
              <w:rPr>
                <w:sz w:val="21"/>
                <w:szCs w:val="21"/>
                <w:highlight w:val="none"/>
              </w:rPr>
            </w:pPr>
            <w:r>
              <w:rPr>
                <w:sz w:val="21"/>
                <w:szCs w:val="21"/>
                <w:highlight w:val="none"/>
              </w:rPr>
              <w:t>0.06L</w:t>
            </w:r>
          </w:p>
        </w:tc>
        <w:tc>
          <w:tcPr>
            <w:tcW w:w="426" w:type="pct"/>
            <w:noWrap w:val="0"/>
            <w:vAlign w:val="center"/>
          </w:tcPr>
          <w:p w14:paraId="14BEA6FC">
            <w:pPr>
              <w:kinsoku w:val="0"/>
              <w:overflowPunct w:val="0"/>
              <w:autoSpaceDE w:val="0"/>
              <w:autoSpaceDN w:val="0"/>
              <w:adjustRightInd w:val="0"/>
              <w:jc w:val="center"/>
              <w:rPr>
                <w:sz w:val="21"/>
                <w:szCs w:val="21"/>
                <w:highlight w:val="none"/>
              </w:rPr>
            </w:pPr>
            <w:r>
              <w:rPr>
                <w:sz w:val="21"/>
                <w:szCs w:val="21"/>
                <w:highlight w:val="none"/>
              </w:rPr>
              <w:t>0.06L</w:t>
            </w:r>
          </w:p>
        </w:tc>
        <w:tc>
          <w:tcPr>
            <w:tcW w:w="426" w:type="pct"/>
            <w:noWrap w:val="0"/>
            <w:vAlign w:val="center"/>
          </w:tcPr>
          <w:p w14:paraId="05C830D2">
            <w:pPr>
              <w:kinsoku w:val="0"/>
              <w:overflowPunct w:val="0"/>
              <w:autoSpaceDE w:val="0"/>
              <w:autoSpaceDN w:val="0"/>
              <w:adjustRightInd w:val="0"/>
              <w:jc w:val="center"/>
              <w:rPr>
                <w:sz w:val="21"/>
                <w:szCs w:val="21"/>
                <w:highlight w:val="none"/>
              </w:rPr>
            </w:pPr>
            <w:r>
              <w:rPr>
                <w:sz w:val="21"/>
                <w:szCs w:val="21"/>
                <w:highlight w:val="none"/>
              </w:rPr>
              <w:t>0.06L</w:t>
            </w:r>
          </w:p>
        </w:tc>
        <w:tc>
          <w:tcPr>
            <w:tcW w:w="481" w:type="pct"/>
            <w:noWrap w:val="0"/>
            <w:vAlign w:val="center"/>
          </w:tcPr>
          <w:p w14:paraId="1D9BB000">
            <w:pPr>
              <w:kinsoku w:val="0"/>
              <w:overflowPunct w:val="0"/>
              <w:autoSpaceDE w:val="0"/>
              <w:autoSpaceDN w:val="0"/>
              <w:adjustRightInd w:val="0"/>
              <w:jc w:val="center"/>
              <w:rPr>
                <w:sz w:val="21"/>
                <w:szCs w:val="21"/>
                <w:highlight w:val="none"/>
              </w:rPr>
            </w:pPr>
            <w:r>
              <w:rPr>
                <w:sz w:val="21"/>
                <w:szCs w:val="21"/>
                <w:highlight w:val="none"/>
              </w:rPr>
              <w:t>0.06L</w:t>
            </w:r>
          </w:p>
        </w:tc>
        <w:tc>
          <w:tcPr>
            <w:tcW w:w="426" w:type="pct"/>
            <w:noWrap w:val="0"/>
            <w:vAlign w:val="center"/>
          </w:tcPr>
          <w:p w14:paraId="6EEE092F">
            <w:pPr>
              <w:kinsoku w:val="0"/>
              <w:overflowPunct w:val="0"/>
              <w:autoSpaceDE w:val="0"/>
              <w:autoSpaceDN w:val="0"/>
              <w:adjustRightInd w:val="0"/>
              <w:jc w:val="center"/>
              <w:rPr>
                <w:sz w:val="21"/>
                <w:szCs w:val="21"/>
                <w:highlight w:val="none"/>
              </w:rPr>
            </w:pPr>
            <w:r>
              <w:rPr>
                <w:sz w:val="21"/>
                <w:szCs w:val="21"/>
                <w:highlight w:val="none"/>
              </w:rPr>
              <w:t>0.06L</w:t>
            </w:r>
          </w:p>
        </w:tc>
        <w:tc>
          <w:tcPr>
            <w:tcW w:w="481" w:type="pct"/>
            <w:noWrap w:val="0"/>
            <w:vAlign w:val="center"/>
          </w:tcPr>
          <w:p w14:paraId="6C5800E0">
            <w:pPr>
              <w:kinsoku w:val="0"/>
              <w:overflowPunct w:val="0"/>
              <w:autoSpaceDE w:val="0"/>
              <w:autoSpaceDN w:val="0"/>
              <w:adjustRightInd w:val="0"/>
              <w:jc w:val="center"/>
              <w:rPr>
                <w:sz w:val="21"/>
                <w:szCs w:val="21"/>
                <w:highlight w:val="none"/>
              </w:rPr>
            </w:pPr>
            <w:r>
              <w:rPr>
                <w:sz w:val="21"/>
                <w:szCs w:val="21"/>
                <w:highlight w:val="none"/>
              </w:rPr>
              <w:t>0.06L</w:t>
            </w:r>
          </w:p>
        </w:tc>
        <w:tc>
          <w:tcPr>
            <w:tcW w:w="426" w:type="pct"/>
            <w:noWrap w:val="0"/>
            <w:vAlign w:val="center"/>
          </w:tcPr>
          <w:p w14:paraId="12FE0F68">
            <w:pPr>
              <w:kinsoku w:val="0"/>
              <w:overflowPunct w:val="0"/>
              <w:autoSpaceDE w:val="0"/>
              <w:autoSpaceDN w:val="0"/>
              <w:adjustRightInd w:val="0"/>
              <w:jc w:val="center"/>
              <w:rPr>
                <w:sz w:val="21"/>
                <w:szCs w:val="21"/>
                <w:highlight w:val="none"/>
              </w:rPr>
            </w:pPr>
            <w:r>
              <w:rPr>
                <w:sz w:val="21"/>
                <w:szCs w:val="21"/>
                <w:highlight w:val="none"/>
              </w:rPr>
              <w:t>0.06L</w:t>
            </w:r>
          </w:p>
        </w:tc>
        <w:tc>
          <w:tcPr>
            <w:tcW w:w="534" w:type="pct"/>
            <w:noWrap w:val="0"/>
            <w:vAlign w:val="center"/>
          </w:tcPr>
          <w:p w14:paraId="04BC2D9E">
            <w:pPr>
              <w:kinsoku w:val="0"/>
              <w:overflowPunct w:val="0"/>
              <w:autoSpaceDE w:val="0"/>
              <w:autoSpaceDN w:val="0"/>
              <w:adjustRightInd w:val="0"/>
              <w:jc w:val="center"/>
              <w:rPr>
                <w:sz w:val="21"/>
                <w:szCs w:val="21"/>
                <w:highlight w:val="none"/>
              </w:rPr>
            </w:pPr>
            <w:r>
              <w:rPr>
                <w:sz w:val="21"/>
                <w:szCs w:val="21"/>
                <w:highlight w:val="none"/>
              </w:rPr>
              <w:t>0.06L</w:t>
            </w:r>
          </w:p>
        </w:tc>
        <w:tc>
          <w:tcPr>
            <w:tcW w:w="459" w:type="pct"/>
            <w:noWrap w:val="0"/>
            <w:vAlign w:val="center"/>
          </w:tcPr>
          <w:p w14:paraId="534D5266">
            <w:pPr>
              <w:kinsoku w:val="0"/>
              <w:overflowPunct w:val="0"/>
              <w:autoSpaceDE w:val="0"/>
              <w:autoSpaceDN w:val="0"/>
              <w:adjustRightInd w:val="0"/>
              <w:jc w:val="center"/>
              <w:rPr>
                <w:sz w:val="21"/>
                <w:szCs w:val="21"/>
                <w:highlight w:val="none"/>
              </w:rPr>
            </w:pPr>
            <w:r>
              <w:rPr>
                <w:sz w:val="21"/>
                <w:szCs w:val="21"/>
                <w:highlight w:val="none"/>
              </w:rPr>
              <w:t>10</w:t>
            </w:r>
          </w:p>
        </w:tc>
      </w:tr>
      <w:tr w14:paraId="59C93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3" w:hRule="exact"/>
          <w:jc w:val="center"/>
        </w:trPr>
        <w:tc>
          <w:tcPr>
            <w:tcW w:w="928" w:type="pct"/>
            <w:noWrap w:val="0"/>
            <w:vAlign w:val="center"/>
          </w:tcPr>
          <w:p w14:paraId="55A15F20">
            <w:pPr>
              <w:kinsoku w:val="0"/>
              <w:overflowPunct w:val="0"/>
              <w:autoSpaceDE w:val="0"/>
              <w:autoSpaceDN w:val="0"/>
              <w:adjustRightInd w:val="0"/>
              <w:jc w:val="center"/>
              <w:rPr>
                <w:sz w:val="21"/>
                <w:szCs w:val="21"/>
                <w:highlight w:val="none"/>
              </w:rPr>
            </w:pPr>
            <w:r>
              <w:rPr>
                <w:sz w:val="21"/>
                <w:szCs w:val="21"/>
                <w:highlight w:val="none"/>
              </w:rPr>
              <w:t>动植物油</w:t>
            </w:r>
          </w:p>
        </w:tc>
        <w:tc>
          <w:tcPr>
            <w:tcW w:w="408" w:type="pct"/>
            <w:noWrap w:val="0"/>
            <w:vAlign w:val="center"/>
          </w:tcPr>
          <w:p w14:paraId="57BB2130">
            <w:pPr>
              <w:kinsoku w:val="0"/>
              <w:overflowPunct w:val="0"/>
              <w:autoSpaceDE w:val="0"/>
              <w:autoSpaceDN w:val="0"/>
              <w:adjustRightInd w:val="0"/>
              <w:jc w:val="center"/>
              <w:rPr>
                <w:sz w:val="21"/>
                <w:szCs w:val="21"/>
                <w:highlight w:val="none"/>
              </w:rPr>
            </w:pPr>
            <w:r>
              <w:rPr>
                <w:sz w:val="21"/>
                <w:szCs w:val="21"/>
                <w:highlight w:val="none"/>
              </w:rPr>
              <w:t>0.06L</w:t>
            </w:r>
          </w:p>
        </w:tc>
        <w:tc>
          <w:tcPr>
            <w:tcW w:w="426" w:type="pct"/>
            <w:noWrap w:val="0"/>
            <w:vAlign w:val="center"/>
          </w:tcPr>
          <w:p w14:paraId="11F90964">
            <w:pPr>
              <w:kinsoku w:val="0"/>
              <w:overflowPunct w:val="0"/>
              <w:autoSpaceDE w:val="0"/>
              <w:autoSpaceDN w:val="0"/>
              <w:adjustRightInd w:val="0"/>
              <w:jc w:val="center"/>
              <w:rPr>
                <w:sz w:val="21"/>
                <w:szCs w:val="21"/>
                <w:highlight w:val="none"/>
              </w:rPr>
            </w:pPr>
            <w:r>
              <w:rPr>
                <w:sz w:val="21"/>
                <w:szCs w:val="21"/>
                <w:highlight w:val="none"/>
              </w:rPr>
              <w:t>0.06L</w:t>
            </w:r>
          </w:p>
        </w:tc>
        <w:tc>
          <w:tcPr>
            <w:tcW w:w="426" w:type="pct"/>
            <w:noWrap w:val="0"/>
            <w:vAlign w:val="center"/>
          </w:tcPr>
          <w:p w14:paraId="63480CD8">
            <w:pPr>
              <w:kinsoku w:val="0"/>
              <w:overflowPunct w:val="0"/>
              <w:autoSpaceDE w:val="0"/>
              <w:autoSpaceDN w:val="0"/>
              <w:adjustRightInd w:val="0"/>
              <w:jc w:val="center"/>
              <w:rPr>
                <w:sz w:val="21"/>
                <w:szCs w:val="21"/>
                <w:highlight w:val="none"/>
              </w:rPr>
            </w:pPr>
            <w:r>
              <w:rPr>
                <w:sz w:val="21"/>
                <w:szCs w:val="21"/>
                <w:highlight w:val="none"/>
              </w:rPr>
              <w:t>0.06L</w:t>
            </w:r>
          </w:p>
        </w:tc>
        <w:tc>
          <w:tcPr>
            <w:tcW w:w="481" w:type="pct"/>
            <w:noWrap w:val="0"/>
            <w:vAlign w:val="center"/>
          </w:tcPr>
          <w:p w14:paraId="4AA0CDEE">
            <w:pPr>
              <w:kinsoku w:val="0"/>
              <w:overflowPunct w:val="0"/>
              <w:autoSpaceDE w:val="0"/>
              <w:autoSpaceDN w:val="0"/>
              <w:adjustRightInd w:val="0"/>
              <w:jc w:val="center"/>
              <w:rPr>
                <w:sz w:val="21"/>
                <w:szCs w:val="21"/>
                <w:highlight w:val="none"/>
              </w:rPr>
            </w:pPr>
            <w:r>
              <w:rPr>
                <w:sz w:val="21"/>
                <w:szCs w:val="21"/>
                <w:highlight w:val="none"/>
              </w:rPr>
              <w:t>0.06L</w:t>
            </w:r>
          </w:p>
        </w:tc>
        <w:tc>
          <w:tcPr>
            <w:tcW w:w="426" w:type="pct"/>
            <w:noWrap w:val="0"/>
            <w:vAlign w:val="center"/>
          </w:tcPr>
          <w:p w14:paraId="4C3BDD40">
            <w:pPr>
              <w:kinsoku w:val="0"/>
              <w:overflowPunct w:val="0"/>
              <w:autoSpaceDE w:val="0"/>
              <w:autoSpaceDN w:val="0"/>
              <w:adjustRightInd w:val="0"/>
              <w:jc w:val="center"/>
              <w:rPr>
                <w:sz w:val="21"/>
                <w:szCs w:val="21"/>
                <w:highlight w:val="none"/>
              </w:rPr>
            </w:pPr>
            <w:r>
              <w:rPr>
                <w:sz w:val="21"/>
                <w:szCs w:val="21"/>
                <w:highlight w:val="none"/>
              </w:rPr>
              <w:t>0.06L</w:t>
            </w:r>
          </w:p>
        </w:tc>
        <w:tc>
          <w:tcPr>
            <w:tcW w:w="481" w:type="pct"/>
            <w:noWrap w:val="0"/>
            <w:vAlign w:val="center"/>
          </w:tcPr>
          <w:p w14:paraId="6E5A6D5C">
            <w:pPr>
              <w:kinsoku w:val="0"/>
              <w:overflowPunct w:val="0"/>
              <w:autoSpaceDE w:val="0"/>
              <w:autoSpaceDN w:val="0"/>
              <w:adjustRightInd w:val="0"/>
              <w:jc w:val="center"/>
              <w:rPr>
                <w:sz w:val="21"/>
                <w:szCs w:val="21"/>
                <w:highlight w:val="none"/>
              </w:rPr>
            </w:pPr>
            <w:r>
              <w:rPr>
                <w:sz w:val="21"/>
                <w:szCs w:val="21"/>
                <w:highlight w:val="none"/>
              </w:rPr>
              <w:t>0.06L</w:t>
            </w:r>
          </w:p>
        </w:tc>
        <w:tc>
          <w:tcPr>
            <w:tcW w:w="426" w:type="pct"/>
            <w:noWrap w:val="0"/>
            <w:vAlign w:val="center"/>
          </w:tcPr>
          <w:p w14:paraId="550F2EC0">
            <w:pPr>
              <w:kinsoku w:val="0"/>
              <w:overflowPunct w:val="0"/>
              <w:autoSpaceDE w:val="0"/>
              <w:autoSpaceDN w:val="0"/>
              <w:adjustRightInd w:val="0"/>
              <w:jc w:val="center"/>
              <w:rPr>
                <w:sz w:val="21"/>
                <w:szCs w:val="21"/>
                <w:highlight w:val="none"/>
              </w:rPr>
            </w:pPr>
            <w:r>
              <w:rPr>
                <w:sz w:val="21"/>
                <w:szCs w:val="21"/>
                <w:highlight w:val="none"/>
              </w:rPr>
              <w:t>0.06L</w:t>
            </w:r>
          </w:p>
        </w:tc>
        <w:tc>
          <w:tcPr>
            <w:tcW w:w="534" w:type="pct"/>
            <w:noWrap w:val="0"/>
            <w:vAlign w:val="center"/>
          </w:tcPr>
          <w:p w14:paraId="2EB76FCC">
            <w:pPr>
              <w:kinsoku w:val="0"/>
              <w:overflowPunct w:val="0"/>
              <w:autoSpaceDE w:val="0"/>
              <w:autoSpaceDN w:val="0"/>
              <w:adjustRightInd w:val="0"/>
              <w:jc w:val="center"/>
              <w:rPr>
                <w:sz w:val="21"/>
                <w:szCs w:val="21"/>
                <w:highlight w:val="none"/>
              </w:rPr>
            </w:pPr>
            <w:r>
              <w:rPr>
                <w:sz w:val="21"/>
                <w:szCs w:val="21"/>
                <w:highlight w:val="none"/>
              </w:rPr>
              <w:t>0.06L</w:t>
            </w:r>
          </w:p>
        </w:tc>
        <w:tc>
          <w:tcPr>
            <w:tcW w:w="459" w:type="pct"/>
            <w:noWrap w:val="0"/>
            <w:vAlign w:val="center"/>
          </w:tcPr>
          <w:p w14:paraId="07F4554D">
            <w:pPr>
              <w:kinsoku w:val="0"/>
              <w:overflowPunct w:val="0"/>
              <w:autoSpaceDE w:val="0"/>
              <w:autoSpaceDN w:val="0"/>
              <w:adjustRightInd w:val="0"/>
              <w:jc w:val="center"/>
              <w:rPr>
                <w:sz w:val="21"/>
                <w:szCs w:val="21"/>
                <w:highlight w:val="none"/>
              </w:rPr>
            </w:pPr>
            <w:r>
              <w:rPr>
                <w:sz w:val="21"/>
                <w:szCs w:val="21"/>
                <w:highlight w:val="none"/>
              </w:rPr>
              <w:t>20</w:t>
            </w:r>
          </w:p>
        </w:tc>
      </w:tr>
      <w:tr w14:paraId="27F33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7" w:hRule="exact"/>
          <w:jc w:val="center"/>
        </w:trPr>
        <w:tc>
          <w:tcPr>
            <w:tcW w:w="928" w:type="pct"/>
            <w:noWrap w:val="0"/>
            <w:vAlign w:val="center"/>
          </w:tcPr>
          <w:p w14:paraId="1D4496DD">
            <w:pPr>
              <w:kinsoku w:val="0"/>
              <w:overflowPunct w:val="0"/>
              <w:autoSpaceDE w:val="0"/>
              <w:autoSpaceDN w:val="0"/>
              <w:adjustRightInd w:val="0"/>
              <w:jc w:val="center"/>
              <w:rPr>
                <w:sz w:val="21"/>
                <w:szCs w:val="21"/>
                <w:highlight w:val="none"/>
              </w:rPr>
            </w:pPr>
            <w:r>
              <w:rPr>
                <w:sz w:val="21"/>
                <w:szCs w:val="21"/>
                <w:highlight w:val="none"/>
              </w:rPr>
              <w:t>磷酸盐</w:t>
            </w:r>
          </w:p>
        </w:tc>
        <w:tc>
          <w:tcPr>
            <w:tcW w:w="408" w:type="pct"/>
            <w:noWrap w:val="0"/>
            <w:vAlign w:val="center"/>
          </w:tcPr>
          <w:p w14:paraId="2A5022A6">
            <w:pPr>
              <w:kinsoku w:val="0"/>
              <w:overflowPunct w:val="0"/>
              <w:autoSpaceDE w:val="0"/>
              <w:autoSpaceDN w:val="0"/>
              <w:adjustRightInd w:val="0"/>
              <w:jc w:val="center"/>
              <w:rPr>
                <w:sz w:val="21"/>
                <w:szCs w:val="21"/>
                <w:highlight w:val="none"/>
              </w:rPr>
            </w:pPr>
            <w:r>
              <w:rPr>
                <w:sz w:val="21"/>
                <w:szCs w:val="21"/>
                <w:highlight w:val="none"/>
              </w:rPr>
              <w:t>0.18</w:t>
            </w:r>
          </w:p>
        </w:tc>
        <w:tc>
          <w:tcPr>
            <w:tcW w:w="426" w:type="pct"/>
            <w:noWrap w:val="0"/>
            <w:vAlign w:val="center"/>
          </w:tcPr>
          <w:p w14:paraId="618DC17C">
            <w:pPr>
              <w:kinsoku w:val="0"/>
              <w:overflowPunct w:val="0"/>
              <w:autoSpaceDE w:val="0"/>
              <w:autoSpaceDN w:val="0"/>
              <w:adjustRightInd w:val="0"/>
              <w:jc w:val="center"/>
              <w:rPr>
                <w:sz w:val="21"/>
                <w:szCs w:val="21"/>
                <w:highlight w:val="none"/>
              </w:rPr>
            </w:pPr>
            <w:r>
              <w:rPr>
                <w:sz w:val="21"/>
                <w:szCs w:val="21"/>
                <w:highlight w:val="none"/>
              </w:rPr>
              <w:t>0.04</w:t>
            </w:r>
          </w:p>
        </w:tc>
        <w:tc>
          <w:tcPr>
            <w:tcW w:w="426" w:type="pct"/>
            <w:noWrap w:val="0"/>
            <w:vAlign w:val="center"/>
          </w:tcPr>
          <w:p w14:paraId="3FBCF17B">
            <w:pPr>
              <w:kinsoku w:val="0"/>
              <w:overflowPunct w:val="0"/>
              <w:autoSpaceDE w:val="0"/>
              <w:autoSpaceDN w:val="0"/>
              <w:adjustRightInd w:val="0"/>
              <w:jc w:val="center"/>
              <w:rPr>
                <w:sz w:val="21"/>
                <w:szCs w:val="21"/>
                <w:highlight w:val="none"/>
              </w:rPr>
            </w:pPr>
            <w:r>
              <w:rPr>
                <w:sz w:val="21"/>
                <w:szCs w:val="21"/>
                <w:highlight w:val="none"/>
              </w:rPr>
              <w:t>0.09</w:t>
            </w:r>
          </w:p>
        </w:tc>
        <w:tc>
          <w:tcPr>
            <w:tcW w:w="481" w:type="pct"/>
            <w:noWrap w:val="0"/>
            <w:vAlign w:val="center"/>
          </w:tcPr>
          <w:p w14:paraId="7F3C8B85">
            <w:pPr>
              <w:kinsoku w:val="0"/>
              <w:overflowPunct w:val="0"/>
              <w:autoSpaceDE w:val="0"/>
              <w:autoSpaceDN w:val="0"/>
              <w:adjustRightInd w:val="0"/>
              <w:jc w:val="center"/>
              <w:rPr>
                <w:sz w:val="21"/>
                <w:szCs w:val="21"/>
                <w:highlight w:val="none"/>
              </w:rPr>
            </w:pPr>
            <w:r>
              <w:rPr>
                <w:sz w:val="21"/>
                <w:szCs w:val="21"/>
                <w:highlight w:val="none"/>
              </w:rPr>
              <w:t>0.03</w:t>
            </w:r>
          </w:p>
        </w:tc>
        <w:tc>
          <w:tcPr>
            <w:tcW w:w="426" w:type="pct"/>
            <w:noWrap w:val="0"/>
            <w:vAlign w:val="center"/>
          </w:tcPr>
          <w:p w14:paraId="2ABEC259">
            <w:pPr>
              <w:kinsoku w:val="0"/>
              <w:overflowPunct w:val="0"/>
              <w:autoSpaceDE w:val="0"/>
              <w:autoSpaceDN w:val="0"/>
              <w:adjustRightInd w:val="0"/>
              <w:jc w:val="center"/>
              <w:rPr>
                <w:sz w:val="21"/>
                <w:szCs w:val="21"/>
                <w:highlight w:val="none"/>
              </w:rPr>
            </w:pPr>
            <w:r>
              <w:rPr>
                <w:sz w:val="21"/>
                <w:szCs w:val="21"/>
                <w:highlight w:val="none"/>
              </w:rPr>
              <w:t>0.08</w:t>
            </w:r>
          </w:p>
        </w:tc>
        <w:tc>
          <w:tcPr>
            <w:tcW w:w="481" w:type="pct"/>
            <w:noWrap w:val="0"/>
            <w:vAlign w:val="center"/>
          </w:tcPr>
          <w:p w14:paraId="5DAAED8C">
            <w:pPr>
              <w:kinsoku w:val="0"/>
              <w:overflowPunct w:val="0"/>
              <w:autoSpaceDE w:val="0"/>
              <w:autoSpaceDN w:val="0"/>
              <w:adjustRightInd w:val="0"/>
              <w:jc w:val="center"/>
              <w:rPr>
                <w:sz w:val="21"/>
                <w:szCs w:val="21"/>
                <w:highlight w:val="none"/>
              </w:rPr>
            </w:pPr>
            <w:r>
              <w:rPr>
                <w:sz w:val="21"/>
                <w:szCs w:val="21"/>
                <w:highlight w:val="none"/>
              </w:rPr>
              <w:t>0.06</w:t>
            </w:r>
          </w:p>
        </w:tc>
        <w:tc>
          <w:tcPr>
            <w:tcW w:w="426" w:type="pct"/>
            <w:noWrap w:val="0"/>
            <w:vAlign w:val="center"/>
          </w:tcPr>
          <w:p w14:paraId="0F8F525D">
            <w:pPr>
              <w:kinsoku w:val="0"/>
              <w:overflowPunct w:val="0"/>
              <w:autoSpaceDE w:val="0"/>
              <w:autoSpaceDN w:val="0"/>
              <w:adjustRightInd w:val="0"/>
              <w:jc w:val="center"/>
              <w:rPr>
                <w:sz w:val="21"/>
                <w:szCs w:val="21"/>
                <w:highlight w:val="none"/>
              </w:rPr>
            </w:pPr>
            <w:r>
              <w:rPr>
                <w:sz w:val="21"/>
                <w:szCs w:val="21"/>
                <w:highlight w:val="none"/>
              </w:rPr>
              <w:t>0.07</w:t>
            </w:r>
          </w:p>
        </w:tc>
        <w:tc>
          <w:tcPr>
            <w:tcW w:w="534" w:type="pct"/>
            <w:noWrap w:val="0"/>
            <w:vAlign w:val="center"/>
          </w:tcPr>
          <w:p w14:paraId="05E47BF4">
            <w:pPr>
              <w:kinsoku w:val="0"/>
              <w:overflowPunct w:val="0"/>
              <w:autoSpaceDE w:val="0"/>
              <w:autoSpaceDN w:val="0"/>
              <w:adjustRightInd w:val="0"/>
              <w:jc w:val="center"/>
              <w:rPr>
                <w:sz w:val="21"/>
                <w:szCs w:val="21"/>
                <w:highlight w:val="none"/>
              </w:rPr>
            </w:pPr>
            <w:r>
              <w:rPr>
                <w:sz w:val="21"/>
                <w:szCs w:val="21"/>
                <w:highlight w:val="none"/>
              </w:rPr>
              <w:t>0.07</w:t>
            </w:r>
          </w:p>
        </w:tc>
        <w:tc>
          <w:tcPr>
            <w:tcW w:w="459" w:type="pct"/>
            <w:noWrap w:val="0"/>
            <w:vAlign w:val="center"/>
          </w:tcPr>
          <w:p w14:paraId="0ADEAF35">
            <w:pPr>
              <w:kinsoku w:val="0"/>
              <w:overflowPunct w:val="0"/>
              <w:autoSpaceDE w:val="0"/>
              <w:autoSpaceDN w:val="0"/>
              <w:adjustRightInd w:val="0"/>
              <w:jc w:val="center"/>
              <w:rPr>
                <w:sz w:val="21"/>
                <w:szCs w:val="21"/>
                <w:highlight w:val="none"/>
              </w:rPr>
            </w:pPr>
            <w:r>
              <w:rPr>
                <w:sz w:val="21"/>
                <w:szCs w:val="21"/>
                <w:highlight w:val="none"/>
              </w:rPr>
              <w:t>0.5</w:t>
            </w:r>
          </w:p>
        </w:tc>
      </w:tr>
      <w:tr w14:paraId="6793E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exact"/>
          <w:jc w:val="center"/>
        </w:trPr>
        <w:tc>
          <w:tcPr>
            <w:tcW w:w="928" w:type="pct"/>
            <w:noWrap w:val="0"/>
            <w:vAlign w:val="center"/>
          </w:tcPr>
          <w:p w14:paraId="610CE00A">
            <w:pPr>
              <w:kinsoku w:val="0"/>
              <w:overflowPunct w:val="0"/>
              <w:autoSpaceDE w:val="0"/>
              <w:autoSpaceDN w:val="0"/>
              <w:adjustRightInd w:val="0"/>
              <w:jc w:val="center"/>
              <w:rPr>
                <w:sz w:val="21"/>
                <w:szCs w:val="21"/>
                <w:highlight w:val="none"/>
              </w:rPr>
            </w:pPr>
            <w:r>
              <w:rPr>
                <w:sz w:val="21"/>
                <w:szCs w:val="21"/>
                <w:highlight w:val="none"/>
              </w:rPr>
              <w:t>粪大肠菌群（MP</w:t>
            </w:r>
            <w:r>
              <w:rPr>
                <w:spacing w:val="-1"/>
                <w:sz w:val="21"/>
                <w:szCs w:val="21"/>
                <w:highlight w:val="none"/>
              </w:rPr>
              <w:t>N</w:t>
            </w:r>
            <w:r>
              <w:rPr>
                <w:sz w:val="21"/>
                <w:szCs w:val="21"/>
                <w:highlight w:val="none"/>
              </w:rPr>
              <w:t>/</w:t>
            </w:r>
            <w:r>
              <w:rPr>
                <w:spacing w:val="-3"/>
                <w:sz w:val="21"/>
                <w:szCs w:val="21"/>
                <w:highlight w:val="none"/>
              </w:rPr>
              <w:t>L</w:t>
            </w:r>
            <w:r>
              <w:rPr>
                <w:sz w:val="21"/>
                <w:szCs w:val="21"/>
                <w:highlight w:val="none"/>
              </w:rPr>
              <w:t>）</w:t>
            </w:r>
          </w:p>
        </w:tc>
        <w:tc>
          <w:tcPr>
            <w:tcW w:w="408" w:type="pct"/>
            <w:noWrap w:val="0"/>
            <w:vAlign w:val="center"/>
          </w:tcPr>
          <w:p w14:paraId="304C3A8A">
            <w:pPr>
              <w:kinsoku w:val="0"/>
              <w:overflowPunct w:val="0"/>
              <w:autoSpaceDE w:val="0"/>
              <w:autoSpaceDN w:val="0"/>
              <w:adjustRightInd w:val="0"/>
              <w:jc w:val="center"/>
              <w:rPr>
                <w:sz w:val="21"/>
                <w:szCs w:val="21"/>
                <w:highlight w:val="none"/>
              </w:rPr>
            </w:pPr>
            <w:r>
              <w:rPr>
                <w:sz w:val="21"/>
                <w:szCs w:val="21"/>
                <w:highlight w:val="none"/>
              </w:rPr>
              <w:t>＜20</w:t>
            </w:r>
          </w:p>
        </w:tc>
        <w:tc>
          <w:tcPr>
            <w:tcW w:w="426" w:type="pct"/>
            <w:noWrap w:val="0"/>
            <w:vAlign w:val="center"/>
          </w:tcPr>
          <w:p w14:paraId="6B4C48E5">
            <w:pPr>
              <w:kinsoku w:val="0"/>
              <w:overflowPunct w:val="0"/>
              <w:autoSpaceDE w:val="0"/>
              <w:autoSpaceDN w:val="0"/>
              <w:adjustRightInd w:val="0"/>
              <w:jc w:val="center"/>
              <w:rPr>
                <w:sz w:val="21"/>
                <w:szCs w:val="21"/>
                <w:highlight w:val="none"/>
              </w:rPr>
            </w:pPr>
            <w:r>
              <w:rPr>
                <w:sz w:val="21"/>
                <w:szCs w:val="21"/>
                <w:highlight w:val="none"/>
              </w:rPr>
              <w:t>＜20</w:t>
            </w:r>
          </w:p>
        </w:tc>
        <w:tc>
          <w:tcPr>
            <w:tcW w:w="426" w:type="pct"/>
            <w:noWrap w:val="0"/>
            <w:vAlign w:val="center"/>
          </w:tcPr>
          <w:p w14:paraId="4F309052">
            <w:pPr>
              <w:kinsoku w:val="0"/>
              <w:overflowPunct w:val="0"/>
              <w:autoSpaceDE w:val="0"/>
              <w:autoSpaceDN w:val="0"/>
              <w:adjustRightInd w:val="0"/>
              <w:jc w:val="center"/>
              <w:rPr>
                <w:sz w:val="21"/>
                <w:szCs w:val="21"/>
                <w:highlight w:val="none"/>
              </w:rPr>
            </w:pPr>
            <w:r>
              <w:rPr>
                <w:sz w:val="21"/>
                <w:szCs w:val="21"/>
                <w:highlight w:val="none"/>
              </w:rPr>
              <w:t>＜20</w:t>
            </w:r>
          </w:p>
        </w:tc>
        <w:tc>
          <w:tcPr>
            <w:tcW w:w="481" w:type="pct"/>
            <w:noWrap w:val="0"/>
            <w:vAlign w:val="center"/>
          </w:tcPr>
          <w:p w14:paraId="5E4BA982">
            <w:pPr>
              <w:kinsoku w:val="0"/>
              <w:overflowPunct w:val="0"/>
              <w:autoSpaceDE w:val="0"/>
              <w:autoSpaceDN w:val="0"/>
              <w:adjustRightInd w:val="0"/>
              <w:jc w:val="center"/>
              <w:rPr>
                <w:sz w:val="21"/>
                <w:szCs w:val="21"/>
                <w:highlight w:val="none"/>
              </w:rPr>
            </w:pPr>
            <w:r>
              <w:rPr>
                <w:sz w:val="21"/>
                <w:szCs w:val="21"/>
                <w:highlight w:val="none"/>
              </w:rPr>
              <w:t>＜20</w:t>
            </w:r>
          </w:p>
        </w:tc>
        <w:tc>
          <w:tcPr>
            <w:tcW w:w="426" w:type="pct"/>
            <w:noWrap w:val="0"/>
            <w:vAlign w:val="center"/>
          </w:tcPr>
          <w:p w14:paraId="291559EC">
            <w:pPr>
              <w:kinsoku w:val="0"/>
              <w:overflowPunct w:val="0"/>
              <w:autoSpaceDE w:val="0"/>
              <w:autoSpaceDN w:val="0"/>
              <w:adjustRightInd w:val="0"/>
              <w:jc w:val="center"/>
              <w:rPr>
                <w:sz w:val="21"/>
                <w:szCs w:val="21"/>
                <w:highlight w:val="none"/>
              </w:rPr>
            </w:pPr>
            <w:r>
              <w:rPr>
                <w:sz w:val="21"/>
                <w:szCs w:val="21"/>
                <w:highlight w:val="none"/>
              </w:rPr>
              <w:t>＜20</w:t>
            </w:r>
          </w:p>
        </w:tc>
        <w:tc>
          <w:tcPr>
            <w:tcW w:w="481" w:type="pct"/>
            <w:noWrap w:val="0"/>
            <w:vAlign w:val="center"/>
          </w:tcPr>
          <w:p w14:paraId="1C3F8185">
            <w:pPr>
              <w:kinsoku w:val="0"/>
              <w:overflowPunct w:val="0"/>
              <w:autoSpaceDE w:val="0"/>
              <w:autoSpaceDN w:val="0"/>
              <w:adjustRightInd w:val="0"/>
              <w:jc w:val="center"/>
              <w:rPr>
                <w:sz w:val="21"/>
                <w:szCs w:val="21"/>
                <w:highlight w:val="none"/>
              </w:rPr>
            </w:pPr>
            <w:r>
              <w:rPr>
                <w:sz w:val="21"/>
                <w:szCs w:val="21"/>
                <w:highlight w:val="none"/>
              </w:rPr>
              <w:t>＜20</w:t>
            </w:r>
          </w:p>
        </w:tc>
        <w:tc>
          <w:tcPr>
            <w:tcW w:w="426" w:type="pct"/>
            <w:noWrap w:val="0"/>
            <w:vAlign w:val="center"/>
          </w:tcPr>
          <w:p w14:paraId="4965EFC0">
            <w:pPr>
              <w:kinsoku w:val="0"/>
              <w:overflowPunct w:val="0"/>
              <w:autoSpaceDE w:val="0"/>
              <w:autoSpaceDN w:val="0"/>
              <w:adjustRightInd w:val="0"/>
              <w:jc w:val="center"/>
              <w:rPr>
                <w:sz w:val="21"/>
                <w:szCs w:val="21"/>
                <w:highlight w:val="none"/>
              </w:rPr>
            </w:pPr>
            <w:r>
              <w:rPr>
                <w:sz w:val="21"/>
                <w:szCs w:val="21"/>
                <w:highlight w:val="none"/>
              </w:rPr>
              <w:t>＜20</w:t>
            </w:r>
          </w:p>
        </w:tc>
        <w:tc>
          <w:tcPr>
            <w:tcW w:w="534" w:type="pct"/>
            <w:noWrap w:val="0"/>
            <w:vAlign w:val="center"/>
          </w:tcPr>
          <w:p w14:paraId="62B7E8ED">
            <w:pPr>
              <w:kinsoku w:val="0"/>
              <w:overflowPunct w:val="0"/>
              <w:autoSpaceDE w:val="0"/>
              <w:autoSpaceDN w:val="0"/>
              <w:adjustRightInd w:val="0"/>
              <w:jc w:val="center"/>
              <w:rPr>
                <w:sz w:val="21"/>
                <w:szCs w:val="21"/>
                <w:highlight w:val="none"/>
              </w:rPr>
            </w:pPr>
            <w:r>
              <w:rPr>
                <w:sz w:val="21"/>
                <w:szCs w:val="21"/>
                <w:highlight w:val="none"/>
              </w:rPr>
              <w:t>＜20</w:t>
            </w:r>
          </w:p>
        </w:tc>
        <w:tc>
          <w:tcPr>
            <w:tcW w:w="459" w:type="pct"/>
            <w:noWrap w:val="0"/>
            <w:vAlign w:val="center"/>
          </w:tcPr>
          <w:p w14:paraId="1B3CA0D7">
            <w:pPr>
              <w:kinsoku w:val="0"/>
              <w:overflowPunct w:val="0"/>
              <w:autoSpaceDE w:val="0"/>
              <w:autoSpaceDN w:val="0"/>
              <w:adjustRightInd w:val="0"/>
              <w:jc w:val="center"/>
              <w:rPr>
                <w:sz w:val="21"/>
                <w:szCs w:val="21"/>
                <w:highlight w:val="none"/>
              </w:rPr>
            </w:pPr>
            <w:r>
              <w:rPr>
                <w:sz w:val="21"/>
                <w:szCs w:val="21"/>
                <w:highlight w:val="none"/>
              </w:rPr>
              <w:t>100</w:t>
            </w:r>
          </w:p>
        </w:tc>
      </w:tr>
      <w:tr w14:paraId="4A2A7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exact"/>
          <w:jc w:val="center"/>
        </w:trPr>
        <w:tc>
          <w:tcPr>
            <w:tcW w:w="928" w:type="pct"/>
            <w:noWrap w:val="0"/>
            <w:vAlign w:val="center"/>
          </w:tcPr>
          <w:p w14:paraId="337FBABB">
            <w:pPr>
              <w:kinsoku w:val="0"/>
              <w:overflowPunct w:val="0"/>
              <w:autoSpaceDE w:val="0"/>
              <w:autoSpaceDN w:val="0"/>
              <w:adjustRightInd w:val="0"/>
              <w:jc w:val="center"/>
              <w:rPr>
                <w:sz w:val="21"/>
                <w:szCs w:val="21"/>
                <w:highlight w:val="none"/>
              </w:rPr>
            </w:pPr>
            <w:r>
              <w:rPr>
                <w:sz w:val="21"/>
                <w:szCs w:val="21"/>
                <w:highlight w:val="none"/>
              </w:rPr>
              <w:t>电导率（</w:t>
            </w:r>
            <w:r>
              <w:rPr>
                <w:spacing w:val="-2"/>
                <w:sz w:val="21"/>
                <w:szCs w:val="21"/>
                <w:highlight w:val="none"/>
              </w:rPr>
              <w:t>μ</w:t>
            </w:r>
            <w:r>
              <w:rPr>
                <w:sz w:val="21"/>
                <w:szCs w:val="21"/>
                <w:highlight w:val="none"/>
              </w:rPr>
              <w:t>s/</w:t>
            </w:r>
            <w:r>
              <w:rPr>
                <w:spacing w:val="-1"/>
                <w:sz w:val="21"/>
                <w:szCs w:val="21"/>
                <w:highlight w:val="none"/>
              </w:rPr>
              <w:t>c</w:t>
            </w:r>
            <w:r>
              <w:rPr>
                <w:sz w:val="21"/>
                <w:szCs w:val="21"/>
                <w:highlight w:val="none"/>
              </w:rPr>
              <w:t>m）</w:t>
            </w:r>
          </w:p>
        </w:tc>
        <w:tc>
          <w:tcPr>
            <w:tcW w:w="408" w:type="pct"/>
            <w:noWrap w:val="0"/>
            <w:vAlign w:val="center"/>
          </w:tcPr>
          <w:p w14:paraId="1B9E8625">
            <w:pPr>
              <w:kinsoku w:val="0"/>
              <w:overflowPunct w:val="0"/>
              <w:autoSpaceDE w:val="0"/>
              <w:autoSpaceDN w:val="0"/>
              <w:adjustRightInd w:val="0"/>
              <w:jc w:val="center"/>
              <w:rPr>
                <w:sz w:val="21"/>
                <w:szCs w:val="21"/>
                <w:highlight w:val="none"/>
              </w:rPr>
            </w:pPr>
            <w:r>
              <w:rPr>
                <w:sz w:val="21"/>
                <w:szCs w:val="21"/>
                <w:highlight w:val="none"/>
              </w:rPr>
              <w:t>405</w:t>
            </w:r>
          </w:p>
        </w:tc>
        <w:tc>
          <w:tcPr>
            <w:tcW w:w="426" w:type="pct"/>
            <w:noWrap w:val="0"/>
            <w:vAlign w:val="center"/>
          </w:tcPr>
          <w:p w14:paraId="12C08340">
            <w:pPr>
              <w:kinsoku w:val="0"/>
              <w:overflowPunct w:val="0"/>
              <w:autoSpaceDE w:val="0"/>
              <w:autoSpaceDN w:val="0"/>
              <w:adjustRightInd w:val="0"/>
              <w:jc w:val="center"/>
              <w:rPr>
                <w:sz w:val="21"/>
                <w:szCs w:val="21"/>
                <w:highlight w:val="none"/>
              </w:rPr>
            </w:pPr>
            <w:r>
              <w:rPr>
                <w:sz w:val="21"/>
                <w:szCs w:val="21"/>
                <w:highlight w:val="none"/>
              </w:rPr>
              <w:t>403</w:t>
            </w:r>
          </w:p>
        </w:tc>
        <w:tc>
          <w:tcPr>
            <w:tcW w:w="426" w:type="pct"/>
            <w:noWrap w:val="0"/>
            <w:vAlign w:val="center"/>
          </w:tcPr>
          <w:p w14:paraId="7107F602">
            <w:pPr>
              <w:kinsoku w:val="0"/>
              <w:overflowPunct w:val="0"/>
              <w:autoSpaceDE w:val="0"/>
              <w:autoSpaceDN w:val="0"/>
              <w:adjustRightInd w:val="0"/>
              <w:jc w:val="center"/>
              <w:rPr>
                <w:sz w:val="21"/>
                <w:szCs w:val="21"/>
                <w:highlight w:val="none"/>
              </w:rPr>
            </w:pPr>
            <w:r>
              <w:rPr>
                <w:sz w:val="21"/>
                <w:szCs w:val="21"/>
                <w:highlight w:val="none"/>
              </w:rPr>
              <w:t>444</w:t>
            </w:r>
          </w:p>
        </w:tc>
        <w:tc>
          <w:tcPr>
            <w:tcW w:w="481" w:type="pct"/>
            <w:noWrap w:val="0"/>
            <w:vAlign w:val="center"/>
          </w:tcPr>
          <w:p w14:paraId="51CC2FDA">
            <w:pPr>
              <w:kinsoku w:val="0"/>
              <w:overflowPunct w:val="0"/>
              <w:autoSpaceDE w:val="0"/>
              <w:autoSpaceDN w:val="0"/>
              <w:adjustRightInd w:val="0"/>
              <w:jc w:val="center"/>
              <w:rPr>
                <w:sz w:val="21"/>
                <w:szCs w:val="21"/>
                <w:highlight w:val="none"/>
              </w:rPr>
            </w:pPr>
            <w:r>
              <w:rPr>
                <w:sz w:val="21"/>
                <w:szCs w:val="21"/>
                <w:highlight w:val="none"/>
              </w:rPr>
              <w:t>443</w:t>
            </w:r>
          </w:p>
        </w:tc>
        <w:tc>
          <w:tcPr>
            <w:tcW w:w="426" w:type="pct"/>
            <w:noWrap w:val="0"/>
            <w:vAlign w:val="center"/>
          </w:tcPr>
          <w:p w14:paraId="1E48F3CD">
            <w:pPr>
              <w:kinsoku w:val="0"/>
              <w:overflowPunct w:val="0"/>
              <w:autoSpaceDE w:val="0"/>
              <w:autoSpaceDN w:val="0"/>
              <w:adjustRightInd w:val="0"/>
              <w:jc w:val="center"/>
              <w:rPr>
                <w:sz w:val="21"/>
                <w:szCs w:val="21"/>
                <w:highlight w:val="none"/>
              </w:rPr>
            </w:pPr>
            <w:r>
              <w:rPr>
                <w:sz w:val="21"/>
                <w:szCs w:val="21"/>
                <w:highlight w:val="none"/>
              </w:rPr>
              <w:t>432</w:t>
            </w:r>
          </w:p>
        </w:tc>
        <w:tc>
          <w:tcPr>
            <w:tcW w:w="481" w:type="pct"/>
            <w:noWrap w:val="0"/>
            <w:vAlign w:val="center"/>
          </w:tcPr>
          <w:p w14:paraId="40E383E5">
            <w:pPr>
              <w:kinsoku w:val="0"/>
              <w:overflowPunct w:val="0"/>
              <w:autoSpaceDE w:val="0"/>
              <w:autoSpaceDN w:val="0"/>
              <w:adjustRightInd w:val="0"/>
              <w:jc w:val="center"/>
              <w:rPr>
                <w:sz w:val="21"/>
                <w:szCs w:val="21"/>
                <w:highlight w:val="none"/>
              </w:rPr>
            </w:pPr>
            <w:r>
              <w:rPr>
                <w:sz w:val="21"/>
                <w:szCs w:val="21"/>
                <w:highlight w:val="none"/>
              </w:rPr>
              <w:t>433</w:t>
            </w:r>
          </w:p>
        </w:tc>
        <w:tc>
          <w:tcPr>
            <w:tcW w:w="426" w:type="pct"/>
            <w:noWrap w:val="0"/>
            <w:vAlign w:val="center"/>
          </w:tcPr>
          <w:p w14:paraId="64F2FBC8">
            <w:pPr>
              <w:kinsoku w:val="0"/>
              <w:overflowPunct w:val="0"/>
              <w:autoSpaceDE w:val="0"/>
              <w:autoSpaceDN w:val="0"/>
              <w:adjustRightInd w:val="0"/>
              <w:jc w:val="center"/>
              <w:rPr>
                <w:sz w:val="21"/>
                <w:szCs w:val="21"/>
                <w:highlight w:val="none"/>
              </w:rPr>
            </w:pPr>
            <w:r>
              <w:rPr>
                <w:sz w:val="21"/>
                <w:szCs w:val="21"/>
                <w:highlight w:val="none"/>
              </w:rPr>
              <w:t>400</w:t>
            </w:r>
          </w:p>
        </w:tc>
        <w:tc>
          <w:tcPr>
            <w:tcW w:w="534" w:type="pct"/>
            <w:noWrap w:val="0"/>
            <w:vAlign w:val="center"/>
          </w:tcPr>
          <w:p w14:paraId="3BA82020">
            <w:pPr>
              <w:kinsoku w:val="0"/>
              <w:overflowPunct w:val="0"/>
              <w:autoSpaceDE w:val="0"/>
              <w:autoSpaceDN w:val="0"/>
              <w:adjustRightInd w:val="0"/>
              <w:jc w:val="center"/>
              <w:rPr>
                <w:sz w:val="21"/>
                <w:szCs w:val="21"/>
                <w:highlight w:val="none"/>
              </w:rPr>
            </w:pPr>
            <w:r>
              <w:rPr>
                <w:sz w:val="21"/>
                <w:szCs w:val="21"/>
                <w:highlight w:val="none"/>
              </w:rPr>
              <w:t>399</w:t>
            </w:r>
          </w:p>
        </w:tc>
        <w:tc>
          <w:tcPr>
            <w:tcW w:w="459" w:type="pct"/>
            <w:noWrap w:val="0"/>
            <w:vAlign w:val="center"/>
          </w:tcPr>
          <w:p w14:paraId="0A0FA646">
            <w:pPr>
              <w:kinsoku w:val="0"/>
              <w:overflowPunct w:val="0"/>
              <w:autoSpaceDE w:val="0"/>
              <w:autoSpaceDN w:val="0"/>
              <w:adjustRightInd w:val="0"/>
              <w:jc w:val="center"/>
              <w:rPr>
                <w:sz w:val="21"/>
                <w:szCs w:val="21"/>
                <w:highlight w:val="none"/>
              </w:rPr>
            </w:pPr>
            <w:r>
              <w:rPr>
                <w:sz w:val="21"/>
                <w:szCs w:val="21"/>
                <w:highlight w:val="none"/>
              </w:rPr>
              <w:t>/</w:t>
            </w:r>
          </w:p>
        </w:tc>
      </w:tr>
      <w:tr w14:paraId="48D36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exact"/>
          <w:jc w:val="center"/>
        </w:trPr>
        <w:tc>
          <w:tcPr>
            <w:tcW w:w="928" w:type="pct"/>
            <w:noWrap w:val="0"/>
            <w:vAlign w:val="center"/>
          </w:tcPr>
          <w:p w14:paraId="6173440B">
            <w:pPr>
              <w:kinsoku w:val="0"/>
              <w:overflowPunct w:val="0"/>
              <w:autoSpaceDE w:val="0"/>
              <w:autoSpaceDN w:val="0"/>
              <w:adjustRightInd w:val="0"/>
              <w:jc w:val="center"/>
              <w:rPr>
                <w:sz w:val="21"/>
                <w:szCs w:val="21"/>
                <w:highlight w:val="none"/>
              </w:rPr>
            </w:pPr>
            <w:r>
              <w:rPr>
                <w:sz w:val="21"/>
                <w:szCs w:val="21"/>
                <w:highlight w:val="none"/>
              </w:rPr>
              <w:t>全盐量</w:t>
            </w:r>
          </w:p>
        </w:tc>
        <w:tc>
          <w:tcPr>
            <w:tcW w:w="408" w:type="pct"/>
            <w:noWrap w:val="0"/>
            <w:vAlign w:val="center"/>
          </w:tcPr>
          <w:p w14:paraId="0EE7CA04">
            <w:pPr>
              <w:kinsoku w:val="0"/>
              <w:overflowPunct w:val="0"/>
              <w:autoSpaceDE w:val="0"/>
              <w:autoSpaceDN w:val="0"/>
              <w:adjustRightInd w:val="0"/>
              <w:jc w:val="center"/>
              <w:rPr>
                <w:sz w:val="21"/>
                <w:szCs w:val="21"/>
                <w:highlight w:val="none"/>
              </w:rPr>
            </w:pPr>
            <w:r>
              <w:rPr>
                <w:sz w:val="21"/>
                <w:szCs w:val="21"/>
                <w:highlight w:val="none"/>
              </w:rPr>
              <w:t>79</w:t>
            </w:r>
          </w:p>
        </w:tc>
        <w:tc>
          <w:tcPr>
            <w:tcW w:w="426" w:type="pct"/>
            <w:noWrap w:val="0"/>
            <w:vAlign w:val="center"/>
          </w:tcPr>
          <w:p w14:paraId="118822F8">
            <w:pPr>
              <w:kinsoku w:val="0"/>
              <w:overflowPunct w:val="0"/>
              <w:autoSpaceDE w:val="0"/>
              <w:autoSpaceDN w:val="0"/>
              <w:adjustRightInd w:val="0"/>
              <w:jc w:val="center"/>
              <w:rPr>
                <w:sz w:val="21"/>
                <w:szCs w:val="21"/>
                <w:highlight w:val="none"/>
              </w:rPr>
            </w:pPr>
            <w:r>
              <w:rPr>
                <w:sz w:val="21"/>
                <w:szCs w:val="21"/>
                <w:highlight w:val="none"/>
              </w:rPr>
              <w:t>96</w:t>
            </w:r>
          </w:p>
        </w:tc>
        <w:tc>
          <w:tcPr>
            <w:tcW w:w="426" w:type="pct"/>
            <w:noWrap w:val="0"/>
            <w:vAlign w:val="center"/>
          </w:tcPr>
          <w:p w14:paraId="600346FA">
            <w:pPr>
              <w:kinsoku w:val="0"/>
              <w:overflowPunct w:val="0"/>
              <w:autoSpaceDE w:val="0"/>
              <w:autoSpaceDN w:val="0"/>
              <w:adjustRightInd w:val="0"/>
              <w:jc w:val="center"/>
              <w:rPr>
                <w:sz w:val="21"/>
                <w:szCs w:val="21"/>
                <w:highlight w:val="none"/>
              </w:rPr>
            </w:pPr>
            <w:r>
              <w:rPr>
                <w:sz w:val="21"/>
                <w:szCs w:val="21"/>
                <w:highlight w:val="none"/>
              </w:rPr>
              <w:t>152</w:t>
            </w:r>
          </w:p>
        </w:tc>
        <w:tc>
          <w:tcPr>
            <w:tcW w:w="481" w:type="pct"/>
            <w:noWrap w:val="0"/>
            <w:vAlign w:val="center"/>
          </w:tcPr>
          <w:p w14:paraId="68B8316A">
            <w:pPr>
              <w:kinsoku w:val="0"/>
              <w:overflowPunct w:val="0"/>
              <w:autoSpaceDE w:val="0"/>
              <w:autoSpaceDN w:val="0"/>
              <w:adjustRightInd w:val="0"/>
              <w:jc w:val="center"/>
              <w:rPr>
                <w:sz w:val="21"/>
                <w:szCs w:val="21"/>
                <w:highlight w:val="none"/>
              </w:rPr>
            </w:pPr>
            <w:r>
              <w:rPr>
                <w:sz w:val="21"/>
                <w:szCs w:val="21"/>
                <w:highlight w:val="none"/>
              </w:rPr>
              <w:t>127</w:t>
            </w:r>
          </w:p>
        </w:tc>
        <w:tc>
          <w:tcPr>
            <w:tcW w:w="426" w:type="pct"/>
            <w:noWrap w:val="0"/>
            <w:vAlign w:val="center"/>
          </w:tcPr>
          <w:p w14:paraId="4247473B">
            <w:pPr>
              <w:kinsoku w:val="0"/>
              <w:overflowPunct w:val="0"/>
              <w:autoSpaceDE w:val="0"/>
              <w:autoSpaceDN w:val="0"/>
              <w:adjustRightInd w:val="0"/>
              <w:jc w:val="center"/>
              <w:rPr>
                <w:sz w:val="21"/>
                <w:szCs w:val="21"/>
                <w:highlight w:val="none"/>
              </w:rPr>
            </w:pPr>
            <w:r>
              <w:rPr>
                <w:sz w:val="21"/>
                <w:szCs w:val="21"/>
                <w:highlight w:val="none"/>
              </w:rPr>
              <w:t>124</w:t>
            </w:r>
          </w:p>
        </w:tc>
        <w:tc>
          <w:tcPr>
            <w:tcW w:w="481" w:type="pct"/>
            <w:noWrap w:val="0"/>
            <w:vAlign w:val="center"/>
          </w:tcPr>
          <w:p w14:paraId="730239D1">
            <w:pPr>
              <w:kinsoku w:val="0"/>
              <w:overflowPunct w:val="0"/>
              <w:autoSpaceDE w:val="0"/>
              <w:autoSpaceDN w:val="0"/>
              <w:adjustRightInd w:val="0"/>
              <w:jc w:val="center"/>
              <w:rPr>
                <w:sz w:val="21"/>
                <w:szCs w:val="21"/>
                <w:highlight w:val="none"/>
              </w:rPr>
            </w:pPr>
            <w:r>
              <w:rPr>
                <w:sz w:val="21"/>
                <w:szCs w:val="21"/>
                <w:highlight w:val="none"/>
              </w:rPr>
              <w:t>133</w:t>
            </w:r>
          </w:p>
        </w:tc>
        <w:tc>
          <w:tcPr>
            <w:tcW w:w="426" w:type="pct"/>
            <w:noWrap w:val="0"/>
            <w:vAlign w:val="center"/>
          </w:tcPr>
          <w:p w14:paraId="15FC3893">
            <w:pPr>
              <w:kinsoku w:val="0"/>
              <w:overflowPunct w:val="0"/>
              <w:autoSpaceDE w:val="0"/>
              <w:autoSpaceDN w:val="0"/>
              <w:adjustRightInd w:val="0"/>
              <w:jc w:val="center"/>
              <w:rPr>
                <w:sz w:val="21"/>
                <w:szCs w:val="21"/>
                <w:highlight w:val="none"/>
              </w:rPr>
            </w:pPr>
            <w:r>
              <w:rPr>
                <w:sz w:val="21"/>
                <w:szCs w:val="21"/>
                <w:highlight w:val="none"/>
              </w:rPr>
              <w:t>188</w:t>
            </w:r>
          </w:p>
        </w:tc>
        <w:tc>
          <w:tcPr>
            <w:tcW w:w="534" w:type="pct"/>
            <w:noWrap w:val="0"/>
            <w:vAlign w:val="center"/>
          </w:tcPr>
          <w:p w14:paraId="5ADC8F60">
            <w:pPr>
              <w:kinsoku w:val="0"/>
              <w:overflowPunct w:val="0"/>
              <w:autoSpaceDE w:val="0"/>
              <w:autoSpaceDN w:val="0"/>
              <w:adjustRightInd w:val="0"/>
              <w:jc w:val="center"/>
              <w:rPr>
                <w:sz w:val="21"/>
                <w:szCs w:val="21"/>
                <w:highlight w:val="none"/>
              </w:rPr>
            </w:pPr>
            <w:r>
              <w:rPr>
                <w:sz w:val="21"/>
                <w:szCs w:val="21"/>
                <w:highlight w:val="none"/>
              </w:rPr>
              <w:t>131</w:t>
            </w:r>
          </w:p>
        </w:tc>
        <w:tc>
          <w:tcPr>
            <w:tcW w:w="459" w:type="pct"/>
            <w:noWrap w:val="0"/>
            <w:vAlign w:val="center"/>
          </w:tcPr>
          <w:p w14:paraId="55993136">
            <w:pPr>
              <w:kinsoku w:val="0"/>
              <w:overflowPunct w:val="0"/>
              <w:autoSpaceDE w:val="0"/>
              <w:autoSpaceDN w:val="0"/>
              <w:adjustRightInd w:val="0"/>
              <w:jc w:val="center"/>
              <w:rPr>
                <w:sz w:val="21"/>
                <w:szCs w:val="21"/>
                <w:highlight w:val="none"/>
              </w:rPr>
            </w:pPr>
            <w:r>
              <w:rPr>
                <w:sz w:val="21"/>
                <w:szCs w:val="21"/>
                <w:highlight w:val="none"/>
              </w:rPr>
              <w:t>/</w:t>
            </w:r>
          </w:p>
        </w:tc>
      </w:tr>
    </w:tbl>
    <w:p w14:paraId="3CB3A9B3">
      <w:pPr>
        <w:widowControl/>
        <w:snapToGrid w:val="0"/>
        <w:jc w:val="center"/>
        <w:rPr>
          <w:rFonts w:hint="eastAsia" w:ascii="Times New Roman" w:hAnsi="Times New Roman" w:eastAsia="宋体" w:cs="Times New Roman"/>
          <w:b/>
          <w:bCs/>
          <w:szCs w:val="21"/>
          <w:highlight w:val="none"/>
          <w:lang w:val="en-US" w:eastAsia="zh-CN"/>
        </w:rPr>
      </w:pPr>
      <w:r>
        <w:rPr>
          <w:rFonts w:hint="eastAsia" w:ascii="Times New Roman" w:hAnsi="Times New Roman" w:eastAsia="宋体" w:cs="Times New Roman"/>
          <w:b/>
          <w:bCs/>
          <w:szCs w:val="21"/>
          <w:highlight w:val="none"/>
          <w:lang w:val="en-US" w:eastAsia="zh-CN"/>
        </w:rPr>
        <w:t>表3-9   环境保护措施</w:t>
      </w:r>
    </w:p>
    <w:tbl>
      <w:tblPr>
        <w:tblStyle w:val="19"/>
        <w:tblW w:w="13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92"/>
        <w:gridCol w:w="581"/>
        <w:gridCol w:w="1087"/>
        <w:gridCol w:w="509"/>
        <w:gridCol w:w="1007"/>
        <w:gridCol w:w="9970"/>
      </w:tblGrid>
      <w:tr w14:paraId="71E62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1" w:hRule="atLeast"/>
          <w:jc w:val="center"/>
        </w:trPr>
        <w:tc>
          <w:tcPr>
            <w:tcW w:w="0" w:type="auto"/>
            <w:vAlign w:val="center"/>
          </w:tcPr>
          <w:p w14:paraId="0B68BED1">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序号</w:t>
            </w:r>
          </w:p>
        </w:tc>
        <w:tc>
          <w:tcPr>
            <w:tcW w:w="3184" w:type="dxa"/>
            <w:gridSpan w:val="4"/>
            <w:vAlign w:val="center"/>
          </w:tcPr>
          <w:p w14:paraId="2399C1D7">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污染源</w:t>
            </w:r>
          </w:p>
        </w:tc>
        <w:tc>
          <w:tcPr>
            <w:tcW w:w="9970" w:type="dxa"/>
            <w:vAlign w:val="center"/>
          </w:tcPr>
          <w:p w14:paraId="4F5DC6C3">
            <w:pPr>
              <w:kinsoku w:val="0"/>
              <w:overflowPunct w:val="0"/>
              <w:autoSpaceDE w:val="0"/>
              <w:autoSpaceDN w:val="0"/>
              <w:adjustRightInd w:val="0"/>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措施</w:t>
            </w:r>
          </w:p>
        </w:tc>
      </w:tr>
      <w:tr w14:paraId="253BC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9" w:hRule="atLeast"/>
          <w:jc w:val="center"/>
        </w:trPr>
        <w:tc>
          <w:tcPr>
            <w:tcW w:w="0" w:type="auto"/>
            <w:vMerge w:val="restart"/>
            <w:vAlign w:val="center"/>
          </w:tcPr>
          <w:p w14:paraId="5C19CE47">
            <w:pPr>
              <w:kinsoku w:val="0"/>
              <w:overflowPunct w:val="0"/>
              <w:autoSpaceDE w:val="0"/>
              <w:autoSpaceDN w:val="0"/>
              <w:adjustRightInd w:val="0"/>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w:t>
            </w:r>
          </w:p>
        </w:tc>
        <w:tc>
          <w:tcPr>
            <w:tcW w:w="0" w:type="auto"/>
            <w:vMerge w:val="restart"/>
            <w:vAlign w:val="center"/>
          </w:tcPr>
          <w:p w14:paraId="2F105219">
            <w:pPr>
              <w:kinsoku w:val="0"/>
              <w:overflowPunct w:val="0"/>
              <w:autoSpaceDE w:val="0"/>
              <w:autoSpaceDN w:val="0"/>
              <w:adjustRightInd w:val="0"/>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废气治理</w:t>
            </w:r>
          </w:p>
        </w:tc>
        <w:tc>
          <w:tcPr>
            <w:tcW w:w="2603" w:type="dxa"/>
            <w:gridSpan w:val="3"/>
            <w:vAlign w:val="center"/>
          </w:tcPr>
          <w:p w14:paraId="42E41E76">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净化装置</w:t>
            </w:r>
          </w:p>
        </w:tc>
        <w:tc>
          <w:tcPr>
            <w:tcW w:w="9970" w:type="dxa"/>
            <w:vAlign w:val="center"/>
          </w:tcPr>
          <w:p w14:paraId="516196F1">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低温甲醇洗单元</w:t>
            </w:r>
            <w:r>
              <w:rPr>
                <w:rFonts w:hint="eastAsia" w:cs="Times New Roman"/>
                <w:sz w:val="21"/>
                <w:szCs w:val="21"/>
                <w:highlight w:val="none"/>
                <w:lang w:eastAsia="zh-CN"/>
              </w:rPr>
              <w:t>：</w:t>
            </w:r>
            <w:r>
              <w:rPr>
                <w:rFonts w:ascii="Times New Roman" w:hAnsi="Times New Roman" w:eastAsia="宋体" w:cs="Times New Roman"/>
                <w:sz w:val="21"/>
                <w:szCs w:val="21"/>
                <w:highlight w:val="none"/>
              </w:rPr>
              <w:t>尾气H</w:t>
            </w:r>
            <w:r>
              <w:rPr>
                <w:rFonts w:ascii="Times New Roman" w:hAnsi="Times New Roman" w:eastAsia="宋体" w:cs="Times New Roman"/>
                <w:sz w:val="21"/>
                <w:szCs w:val="21"/>
                <w:highlight w:val="none"/>
                <w:vertAlign w:val="subscript"/>
              </w:rPr>
              <w:t>2</w:t>
            </w:r>
            <w:r>
              <w:rPr>
                <w:rFonts w:ascii="Times New Roman" w:hAnsi="Times New Roman" w:eastAsia="宋体" w:cs="Times New Roman"/>
                <w:sz w:val="21"/>
                <w:szCs w:val="21"/>
                <w:highlight w:val="none"/>
              </w:rPr>
              <w:t>S排放浓度1.52mg/m</w:t>
            </w:r>
            <w:r>
              <w:rPr>
                <w:rFonts w:ascii="Times New Roman" w:hAnsi="Times New Roman" w:eastAsia="宋体" w:cs="Times New Roman"/>
                <w:sz w:val="21"/>
                <w:szCs w:val="21"/>
                <w:highlight w:val="none"/>
                <w:vertAlign w:val="superscript"/>
              </w:rPr>
              <w:t>3</w:t>
            </w:r>
            <w:r>
              <w:rPr>
                <w:rFonts w:hint="eastAsia" w:cs="Times New Roman"/>
                <w:sz w:val="21"/>
                <w:szCs w:val="21"/>
                <w:highlight w:val="none"/>
                <w:lang w:eastAsia="zh-CN"/>
              </w:rPr>
              <w:t>、</w:t>
            </w:r>
            <w:r>
              <w:rPr>
                <w:rFonts w:ascii="Times New Roman" w:hAnsi="Times New Roman" w:eastAsia="宋体" w:cs="Times New Roman"/>
                <w:sz w:val="21"/>
                <w:szCs w:val="21"/>
                <w:highlight w:val="none"/>
              </w:rPr>
              <w:t>CH3OH排放浓度50mg/m</w:t>
            </w:r>
            <w:r>
              <w:rPr>
                <w:rFonts w:ascii="Times New Roman" w:hAnsi="Times New Roman" w:eastAsia="宋体" w:cs="Times New Roman"/>
                <w:sz w:val="21"/>
                <w:szCs w:val="21"/>
                <w:highlight w:val="none"/>
                <w:vertAlign w:val="superscript"/>
              </w:rPr>
              <w:t>3</w:t>
            </w:r>
            <w:r>
              <w:rPr>
                <w:rFonts w:ascii="Times New Roman" w:hAnsi="Times New Roman" w:eastAsia="宋体" w:cs="Times New Roman"/>
                <w:sz w:val="21"/>
                <w:szCs w:val="21"/>
                <w:highlight w:val="none"/>
              </w:rPr>
              <w:t>，经锅炉烟囱排入大气。</w:t>
            </w:r>
          </w:p>
          <w:p w14:paraId="1A63B44A">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低温甲醇洗酸性气、酸性水汽提单元</w:t>
            </w:r>
            <w:r>
              <w:rPr>
                <w:rFonts w:hint="eastAsia" w:cs="Times New Roman"/>
                <w:sz w:val="21"/>
                <w:szCs w:val="21"/>
                <w:highlight w:val="none"/>
                <w:lang w:eastAsia="zh-CN"/>
              </w:rPr>
              <w:t>：</w:t>
            </w:r>
            <w:r>
              <w:rPr>
                <w:rFonts w:ascii="Times New Roman" w:hAnsi="Times New Roman" w:eastAsia="宋体" w:cs="Times New Roman"/>
                <w:sz w:val="21"/>
                <w:szCs w:val="21"/>
                <w:highlight w:val="none"/>
              </w:rPr>
              <w:t>汽提塔酸性气送净化装置硫回收单元。</w:t>
            </w:r>
          </w:p>
          <w:p w14:paraId="164F31C4">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硫回收单元</w:t>
            </w:r>
            <w:r>
              <w:rPr>
                <w:rFonts w:hint="eastAsia" w:cs="Times New Roman"/>
                <w:sz w:val="21"/>
                <w:szCs w:val="21"/>
                <w:highlight w:val="none"/>
                <w:lang w:eastAsia="zh-CN"/>
              </w:rPr>
              <w:t>：</w:t>
            </w:r>
            <w:r>
              <w:rPr>
                <w:rFonts w:ascii="Times New Roman" w:hAnsi="Times New Roman" w:eastAsia="宋体" w:cs="Times New Roman"/>
                <w:sz w:val="21"/>
                <w:szCs w:val="21"/>
                <w:highlight w:val="none"/>
              </w:rPr>
              <w:t>硫回收尾气SO</w:t>
            </w:r>
            <w:r>
              <w:rPr>
                <w:rFonts w:ascii="Times New Roman" w:hAnsi="Times New Roman" w:eastAsia="宋体" w:cs="Times New Roman"/>
                <w:sz w:val="21"/>
                <w:szCs w:val="21"/>
                <w:highlight w:val="none"/>
                <w:vertAlign w:val="superscript"/>
              </w:rPr>
              <w:t>2</w:t>
            </w:r>
            <w:r>
              <w:rPr>
                <w:rFonts w:ascii="Times New Roman" w:hAnsi="Times New Roman" w:eastAsia="宋体" w:cs="Times New Roman"/>
                <w:sz w:val="21"/>
                <w:szCs w:val="21"/>
                <w:highlight w:val="none"/>
              </w:rPr>
              <w:t>排放浓度97.72mg/m</w:t>
            </w:r>
            <w:r>
              <w:rPr>
                <w:rFonts w:ascii="Times New Roman" w:hAnsi="Times New Roman" w:eastAsia="宋体" w:cs="Times New Roman"/>
                <w:sz w:val="21"/>
                <w:szCs w:val="21"/>
                <w:highlight w:val="none"/>
                <w:vertAlign w:val="superscript"/>
              </w:rPr>
              <w:t>3</w:t>
            </w:r>
            <w:r>
              <w:rPr>
                <w:rFonts w:ascii="Times New Roman" w:hAnsi="Times New Roman" w:eastAsia="宋体" w:cs="Times New Roman"/>
                <w:sz w:val="21"/>
                <w:szCs w:val="21"/>
                <w:highlight w:val="none"/>
              </w:rPr>
              <w:t>，NOx排放浓度不超过180mg/m</w:t>
            </w:r>
            <w:r>
              <w:rPr>
                <w:rFonts w:ascii="Times New Roman" w:hAnsi="Times New Roman" w:eastAsia="宋体" w:cs="Times New Roman"/>
                <w:sz w:val="21"/>
                <w:szCs w:val="21"/>
                <w:highlight w:val="none"/>
                <w:vertAlign w:val="superscript"/>
              </w:rPr>
              <w:t>3</w:t>
            </w:r>
            <w:r>
              <w:rPr>
                <w:rFonts w:ascii="Times New Roman" w:hAnsi="Times New Roman" w:eastAsia="宋体" w:cs="Times New Roman"/>
                <w:sz w:val="21"/>
                <w:szCs w:val="21"/>
                <w:highlight w:val="none"/>
              </w:rPr>
              <w:t>，经55m排气筒排放。</w:t>
            </w:r>
          </w:p>
          <w:p w14:paraId="09C4A96B">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在硫回收尾部脱硫塔进、出口均安装烟气自动连续监测系统，以严格监控SO</w:t>
            </w:r>
            <w:r>
              <w:rPr>
                <w:rFonts w:ascii="Times New Roman" w:hAnsi="Times New Roman" w:eastAsia="宋体" w:cs="Times New Roman"/>
                <w:sz w:val="21"/>
                <w:szCs w:val="21"/>
                <w:highlight w:val="none"/>
                <w:vertAlign w:val="subscript"/>
              </w:rPr>
              <w:t>2</w:t>
            </w:r>
            <w:r>
              <w:rPr>
                <w:rFonts w:ascii="Times New Roman" w:hAnsi="Times New Roman" w:eastAsia="宋体" w:cs="Times New Roman"/>
                <w:sz w:val="21"/>
                <w:szCs w:val="21"/>
                <w:highlight w:val="none"/>
              </w:rPr>
              <w:t>排放情况。</w:t>
            </w:r>
          </w:p>
        </w:tc>
      </w:tr>
      <w:tr w14:paraId="48E73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24" w:hRule="atLeast"/>
          <w:jc w:val="center"/>
        </w:trPr>
        <w:tc>
          <w:tcPr>
            <w:tcW w:w="0" w:type="auto"/>
            <w:vMerge w:val="continue"/>
            <w:vAlign w:val="center"/>
          </w:tcPr>
          <w:p w14:paraId="513AE7F1">
            <w:pPr>
              <w:kinsoku w:val="0"/>
              <w:overflowPunct w:val="0"/>
              <w:autoSpaceDE w:val="0"/>
              <w:autoSpaceDN w:val="0"/>
              <w:adjustRightInd w:val="0"/>
              <w:jc w:val="center"/>
              <w:rPr>
                <w:rFonts w:ascii="Times New Roman" w:hAnsi="Times New Roman" w:eastAsia="宋体" w:cs="Times New Roman"/>
                <w:sz w:val="21"/>
                <w:szCs w:val="21"/>
                <w:highlight w:val="none"/>
              </w:rPr>
            </w:pPr>
          </w:p>
        </w:tc>
        <w:tc>
          <w:tcPr>
            <w:tcW w:w="0" w:type="auto"/>
            <w:vMerge w:val="continue"/>
            <w:vAlign w:val="center"/>
          </w:tcPr>
          <w:p w14:paraId="69A926A7">
            <w:pPr>
              <w:kinsoku w:val="0"/>
              <w:overflowPunct w:val="0"/>
              <w:autoSpaceDE w:val="0"/>
              <w:autoSpaceDN w:val="0"/>
              <w:adjustRightInd w:val="0"/>
              <w:jc w:val="center"/>
              <w:rPr>
                <w:rFonts w:ascii="Times New Roman" w:hAnsi="Times New Roman" w:eastAsia="宋体" w:cs="Times New Roman"/>
                <w:sz w:val="21"/>
                <w:szCs w:val="21"/>
                <w:highlight w:val="none"/>
              </w:rPr>
            </w:pPr>
          </w:p>
        </w:tc>
        <w:tc>
          <w:tcPr>
            <w:tcW w:w="2603" w:type="dxa"/>
            <w:gridSpan w:val="3"/>
            <w:vAlign w:val="center"/>
          </w:tcPr>
          <w:p w14:paraId="563D9142">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化学品合成装置</w:t>
            </w:r>
          </w:p>
        </w:tc>
        <w:tc>
          <w:tcPr>
            <w:tcW w:w="9970" w:type="dxa"/>
            <w:vAlign w:val="center"/>
          </w:tcPr>
          <w:p w14:paraId="172DD210">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催化剂还原单元</w:t>
            </w:r>
            <w:r>
              <w:rPr>
                <w:rFonts w:hint="eastAsia" w:cs="Times New Roman"/>
                <w:sz w:val="21"/>
                <w:szCs w:val="21"/>
                <w:highlight w:val="none"/>
                <w:lang w:eastAsia="zh-CN"/>
              </w:rPr>
              <w:t>：</w:t>
            </w:r>
            <w:r>
              <w:rPr>
                <w:rFonts w:ascii="Times New Roman" w:hAnsi="Times New Roman" w:eastAsia="宋体" w:cs="Times New Roman"/>
                <w:sz w:val="21"/>
                <w:szCs w:val="21"/>
                <w:highlight w:val="none"/>
              </w:rPr>
              <w:t>催化剂储仓废气、催化剂加料罐废气采用布袋除尘器除尘，除尘效率</w:t>
            </w:r>
            <w:r>
              <w:rPr>
                <w:rFonts w:hint="eastAsia" w:ascii="Times New Roman" w:hAnsi="Times New Roman" w:eastAsia="宋体" w:cs="Times New Roman"/>
                <w:sz w:val="21"/>
                <w:szCs w:val="21"/>
                <w:highlight w:val="none"/>
                <w:lang w:val="en-US" w:eastAsia="zh-CN"/>
              </w:rPr>
              <w:t>9</w:t>
            </w:r>
            <w:r>
              <w:rPr>
                <w:rFonts w:ascii="Times New Roman" w:hAnsi="Times New Roman" w:eastAsia="宋体" w:cs="Times New Roman"/>
                <w:sz w:val="21"/>
                <w:szCs w:val="21"/>
                <w:highlight w:val="none"/>
              </w:rPr>
              <w:t>9.8%。分别经25m排气筒达标排放。</w:t>
            </w:r>
          </w:p>
          <w:p w14:paraId="0D9BE87E">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蜡过滤单元</w:t>
            </w:r>
            <w:r>
              <w:rPr>
                <w:rFonts w:hint="eastAsia" w:cs="Times New Roman"/>
                <w:sz w:val="21"/>
                <w:szCs w:val="21"/>
                <w:highlight w:val="none"/>
                <w:lang w:eastAsia="zh-CN"/>
              </w:rPr>
              <w:t>：</w:t>
            </w:r>
            <w:r>
              <w:rPr>
                <w:rFonts w:ascii="Times New Roman" w:hAnsi="Times New Roman" w:eastAsia="宋体" w:cs="Times New Roman"/>
                <w:sz w:val="21"/>
                <w:szCs w:val="21"/>
                <w:highlight w:val="none"/>
              </w:rPr>
              <w:t>过滤器吹饼气含微量油气，经15m排气筒排放。助剂输送系统排气采用布袋除尘器除尘，</w:t>
            </w:r>
            <w:r>
              <w:rPr>
                <w:rFonts w:hint="eastAsia" w:cs="Times New Roman"/>
                <w:sz w:val="21"/>
                <w:szCs w:val="21"/>
                <w:highlight w:val="none"/>
                <w:lang w:eastAsia="zh-CN"/>
              </w:rPr>
              <w:t>提高</w:t>
            </w:r>
            <w:r>
              <w:rPr>
                <w:rFonts w:ascii="Times New Roman" w:hAnsi="Times New Roman" w:eastAsia="宋体" w:cs="Times New Roman"/>
                <w:sz w:val="21"/>
                <w:szCs w:val="21"/>
                <w:highlight w:val="none"/>
              </w:rPr>
              <w:t>除尘效率99.8%，分别经</w:t>
            </w:r>
            <w:r>
              <w:rPr>
                <w:rFonts w:hint="eastAsia" w:ascii="Times New Roman" w:hAnsi="Times New Roman" w:eastAsia="宋体" w:cs="Times New Roman"/>
                <w:sz w:val="21"/>
                <w:szCs w:val="21"/>
                <w:highlight w:val="none"/>
                <w:lang w:val="en-US" w:eastAsia="zh-CN"/>
              </w:rPr>
              <w:t>2</w:t>
            </w:r>
            <w:r>
              <w:rPr>
                <w:rFonts w:ascii="Times New Roman" w:hAnsi="Times New Roman" w:eastAsia="宋体" w:cs="Times New Roman"/>
                <w:sz w:val="21"/>
                <w:szCs w:val="21"/>
                <w:highlight w:val="none"/>
              </w:rPr>
              <w:t>3m排气筒达标排放。</w:t>
            </w:r>
          </w:p>
          <w:p w14:paraId="32DFEDE5">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尾气脱碳单元</w:t>
            </w:r>
            <w:r>
              <w:rPr>
                <w:rFonts w:hint="eastAsia" w:cs="Times New Roman"/>
                <w:sz w:val="21"/>
                <w:szCs w:val="21"/>
                <w:highlight w:val="none"/>
                <w:lang w:eastAsia="zh-CN"/>
              </w:rPr>
              <w:t>：</w:t>
            </w:r>
            <w:r>
              <w:rPr>
                <w:rFonts w:ascii="Times New Roman" w:hAnsi="Times New Roman" w:eastAsia="宋体" w:cs="Times New Roman"/>
                <w:sz w:val="21"/>
                <w:szCs w:val="21"/>
                <w:highlight w:val="none"/>
              </w:rPr>
              <w:t>闪</w:t>
            </w:r>
            <w:r>
              <w:rPr>
                <w:rFonts w:hint="eastAsia" w:cs="Times New Roman"/>
                <w:sz w:val="21"/>
                <w:szCs w:val="21"/>
                <w:highlight w:val="none"/>
                <w:lang w:eastAsia="zh-CN"/>
              </w:rPr>
              <w:t>蒸汽进入</w:t>
            </w:r>
            <w:r>
              <w:rPr>
                <w:rFonts w:ascii="Times New Roman" w:hAnsi="Times New Roman" w:eastAsia="宋体" w:cs="Times New Roman"/>
                <w:sz w:val="21"/>
                <w:szCs w:val="21"/>
                <w:highlight w:val="none"/>
              </w:rPr>
              <w:t>全厂燃料气管网。再生气NMHC排放浓度111mg/m</w:t>
            </w:r>
            <w:r>
              <w:rPr>
                <w:rFonts w:ascii="Times New Roman" w:hAnsi="Times New Roman" w:eastAsia="宋体" w:cs="Times New Roman"/>
                <w:sz w:val="21"/>
                <w:szCs w:val="21"/>
                <w:highlight w:val="none"/>
                <w:vertAlign w:val="superscript"/>
              </w:rPr>
              <w:t>3</w:t>
            </w:r>
            <w:r>
              <w:rPr>
                <w:rFonts w:ascii="Times New Roman" w:hAnsi="Times New Roman" w:eastAsia="宋体" w:cs="Times New Roman"/>
                <w:sz w:val="21"/>
                <w:szCs w:val="21"/>
                <w:highlight w:val="none"/>
              </w:rPr>
              <w:t>，经90m排气筒排放。</w:t>
            </w:r>
          </w:p>
        </w:tc>
      </w:tr>
      <w:tr w14:paraId="0E813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2" w:hRule="atLeast"/>
          <w:jc w:val="center"/>
        </w:trPr>
        <w:tc>
          <w:tcPr>
            <w:tcW w:w="0" w:type="auto"/>
            <w:vMerge w:val="continue"/>
            <w:vAlign w:val="center"/>
          </w:tcPr>
          <w:p w14:paraId="50153292">
            <w:pPr>
              <w:kinsoku w:val="0"/>
              <w:overflowPunct w:val="0"/>
              <w:autoSpaceDE w:val="0"/>
              <w:autoSpaceDN w:val="0"/>
              <w:adjustRightInd w:val="0"/>
              <w:jc w:val="center"/>
              <w:rPr>
                <w:rFonts w:ascii="Times New Roman" w:hAnsi="Times New Roman" w:eastAsia="宋体" w:cs="Times New Roman"/>
                <w:sz w:val="21"/>
                <w:szCs w:val="21"/>
                <w:highlight w:val="none"/>
              </w:rPr>
            </w:pPr>
          </w:p>
        </w:tc>
        <w:tc>
          <w:tcPr>
            <w:tcW w:w="0" w:type="auto"/>
            <w:vMerge w:val="continue"/>
            <w:vAlign w:val="center"/>
          </w:tcPr>
          <w:p w14:paraId="5CA0229F">
            <w:pPr>
              <w:kinsoku w:val="0"/>
              <w:overflowPunct w:val="0"/>
              <w:autoSpaceDE w:val="0"/>
              <w:autoSpaceDN w:val="0"/>
              <w:adjustRightInd w:val="0"/>
              <w:jc w:val="center"/>
              <w:rPr>
                <w:rFonts w:ascii="Times New Roman" w:hAnsi="Times New Roman" w:eastAsia="宋体" w:cs="Times New Roman"/>
                <w:sz w:val="21"/>
                <w:szCs w:val="21"/>
                <w:highlight w:val="none"/>
              </w:rPr>
            </w:pPr>
          </w:p>
        </w:tc>
        <w:tc>
          <w:tcPr>
            <w:tcW w:w="2603" w:type="dxa"/>
            <w:gridSpan w:val="3"/>
            <w:vAlign w:val="center"/>
          </w:tcPr>
          <w:p w14:paraId="4F9FBC96">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化学品加工装置</w:t>
            </w:r>
          </w:p>
        </w:tc>
        <w:tc>
          <w:tcPr>
            <w:tcW w:w="9970" w:type="dxa"/>
            <w:vAlign w:val="center"/>
          </w:tcPr>
          <w:p w14:paraId="2E73E99C">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加氢精制单元</w:t>
            </w:r>
            <w:r>
              <w:rPr>
                <w:rFonts w:hint="eastAsia" w:cs="Times New Roman"/>
                <w:sz w:val="21"/>
                <w:szCs w:val="21"/>
                <w:highlight w:val="none"/>
                <w:lang w:eastAsia="zh-CN"/>
              </w:rPr>
              <w:t>：</w:t>
            </w:r>
            <w:r>
              <w:rPr>
                <w:rFonts w:ascii="Times New Roman" w:hAnsi="Times New Roman" w:eastAsia="宋体" w:cs="Times New Roman"/>
                <w:sz w:val="21"/>
                <w:szCs w:val="21"/>
                <w:highlight w:val="none"/>
              </w:rPr>
              <w:t>加热炉烟气烟尘排放浓度</w:t>
            </w:r>
            <w:r>
              <w:rPr>
                <w:rFonts w:hint="eastAsia" w:cs="Times New Roman"/>
                <w:sz w:val="21"/>
                <w:szCs w:val="21"/>
                <w:highlight w:val="none"/>
                <w:lang w:eastAsia="zh-CN"/>
              </w:rPr>
              <w:t>为</w:t>
            </w:r>
            <w:r>
              <w:rPr>
                <w:rFonts w:hint="eastAsia" w:ascii="Times New Roman" w:hAnsi="Times New Roman" w:eastAsia="宋体" w:cs="Times New Roman"/>
                <w:sz w:val="21"/>
                <w:szCs w:val="21"/>
                <w:highlight w:val="none"/>
                <w:lang w:val="en-US" w:eastAsia="zh-CN"/>
              </w:rPr>
              <w:t>2</w:t>
            </w:r>
            <w:r>
              <w:rPr>
                <w:rFonts w:ascii="Times New Roman" w:hAnsi="Times New Roman" w:eastAsia="宋体" w:cs="Times New Roman"/>
                <w:sz w:val="21"/>
                <w:szCs w:val="21"/>
                <w:highlight w:val="none"/>
              </w:rPr>
              <w:t>0mg/m</w:t>
            </w:r>
            <w:r>
              <w:rPr>
                <w:rFonts w:ascii="Times New Roman" w:hAnsi="Times New Roman" w:eastAsia="宋体" w:cs="Times New Roman"/>
                <w:sz w:val="21"/>
                <w:szCs w:val="21"/>
                <w:highlight w:val="none"/>
                <w:vertAlign w:val="superscript"/>
              </w:rPr>
              <w:t>3</w:t>
            </w:r>
            <w:r>
              <w:rPr>
                <w:rFonts w:hint="eastAsia" w:cs="Times New Roman"/>
                <w:sz w:val="21"/>
                <w:szCs w:val="21"/>
                <w:highlight w:val="none"/>
                <w:lang w:eastAsia="zh-CN"/>
              </w:rPr>
              <w:t>、</w:t>
            </w:r>
            <w:r>
              <w:rPr>
                <w:rFonts w:ascii="Times New Roman" w:hAnsi="Times New Roman" w:eastAsia="宋体" w:cs="Times New Roman"/>
                <w:sz w:val="21"/>
                <w:szCs w:val="21"/>
                <w:highlight w:val="none"/>
              </w:rPr>
              <w:t>NOx排放浓度150mg/m</w:t>
            </w:r>
            <w:r>
              <w:rPr>
                <w:rFonts w:ascii="Times New Roman" w:hAnsi="Times New Roman" w:eastAsia="宋体" w:cs="Times New Roman"/>
                <w:sz w:val="21"/>
                <w:szCs w:val="21"/>
                <w:highlight w:val="none"/>
                <w:vertAlign w:val="superscript"/>
              </w:rPr>
              <w:t>3</w:t>
            </w:r>
            <w:r>
              <w:rPr>
                <w:rFonts w:ascii="Times New Roman" w:hAnsi="Times New Roman" w:eastAsia="宋体" w:cs="Times New Roman"/>
                <w:sz w:val="21"/>
                <w:szCs w:val="21"/>
                <w:highlight w:val="none"/>
              </w:rPr>
              <w:t>，经50m排气筒排放。</w:t>
            </w:r>
          </w:p>
          <w:p w14:paraId="5D2DC141">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加氢裂化单元</w:t>
            </w:r>
            <w:r>
              <w:rPr>
                <w:rFonts w:hint="eastAsia" w:cs="Times New Roman"/>
                <w:sz w:val="21"/>
                <w:szCs w:val="21"/>
                <w:highlight w:val="none"/>
                <w:lang w:eastAsia="zh-CN"/>
              </w:rPr>
              <w:t>：</w:t>
            </w:r>
            <w:r>
              <w:rPr>
                <w:rFonts w:ascii="Times New Roman" w:hAnsi="Times New Roman" w:eastAsia="宋体" w:cs="Times New Roman"/>
                <w:sz w:val="21"/>
                <w:szCs w:val="21"/>
                <w:highlight w:val="none"/>
              </w:rPr>
              <w:t>加热炉烟气烟尘排放浓度</w:t>
            </w:r>
            <w:r>
              <w:rPr>
                <w:rFonts w:hint="eastAsia" w:cs="Times New Roman"/>
                <w:sz w:val="21"/>
                <w:szCs w:val="21"/>
                <w:highlight w:val="none"/>
                <w:lang w:eastAsia="zh-CN"/>
              </w:rPr>
              <w:t>为</w:t>
            </w:r>
            <w:r>
              <w:rPr>
                <w:rFonts w:ascii="Times New Roman" w:hAnsi="Times New Roman" w:eastAsia="宋体" w:cs="Times New Roman"/>
                <w:sz w:val="21"/>
                <w:szCs w:val="21"/>
                <w:highlight w:val="none"/>
              </w:rPr>
              <w:t>20mg/m</w:t>
            </w:r>
            <w:r>
              <w:rPr>
                <w:rFonts w:ascii="Times New Roman" w:hAnsi="Times New Roman" w:eastAsia="宋体" w:cs="Times New Roman"/>
                <w:sz w:val="21"/>
                <w:szCs w:val="21"/>
                <w:highlight w:val="none"/>
                <w:vertAlign w:val="superscript"/>
              </w:rPr>
              <w:t>3</w:t>
            </w:r>
            <w:r>
              <w:rPr>
                <w:rFonts w:hint="eastAsia" w:cs="Times New Roman"/>
                <w:sz w:val="21"/>
                <w:szCs w:val="21"/>
                <w:highlight w:val="none"/>
                <w:lang w:eastAsia="zh-CN"/>
              </w:rPr>
              <w:t>、</w:t>
            </w:r>
            <w:r>
              <w:rPr>
                <w:rFonts w:ascii="Times New Roman" w:hAnsi="Times New Roman" w:eastAsia="宋体" w:cs="Times New Roman"/>
                <w:sz w:val="21"/>
                <w:szCs w:val="21"/>
                <w:highlight w:val="none"/>
              </w:rPr>
              <w:t>NOx排放浓度150mg/m</w:t>
            </w:r>
            <w:r>
              <w:rPr>
                <w:rFonts w:ascii="Times New Roman" w:hAnsi="Times New Roman" w:eastAsia="宋体" w:cs="Times New Roman"/>
                <w:sz w:val="21"/>
                <w:szCs w:val="21"/>
                <w:highlight w:val="none"/>
                <w:vertAlign w:val="superscript"/>
              </w:rPr>
              <w:t>3</w:t>
            </w:r>
            <w:r>
              <w:rPr>
                <w:rFonts w:ascii="Times New Roman" w:hAnsi="Times New Roman" w:eastAsia="宋体" w:cs="Times New Roman"/>
                <w:sz w:val="21"/>
                <w:szCs w:val="21"/>
                <w:highlight w:val="none"/>
              </w:rPr>
              <w:t>，经53m排气筒排放。</w:t>
            </w:r>
          </w:p>
        </w:tc>
      </w:tr>
      <w:tr w14:paraId="127C1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9" w:hRule="atLeast"/>
          <w:jc w:val="center"/>
        </w:trPr>
        <w:tc>
          <w:tcPr>
            <w:tcW w:w="0" w:type="auto"/>
            <w:vMerge w:val="continue"/>
            <w:vAlign w:val="center"/>
          </w:tcPr>
          <w:p w14:paraId="5CE5763B">
            <w:pPr>
              <w:kinsoku w:val="0"/>
              <w:overflowPunct w:val="0"/>
              <w:autoSpaceDE w:val="0"/>
              <w:autoSpaceDN w:val="0"/>
              <w:adjustRightInd w:val="0"/>
              <w:jc w:val="center"/>
              <w:rPr>
                <w:rFonts w:ascii="Times New Roman" w:hAnsi="Times New Roman" w:eastAsia="宋体" w:cs="Times New Roman"/>
                <w:sz w:val="21"/>
                <w:szCs w:val="21"/>
                <w:highlight w:val="none"/>
              </w:rPr>
            </w:pPr>
          </w:p>
        </w:tc>
        <w:tc>
          <w:tcPr>
            <w:tcW w:w="0" w:type="auto"/>
            <w:vMerge w:val="continue"/>
            <w:vAlign w:val="center"/>
          </w:tcPr>
          <w:p w14:paraId="71121CFA">
            <w:pPr>
              <w:kinsoku w:val="0"/>
              <w:overflowPunct w:val="0"/>
              <w:autoSpaceDE w:val="0"/>
              <w:autoSpaceDN w:val="0"/>
              <w:adjustRightInd w:val="0"/>
              <w:jc w:val="center"/>
              <w:rPr>
                <w:rFonts w:ascii="Times New Roman" w:hAnsi="Times New Roman" w:eastAsia="宋体" w:cs="Times New Roman"/>
                <w:sz w:val="21"/>
                <w:szCs w:val="21"/>
                <w:highlight w:val="none"/>
              </w:rPr>
            </w:pPr>
          </w:p>
        </w:tc>
        <w:tc>
          <w:tcPr>
            <w:tcW w:w="2603" w:type="dxa"/>
            <w:gridSpan w:val="3"/>
            <w:vAlign w:val="center"/>
          </w:tcPr>
          <w:p w14:paraId="4C579A94">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尾气转化装置/尾气制氢装置</w:t>
            </w:r>
          </w:p>
        </w:tc>
        <w:tc>
          <w:tcPr>
            <w:tcW w:w="9970" w:type="dxa"/>
            <w:vAlign w:val="center"/>
          </w:tcPr>
          <w:p w14:paraId="7F2A4C60">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尾气转化单元</w:t>
            </w:r>
            <w:r>
              <w:rPr>
                <w:rFonts w:hint="eastAsia" w:cs="Times New Roman"/>
                <w:sz w:val="21"/>
                <w:szCs w:val="21"/>
                <w:highlight w:val="none"/>
                <w:lang w:eastAsia="zh-CN"/>
              </w:rPr>
              <w:t>：</w:t>
            </w:r>
            <w:r>
              <w:rPr>
                <w:rFonts w:ascii="Times New Roman" w:hAnsi="Times New Roman" w:eastAsia="宋体" w:cs="Times New Roman"/>
                <w:sz w:val="21"/>
                <w:szCs w:val="21"/>
                <w:highlight w:val="none"/>
              </w:rPr>
              <w:t>加热炉烟气烟尘排放浓度</w:t>
            </w:r>
            <w:r>
              <w:rPr>
                <w:rFonts w:hint="eastAsia" w:cs="Times New Roman"/>
                <w:sz w:val="21"/>
                <w:szCs w:val="21"/>
                <w:highlight w:val="none"/>
                <w:lang w:eastAsia="zh-CN"/>
              </w:rPr>
              <w:t>为</w:t>
            </w:r>
            <w:r>
              <w:rPr>
                <w:rFonts w:ascii="Times New Roman" w:hAnsi="Times New Roman" w:eastAsia="宋体" w:cs="Times New Roman"/>
                <w:sz w:val="21"/>
                <w:szCs w:val="21"/>
                <w:highlight w:val="none"/>
              </w:rPr>
              <w:t>20mg/m</w:t>
            </w:r>
            <w:r>
              <w:rPr>
                <w:rFonts w:ascii="Times New Roman" w:hAnsi="Times New Roman" w:eastAsia="宋体" w:cs="Times New Roman"/>
                <w:sz w:val="21"/>
                <w:szCs w:val="21"/>
                <w:highlight w:val="none"/>
                <w:vertAlign w:val="superscript"/>
              </w:rPr>
              <w:t>3</w:t>
            </w:r>
            <w:r>
              <w:rPr>
                <w:rFonts w:hint="eastAsia" w:cs="Times New Roman"/>
                <w:sz w:val="21"/>
                <w:szCs w:val="21"/>
                <w:highlight w:val="none"/>
                <w:lang w:eastAsia="zh-CN"/>
              </w:rPr>
              <w:t>、</w:t>
            </w:r>
            <w:r>
              <w:rPr>
                <w:rFonts w:ascii="Times New Roman" w:hAnsi="Times New Roman" w:eastAsia="宋体" w:cs="Times New Roman"/>
                <w:sz w:val="21"/>
                <w:szCs w:val="21"/>
                <w:highlight w:val="none"/>
              </w:rPr>
              <w:t>NOx排放浓度150mg/m</w:t>
            </w:r>
            <w:r>
              <w:rPr>
                <w:rFonts w:ascii="Times New Roman" w:hAnsi="Times New Roman" w:eastAsia="宋体" w:cs="Times New Roman"/>
                <w:sz w:val="21"/>
                <w:szCs w:val="21"/>
                <w:highlight w:val="none"/>
                <w:vertAlign w:val="superscript"/>
              </w:rPr>
              <w:t>3</w:t>
            </w:r>
            <w:r>
              <w:rPr>
                <w:rFonts w:ascii="Times New Roman" w:hAnsi="Times New Roman" w:eastAsia="宋体" w:cs="Times New Roman"/>
                <w:sz w:val="21"/>
                <w:szCs w:val="21"/>
                <w:highlight w:val="none"/>
              </w:rPr>
              <w:t>，经60m排气筒排放。</w:t>
            </w:r>
          </w:p>
        </w:tc>
      </w:tr>
      <w:tr w14:paraId="01ECA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34" w:hRule="atLeast"/>
          <w:jc w:val="center"/>
        </w:trPr>
        <w:tc>
          <w:tcPr>
            <w:tcW w:w="0" w:type="auto"/>
            <w:vMerge w:val="continue"/>
            <w:vAlign w:val="center"/>
          </w:tcPr>
          <w:p w14:paraId="152BBABF">
            <w:pPr>
              <w:kinsoku w:val="0"/>
              <w:overflowPunct w:val="0"/>
              <w:autoSpaceDE w:val="0"/>
              <w:autoSpaceDN w:val="0"/>
              <w:adjustRightInd w:val="0"/>
              <w:jc w:val="center"/>
              <w:rPr>
                <w:rFonts w:ascii="Times New Roman" w:hAnsi="Times New Roman" w:eastAsia="宋体" w:cs="Times New Roman"/>
                <w:sz w:val="21"/>
                <w:szCs w:val="21"/>
                <w:highlight w:val="none"/>
              </w:rPr>
            </w:pPr>
          </w:p>
        </w:tc>
        <w:tc>
          <w:tcPr>
            <w:tcW w:w="0" w:type="auto"/>
            <w:vMerge w:val="continue"/>
            <w:vAlign w:val="center"/>
          </w:tcPr>
          <w:p w14:paraId="7501E407">
            <w:pPr>
              <w:kinsoku w:val="0"/>
              <w:overflowPunct w:val="0"/>
              <w:autoSpaceDE w:val="0"/>
              <w:autoSpaceDN w:val="0"/>
              <w:adjustRightInd w:val="0"/>
              <w:jc w:val="center"/>
              <w:rPr>
                <w:rFonts w:ascii="Times New Roman" w:hAnsi="Times New Roman" w:eastAsia="宋体" w:cs="Times New Roman"/>
                <w:sz w:val="21"/>
                <w:szCs w:val="21"/>
                <w:highlight w:val="none"/>
              </w:rPr>
            </w:pPr>
          </w:p>
        </w:tc>
        <w:tc>
          <w:tcPr>
            <w:tcW w:w="2603" w:type="dxa"/>
            <w:gridSpan w:val="3"/>
            <w:vAlign w:val="center"/>
          </w:tcPr>
          <w:p w14:paraId="73752847">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火炬</w:t>
            </w:r>
          </w:p>
        </w:tc>
        <w:tc>
          <w:tcPr>
            <w:tcW w:w="9970" w:type="dxa"/>
            <w:vAlign w:val="center"/>
          </w:tcPr>
          <w:p w14:paraId="56F54098">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全厂火炬系统为一座固定式高架火炬和配套一座封闭式地面火炬。高架火炬总高度125m；地面火炬直径</w:t>
            </w:r>
            <w:r>
              <w:rPr>
                <w:rFonts w:hint="eastAsia" w:ascii="Times New Roman" w:hAnsi="Times New Roman" w:eastAsia="宋体" w:cs="Times New Roman"/>
                <w:sz w:val="21"/>
                <w:szCs w:val="21"/>
                <w:highlight w:val="none"/>
                <w:lang w:val="en-US" w:eastAsia="zh-CN"/>
              </w:rPr>
              <w:t>1</w:t>
            </w:r>
            <w:r>
              <w:rPr>
                <w:rFonts w:ascii="Times New Roman" w:hAnsi="Times New Roman" w:eastAsia="宋体" w:cs="Times New Roman"/>
                <w:sz w:val="21"/>
                <w:szCs w:val="21"/>
                <w:highlight w:val="none"/>
              </w:rPr>
              <w:t>4m，高度40m。</w:t>
            </w:r>
          </w:p>
          <w:p w14:paraId="1DC001A5">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高架火炬分</w:t>
            </w:r>
            <w:r>
              <w:rPr>
                <w:rFonts w:hint="eastAsia" w:cs="Times New Roman"/>
                <w:sz w:val="21"/>
                <w:szCs w:val="21"/>
                <w:highlight w:val="none"/>
                <w:lang w:eastAsia="zh-CN"/>
              </w:rPr>
              <w:t>为</w:t>
            </w:r>
            <w:r>
              <w:rPr>
                <w:rFonts w:ascii="Times New Roman" w:hAnsi="Times New Roman" w:eastAsia="宋体" w:cs="Times New Roman"/>
                <w:sz w:val="21"/>
                <w:szCs w:val="21"/>
                <w:highlight w:val="none"/>
              </w:rPr>
              <w:t>低热值高压火炬、低热值小流量火炬、</w:t>
            </w:r>
          </w:p>
          <w:p w14:paraId="2C9D8B20">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含烃高压火炬、含烃低压火炬、湿酸性气火炬、干酸性气火炬六个火炬气燃放系统。</w:t>
            </w:r>
          </w:p>
        </w:tc>
      </w:tr>
      <w:tr w14:paraId="777C8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4" w:hRule="atLeast"/>
          <w:jc w:val="center"/>
        </w:trPr>
        <w:tc>
          <w:tcPr>
            <w:tcW w:w="0" w:type="auto"/>
            <w:vMerge w:val="restart"/>
            <w:vAlign w:val="center"/>
          </w:tcPr>
          <w:p w14:paraId="551FD590">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2</w:t>
            </w:r>
          </w:p>
        </w:tc>
        <w:tc>
          <w:tcPr>
            <w:tcW w:w="0" w:type="auto"/>
            <w:vMerge w:val="restart"/>
            <w:vAlign w:val="center"/>
          </w:tcPr>
          <w:p w14:paraId="68A8D6B6">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废水治理措施</w:t>
            </w:r>
          </w:p>
        </w:tc>
        <w:tc>
          <w:tcPr>
            <w:tcW w:w="0" w:type="auto"/>
            <w:vMerge w:val="restart"/>
            <w:vAlign w:val="center"/>
          </w:tcPr>
          <w:p w14:paraId="2C799800">
            <w:pPr>
              <w:kinsoku w:val="0"/>
              <w:overflowPunct w:val="0"/>
              <w:autoSpaceDE w:val="0"/>
              <w:autoSpaceDN w:val="0"/>
              <w:adjustRightInd w:val="0"/>
              <w:jc w:val="center"/>
              <w:rPr>
                <w:rFonts w:hint="eastAsia" w:ascii="Times New Roman" w:hAnsi="Times New Roman" w:eastAsia="宋体" w:cs="Times New Roman"/>
                <w:sz w:val="21"/>
                <w:szCs w:val="21"/>
                <w:highlight w:val="none"/>
                <w:lang w:eastAsia="zh-CN"/>
              </w:rPr>
            </w:pPr>
            <w:r>
              <w:rPr>
                <w:rFonts w:ascii="Times New Roman" w:hAnsi="Times New Roman" w:eastAsia="宋体" w:cs="Times New Roman"/>
                <w:sz w:val="21"/>
                <w:szCs w:val="21"/>
                <w:highlight w:val="none"/>
              </w:rPr>
              <w:t>污水处理</w:t>
            </w:r>
            <w:r>
              <w:rPr>
                <w:rFonts w:hint="eastAsia" w:cs="Times New Roman"/>
                <w:sz w:val="21"/>
                <w:szCs w:val="21"/>
                <w:highlight w:val="none"/>
                <w:lang w:eastAsia="zh-CN"/>
              </w:rPr>
              <w:t>厂</w:t>
            </w:r>
          </w:p>
        </w:tc>
        <w:tc>
          <w:tcPr>
            <w:tcW w:w="0" w:type="auto"/>
            <w:vMerge w:val="restart"/>
            <w:vAlign w:val="center"/>
          </w:tcPr>
          <w:p w14:paraId="3CCF58CD">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预处理单元</w:t>
            </w:r>
          </w:p>
        </w:tc>
        <w:tc>
          <w:tcPr>
            <w:tcW w:w="1007" w:type="dxa"/>
            <w:vAlign w:val="center"/>
          </w:tcPr>
          <w:p w14:paraId="46AFA872">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含油污水预处理</w:t>
            </w:r>
          </w:p>
        </w:tc>
        <w:tc>
          <w:tcPr>
            <w:tcW w:w="9970" w:type="dxa"/>
            <w:vAlign w:val="center"/>
          </w:tcPr>
          <w:p w14:paraId="3B1EEE0A">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采用平流隔油池+涡凹气浮（CAF）+溶气气浮</w:t>
            </w:r>
          </w:p>
          <w:p w14:paraId="54E3B879">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（DAF）处理工艺，处理化学品加工装置的含油污水、间断地坪冲洗水及初期雨水。</w:t>
            </w:r>
          </w:p>
          <w:p w14:paraId="1456021C">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处理规模80m</w:t>
            </w:r>
            <w:r>
              <w:rPr>
                <w:rFonts w:ascii="Times New Roman" w:hAnsi="Times New Roman" w:eastAsia="宋体" w:cs="Times New Roman"/>
                <w:sz w:val="21"/>
                <w:szCs w:val="21"/>
                <w:highlight w:val="none"/>
                <w:vertAlign w:val="superscript"/>
              </w:rPr>
              <w:t>3</w:t>
            </w:r>
            <w:r>
              <w:rPr>
                <w:rFonts w:ascii="Times New Roman" w:hAnsi="Times New Roman" w:eastAsia="宋体" w:cs="Times New Roman"/>
                <w:sz w:val="21"/>
                <w:szCs w:val="21"/>
                <w:highlight w:val="none"/>
              </w:rPr>
              <w:t>/h。</w:t>
            </w:r>
          </w:p>
        </w:tc>
      </w:tr>
      <w:tr w14:paraId="61748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5" w:hRule="atLeast"/>
          <w:jc w:val="center"/>
        </w:trPr>
        <w:tc>
          <w:tcPr>
            <w:tcW w:w="0" w:type="auto"/>
            <w:vMerge w:val="continue"/>
            <w:vAlign w:val="center"/>
          </w:tcPr>
          <w:p w14:paraId="1631AD77">
            <w:pPr>
              <w:kinsoku w:val="0"/>
              <w:overflowPunct w:val="0"/>
              <w:autoSpaceDE w:val="0"/>
              <w:autoSpaceDN w:val="0"/>
              <w:adjustRightInd w:val="0"/>
              <w:jc w:val="center"/>
              <w:rPr>
                <w:rFonts w:ascii="Times New Roman" w:hAnsi="Times New Roman" w:eastAsia="宋体" w:cs="Times New Roman"/>
                <w:sz w:val="21"/>
                <w:szCs w:val="21"/>
                <w:highlight w:val="none"/>
              </w:rPr>
            </w:pPr>
          </w:p>
        </w:tc>
        <w:tc>
          <w:tcPr>
            <w:tcW w:w="0" w:type="auto"/>
            <w:vMerge w:val="continue"/>
            <w:vAlign w:val="center"/>
          </w:tcPr>
          <w:p w14:paraId="2ACF48FE">
            <w:pPr>
              <w:kinsoku w:val="0"/>
              <w:overflowPunct w:val="0"/>
              <w:autoSpaceDE w:val="0"/>
              <w:autoSpaceDN w:val="0"/>
              <w:adjustRightInd w:val="0"/>
              <w:jc w:val="center"/>
              <w:rPr>
                <w:rFonts w:ascii="Times New Roman" w:hAnsi="Times New Roman" w:eastAsia="宋体" w:cs="Times New Roman"/>
                <w:sz w:val="21"/>
                <w:szCs w:val="21"/>
                <w:highlight w:val="none"/>
              </w:rPr>
            </w:pPr>
          </w:p>
        </w:tc>
        <w:tc>
          <w:tcPr>
            <w:tcW w:w="0" w:type="auto"/>
            <w:vMerge w:val="continue"/>
            <w:vAlign w:val="center"/>
          </w:tcPr>
          <w:p w14:paraId="5E99E86B">
            <w:pPr>
              <w:kinsoku w:val="0"/>
              <w:overflowPunct w:val="0"/>
              <w:autoSpaceDE w:val="0"/>
              <w:autoSpaceDN w:val="0"/>
              <w:adjustRightInd w:val="0"/>
              <w:jc w:val="center"/>
              <w:rPr>
                <w:rFonts w:ascii="Times New Roman" w:hAnsi="Times New Roman" w:eastAsia="宋体" w:cs="Times New Roman"/>
                <w:sz w:val="21"/>
                <w:szCs w:val="21"/>
                <w:highlight w:val="none"/>
              </w:rPr>
            </w:pPr>
          </w:p>
        </w:tc>
        <w:tc>
          <w:tcPr>
            <w:tcW w:w="0" w:type="auto"/>
            <w:vMerge w:val="continue"/>
            <w:vAlign w:val="center"/>
          </w:tcPr>
          <w:p w14:paraId="6E208DCA">
            <w:pPr>
              <w:kinsoku w:val="0"/>
              <w:overflowPunct w:val="0"/>
              <w:autoSpaceDE w:val="0"/>
              <w:autoSpaceDN w:val="0"/>
              <w:adjustRightInd w:val="0"/>
              <w:jc w:val="center"/>
              <w:rPr>
                <w:rFonts w:ascii="Times New Roman" w:hAnsi="Times New Roman" w:eastAsia="宋体" w:cs="Times New Roman"/>
                <w:sz w:val="21"/>
                <w:szCs w:val="21"/>
                <w:highlight w:val="none"/>
              </w:rPr>
            </w:pPr>
          </w:p>
        </w:tc>
        <w:tc>
          <w:tcPr>
            <w:tcW w:w="1007" w:type="dxa"/>
            <w:vAlign w:val="center"/>
          </w:tcPr>
          <w:p w14:paraId="364BD22E">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合成废水预处理</w:t>
            </w:r>
          </w:p>
        </w:tc>
        <w:tc>
          <w:tcPr>
            <w:tcW w:w="9970" w:type="dxa"/>
            <w:vAlign w:val="center"/>
          </w:tcPr>
          <w:p w14:paraId="05121223">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合成废水20m</w:t>
            </w:r>
            <w:r>
              <w:rPr>
                <w:rFonts w:ascii="Times New Roman" w:hAnsi="Times New Roman" w:eastAsia="宋体" w:cs="Times New Roman"/>
                <w:sz w:val="21"/>
                <w:szCs w:val="21"/>
                <w:highlight w:val="none"/>
                <w:vertAlign w:val="superscript"/>
              </w:rPr>
              <w:t>3</w:t>
            </w:r>
            <w:r>
              <w:rPr>
                <w:rFonts w:ascii="Times New Roman" w:hAnsi="Times New Roman" w:eastAsia="宋体" w:cs="Times New Roman"/>
                <w:sz w:val="21"/>
                <w:szCs w:val="21"/>
                <w:highlight w:val="none"/>
              </w:rPr>
              <w:t>/h去水煤浆气化装置；剩余</w:t>
            </w:r>
            <w:r>
              <w:rPr>
                <w:rFonts w:hint="eastAsia" w:cs="Times New Roman"/>
                <w:sz w:val="21"/>
                <w:szCs w:val="21"/>
                <w:highlight w:val="none"/>
                <w:lang w:eastAsia="zh-CN"/>
              </w:rPr>
              <w:t>废水</w:t>
            </w:r>
            <w:r>
              <w:rPr>
                <w:rFonts w:ascii="Times New Roman" w:hAnsi="Times New Roman" w:eastAsia="宋体" w:cs="Times New Roman"/>
                <w:sz w:val="21"/>
                <w:szCs w:val="21"/>
                <w:highlight w:val="none"/>
              </w:rPr>
              <w:t>采用UASB厌氧处理工艺。处理规模150m</w:t>
            </w:r>
            <w:r>
              <w:rPr>
                <w:rFonts w:ascii="Times New Roman" w:hAnsi="Times New Roman" w:eastAsia="宋体" w:cs="Times New Roman"/>
                <w:sz w:val="21"/>
                <w:szCs w:val="21"/>
                <w:highlight w:val="none"/>
                <w:vertAlign w:val="superscript"/>
              </w:rPr>
              <w:t>3</w:t>
            </w:r>
            <w:r>
              <w:rPr>
                <w:rFonts w:ascii="Times New Roman" w:hAnsi="Times New Roman" w:eastAsia="宋体" w:cs="Times New Roman"/>
                <w:sz w:val="21"/>
                <w:szCs w:val="21"/>
                <w:highlight w:val="none"/>
              </w:rPr>
              <w:t>/h。</w:t>
            </w:r>
          </w:p>
        </w:tc>
      </w:tr>
      <w:tr w14:paraId="3632F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8" w:hRule="atLeast"/>
          <w:jc w:val="center"/>
        </w:trPr>
        <w:tc>
          <w:tcPr>
            <w:tcW w:w="0" w:type="auto"/>
            <w:vMerge w:val="continue"/>
            <w:vAlign w:val="center"/>
          </w:tcPr>
          <w:p w14:paraId="546D4258">
            <w:pPr>
              <w:kinsoku w:val="0"/>
              <w:overflowPunct w:val="0"/>
              <w:autoSpaceDE w:val="0"/>
              <w:autoSpaceDN w:val="0"/>
              <w:adjustRightInd w:val="0"/>
              <w:jc w:val="center"/>
              <w:rPr>
                <w:rFonts w:ascii="Times New Roman" w:hAnsi="Times New Roman" w:eastAsia="宋体" w:cs="Times New Roman"/>
                <w:sz w:val="21"/>
                <w:szCs w:val="21"/>
                <w:highlight w:val="none"/>
              </w:rPr>
            </w:pPr>
          </w:p>
        </w:tc>
        <w:tc>
          <w:tcPr>
            <w:tcW w:w="0" w:type="auto"/>
            <w:vMerge w:val="continue"/>
            <w:vAlign w:val="center"/>
          </w:tcPr>
          <w:p w14:paraId="188DB460">
            <w:pPr>
              <w:kinsoku w:val="0"/>
              <w:overflowPunct w:val="0"/>
              <w:autoSpaceDE w:val="0"/>
              <w:autoSpaceDN w:val="0"/>
              <w:adjustRightInd w:val="0"/>
              <w:jc w:val="center"/>
              <w:rPr>
                <w:rFonts w:ascii="Times New Roman" w:hAnsi="Times New Roman" w:eastAsia="宋体" w:cs="Times New Roman"/>
                <w:sz w:val="21"/>
                <w:szCs w:val="21"/>
                <w:highlight w:val="none"/>
              </w:rPr>
            </w:pPr>
          </w:p>
        </w:tc>
        <w:tc>
          <w:tcPr>
            <w:tcW w:w="0" w:type="auto"/>
            <w:vMerge w:val="continue"/>
            <w:vAlign w:val="center"/>
          </w:tcPr>
          <w:p w14:paraId="5A41C7B0">
            <w:pPr>
              <w:kinsoku w:val="0"/>
              <w:overflowPunct w:val="0"/>
              <w:autoSpaceDE w:val="0"/>
              <w:autoSpaceDN w:val="0"/>
              <w:adjustRightInd w:val="0"/>
              <w:jc w:val="center"/>
              <w:rPr>
                <w:rFonts w:ascii="Times New Roman" w:hAnsi="Times New Roman" w:eastAsia="宋体" w:cs="Times New Roman"/>
                <w:sz w:val="21"/>
                <w:szCs w:val="21"/>
                <w:highlight w:val="none"/>
              </w:rPr>
            </w:pPr>
          </w:p>
        </w:tc>
        <w:tc>
          <w:tcPr>
            <w:tcW w:w="0" w:type="auto"/>
            <w:vMerge w:val="continue"/>
            <w:vAlign w:val="center"/>
          </w:tcPr>
          <w:p w14:paraId="1C60E23F">
            <w:pPr>
              <w:kinsoku w:val="0"/>
              <w:overflowPunct w:val="0"/>
              <w:autoSpaceDE w:val="0"/>
              <w:autoSpaceDN w:val="0"/>
              <w:adjustRightInd w:val="0"/>
              <w:jc w:val="center"/>
              <w:rPr>
                <w:rFonts w:ascii="Times New Roman" w:hAnsi="Times New Roman" w:eastAsia="宋体" w:cs="Times New Roman"/>
                <w:sz w:val="21"/>
                <w:szCs w:val="21"/>
                <w:highlight w:val="none"/>
              </w:rPr>
            </w:pPr>
          </w:p>
        </w:tc>
        <w:tc>
          <w:tcPr>
            <w:tcW w:w="1007" w:type="dxa"/>
            <w:vAlign w:val="center"/>
          </w:tcPr>
          <w:p w14:paraId="7A3C9940">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气化废</w:t>
            </w:r>
          </w:p>
          <w:p w14:paraId="1A3B293F">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水预处理</w:t>
            </w:r>
          </w:p>
        </w:tc>
        <w:tc>
          <w:tcPr>
            <w:tcW w:w="9970" w:type="dxa"/>
            <w:vAlign w:val="center"/>
          </w:tcPr>
          <w:p w14:paraId="606DCE09">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采用高密度沉淀工艺，处理来自气化装置的粉煤浆气化污水、水煤浆气化污水。处理规模840m</w:t>
            </w:r>
            <w:r>
              <w:rPr>
                <w:rFonts w:ascii="Times New Roman" w:hAnsi="Times New Roman" w:eastAsia="宋体" w:cs="Times New Roman"/>
                <w:sz w:val="21"/>
                <w:szCs w:val="21"/>
                <w:highlight w:val="none"/>
                <w:vertAlign w:val="superscript"/>
              </w:rPr>
              <w:t>3</w:t>
            </w:r>
            <w:r>
              <w:rPr>
                <w:rFonts w:ascii="Times New Roman" w:hAnsi="Times New Roman" w:eastAsia="宋体" w:cs="Times New Roman"/>
                <w:sz w:val="21"/>
                <w:szCs w:val="21"/>
                <w:highlight w:val="none"/>
              </w:rPr>
              <w:t>/h。</w:t>
            </w:r>
          </w:p>
        </w:tc>
      </w:tr>
      <w:tr w14:paraId="24735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4" w:hRule="atLeast"/>
          <w:jc w:val="center"/>
        </w:trPr>
        <w:tc>
          <w:tcPr>
            <w:tcW w:w="0" w:type="auto"/>
            <w:vMerge w:val="continue"/>
            <w:vAlign w:val="center"/>
          </w:tcPr>
          <w:p w14:paraId="63658B68">
            <w:pPr>
              <w:kinsoku w:val="0"/>
              <w:overflowPunct w:val="0"/>
              <w:autoSpaceDE w:val="0"/>
              <w:autoSpaceDN w:val="0"/>
              <w:adjustRightInd w:val="0"/>
              <w:jc w:val="center"/>
              <w:rPr>
                <w:rFonts w:ascii="Times New Roman" w:hAnsi="Times New Roman" w:eastAsia="宋体" w:cs="Times New Roman"/>
                <w:sz w:val="21"/>
                <w:szCs w:val="21"/>
                <w:highlight w:val="none"/>
              </w:rPr>
            </w:pPr>
          </w:p>
        </w:tc>
        <w:tc>
          <w:tcPr>
            <w:tcW w:w="0" w:type="auto"/>
            <w:vMerge w:val="continue"/>
            <w:vAlign w:val="center"/>
          </w:tcPr>
          <w:p w14:paraId="5FCA6B8B">
            <w:pPr>
              <w:kinsoku w:val="0"/>
              <w:overflowPunct w:val="0"/>
              <w:autoSpaceDE w:val="0"/>
              <w:autoSpaceDN w:val="0"/>
              <w:adjustRightInd w:val="0"/>
              <w:jc w:val="center"/>
              <w:rPr>
                <w:rFonts w:ascii="Times New Roman" w:hAnsi="Times New Roman" w:eastAsia="宋体" w:cs="Times New Roman"/>
                <w:sz w:val="21"/>
                <w:szCs w:val="21"/>
                <w:highlight w:val="none"/>
              </w:rPr>
            </w:pPr>
          </w:p>
        </w:tc>
        <w:tc>
          <w:tcPr>
            <w:tcW w:w="0" w:type="auto"/>
            <w:vMerge w:val="continue"/>
            <w:vAlign w:val="center"/>
          </w:tcPr>
          <w:p w14:paraId="3D0D8447">
            <w:pPr>
              <w:kinsoku w:val="0"/>
              <w:overflowPunct w:val="0"/>
              <w:autoSpaceDE w:val="0"/>
              <w:autoSpaceDN w:val="0"/>
              <w:adjustRightInd w:val="0"/>
              <w:jc w:val="center"/>
              <w:rPr>
                <w:rFonts w:ascii="Times New Roman" w:hAnsi="Times New Roman" w:eastAsia="宋体" w:cs="Times New Roman"/>
                <w:sz w:val="21"/>
                <w:szCs w:val="21"/>
                <w:highlight w:val="none"/>
              </w:rPr>
            </w:pPr>
          </w:p>
        </w:tc>
        <w:tc>
          <w:tcPr>
            <w:tcW w:w="1516" w:type="dxa"/>
            <w:gridSpan w:val="2"/>
            <w:vAlign w:val="center"/>
          </w:tcPr>
          <w:p w14:paraId="68D9530E">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综合污水处理</w:t>
            </w:r>
          </w:p>
        </w:tc>
        <w:tc>
          <w:tcPr>
            <w:tcW w:w="9970" w:type="dxa"/>
            <w:vAlign w:val="center"/>
          </w:tcPr>
          <w:p w14:paraId="37138DD5">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采用调节池+二级A/O+二沉池+混凝沉淀池工艺，处理预处理后的含油污水、合成废水、气化废水及其他生产装置产生的生产废水、生活污水等。处理规模</w:t>
            </w:r>
          </w:p>
          <w:p w14:paraId="3660D605">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1200m</w:t>
            </w:r>
            <w:r>
              <w:rPr>
                <w:rFonts w:ascii="Times New Roman" w:hAnsi="Times New Roman" w:eastAsia="宋体" w:cs="Times New Roman"/>
                <w:sz w:val="21"/>
                <w:szCs w:val="21"/>
                <w:highlight w:val="none"/>
                <w:vertAlign w:val="superscript"/>
              </w:rPr>
              <w:t>3</w:t>
            </w:r>
            <w:r>
              <w:rPr>
                <w:rFonts w:ascii="Times New Roman" w:hAnsi="Times New Roman" w:eastAsia="宋体" w:cs="Times New Roman"/>
                <w:sz w:val="21"/>
                <w:szCs w:val="21"/>
                <w:highlight w:val="none"/>
              </w:rPr>
              <w:t>/h。</w:t>
            </w:r>
          </w:p>
        </w:tc>
      </w:tr>
      <w:tr w14:paraId="1F473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6" w:hRule="atLeast"/>
          <w:jc w:val="center"/>
        </w:trPr>
        <w:tc>
          <w:tcPr>
            <w:tcW w:w="0" w:type="auto"/>
            <w:vMerge w:val="continue"/>
            <w:vAlign w:val="center"/>
          </w:tcPr>
          <w:p w14:paraId="675FE8B2">
            <w:pPr>
              <w:kinsoku w:val="0"/>
              <w:overflowPunct w:val="0"/>
              <w:autoSpaceDE w:val="0"/>
              <w:autoSpaceDN w:val="0"/>
              <w:adjustRightInd w:val="0"/>
              <w:jc w:val="center"/>
              <w:rPr>
                <w:rFonts w:ascii="Times New Roman" w:hAnsi="Times New Roman" w:eastAsia="宋体" w:cs="Times New Roman"/>
                <w:sz w:val="21"/>
                <w:szCs w:val="21"/>
                <w:highlight w:val="none"/>
              </w:rPr>
            </w:pPr>
          </w:p>
        </w:tc>
        <w:tc>
          <w:tcPr>
            <w:tcW w:w="0" w:type="auto"/>
            <w:vMerge w:val="continue"/>
            <w:vAlign w:val="center"/>
          </w:tcPr>
          <w:p w14:paraId="5D64DD23">
            <w:pPr>
              <w:kinsoku w:val="0"/>
              <w:overflowPunct w:val="0"/>
              <w:autoSpaceDE w:val="0"/>
              <w:autoSpaceDN w:val="0"/>
              <w:adjustRightInd w:val="0"/>
              <w:jc w:val="center"/>
              <w:rPr>
                <w:rFonts w:ascii="Times New Roman" w:hAnsi="Times New Roman" w:eastAsia="宋体" w:cs="Times New Roman"/>
                <w:sz w:val="21"/>
                <w:szCs w:val="21"/>
                <w:highlight w:val="none"/>
              </w:rPr>
            </w:pPr>
          </w:p>
        </w:tc>
        <w:tc>
          <w:tcPr>
            <w:tcW w:w="0" w:type="auto"/>
            <w:vMerge w:val="restart"/>
            <w:vAlign w:val="center"/>
          </w:tcPr>
          <w:p w14:paraId="7114D35D">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废水处理及回用</w:t>
            </w:r>
          </w:p>
        </w:tc>
        <w:tc>
          <w:tcPr>
            <w:tcW w:w="1516" w:type="dxa"/>
            <w:gridSpan w:val="2"/>
            <w:vAlign w:val="center"/>
          </w:tcPr>
          <w:p w14:paraId="7104ACD1">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生化合格</w:t>
            </w:r>
            <w:r>
              <w:rPr>
                <w:rFonts w:hint="eastAsia" w:cs="Times New Roman"/>
                <w:sz w:val="21"/>
                <w:szCs w:val="21"/>
                <w:highlight w:val="none"/>
                <w:lang w:eastAsia="zh-CN"/>
              </w:rPr>
              <w:t>后</w:t>
            </w:r>
            <w:r>
              <w:rPr>
                <w:rFonts w:ascii="Times New Roman" w:hAnsi="Times New Roman" w:eastAsia="宋体" w:cs="Times New Roman"/>
                <w:sz w:val="21"/>
                <w:szCs w:val="21"/>
                <w:highlight w:val="none"/>
              </w:rPr>
              <w:t>出水处理</w:t>
            </w:r>
          </w:p>
        </w:tc>
        <w:tc>
          <w:tcPr>
            <w:tcW w:w="9970" w:type="dxa"/>
            <w:vAlign w:val="center"/>
          </w:tcPr>
          <w:p w14:paraId="6ADD2D51">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采用自清洗过滤器+外压式UF+RO工艺，</w:t>
            </w:r>
            <w:r>
              <w:rPr>
                <w:rFonts w:hint="eastAsia" w:cs="Times New Roman"/>
                <w:sz w:val="21"/>
                <w:szCs w:val="21"/>
                <w:highlight w:val="none"/>
                <w:lang w:eastAsia="zh-CN"/>
              </w:rPr>
              <w:t>经过</w:t>
            </w:r>
            <w:r>
              <w:rPr>
                <w:rFonts w:ascii="Times New Roman" w:hAnsi="Times New Roman" w:eastAsia="宋体" w:cs="Times New Roman"/>
                <w:sz w:val="21"/>
                <w:szCs w:val="21"/>
                <w:highlight w:val="none"/>
              </w:rPr>
              <w:t>生化处理后合格出水。</w:t>
            </w:r>
          </w:p>
          <w:p w14:paraId="23F6B6C8">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处理规模1200m</w:t>
            </w:r>
            <w:r>
              <w:rPr>
                <w:rFonts w:ascii="Times New Roman" w:hAnsi="Times New Roman" w:eastAsia="宋体" w:cs="Times New Roman"/>
                <w:sz w:val="21"/>
                <w:szCs w:val="21"/>
                <w:highlight w:val="none"/>
                <w:vertAlign w:val="superscript"/>
              </w:rPr>
              <w:t>3</w:t>
            </w:r>
            <w:r>
              <w:rPr>
                <w:rFonts w:ascii="Times New Roman" w:hAnsi="Times New Roman" w:eastAsia="宋体" w:cs="Times New Roman"/>
                <w:sz w:val="21"/>
                <w:szCs w:val="21"/>
                <w:highlight w:val="none"/>
              </w:rPr>
              <w:t>/h（超滤净产水）。</w:t>
            </w:r>
          </w:p>
        </w:tc>
      </w:tr>
      <w:tr w14:paraId="4DB0F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7" w:hRule="atLeast"/>
          <w:jc w:val="center"/>
        </w:trPr>
        <w:tc>
          <w:tcPr>
            <w:tcW w:w="0" w:type="auto"/>
            <w:vMerge w:val="continue"/>
            <w:vAlign w:val="center"/>
          </w:tcPr>
          <w:p w14:paraId="01F21BD5">
            <w:pPr>
              <w:kinsoku w:val="0"/>
              <w:overflowPunct w:val="0"/>
              <w:autoSpaceDE w:val="0"/>
              <w:autoSpaceDN w:val="0"/>
              <w:adjustRightInd w:val="0"/>
              <w:jc w:val="center"/>
              <w:rPr>
                <w:rFonts w:ascii="Times New Roman" w:hAnsi="Times New Roman" w:eastAsia="宋体" w:cs="Times New Roman"/>
                <w:sz w:val="21"/>
                <w:szCs w:val="21"/>
                <w:highlight w:val="none"/>
              </w:rPr>
            </w:pPr>
          </w:p>
        </w:tc>
        <w:tc>
          <w:tcPr>
            <w:tcW w:w="0" w:type="auto"/>
            <w:vMerge w:val="continue"/>
            <w:vAlign w:val="center"/>
          </w:tcPr>
          <w:p w14:paraId="11D379E2">
            <w:pPr>
              <w:kinsoku w:val="0"/>
              <w:overflowPunct w:val="0"/>
              <w:autoSpaceDE w:val="0"/>
              <w:autoSpaceDN w:val="0"/>
              <w:adjustRightInd w:val="0"/>
              <w:jc w:val="center"/>
              <w:rPr>
                <w:rFonts w:ascii="Times New Roman" w:hAnsi="Times New Roman" w:eastAsia="宋体" w:cs="Times New Roman"/>
                <w:sz w:val="21"/>
                <w:szCs w:val="21"/>
                <w:highlight w:val="none"/>
              </w:rPr>
            </w:pPr>
          </w:p>
        </w:tc>
        <w:tc>
          <w:tcPr>
            <w:tcW w:w="0" w:type="auto"/>
            <w:vMerge w:val="continue"/>
            <w:vAlign w:val="center"/>
          </w:tcPr>
          <w:p w14:paraId="4559E710">
            <w:pPr>
              <w:kinsoku w:val="0"/>
              <w:overflowPunct w:val="0"/>
              <w:autoSpaceDE w:val="0"/>
              <w:autoSpaceDN w:val="0"/>
              <w:adjustRightInd w:val="0"/>
              <w:jc w:val="center"/>
              <w:rPr>
                <w:rFonts w:ascii="Times New Roman" w:hAnsi="Times New Roman" w:eastAsia="宋体" w:cs="Times New Roman"/>
                <w:sz w:val="21"/>
                <w:szCs w:val="21"/>
                <w:highlight w:val="none"/>
              </w:rPr>
            </w:pPr>
          </w:p>
        </w:tc>
        <w:tc>
          <w:tcPr>
            <w:tcW w:w="1516" w:type="dxa"/>
            <w:gridSpan w:val="2"/>
            <w:vAlign w:val="center"/>
          </w:tcPr>
          <w:p w14:paraId="18F18274">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清净废水处理</w:t>
            </w:r>
          </w:p>
        </w:tc>
        <w:tc>
          <w:tcPr>
            <w:tcW w:w="9970" w:type="dxa"/>
            <w:vAlign w:val="center"/>
          </w:tcPr>
          <w:p w14:paraId="05D33ABC">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采用高密度沉淀池+多介质过滤器+自清洗过滤器+外压式UF+RO工艺，处理开式循环水系统、化学水处理系统排</w:t>
            </w:r>
            <w:r>
              <w:rPr>
                <w:rFonts w:hint="eastAsia" w:cs="Times New Roman"/>
                <w:sz w:val="21"/>
                <w:szCs w:val="21"/>
                <w:highlight w:val="none"/>
                <w:lang w:eastAsia="zh-CN"/>
              </w:rPr>
              <w:t>放的</w:t>
            </w:r>
            <w:r>
              <w:rPr>
                <w:rFonts w:ascii="Times New Roman" w:hAnsi="Times New Roman" w:eastAsia="宋体" w:cs="Times New Roman"/>
                <w:sz w:val="21"/>
                <w:szCs w:val="21"/>
                <w:highlight w:val="none"/>
              </w:rPr>
              <w:t>含盐废水。处理规模</w:t>
            </w:r>
            <w:r>
              <w:rPr>
                <w:rFonts w:hint="eastAsia" w:cs="Times New Roman"/>
                <w:sz w:val="21"/>
                <w:szCs w:val="21"/>
                <w:highlight w:val="none"/>
                <w:lang w:eastAsia="zh-CN"/>
              </w:rPr>
              <w:t>为</w:t>
            </w:r>
            <w:r>
              <w:rPr>
                <w:rFonts w:ascii="Times New Roman" w:hAnsi="Times New Roman" w:eastAsia="宋体" w:cs="Times New Roman"/>
                <w:sz w:val="21"/>
                <w:szCs w:val="21"/>
                <w:highlight w:val="none"/>
              </w:rPr>
              <w:t>600m</w:t>
            </w:r>
            <w:r>
              <w:rPr>
                <w:rFonts w:ascii="Times New Roman" w:hAnsi="Times New Roman" w:eastAsia="宋体" w:cs="Times New Roman"/>
                <w:sz w:val="21"/>
                <w:szCs w:val="21"/>
                <w:highlight w:val="none"/>
                <w:vertAlign w:val="superscript"/>
              </w:rPr>
              <w:t>3</w:t>
            </w:r>
            <w:r>
              <w:rPr>
                <w:rFonts w:ascii="Times New Roman" w:hAnsi="Times New Roman" w:eastAsia="宋体" w:cs="Times New Roman"/>
                <w:sz w:val="21"/>
                <w:szCs w:val="21"/>
                <w:highlight w:val="none"/>
              </w:rPr>
              <w:t>/h（超滤净产水）。</w:t>
            </w:r>
          </w:p>
        </w:tc>
      </w:tr>
      <w:tr w14:paraId="40ACA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3" w:hRule="atLeast"/>
          <w:jc w:val="center"/>
        </w:trPr>
        <w:tc>
          <w:tcPr>
            <w:tcW w:w="0" w:type="auto"/>
            <w:vMerge w:val="continue"/>
            <w:vAlign w:val="center"/>
          </w:tcPr>
          <w:p w14:paraId="2B1669FC">
            <w:pPr>
              <w:kinsoku w:val="0"/>
              <w:overflowPunct w:val="0"/>
              <w:autoSpaceDE w:val="0"/>
              <w:autoSpaceDN w:val="0"/>
              <w:adjustRightInd w:val="0"/>
              <w:jc w:val="center"/>
              <w:rPr>
                <w:rFonts w:ascii="Times New Roman" w:hAnsi="Times New Roman" w:eastAsia="宋体" w:cs="Times New Roman"/>
                <w:sz w:val="21"/>
                <w:szCs w:val="21"/>
                <w:highlight w:val="none"/>
              </w:rPr>
            </w:pPr>
          </w:p>
        </w:tc>
        <w:tc>
          <w:tcPr>
            <w:tcW w:w="0" w:type="auto"/>
            <w:vMerge w:val="continue"/>
            <w:vAlign w:val="center"/>
          </w:tcPr>
          <w:p w14:paraId="0D894B1E">
            <w:pPr>
              <w:kinsoku w:val="0"/>
              <w:overflowPunct w:val="0"/>
              <w:autoSpaceDE w:val="0"/>
              <w:autoSpaceDN w:val="0"/>
              <w:adjustRightInd w:val="0"/>
              <w:jc w:val="center"/>
              <w:rPr>
                <w:rFonts w:ascii="Times New Roman" w:hAnsi="Times New Roman" w:eastAsia="宋体" w:cs="Times New Roman"/>
                <w:sz w:val="21"/>
                <w:szCs w:val="21"/>
                <w:highlight w:val="none"/>
              </w:rPr>
            </w:pPr>
          </w:p>
        </w:tc>
        <w:tc>
          <w:tcPr>
            <w:tcW w:w="0" w:type="auto"/>
            <w:vMerge w:val="restart"/>
            <w:vAlign w:val="center"/>
          </w:tcPr>
          <w:p w14:paraId="50679A49">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非正常工况</w:t>
            </w:r>
            <w:r>
              <w:rPr>
                <w:rFonts w:hint="eastAsia" w:cs="Times New Roman"/>
                <w:sz w:val="21"/>
                <w:szCs w:val="21"/>
                <w:highlight w:val="none"/>
                <w:lang w:eastAsia="zh-CN"/>
              </w:rPr>
              <w:t>下的</w:t>
            </w:r>
            <w:r>
              <w:rPr>
                <w:rFonts w:ascii="Times New Roman" w:hAnsi="Times New Roman" w:eastAsia="宋体" w:cs="Times New Roman"/>
                <w:sz w:val="21"/>
                <w:szCs w:val="21"/>
                <w:highlight w:val="none"/>
              </w:rPr>
              <w:t>污水控制措施</w:t>
            </w:r>
          </w:p>
        </w:tc>
        <w:tc>
          <w:tcPr>
            <w:tcW w:w="1516" w:type="dxa"/>
            <w:gridSpan w:val="2"/>
            <w:vAlign w:val="center"/>
          </w:tcPr>
          <w:p w14:paraId="28BA5EE6">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污水暂存</w:t>
            </w:r>
          </w:p>
        </w:tc>
        <w:tc>
          <w:tcPr>
            <w:tcW w:w="9970" w:type="dxa"/>
            <w:vAlign w:val="center"/>
          </w:tcPr>
          <w:p w14:paraId="07603662">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设污水暂存池，单独立项。设有机废水暂存池110000m</w:t>
            </w:r>
            <w:r>
              <w:rPr>
                <w:rFonts w:ascii="Times New Roman" w:hAnsi="Times New Roman" w:eastAsia="宋体" w:cs="Times New Roman"/>
                <w:sz w:val="21"/>
                <w:szCs w:val="21"/>
                <w:highlight w:val="none"/>
                <w:vertAlign w:val="superscript"/>
              </w:rPr>
              <w:t>3</w:t>
            </w:r>
            <w:r>
              <w:rPr>
                <w:rFonts w:ascii="Times New Roman" w:hAnsi="Times New Roman" w:eastAsia="宋体" w:cs="Times New Roman"/>
                <w:sz w:val="21"/>
                <w:szCs w:val="21"/>
                <w:highlight w:val="none"/>
              </w:rPr>
              <w:t>，合成废水暂存池60000m</w:t>
            </w:r>
            <w:r>
              <w:rPr>
                <w:rFonts w:ascii="Times New Roman" w:hAnsi="Times New Roman" w:eastAsia="宋体" w:cs="Times New Roman"/>
                <w:sz w:val="21"/>
                <w:szCs w:val="21"/>
                <w:highlight w:val="none"/>
                <w:vertAlign w:val="superscript"/>
              </w:rPr>
              <w:t>3</w:t>
            </w:r>
            <w:r>
              <w:rPr>
                <w:rFonts w:ascii="Times New Roman" w:hAnsi="Times New Roman" w:eastAsia="宋体" w:cs="Times New Roman"/>
                <w:sz w:val="21"/>
                <w:szCs w:val="21"/>
                <w:highlight w:val="none"/>
              </w:rPr>
              <w:t>，高含盐水暂存池60000m</w:t>
            </w:r>
            <w:r>
              <w:rPr>
                <w:rFonts w:ascii="Times New Roman" w:hAnsi="Times New Roman" w:eastAsia="宋体" w:cs="Times New Roman"/>
                <w:sz w:val="21"/>
                <w:szCs w:val="21"/>
                <w:highlight w:val="none"/>
                <w:vertAlign w:val="superscript"/>
              </w:rPr>
              <w:t>3</w:t>
            </w:r>
            <w:r>
              <w:rPr>
                <w:rFonts w:ascii="Times New Roman" w:hAnsi="Times New Roman" w:eastAsia="宋体" w:cs="Times New Roman"/>
                <w:sz w:val="21"/>
                <w:szCs w:val="21"/>
                <w:highlight w:val="none"/>
              </w:rPr>
              <w:t>，超高含盐废水暂存池10000m</w:t>
            </w:r>
            <w:r>
              <w:rPr>
                <w:rFonts w:ascii="Times New Roman" w:hAnsi="Times New Roman" w:eastAsia="宋体" w:cs="Times New Roman"/>
                <w:sz w:val="21"/>
                <w:szCs w:val="21"/>
                <w:highlight w:val="none"/>
                <w:vertAlign w:val="superscript"/>
              </w:rPr>
              <w:t>3</w:t>
            </w:r>
            <w:r>
              <w:rPr>
                <w:rFonts w:ascii="Times New Roman" w:hAnsi="Times New Roman" w:eastAsia="宋体" w:cs="Times New Roman"/>
                <w:sz w:val="21"/>
                <w:szCs w:val="21"/>
                <w:highlight w:val="none"/>
              </w:rPr>
              <w:t>。</w:t>
            </w:r>
          </w:p>
        </w:tc>
      </w:tr>
      <w:tr w14:paraId="55B66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atLeast"/>
          <w:jc w:val="center"/>
        </w:trPr>
        <w:tc>
          <w:tcPr>
            <w:tcW w:w="0" w:type="auto"/>
            <w:vMerge w:val="continue"/>
            <w:vAlign w:val="center"/>
          </w:tcPr>
          <w:p w14:paraId="6DF9F452">
            <w:pPr>
              <w:kinsoku w:val="0"/>
              <w:overflowPunct w:val="0"/>
              <w:autoSpaceDE w:val="0"/>
              <w:autoSpaceDN w:val="0"/>
              <w:adjustRightInd w:val="0"/>
              <w:jc w:val="center"/>
              <w:rPr>
                <w:rFonts w:ascii="Times New Roman" w:hAnsi="Times New Roman" w:eastAsia="宋体" w:cs="Times New Roman"/>
                <w:sz w:val="21"/>
                <w:szCs w:val="21"/>
                <w:highlight w:val="none"/>
              </w:rPr>
            </w:pPr>
          </w:p>
        </w:tc>
        <w:tc>
          <w:tcPr>
            <w:tcW w:w="0" w:type="auto"/>
            <w:vMerge w:val="continue"/>
            <w:vAlign w:val="center"/>
          </w:tcPr>
          <w:p w14:paraId="5611CF37">
            <w:pPr>
              <w:kinsoku w:val="0"/>
              <w:overflowPunct w:val="0"/>
              <w:autoSpaceDE w:val="0"/>
              <w:autoSpaceDN w:val="0"/>
              <w:adjustRightInd w:val="0"/>
              <w:jc w:val="center"/>
              <w:rPr>
                <w:rFonts w:ascii="Times New Roman" w:hAnsi="Times New Roman" w:eastAsia="宋体" w:cs="Times New Roman"/>
                <w:sz w:val="21"/>
                <w:szCs w:val="21"/>
                <w:highlight w:val="none"/>
              </w:rPr>
            </w:pPr>
          </w:p>
        </w:tc>
        <w:tc>
          <w:tcPr>
            <w:tcW w:w="0" w:type="auto"/>
            <w:vMerge w:val="continue"/>
            <w:vAlign w:val="center"/>
          </w:tcPr>
          <w:p w14:paraId="38044609">
            <w:pPr>
              <w:kinsoku w:val="0"/>
              <w:overflowPunct w:val="0"/>
              <w:autoSpaceDE w:val="0"/>
              <w:autoSpaceDN w:val="0"/>
              <w:adjustRightInd w:val="0"/>
              <w:jc w:val="center"/>
              <w:rPr>
                <w:rFonts w:ascii="Times New Roman" w:hAnsi="Times New Roman" w:eastAsia="宋体" w:cs="Times New Roman"/>
                <w:sz w:val="21"/>
                <w:szCs w:val="21"/>
                <w:highlight w:val="none"/>
              </w:rPr>
            </w:pPr>
          </w:p>
        </w:tc>
        <w:tc>
          <w:tcPr>
            <w:tcW w:w="1516" w:type="dxa"/>
            <w:gridSpan w:val="2"/>
            <w:vAlign w:val="center"/>
          </w:tcPr>
          <w:p w14:paraId="30819041">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事故水池</w:t>
            </w:r>
          </w:p>
        </w:tc>
        <w:tc>
          <w:tcPr>
            <w:tcW w:w="9970" w:type="dxa"/>
            <w:vAlign w:val="center"/>
          </w:tcPr>
          <w:p w14:paraId="0BD1B558">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厂区设1座事故水池，有效容积30000m</w:t>
            </w:r>
            <w:r>
              <w:rPr>
                <w:rFonts w:ascii="Times New Roman" w:hAnsi="Times New Roman" w:eastAsia="宋体" w:cs="Times New Roman"/>
                <w:sz w:val="21"/>
                <w:szCs w:val="21"/>
                <w:highlight w:val="none"/>
                <w:vertAlign w:val="superscript"/>
              </w:rPr>
              <w:t>3</w:t>
            </w:r>
            <w:r>
              <w:rPr>
                <w:rFonts w:ascii="Times New Roman" w:hAnsi="Times New Roman" w:eastAsia="宋体" w:cs="Times New Roman"/>
                <w:sz w:val="21"/>
                <w:szCs w:val="21"/>
                <w:highlight w:val="none"/>
              </w:rPr>
              <w:t>。</w:t>
            </w:r>
          </w:p>
        </w:tc>
      </w:tr>
      <w:tr w14:paraId="0E311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8" w:hRule="atLeast"/>
          <w:jc w:val="center"/>
        </w:trPr>
        <w:tc>
          <w:tcPr>
            <w:tcW w:w="0" w:type="auto"/>
            <w:vMerge w:val="continue"/>
            <w:vAlign w:val="center"/>
          </w:tcPr>
          <w:p w14:paraId="7B43A547">
            <w:pPr>
              <w:kinsoku w:val="0"/>
              <w:overflowPunct w:val="0"/>
              <w:autoSpaceDE w:val="0"/>
              <w:autoSpaceDN w:val="0"/>
              <w:adjustRightInd w:val="0"/>
              <w:jc w:val="center"/>
              <w:rPr>
                <w:rFonts w:ascii="Times New Roman" w:hAnsi="Times New Roman" w:eastAsia="宋体" w:cs="Times New Roman"/>
                <w:sz w:val="21"/>
                <w:szCs w:val="21"/>
                <w:highlight w:val="none"/>
              </w:rPr>
            </w:pPr>
          </w:p>
        </w:tc>
        <w:tc>
          <w:tcPr>
            <w:tcW w:w="0" w:type="auto"/>
            <w:vMerge w:val="continue"/>
            <w:vAlign w:val="center"/>
          </w:tcPr>
          <w:p w14:paraId="33470C6D">
            <w:pPr>
              <w:kinsoku w:val="0"/>
              <w:overflowPunct w:val="0"/>
              <w:autoSpaceDE w:val="0"/>
              <w:autoSpaceDN w:val="0"/>
              <w:adjustRightInd w:val="0"/>
              <w:jc w:val="center"/>
              <w:rPr>
                <w:rFonts w:ascii="Times New Roman" w:hAnsi="Times New Roman" w:eastAsia="宋体" w:cs="Times New Roman"/>
                <w:sz w:val="21"/>
                <w:szCs w:val="21"/>
                <w:highlight w:val="none"/>
              </w:rPr>
            </w:pPr>
          </w:p>
        </w:tc>
        <w:tc>
          <w:tcPr>
            <w:tcW w:w="2603" w:type="dxa"/>
            <w:gridSpan w:val="3"/>
            <w:vAlign w:val="center"/>
          </w:tcPr>
          <w:p w14:paraId="48100380">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初期雨水池</w:t>
            </w:r>
          </w:p>
        </w:tc>
        <w:tc>
          <w:tcPr>
            <w:tcW w:w="9970" w:type="dxa"/>
            <w:vAlign w:val="center"/>
          </w:tcPr>
          <w:p w14:paraId="7ADC890F">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厂区初期雨水池设置：污水处理装置1个，1280m</w:t>
            </w:r>
            <w:r>
              <w:rPr>
                <w:rFonts w:ascii="Times New Roman" w:hAnsi="Times New Roman" w:eastAsia="宋体" w:cs="Times New Roman"/>
                <w:sz w:val="21"/>
                <w:szCs w:val="21"/>
                <w:highlight w:val="none"/>
                <w:vertAlign w:val="superscript"/>
              </w:rPr>
              <w:t>3</w:t>
            </w:r>
            <w:r>
              <w:rPr>
                <w:rFonts w:ascii="Times New Roman" w:hAnsi="Times New Roman" w:eastAsia="宋体" w:cs="Times New Roman"/>
                <w:sz w:val="21"/>
                <w:szCs w:val="21"/>
                <w:highlight w:val="none"/>
              </w:rPr>
              <w:t>；</w:t>
            </w:r>
          </w:p>
          <w:p w14:paraId="42B31605">
            <w:pPr>
              <w:kinsoku w:val="0"/>
              <w:overflowPunct w:val="0"/>
              <w:autoSpaceDE w:val="0"/>
              <w:autoSpaceDN w:val="0"/>
              <w:adjustRightInd w:val="0"/>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净化装置1个，400m</w:t>
            </w:r>
            <w:r>
              <w:rPr>
                <w:rFonts w:ascii="Times New Roman" w:hAnsi="Times New Roman" w:eastAsia="宋体" w:cs="Times New Roman"/>
                <w:sz w:val="21"/>
                <w:szCs w:val="21"/>
                <w:highlight w:val="none"/>
                <w:vertAlign w:val="superscript"/>
              </w:rPr>
              <w:t>3</w:t>
            </w:r>
            <w:r>
              <w:rPr>
                <w:rFonts w:ascii="Times New Roman" w:hAnsi="Times New Roman" w:eastAsia="宋体" w:cs="Times New Roman"/>
                <w:sz w:val="21"/>
                <w:szCs w:val="21"/>
                <w:highlight w:val="none"/>
              </w:rPr>
              <w:t>；合成装置2</w:t>
            </w:r>
            <w:r>
              <w:rPr>
                <w:rFonts w:hint="eastAsia" w:ascii="Times New Roman" w:hAnsi="Times New Roman" w:eastAsia="宋体" w:cs="Times New Roman"/>
                <w:sz w:val="21"/>
                <w:szCs w:val="21"/>
                <w:highlight w:val="none"/>
                <w:lang w:val="en-US" w:eastAsia="zh-CN"/>
              </w:rPr>
              <w:t>个</w:t>
            </w:r>
            <w:r>
              <w:rPr>
                <w:rFonts w:ascii="Times New Roman" w:hAnsi="Times New Roman" w:eastAsia="宋体" w:cs="Times New Roman"/>
                <w:sz w:val="21"/>
                <w:szCs w:val="21"/>
                <w:highlight w:val="none"/>
              </w:rPr>
              <w:t>，费托合成单元雨水池150m</w:t>
            </w:r>
            <w:r>
              <w:rPr>
                <w:rFonts w:ascii="Times New Roman" w:hAnsi="Times New Roman" w:eastAsia="宋体" w:cs="Times New Roman"/>
                <w:sz w:val="21"/>
                <w:szCs w:val="21"/>
                <w:highlight w:val="none"/>
                <w:vertAlign w:val="superscript"/>
              </w:rPr>
              <w:t>3</w:t>
            </w:r>
            <w:r>
              <w:rPr>
                <w:rFonts w:ascii="Times New Roman" w:hAnsi="Times New Roman" w:eastAsia="宋体" w:cs="Times New Roman"/>
                <w:sz w:val="21"/>
                <w:szCs w:val="21"/>
                <w:highlight w:val="none"/>
              </w:rPr>
              <w:t>，蜡过滤单元雨水池150m</w:t>
            </w:r>
            <w:r>
              <w:rPr>
                <w:rFonts w:ascii="Times New Roman" w:hAnsi="Times New Roman" w:eastAsia="宋体" w:cs="Times New Roman"/>
                <w:sz w:val="21"/>
                <w:szCs w:val="21"/>
                <w:highlight w:val="none"/>
                <w:vertAlign w:val="superscript"/>
              </w:rPr>
              <w:t>3</w:t>
            </w:r>
            <w:r>
              <w:rPr>
                <w:rFonts w:ascii="Times New Roman" w:hAnsi="Times New Roman" w:eastAsia="宋体" w:cs="Times New Roman"/>
                <w:sz w:val="21"/>
                <w:szCs w:val="21"/>
                <w:highlight w:val="none"/>
              </w:rPr>
              <w:t>；加工装置</w:t>
            </w:r>
            <w:r>
              <w:rPr>
                <w:rFonts w:hint="eastAsia" w:ascii="Times New Roman" w:hAnsi="Times New Roman" w:eastAsia="宋体" w:cs="Times New Roman"/>
                <w:sz w:val="21"/>
                <w:szCs w:val="21"/>
                <w:highlight w:val="none"/>
                <w:lang w:val="en-US" w:eastAsia="zh-CN"/>
              </w:rPr>
              <w:t>3</w:t>
            </w:r>
            <w:r>
              <w:rPr>
                <w:rFonts w:ascii="Times New Roman" w:hAnsi="Times New Roman" w:eastAsia="宋体" w:cs="Times New Roman"/>
                <w:sz w:val="21"/>
                <w:szCs w:val="21"/>
                <w:highlight w:val="none"/>
              </w:rPr>
              <w:t>个，低温油洗单元雨水池120m</w:t>
            </w:r>
            <w:r>
              <w:rPr>
                <w:rFonts w:ascii="Times New Roman" w:hAnsi="Times New Roman" w:eastAsia="宋体" w:cs="Times New Roman"/>
                <w:sz w:val="21"/>
                <w:szCs w:val="21"/>
                <w:highlight w:val="none"/>
                <w:vertAlign w:val="superscript"/>
              </w:rPr>
              <w:t>3</w:t>
            </w:r>
            <w:r>
              <w:rPr>
                <w:rFonts w:ascii="Times New Roman" w:hAnsi="Times New Roman" w:eastAsia="宋体" w:cs="Times New Roman"/>
                <w:sz w:val="21"/>
                <w:szCs w:val="21"/>
                <w:highlight w:val="none"/>
              </w:rPr>
              <w:t>，合成水处理单元雨水池120m</w:t>
            </w:r>
            <w:r>
              <w:rPr>
                <w:rFonts w:ascii="Times New Roman" w:hAnsi="Times New Roman" w:eastAsia="宋体" w:cs="Times New Roman"/>
                <w:sz w:val="21"/>
                <w:szCs w:val="21"/>
                <w:highlight w:val="none"/>
                <w:vertAlign w:val="superscript"/>
              </w:rPr>
              <w:t>3</w:t>
            </w:r>
            <w:r>
              <w:rPr>
                <w:rFonts w:ascii="Times New Roman" w:hAnsi="Times New Roman" w:eastAsia="宋体" w:cs="Times New Roman"/>
                <w:sz w:val="21"/>
                <w:szCs w:val="21"/>
                <w:highlight w:val="none"/>
              </w:rPr>
              <w:t>，精制裂化单元雨水池160m3；液体物料储运系统4个，中间罐区南北各1个，液化气泵房1个，交易大厅西侧1个，以上4个都是476m</w:t>
            </w:r>
            <w:r>
              <w:rPr>
                <w:rFonts w:ascii="Times New Roman" w:hAnsi="Times New Roman" w:eastAsia="宋体" w:cs="Times New Roman"/>
                <w:sz w:val="21"/>
                <w:szCs w:val="21"/>
                <w:highlight w:val="none"/>
                <w:vertAlign w:val="superscript"/>
              </w:rPr>
              <w:t>3</w:t>
            </w:r>
            <w:r>
              <w:rPr>
                <w:rFonts w:ascii="Times New Roman" w:hAnsi="Times New Roman" w:eastAsia="宋体" w:cs="Times New Roman"/>
                <w:sz w:val="21"/>
                <w:szCs w:val="21"/>
                <w:highlight w:val="none"/>
              </w:rPr>
              <w:t>。</w:t>
            </w:r>
          </w:p>
        </w:tc>
      </w:tr>
    </w:tbl>
    <w:p w14:paraId="7B5A7F84">
      <w:pPr>
        <w:adjustRightInd w:val="0"/>
        <w:snapToGrid w:val="0"/>
        <w:jc w:val="center"/>
        <w:rPr>
          <w:rFonts w:hint="default" w:ascii="宋体" w:hAnsi="宋体" w:cs="宋体"/>
          <w:kern w:val="0"/>
          <w:sz w:val="24"/>
          <w:highlight w:val="none"/>
          <w:lang w:val="en-US" w:eastAsia="zh-CN"/>
        </w:rPr>
        <w:sectPr>
          <w:pgSz w:w="16838" w:h="11906" w:orient="landscape"/>
          <w:pgMar w:top="1701" w:right="1701" w:bottom="1701" w:left="1701" w:header="851" w:footer="1077" w:gutter="0"/>
          <w:pgNumType w:fmt="decimal"/>
          <w:cols w:space="720" w:num="1"/>
          <w:docGrid w:linePitch="312" w:charSpace="0"/>
        </w:sectPr>
      </w:pPr>
      <w:r>
        <w:rPr>
          <w:rFonts w:hint="eastAsia" w:ascii="宋体" w:hAnsi="宋体" w:cs="宋体"/>
          <w:kern w:val="0"/>
          <w:sz w:val="24"/>
          <w:highlight w:val="none"/>
          <w:lang w:val="en-US" w:eastAsia="zh-CN"/>
        </w:rPr>
        <w:t>经过现有设施的处理，项目所产生的废气、废水均可达标排放。</w:t>
      </w:r>
    </w:p>
    <w:tbl>
      <w:tblPr>
        <w:tblStyle w:val="19"/>
        <w:tblW w:w="889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8443"/>
      </w:tblGrid>
      <w:tr w14:paraId="6FDE10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35" w:hRule="atLeast"/>
          <w:jc w:val="center"/>
        </w:trPr>
        <w:tc>
          <w:tcPr>
            <w:tcW w:w="456" w:type="dxa"/>
            <w:noWrap w:val="0"/>
            <w:vAlign w:val="center"/>
          </w:tcPr>
          <w:p w14:paraId="1B1B6AB5">
            <w:pPr>
              <w:adjustRightInd w:val="0"/>
              <w:snapToGrid w:val="0"/>
              <w:jc w:val="center"/>
              <w:rPr>
                <w:rFonts w:ascii="宋体" w:hAnsi="宋体" w:cs="宋体"/>
                <w:kern w:val="0"/>
                <w:szCs w:val="21"/>
                <w:highlight w:val="none"/>
              </w:rPr>
            </w:pPr>
            <w:r>
              <w:rPr>
                <w:rFonts w:hint="eastAsia" w:ascii="宋体" w:hAnsi="宋体" w:cs="宋体"/>
                <w:kern w:val="0"/>
                <w:sz w:val="24"/>
                <w:highlight w:val="none"/>
              </w:rPr>
              <w:t>生态环境保护目标</w:t>
            </w:r>
          </w:p>
        </w:tc>
        <w:tc>
          <w:tcPr>
            <w:tcW w:w="8443" w:type="dxa"/>
            <w:noWrap w:val="0"/>
            <w:vAlign w:val="center"/>
          </w:tcPr>
          <w:p w14:paraId="6BF15499">
            <w:pPr>
              <w:pStyle w:val="11"/>
              <w:spacing w:before="0" w:after="0" w:line="360" w:lineRule="auto"/>
              <w:ind w:right="0" w:firstLine="480" w:firstLineChars="200"/>
              <w:rPr>
                <w:rFonts w:hint="default"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lang w:val="en-US" w:eastAsia="zh-CN"/>
              </w:rPr>
              <w:t>本项目施工期的环境影响要素主要包括大气、地表水、声环境等，运营期环境影响要素主要为环境风险。综合考虑施工期和运营期的环境影响，本项目主要环境保护目标如下：</w:t>
            </w:r>
          </w:p>
          <w:p w14:paraId="758D1FAE">
            <w:pPr>
              <w:pStyle w:val="11"/>
              <w:spacing w:before="0" w:after="0" w:line="360" w:lineRule="auto"/>
              <w:ind w:right="0" w:firstLine="480" w:firstLineChars="200"/>
              <w:rPr>
                <w:rFonts w:ascii="Times New Roman" w:hAnsi="Times New Roman" w:cs="Times New Roman"/>
                <w:kern w:val="2"/>
                <w:sz w:val="24"/>
                <w:szCs w:val="24"/>
                <w:highlight w:val="none"/>
              </w:rPr>
            </w:pPr>
            <w:r>
              <w:rPr>
                <w:rFonts w:hint="default" w:ascii="Times New Roman" w:hAnsi="Times New Roman" w:cs="Times New Roman"/>
                <w:kern w:val="2"/>
                <w:sz w:val="24"/>
                <w:szCs w:val="24"/>
                <w:highlight w:val="none"/>
              </w:rPr>
              <w:t>1</w:t>
            </w:r>
            <w:r>
              <w:rPr>
                <w:rFonts w:hint="eastAsia" w:ascii="Times New Roman" w:hAnsi="Times New Roman" w:cs="Times New Roman"/>
                <w:kern w:val="2"/>
                <w:sz w:val="24"/>
                <w:szCs w:val="24"/>
                <w:highlight w:val="none"/>
                <w:lang w:val="en-US" w:eastAsia="zh-CN"/>
              </w:rPr>
              <w:t>.</w:t>
            </w:r>
            <w:r>
              <w:rPr>
                <w:rFonts w:hint="default" w:ascii="Times New Roman" w:hAnsi="Times New Roman" w:cs="Times New Roman"/>
                <w:kern w:val="2"/>
                <w:sz w:val="24"/>
                <w:szCs w:val="24"/>
                <w:highlight w:val="none"/>
              </w:rPr>
              <w:t>生态环境</w:t>
            </w:r>
          </w:p>
          <w:p w14:paraId="361D081B">
            <w:pPr>
              <w:widowControl/>
              <w:spacing w:line="360" w:lineRule="auto"/>
              <w:ind w:firstLine="480" w:firstLineChars="200"/>
              <w:jc w:val="left"/>
              <w:rPr>
                <w:rFonts w:hint="default" w:ascii="Times New Roman" w:hAnsi="Times New Roman" w:eastAsia="宋体" w:cs="Times New Roman"/>
                <w:sz w:val="24"/>
                <w:highlight w:val="none"/>
                <w:lang w:val="en-US" w:eastAsia="zh-CN"/>
              </w:rPr>
            </w:pPr>
            <w:r>
              <w:rPr>
                <w:rFonts w:hint="default" w:ascii="Times New Roman" w:hAnsi="Times New Roman" w:eastAsia="宋体" w:cs="Times New Roman"/>
                <w:color w:val="000000"/>
                <w:kern w:val="0"/>
                <w:sz w:val="24"/>
                <w:szCs w:val="24"/>
                <w:highlight w:val="none"/>
              </w:rPr>
              <w:t>根据《环境影响评价技术导则 生态影响》（HJ19-2022），评价工作范围应依据评价项目对生态因子的影响方式、影响程度和生态因子之间的相互影响和相互依存关系确定，</w:t>
            </w:r>
            <w:r>
              <w:rPr>
                <w:rFonts w:hint="default" w:ascii="Times New Roman" w:hAnsi="Times New Roman" w:eastAsia="宋体" w:cs="Times New Roman"/>
                <w:color w:val="000000"/>
                <w:kern w:val="0"/>
                <w:sz w:val="24"/>
                <w:szCs w:val="24"/>
                <w:highlight w:val="none"/>
                <w:lang w:val="en-US" w:eastAsia="zh-CN"/>
              </w:rPr>
              <w:t>本项目为线性工程，不穿越导则定义的</w:t>
            </w:r>
            <w:r>
              <w:rPr>
                <w:rFonts w:hint="eastAsia" w:ascii="Times New Roman" w:hAnsi="Times New Roman" w:eastAsia="宋体" w:cs="Times New Roman"/>
                <w:color w:val="000000"/>
                <w:kern w:val="0"/>
                <w:sz w:val="24"/>
                <w:szCs w:val="24"/>
                <w:highlight w:val="none"/>
                <w:lang w:val="en-US" w:eastAsia="zh-CN"/>
              </w:rPr>
              <w:t>生态</w:t>
            </w:r>
            <w:r>
              <w:rPr>
                <w:rFonts w:hint="default" w:ascii="Times New Roman" w:hAnsi="Times New Roman" w:eastAsia="宋体" w:cs="Times New Roman"/>
                <w:color w:val="000000"/>
                <w:kern w:val="0"/>
                <w:sz w:val="24"/>
                <w:szCs w:val="24"/>
                <w:highlight w:val="none"/>
                <w:lang w:val="en-US" w:eastAsia="zh-CN"/>
              </w:rPr>
              <w:t>敏感区，生态</w:t>
            </w:r>
            <w:r>
              <w:rPr>
                <w:rFonts w:hint="eastAsia" w:cs="Times New Roman"/>
                <w:color w:val="000000"/>
                <w:kern w:val="0"/>
                <w:sz w:val="24"/>
                <w:szCs w:val="24"/>
                <w:highlight w:val="none"/>
                <w:lang w:val="en-US" w:eastAsia="zh-CN"/>
              </w:rPr>
              <w:t>分析</w:t>
            </w:r>
            <w:r>
              <w:rPr>
                <w:rFonts w:hint="default" w:ascii="Times New Roman" w:hAnsi="Times New Roman" w:eastAsia="宋体" w:cs="Times New Roman"/>
                <w:color w:val="000000"/>
                <w:kern w:val="0"/>
                <w:sz w:val="24"/>
                <w:szCs w:val="24"/>
                <w:highlight w:val="none"/>
              </w:rPr>
              <w:t>范围取</w:t>
            </w:r>
            <w:r>
              <w:rPr>
                <w:rFonts w:hint="default" w:ascii="Times New Roman" w:hAnsi="Times New Roman" w:eastAsia="宋体" w:cs="Times New Roman"/>
                <w:color w:val="000000"/>
                <w:kern w:val="0"/>
                <w:sz w:val="24"/>
                <w:szCs w:val="24"/>
                <w:highlight w:val="none"/>
                <w:lang w:val="en-US" w:eastAsia="zh-CN"/>
              </w:rPr>
              <w:t>线路中心线向两侧</w:t>
            </w:r>
            <w:r>
              <w:rPr>
                <w:rFonts w:hint="default" w:ascii="Times New Roman" w:hAnsi="Times New Roman" w:eastAsia="宋体" w:cs="Times New Roman"/>
                <w:color w:val="000000"/>
                <w:kern w:val="0"/>
                <w:sz w:val="24"/>
                <w:szCs w:val="24"/>
                <w:highlight w:val="none"/>
              </w:rPr>
              <w:t>用地外延300m范围。</w:t>
            </w:r>
            <w:r>
              <w:rPr>
                <w:rFonts w:hint="eastAsia"/>
                <w:color w:val="000000"/>
                <w:sz w:val="24"/>
                <w:szCs w:val="24"/>
                <w:highlight w:val="none"/>
                <w:lang w:val="en-US" w:eastAsia="zh-CN"/>
              </w:rPr>
              <w:t>范围内无国家公园、</w:t>
            </w:r>
            <w:r>
              <w:rPr>
                <w:color w:val="000000"/>
                <w:spacing w:val="4"/>
                <w:sz w:val="24"/>
                <w:szCs w:val="24"/>
                <w:highlight w:val="none"/>
              </w:rPr>
              <w:t>自然保护</w:t>
            </w:r>
            <w:r>
              <w:rPr>
                <w:rFonts w:hint="eastAsia"/>
                <w:color w:val="000000"/>
                <w:spacing w:val="4"/>
                <w:sz w:val="24"/>
                <w:szCs w:val="24"/>
                <w:highlight w:val="none"/>
                <w:lang w:val="en-US" w:eastAsia="zh-CN"/>
              </w:rPr>
              <w:t>区</w:t>
            </w:r>
            <w:r>
              <w:rPr>
                <w:rFonts w:hint="eastAsia"/>
                <w:color w:val="000000"/>
                <w:spacing w:val="4"/>
                <w:sz w:val="24"/>
                <w:szCs w:val="24"/>
                <w:highlight w:val="none"/>
                <w:lang w:eastAsia="zh-CN"/>
              </w:rPr>
              <w:t>、</w:t>
            </w:r>
            <w:r>
              <w:rPr>
                <w:rFonts w:hint="eastAsia"/>
                <w:color w:val="000000"/>
                <w:sz w:val="24"/>
                <w:szCs w:val="24"/>
                <w:highlight w:val="none"/>
                <w:lang w:val="en-US" w:eastAsia="zh-CN"/>
              </w:rPr>
              <w:t>自然公园等</w:t>
            </w:r>
            <w:r>
              <w:rPr>
                <w:rFonts w:hint="eastAsia"/>
                <w:color w:val="000000"/>
                <w:spacing w:val="4"/>
                <w:sz w:val="24"/>
                <w:szCs w:val="24"/>
                <w:highlight w:val="none"/>
                <w:lang w:val="en-US" w:eastAsia="zh-CN"/>
              </w:rPr>
              <w:t>自然保护地、</w:t>
            </w:r>
            <w:r>
              <w:rPr>
                <w:color w:val="000000"/>
                <w:spacing w:val="4"/>
                <w:sz w:val="24"/>
                <w:szCs w:val="24"/>
                <w:highlight w:val="none"/>
              </w:rPr>
              <w:t>生态保护红线</w:t>
            </w:r>
            <w:r>
              <w:rPr>
                <w:rFonts w:hint="eastAsia"/>
                <w:color w:val="000000"/>
                <w:spacing w:val="4"/>
                <w:sz w:val="24"/>
                <w:szCs w:val="24"/>
                <w:highlight w:val="none"/>
                <w:lang w:val="en-US" w:eastAsia="zh-CN"/>
              </w:rPr>
              <w:t>、重点保护野生动植物及栖息地。</w:t>
            </w:r>
          </w:p>
          <w:p w14:paraId="44A5C0D4">
            <w:pPr>
              <w:pStyle w:val="11"/>
              <w:spacing w:before="0" w:after="0" w:line="360" w:lineRule="auto"/>
              <w:ind w:right="0" w:firstLine="480" w:firstLineChars="200"/>
              <w:rPr>
                <w:rFonts w:ascii="Times New Roman" w:hAnsi="Times New Roman" w:cs="Times New Roman"/>
                <w:sz w:val="24"/>
                <w:szCs w:val="24"/>
                <w:highlight w:val="none"/>
              </w:rPr>
            </w:pPr>
            <w:r>
              <w:rPr>
                <w:rFonts w:hint="default" w:ascii="Times New Roman" w:hAnsi="Times New Roman" w:cs="Times New Roman"/>
                <w:sz w:val="24"/>
                <w:szCs w:val="24"/>
                <w:highlight w:val="none"/>
              </w:rPr>
              <w:t>2</w:t>
            </w:r>
            <w:r>
              <w:rPr>
                <w:rFonts w:hint="eastAsia" w:ascii="Times New Roman" w:hAnsi="Times New Roman" w:cs="Times New Roman"/>
                <w:sz w:val="24"/>
                <w:szCs w:val="24"/>
                <w:highlight w:val="none"/>
                <w:lang w:val="en-US" w:eastAsia="zh-CN"/>
              </w:rPr>
              <w:t>.</w:t>
            </w:r>
            <w:r>
              <w:rPr>
                <w:rFonts w:hint="default" w:ascii="Times New Roman" w:hAnsi="Times New Roman" w:cs="Times New Roman"/>
                <w:sz w:val="24"/>
                <w:szCs w:val="24"/>
                <w:highlight w:val="none"/>
              </w:rPr>
              <w:t>大气环境</w:t>
            </w:r>
          </w:p>
          <w:p w14:paraId="4CA42C68">
            <w:pPr>
              <w:widowControl/>
              <w:spacing w:line="360" w:lineRule="auto"/>
              <w:ind w:firstLine="480" w:firstLineChars="200"/>
              <w:jc w:val="left"/>
              <w:rPr>
                <w:rFonts w:hint="eastAsia" w:ascii="Times New Roman" w:hAnsi="Times New Roman" w:eastAsia="宋体" w:cs="Times New Roman"/>
                <w:sz w:val="24"/>
                <w:highlight w:val="none"/>
                <w:lang w:val="en-US" w:eastAsia="zh-CN"/>
              </w:rPr>
            </w:pPr>
            <w:r>
              <w:rPr>
                <w:rFonts w:hint="default" w:ascii="Times New Roman" w:hAnsi="Times New Roman" w:eastAsia="宋体" w:cs="Times New Roman"/>
                <w:sz w:val="24"/>
                <w:highlight w:val="none"/>
                <w:lang w:val="en-US" w:eastAsia="zh-CN"/>
              </w:rPr>
              <w:t>本项目施工期大气污染物</w:t>
            </w:r>
            <w:r>
              <w:rPr>
                <w:rFonts w:hint="eastAsia" w:ascii="Times New Roman" w:hAnsi="Times New Roman" w:eastAsia="宋体" w:cs="Times New Roman"/>
                <w:sz w:val="24"/>
                <w:highlight w:val="none"/>
                <w:lang w:val="en-US" w:eastAsia="zh-CN"/>
              </w:rPr>
              <w:t>：主要为施工扬尘及施工机械设备尾气、焊接烟气及涂漆废气等</w:t>
            </w:r>
            <w:r>
              <w:rPr>
                <w:rFonts w:hint="default" w:ascii="Times New Roman" w:hAnsi="Times New Roman" w:eastAsia="宋体" w:cs="Times New Roman"/>
                <w:sz w:val="24"/>
                <w:highlight w:val="none"/>
                <w:lang w:val="en-US" w:eastAsia="zh-CN"/>
              </w:rPr>
              <w:t>，但其排放量及排放浓度均具有不稳定性，且影响范围主要在施工场区附近；项目</w:t>
            </w:r>
            <w:r>
              <w:rPr>
                <w:rFonts w:hint="eastAsia" w:cs="Times New Roman"/>
                <w:sz w:val="24"/>
                <w:highlight w:val="none"/>
                <w:lang w:val="en-US" w:eastAsia="zh-CN"/>
              </w:rPr>
              <w:t>采用</w:t>
            </w:r>
            <w:r>
              <w:rPr>
                <w:rFonts w:hint="default" w:ascii="Times New Roman" w:hAnsi="Times New Roman" w:eastAsia="宋体" w:cs="Times New Roman"/>
                <w:sz w:val="24"/>
                <w:highlight w:val="none"/>
                <w:lang w:val="en-US" w:eastAsia="zh-CN"/>
              </w:rPr>
              <w:t>密闭管道输送，对环境影响较小，</w:t>
            </w:r>
            <w:r>
              <w:rPr>
                <w:rFonts w:hint="eastAsia" w:ascii="Times New Roman" w:hAnsi="Times New Roman" w:eastAsia="宋体" w:cs="Times New Roman"/>
                <w:sz w:val="24"/>
                <w:highlight w:val="none"/>
                <w:lang w:val="en-US" w:eastAsia="zh-CN"/>
              </w:rPr>
              <w:t>本项目运营期不产生废气，参照《环境影响评价技术导则 大气环境》（</w:t>
            </w:r>
            <w:r>
              <w:rPr>
                <w:rFonts w:hint="default" w:ascii="Times New Roman" w:hAnsi="Times New Roman" w:eastAsia="宋体" w:cs="Times New Roman"/>
                <w:sz w:val="24"/>
                <w:highlight w:val="none"/>
                <w:lang w:val="en-US" w:eastAsia="zh-CN"/>
              </w:rPr>
              <w:t>HJ2.2-2018</w:t>
            </w:r>
            <w:r>
              <w:rPr>
                <w:rFonts w:hint="eastAsia" w:ascii="Times New Roman" w:hAnsi="Times New Roman" w:eastAsia="宋体" w:cs="Times New Roman"/>
                <w:sz w:val="24"/>
                <w:highlight w:val="none"/>
                <w:lang w:val="en-US" w:eastAsia="zh-CN"/>
              </w:rPr>
              <w:t>），项目不设置大气环境影响评价范围。环境保护要求：确保项目所在区域环境空气质量不降低，满足环境功能区划要求。</w:t>
            </w:r>
          </w:p>
          <w:p w14:paraId="61228B77">
            <w:pPr>
              <w:pStyle w:val="11"/>
              <w:spacing w:before="0" w:after="0" w:line="360" w:lineRule="auto"/>
              <w:ind w:right="0" w:firstLine="480" w:firstLineChars="200"/>
              <w:rPr>
                <w:rFonts w:ascii="Times New Roman" w:hAnsi="Times New Roman" w:cs="Times New Roman"/>
                <w:sz w:val="24"/>
                <w:szCs w:val="24"/>
                <w:highlight w:val="none"/>
              </w:rPr>
            </w:pPr>
            <w:r>
              <w:rPr>
                <w:rFonts w:hint="eastAsia" w:ascii="Times New Roman" w:hAnsi="Times New Roman" w:cs="Times New Roman"/>
                <w:sz w:val="24"/>
                <w:szCs w:val="24"/>
                <w:highlight w:val="none"/>
                <w:lang w:val="en-US" w:eastAsia="zh-CN"/>
              </w:rPr>
              <w:t>3.</w:t>
            </w:r>
            <w:r>
              <w:rPr>
                <w:rFonts w:hint="default" w:ascii="Times New Roman" w:hAnsi="Times New Roman" w:cs="Times New Roman"/>
                <w:sz w:val="24"/>
                <w:szCs w:val="24"/>
                <w:highlight w:val="none"/>
              </w:rPr>
              <w:t>声环境</w:t>
            </w:r>
          </w:p>
          <w:p w14:paraId="56FB5536">
            <w:pPr>
              <w:adjustRightInd w:val="0"/>
              <w:snapToGrid w:val="0"/>
              <w:spacing w:line="360" w:lineRule="auto"/>
              <w:ind w:firstLine="480" w:firstLineChars="200"/>
              <w:rPr>
                <w:rFonts w:hint="default" w:ascii="Times New Roman" w:hAnsi="Times New Roman" w:cs="Times New Roman"/>
                <w:sz w:val="24"/>
                <w:highlight w:val="none"/>
              </w:rPr>
            </w:pPr>
            <w:r>
              <w:rPr>
                <w:rFonts w:hint="default" w:ascii="Times New Roman" w:hAnsi="Times New Roman" w:cs="Times New Roman"/>
                <w:sz w:val="24"/>
                <w:highlight w:val="none"/>
              </w:rPr>
              <w:t>参照《环境影响评价技术导则 声环境》</w:t>
            </w:r>
            <w:r>
              <w:rPr>
                <w:rFonts w:hint="eastAsia" w:cs="Times New Roman"/>
                <w:sz w:val="24"/>
                <w:highlight w:val="none"/>
                <w:lang w:eastAsia="zh-CN"/>
              </w:rPr>
              <w:t>（</w:t>
            </w:r>
            <w:r>
              <w:rPr>
                <w:rFonts w:hint="default" w:ascii="Times New Roman" w:hAnsi="Times New Roman" w:cs="Times New Roman"/>
                <w:sz w:val="24"/>
                <w:highlight w:val="none"/>
              </w:rPr>
              <w:t>HJ2.4-2021</w:t>
            </w:r>
            <w:r>
              <w:rPr>
                <w:rFonts w:hint="eastAsia" w:cs="Times New Roman"/>
                <w:sz w:val="24"/>
                <w:highlight w:val="none"/>
                <w:lang w:eastAsia="zh-CN"/>
              </w:rPr>
              <w:t>）</w:t>
            </w:r>
            <w:r>
              <w:rPr>
                <w:rFonts w:hint="default" w:ascii="Times New Roman" w:hAnsi="Times New Roman" w:cs="Times New Roman"/>
                <w:sz w:val="24"/>
                <w:highlight w:val="none"/>
              </w:rPr>
              <w:t>，声环境</w:t>
            </w:r>
            <w:r>
              <w:rPr>
                <w:rFonts w:hint="eastAsia" w:ascii="Times New Roman" w:hAnsi="Times New Roman" w:cs="Times New Roman"/>
                <w:sz w:val="24"/>
                <w:highlight w:val="none"/>
                <w:lang w:val="en-US" w:eastAsia="zh-CN"/>
              </w:rPr>
              <w:t>评价</w:t>
            </w:r>
            <w:r>
              <w:rPr>
                <w:rFonts w:hint="default" w:ascii="Times New Roman" w:hAnsi="Times New Roman" w:cs="Times New Roman"/>
                <w:sz w:val="24"/>
                <w:highlight w:val="none"/>
              </w:rPr>
              <w:t>范围确定为管道中心线两侧</w:t>
            </w:r>
            <w:r>
              <w:rPr>
                <w:rFonts w:hint="eastAsia" w:cs="Times New Roman"/>
                <w:sz w:val="24"/>
                <w:highlight w:val="none"/>
                <w:lang w:val="en-US" w:eastAsia="zh-CN"/>
              </w:rPr>
              <w:t>50</w:t>
            </w:r>
            <w:r>
              <w:rPr>
                <w:rFonts w:hint="default" w:ascii="Times New Roman" w:hAnsi="Times New Roman" w:cs="Times New Roman"/>
                <w:sz w:val="24"/>
                <w:highlight w:val="none"/>
              </w:rPr>
              <w:t>m范围。本项目沿线两侧</w:t>
            </w:r>
            <w:r>
              <w:rPr>
                <w:rFonts w:hint="eastAsia" w:cs="Times New Roman"/>
                <w:sz w:val="24"/>
                <w:highlight w:val="none"/>
                <w:lang w:val="en-US" w:eastAsia="zh-CN"/>
              </w:rPr>
              <w:t>50</w:t>
            </w:r>
            <w:r>
              <w:rPr>
                <w:rFonts w:hint="default" w:ascii="Times New Roman" w:hAnsi="Times New Roman" w:cs="Times New Roman"/>
                <w:sz w:val="24"/>
                <w:highlight w:val="none"/>
              </w:rPr>
              <w:t>m范围内无声环境保护目标。施工期和运营期确保项目管道中心线两侧</w:t>
            </w:r>
            <w:r>
              <w:rPr>
                <w:rFonts w:hint="eastAsia" w:cs="Times New Roman"/>
                <w:sz w:val="24"/>
                <w:highlight w:val="none"/>
                <w:lang w:val="en-US" w:eastAsia="zh-CN"/>
              </w:rPr>
              <w:t>50</w:t>
            </w:r>
            <w:r>
              <w:rPr>
                <w:rFonts w:hint="default" w:ascii="Times New Roman" w:hAnsi="Times New Roman" w:cs="Times New Roman"/>
                <w:sz w:val="24"/>
                <w:highlight w:val="none"/>
              </w:rPr>
              <w:t>m范围区域符合相应声环境功能区划要求，确保项目建设不发生噪声扰民现象。</w:t>
            </w:r>
          </w:p>
          <w:p w14:paraId="545BADEF">
            <w:pPr>
              <w:pStyle w:val="11"/>
              <w:spacing w:before="0" w:after="0" w:line="360" w:lineRule="auto"/>
              <w:ind w:right="0" w:firstLine="480" w:firstLineChars="200"/>
              <w:rPr>
                <w:rFonts w:ascii="Times New Roman" w:hAnsi="Times New Roman" w:cs="Times New Roman"/>
                <w:sz w:val="24"/>
                <w:szCs w:val="24"/>
                <w:highlight w:val="none"/>
              </w:rPr>
            </w:pPr>
            <w:r>
              <w:rPr>
                <w:rFonts w:hint="eastAsia" w:ascii="Times New Roman" w:hAnsi="Times New Roman" w:cs="Times New Roman"/>
                <w:sz w:val="24"/>
                <w:szCs w:val="24"/>
                <w:highlight w:val="none"/>
                <w:lang w:val="en-US" w:eastAsia="zh-CN"/>
              </w:rPr>
              <w:t>4.</w:t>
            </w:r>
            <w:r>
              <w:rPr>
                <w:rFonts w:hint="default" w:ascii="Times New Roman" w:hAnsi="Times New Roman" w:cs="Times New Roman"/>
                <w:sz w:val="24"/>
                <w:szCs w:val="24"/>
                <w:highlight w:val="none"/>
              </w:rPr>
              <w:t>地下水环境</w:t>
            </w:r>
          </w:p>
          <w:p w14:paraId="382A94AD">
            <w:pPr>
              <w:pStyle w:val="30"/>
              <w:ind w:firstLine="480"/>
              <w:rPr>
                <w:rFonts w:hint="eastAsia" w:cs="Times New Roman"/>
                <w:kern w:val="2"/>
                <w:highlight w:val="none"/>
                <w:lang w:val="en-US" w:eastAsia="zh-CN"/>
              </w:rPr>
            </w:pPr>
            <w:r>
              <w:rPr>
                <w:rFonts w:hint="default" w:ascii="Times New Roman" w:hAnsi="Times New Roman" w:cs="Times New Roman"/>
                <w:sz w:val="24"/>
                <w:highlight w:val="none"/>
              </w:rPr>
              <w:t>本项目周围</w:t>
            </w:r>
            <w:r>
              <w:rPr>
                <w:rFonts w:hint="eastAsia" w:cs="Times New Roman"/>
                <w:sz w:val="24"/>
                <w:highlight w:val="none"/>
                <w:lang w:val="en-US" w:eastAsia="zh-CN"/>
              </w:rPr>
              <w:t>5</w:t>
            </w:r>
            <w:r>
              <w:rPr>
                <w:rFonts w:ascii="Times New Roman" w:hAnsi="Times New Roman" w:cs="Times New Roman"/>
                <w:sz w:val="24"/>
                <w:highlight w:val="none"/>
              </w:rPr>
              <w:t>00</w:t>
            </w:r>
            <w:r>
              <w:rPr>
                <w:rFonts w:hint="default" w:ascii="Times New Roman" w:hAnsi="Times New Roman" w:cs="Times New Roman"/>
                <w:sz w:val="24"/>
                <w:highlight w:val="none"/>
              </w:rPr>
              <w:t>m内无地下水集中式饮用水水源和热水、矿泉水、温泉等特殊地下水资源。</w:t>
            </w:r>
            <w:r>
              <w:rPr>
                <w:rFonts w:hint="eastAsia" w:cs="Times New Roman"/>
                <w:kern w:val="2"/>
                <w:highlight w:val="none"/>
                <w:lang w:val="en-US" w:eastAsia="zh-CN"/>
              </w:rPr>
              <w:t>根据《环境影响评价技术导则 地下水环境》（HJ610-2016），项目属于“U城镇基础设施及房地产147、管网建设”报告表编制类别，</w:t>
            </w:r>
            <w:r>
              <w:rPr>
                <w:rFonts w:hint="eastAsia"/>
                <w:kern w:val="0"/>
                <w:sz w:val="24"/>
                <w:highlight w:val="none"/>
                <w:lang w:val="en-US" w:eastAsia="zh-CN"/>
              </w:rPr>
              <w:t>本次评价不</w:t>
            </w:r>
            <w:r>
              <w:rPr>
                <w:rFonts w:hint="eastAsia" w:cs="Times New Roman"/>
                <w:kern w:val="2"/>
                <w:highlight w:val="none"/>
                <w:lang w:val="en-US" w:eastAsia="zh-CN"/>
              </w:rPr>
              <w:t>开展地下水评价。</w:t>
            </w:r>
          </w:p>
          <w:p w14:paraId="0CBEB244">
            <w:pPr>
              <w:pStyle w:val="11"/>
              <w:spacing w:before="0" w:after="0" w:line="360" w:lineRule="auto"/>
              <w:ind w:right="0" w:firstLine="480" w:firstLineChars="200"/>
              <w:rPr>
                <w:rFonts w:ascii="Times New Roman" w:hAnsi="Times New Roman" w:cs="Times New Roman"/>
                <w:sz w:val="24"/>
                <w:szCs w:val="24"/>
                <w:highlight w:val="none"/>
              </w:rPr>
            </w:pPr>
            <w:r>
              <w:rPr>
                <w:rFonts w:hint="eastAsia" w:ascii="Times New Roman" w:hAnsi="Times New Roman" w:cs="Times New Roman"/>
                <w:sz w:val="24"/>
                <w:szCs w:val="24"/>
                <w:highlight w:val="none"/>
                <w:lang w:val="en-US" w:eastAsia="zh-CN"/>
              </w:rPr>
              <w:t>5.</w:t>
            </w:r>
            <w:r>
              <w:rPr>
                <w:rFonts w:hint="default" w:ascii="Times New Roman" w:hAnsi="Times New Roman" w:cs="Times New Roman"/>
                <w:sz w:val="24"/>
                <w:szCs w:val="24"/>
                <w:highlight w:val="none"/>
              </w:rPr>
              <w:t>地表水环境</w:t>
            </w:r>
          </w:p>
          <w:p w14:paraId="4F685631">
            <w:pPr>
              <w:pStyle w:val="11"/>
              <w:spacing w:before="0" w:after="0" w:line="360" w:lineRule="auto"/>
              <w:ind w:right="0" w:firstLine="480" w:firstLineChars="200"/>
              <w:rPr>
                <w:rFonts w:hint="default" w:ascii="Times New Roman" w:hAnsi="Times New Roman" w:eastAsia="宋体" w:cs="Times New Roman"/>
                <w:szCs w:val="24"/>
                <w:highlight w:val="none"/>
                <w:lang w:eastAsia="zh-CN"/>
              </w:rPr>
            </w:pPr>
            <w:r>
              <w:rPr>
                <w:rFonts w:ascii="Times New Roman" w:hAnsi="Times New Roman" w:eastAsia="宋体" w:cs="Times New Roman"/>
                <w:szCs w:val="24"/>
                <w:highlight w:val="none"/>
                <w:lang w:eastAsia="zh-CN"/>
              </w:rPr>
              <w:t>本项目属于生态类项目，施工期项目不新增职工及用水设施，无废水</w:t>
            </w:r>
            <w:r>
              <w:rPr>
                <w:rFonts w:hint="default" w:ascii="Times New Roman" w:hAnsi="Times New Roman" w:cs="Times New Roman"/>
                <w:szCs w:val="24"/>
                <w:highlight w:val="none"/>
                <w:lang w:val="en-US" w:eastAsia="zh-CN"/>
              </w:rPr>
              <w:t>产生</w:t>
            </w:r>
            <w:r>
              <w:rPr>
                <w:rFonts w:ascii="Times New Roman" w:hAnsi="Times New Roman" w:eastAsia="宋体" w:cs="Times New Roman"/>
                <w:szCs w:val="24"/>
                <w:highlight w:val="none"/>
                <w:lang w:eastAsia="zh-CN"/>
              </w:rPr>
              <w:t>，</w:t>
            </w:r>
            <w:r>
              <w:rPr>
                <w:rFonts w:hint="default" w:ascii="Times New Roman" w:hAnsi="Times New Roman" w:eastAsia="宋体" w:cs="Times New Roman"/>
                <w:color w:val="000000"/>
                <w:kern w:val="0"/>
                <w:sz w:val="24"/>
                <w:szCs w:val="24"/>
                <w:highlight w:val="none"/>
              </w:rPr>
              <w:t>根据《环境影响评价技术导则 地表水环境》</w:t>
            </w:r>
            <w:r>
              <w:rPr>
                <w:rFonts w:hint="default" w:ascii="Times New Roman" w:hAnsi="Times New Roman" w:cs="Times New Roman"/>
                <w:szCs w:val="24"/>
                <w:highlight w:val="none"/>
                <w:lang w:eastAsia="zh-CN"/>
              </w:rPr>
              <w:t>（</w:t>
            </w:r>
            <w:r>
              <w:rPr>
                <w:rFonts w:hint="default" w:ascii="Times New Roman" w:hAnsi="Times New Roman" w:eastAsia="宋体" w:cs="Times New Roman"/>
                <w:szCs w:val="24"/>
                <w:highlight w:val="none"/>
                <w:lang w:eastAsia="zh-CN"/>
              </w:rPr>
              <w:t>HJ 2.3—2018代替 HJ/T 2.3—93</w:t>
            </w:r>
            <w:r>
              <w:rPr>
                <w:rFonts w:hint="default" w:ascii="Times New Roman" w:hAnsi="Times New Roman" w:cs="Times New Roman"/>
                <w:szCs w:val="24"/>
                <w:highlight w:val="none"/>
                <w:lang w:eastAsia="zh-CN"/>
              </w:rPr>
              <w:t>）</w:t>
            </w:r>
            <w:r>
              <w:rPr>
                <w:rFonts w:hint="default" w:ascii="Times New Roman" w:hAnsi="Times New Roman" w:eastAsia="宋体" w:cs="Times New Roman"/>
                <w:szCs w:val="24"/>
                <w:highlight w:val="none"/>
                <w:lang w:eastAsia="zh-CN"/>
              </w:rPr>
              <w:t>，</w:t>
            </w:r>
            <w:r>
              <w:rPr>
                <w:rFonts w:ascii="Times New Roman" w:hAnsi="Times New Roman" w:eastAsia="宋体" w:cs="Times New Roman"/>
                <w:szCs w:val="24"/>
                <w:highlight w:val="none"/>
                <w:lang w:eastAsia="zh-CN"/>
              </w:rPr>
              <w:t>不会对地表水体产生影响，</w:t>
            </w:r>
            <w:r>
              <w:rPr>
                <w:rFonts w:hint="default" w:ascii="Times New Roman" w:hAnsi="Times New Roman" w:eastAsia="宋体" w:cs="Times New Roman"/>
                <w:sz w:val="24"/>
                <w:highlight w:val="none"/>
                <w:lang w:val="en-US" w:eastAsia="zh-CN"/>
              </w:rPr>
              <w:t>本次评价不开展地表水评价</w:t>
            </w:r>
            <w:r>
              <w:rPr>
                <w:rFonts w:hint="default" w:ascii="Times New Roman" w:hAnsi="Times New Roman" w:eastAsia="宋体" w:cs="Times New Roman"/>
                <w:szCs w:val="24"/>
                <w:highlight w:val="none"/>
                <w:lang w:eastAsia="zh-CN"/>
              </w:rPr>
              <w:t>。</w:t>
            </w:r>
          </w:p>
          <w:p w14:paraId="234F7583">
            <w:pPr>
              <w:adjustRightInd w:val="0"/>
              <w:snapToGrid w:val="0"/>
              <w:spacing w:line="360" w:lineRule="auto"/>
              <w:ind w:firstLine="480" w:firstLineChars="200"/>
              <w:rPr>
                <w:rFonts w:ascii="Times New Roman" w:hAnsi="Times New Roman" w:cs="Times New Roman"/>
                <w:sz w:val="24"/>
                <w:highlight w:val="none"/>
              </w:rPr>
            </w:pPr>
            <w:r>
              <w:rPr>
                <w:rFonts w:hint="default" w:ascii="Times New Roman" w:hAnsi="Times New Roman" w:cs="Times New Roman"/>
                <w:sz w:val="24"/>
                <w:highlight w:val="none"/>
              </w:rPr>
              <w:t>6</w:t>
            </w:r>
            <w:r>
              <w:rPr>
                <w:rFonts w:hint="eastAsia" w:cs="Times New Roman"/>
                <w:sz w:val="24"/>
                <w:highlight w:val="none"/>
                <w:lang w:val="en-US" w:eastAsia="zh-CN"/>
              </w:rPr>
              <w:t>.</w:t>
            </w:r>
            <w:r>
              <w:rPr>
                <w:rFonts w:hint="default" w:ascii="Times New Roman" w:hAnsi="Times New Roman" w:cs="Times New Roman"/>
                <w:sz w:val="24"/>
                <w:highlight w:val="none"/>
              </w:rPr>
              <w:t>土壤</w:t>
            </w:r>
          </w:p>
          <w:p w14:paraId="2EC98081">
            <w:pPr>
              <w:adjustRightInd w:val="0"/>
              <w:snapToGrid w:val="0"/>
              <w:spacing w:line="360" w:lineRule="auto"/>
              <w:ind w:firstLine="480" w:firstLineChars="200"/>
              <w:rPr>
                <w:rFonts w:hint="default" w:ascii="Times New Roman" w:hAnsi="Times New Roman" w:eastAsia="宋体" w:cs="Times New Roman"/>
                <w:sz w:val="24"/>
                <w:highlight w:val="none"/>
                <w:lang w:val="en-US" w:eastAsia="zh-CN"/>
              </w:rPr>
            </w:pPr>
            <w:r>
              <w:rPr>
                <w:rFonts w:hint="default" w:ascii="Times New Roman" w:hAnsi="Times New Roman" w:eastAsia="宋体" w:cs="Times New Roman"/>
                <w:sz w:val="24"/>
                <w:highlight w:val="none"/>
                <w:lang w:val="en-US" w:eastAsia="zh-CN"/>
              </w:rPr>
              <w:t>根据《环境影响评价技术导则 土壤环境》</w:t>
            </w:r>
            <w:r>
              <w:rPr>
                <w:rFonts w:hint="eastAsia" w:cs="Times New Roman"/>
                <w:sz w:val="24"/>
                <w:highlight w:val="none"/>
                <w:lang w:val="en-US" w:eastAsia="zh-CN"/>
              </w:rPr>
              <w:t>（</w:t>
            </w:r>
            <w:r>
              <w:rPr>
                <w:rFonts w:hint="default" w:ascii="Times New Roman" w:hAnsi="Times New Roman" w:eastAsia="宋体" w:cs="Times New Roman"/>
                <w:sz w:val="24"/>
                <w:highlight w:val="none"/>
                <w:lang w:val="en-US" w:eastAsia="zh-CN"/>
              </w:rPr>
              <w:t>HJ964-2018</w:t>
            </w:r>
            <w:r>
              <w:rPr>
                <w:rFonts w:hint="eastAsia" w:cs="Times New Roman"/>
                <w:sz w:val="24"/>
                <w:highlight w:val="none"/>
                <w:lang w:val="en-US" w:eastAsia="zh-CN"/>
              </w:rPr>
              <w:t>）</w:t>
            </w:r>
            <w:r>
              <w:rPr>
                <w:rFonts w:hint="default" w:ascii="Times New Roman" w:hAnsi="Times New Roman" w:eastAsia="宋体" w:cs="Times New Roman"/>
                <w:sz w:val="24"/>
                <w:highlight w:val="none"/>
                <w:lang w:val="en-US" w:eastAsia="zh-CN"/>
              </w:rPr>
              <w:t>，化学品输送管线应以工程边界两侧向外延伸0.2km作为调查评价范围，项目位于工业园区内，管道边界两侧向外延伸200m范围内为工业厂房及空地，无土壤环境敏感目标。环境保护要求</w:t>
            </w:r>
            <w:r>
              <w:rPr>
                <w:rFonts w:hint="eastAsia" w:cs="Times New Roman"/>
                <w:sz w:val="24"/>
                <w:highlight w:val="none"/>
                <w:lang w:val="en-US" w:eastAsia="zh-CN"/>
              </w:rPr>
              <w:t>：</w:t>
            </w:r>
            <w:r>
              <w:rPr>
                <w:rFonts w:hint="default" w:ascii="Times New Roman" w:hAnsi="Times New Roman" w:eastAsia="宋体" w:cs="Times New Roman"/>
                <w:sz w:val="24"/>
                <w:highlight w:val="none"/>
                <w:lang w:val="en-US" w:eastAsia="zh-CN"/>
              </w:rPr>
              <w:t>确保项目所在管道边界两侧向外延伸200m范围内土壤满足环境功能区划要求。</w:t>
            </w:r>
          </w:p>
          <w:p w14:paraId="4BA2D60C">
            <w:pPr>
              <w:adjustRightInd w:val="0"/>
              <w:snapToGrid w:val="0"/>
              <w:spacing w:line="360" w:lineRule="auto"/>
              <w:ind w:firstLine="480" w:firstLineChars="200"/>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本项目环境保护目标见表3-</w:t>
            </w:r>
            <w:r>
              <w:rPr>
                <w:rFonts w:hint="eastAsia" w:cs="Times New Roman"/>
                <w:sz w:val="24"/>
                <w:highlight w:val="none"/>
                <w:lang w:val="en-US" w:eastAsia="zh-CN"/>
              </w:rPr>
              <w:t>10</w:t>
            </w:r>
            <w:r>
              <w:rPr>
                <w:rFonts w:hint="default" w:ascii="Times New Roman" w:hAnsi="Times New Roman" w:eastAsia="宋体" w:cs="Times New Roman"/>
                <w:sz w:val="24"/>
                <w:highlight w:val="none"/>
              </w:rPr>
              <w:t>。</w:t>
            </w:r>
          </w:p>
          <w:p w14:paraId="74C15206">
            <w:pPr>
              <w:widowControl/>
              <w:adjustRightInd w:val="0"/>
              <w:snapToGrid w:val="0"/>
              <w:spacing w:line="360" w:lineRule="auto"/>
              <w:jc w:val="center"/>
              <w:outlineLvl w:val="9"/>
              <w:rPr>
                <w:rFonts w:hint="eastAsia" w:ascii="Times New Roman" w:hAnsi="Times New Roman" w:eastAsia="宋体" w:cs="Times New Roman"/>
                <w:b/>
                <w:bCs/>
                <w:sz w:val="21"/>
                <w:szCs w:val="21"/>
                <w:highlight w:val="none"/>
              </w:rPr>
            </w:pPr>
            <w:r>
              <w:rPr>
                <w:rFonts w:hint="eastAsia" w:ascii="Times New Roman" w:hAnsi="Times New Roman" w:eastAsia="宋体" w:cs="Times New Roman"/>
                <w:b/>
                <w:bCs/>
                <w:sz w:val="21"/>
                <w:szCs w:val="21"/>
                <w:highlight w:val="none"/>
              </w:rPr>
              <w:t>表3-</w:t>
            </w:r>
            <w:r>
              <w:rPr>
                <w:rFonts w:hint="eastAsia" w:cs="Times New Roman"/>
                <w:b/>
                <w:bCs/>
                <w:sz w:val="21"/>
                <w:szCs w:val="21"/>
                <w:highlight w:val="none"/>
                <w:lang w:val="en-US" w:eastAsia="zh-CN"/>
              </w:rPr>
              <w:t>10</w:t>
            </w:r>
            <w:r>
              <w:rPr>
                <w:rFonts w:hint="eastAsia" w:ascii="Times New Roman" w:hAnsi="Times New Roman" w:eastAsia="宋体" w:cs="Times New Roman"/>
                <w:b/>
                <w:bCs/>
                <w:sz w:val="21"/>
                <w:szCs w:val="21"/>
                <w:highlight w:val="none"/>
              </w:rPr>
              <w:t xml:space="preserve">   环境保护目标</w:t>
            </w:r>
          </w:p>
          <w:tbl>
            <w:tblPr>
              <w:tblStyle w:val="19"/>
              <w:tblW w:w="463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057"/>
              <w:gridCol w:w="3588"/>
              <w:gridCol w:w="2977"/>
            </w:tblGrid>
            <w:tr w14:paraId="2F1E1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blHeader/>
                <w:jc w:val="center"/>
              </w:trPr>
              <w:tc>
                <w:tcPr>
                  <w:tcW w:w="693" w:type="pct"/>
                  <w:noWrap w:val="0"/>
                  <w:tcMar>
                    <w:top w:w="28" w:type="dxa"/>
                    <w:left w:w="28" w:type="dxa"/>
                    <w:bottom w:w="28" w:type="dxa"/>
                    <w:right w:w="28" w:type="dxa"/>
                  </w:tcMar>
                  <w:vAlign w:val="center"/>
                </w:tcPr>
                <w:p w14:paraId="60E9F176">
                  <w:pPr>
                    <w:adjustRightInd w:val="0"/>
                    <w:snapToGrid w:val="0"/>
                    <w:jc w:val="center"/>
                    <w:rPr>
                      <w:rFonts w:ascii="Times New Roman" w:hAnsi="Times New Roman" w:cs="Times New Roman"/>
                      <w:b w:val="0"/>
                      <w:bCs w:val="0"/>
                      <w:highlight w:val="none"/>
                    </w:rPr>
                  </w:pPr>
                  <w:r>
                    <w:rPr>
                      <w:rFonts w:ascii="Times New Roman" w:hAnsi="Times New Roman" w:cs="Times New Roman"/>
                      <w:b w:val="0"/>
                      <w:bCs w:val="0"/>
                      <w:highlight w:val="none"/>
                    </w:rPr>
                    <w:t>环境要素</w:t>
                  </w:r>
                </w:p>
              </w:tc>
              <w:tc>
                <w:tcPr>
                  <w:tcW w:w="2353" w:type="pct"/>
                  <w:noWrap w:val="0"/>
                  <w:tcMar>
                    <w:top w:w="28" w:type="dxa"/>
                    <w:left w:w="28" w:type="dxa"/>
                    <w:bottom w:w="28" w:type="dxa"/>
                    <w:right w:w="28" w:type="dxa"/>
                  </w:tcMar>
                  <w:vAlign w:val="center"/>
                </w:tcPr>
                <w:p w14:paraId="28E5D206">
                  <w:pPr>
                    <w:adjustRightInd w:val="0"/>
                    <w:snapToGrid w:val="0"/>
                    <w:jc w:val="center"/>
                    <w:rPr>
                      <w:rFonts w:ascii="Times New Roman" w:hAnsi="Times New Roman" w:cs="Times New Roman"/>
                      <w:b w:val="0"/>
                      <w:bCs w:val="0"/>
                      <w:highlight w:val="none"/>
                    </w:rPr>
                  </w:pPr>
                  <w:r>
                    <w:rPr>
                      <w:rFonts w:ascii="Times New Roman" w:hAnsi="Times New Roman" w:cs="Times New Roman"/>
                      <w:b w:val="0"/>
                      <w:bCs w:val="0"/>
                      <w:highlight w:val="none"/>
                    </w:rPr>
                    <w:t>保护目标</w:t>
                  </w:r>
                </w:p>
              </w:tc>
              <w:tc>
                <w:tcPr>
                  <w:tcW w:w="1952" w:type="pct"/>
                  <w:noWrap w:val="0"/>
                  <w:tcMar>
                    <w:top w:w="28" w:type="dxa"/>
                    <w:left w:w="28" w:type="dxa"/>
                    <w:bottom w:w="28" w:type="dxa"/>
                    <w:right w:w="28" w:type="dxa"/>
                  </w:tcMar>
                  <w:vAlign w:val="center"/>
                </w:tcPr>
                <w:p w14:paraId="722E4164">
                  <w:pPr>
                    <w:adjustRightInd w:val="0"/>
                    <w:snapToGrid w:val="0"/>
                    <w:jc w:val="center"/>
                    <w:rPr>
                      <w:rFonts w:ascii="Times New Roman" w:hAnsi="Times New Roman" w:cs="Times New Roman"/>
                      <w:b w:val="0"/>
                      <w:bCs w:val="0"/>
                      <w:highlight w:val="none"/>
                    </w:rPr>
                  </w:pPr>
                  <w:r>
                    <w:rPr>
                      <w:rFonts w:ascii="Times New Roman" w:hAnsi="Times New Roman" w:cs="Times New Roman"/>
                      <w:b w:val="0"/>
                      <w:bCs w:val="0"/>
                      <w:highlight w:val="none"/>
                    </w:rPr>
                    <w:t>保护要求</w:t>
                  </w:r>
                </w:p>
              </w:tc>
            </w:tr>
            <w:tr w14:paraId="1B573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3" w:hRule="atLeast"/>
                <w:jc w:val="center"/>
              </w:trPr>
              <w:tc>
                <w:tcPr>
                  <w:tcW w:w="693" w:type="pct"/>
                  <w:noWrap w:val="0"/>
                  <w:tcMar>
                    <w:top w:w="28" w:type="dxa"/>
                    <w:left w:w="28" w:type="dxa"/>
                    <w:bottom w:w="28" w:type="dxa"/>
                    <w:right w:w="28" w:type="dxa"/>
                  </w:tcMar>
                  <w:vAlign w:val="center"/>
                </w:tcPr>
                <w:p w14:paraId="2B8923DE">
                  <w:pPr>
                    <w:adjustRightInd w:val="0"/>
                    <w:snapToGrid w:val="0"/>
                    <w:jc w:val="center"/>
                    <w:rPr>
                      <w:rFonts w:hint="default" w:ascii="Times New Roman" w:hAnsi="Times New Roman" w:eastAsia="宋体" w:cs="Times New Roman"/>
                      <w:highlight w:val="none"/>
                      <w:lang w:val="en-US" w:eastAsia="zh-CN"/>
                    </w:rPr>
                  </w:pPr>
                  <w:r>
                    <w:rPr>
                      <w:rFonts w:hint="eastAsia" w:cs="Times New Roman"/>
                      <w:highlight w:val="none"/>
                      <w:lang w:val="en-US" w:eastAsia="zh-CN"/>
                    </w:rPr>
                    <w:t>大气环境</w:t>
                  </w:r>
                </w:p>
              </w:tc>
              <w:tc>
                <w:tcPr>
                  <w:tcW w:w="2353" w:type="pct"/>
                  <w:noWrap w:val="0"/>
                  <w:tcMar>
                    <w:top w:w="28" w:type="dxa"/>
                    <w:left w:w="28" w:type="dxa"/>
                    <w:bottom w:w="28" w:type="dxa"/>
                    <w:right w:w="28" w:type="dxa"/>
                  </w:tcMar>
                  <w:vAlign w:val="center"/>
                </w:tcPr>
                <w:p w14:paraId="67CB1F89">
                  <w:pPr>
                    <w:adjustRightInd w:val="0"/>
                    <w:snapToGrid w:val="0"/>
                    <w:jc w:val="center"/>
                    <w:rPr>
                      <w:rFonts w:hint="default" w:ascii="Times New Roman" w:hAnsi="Times New Roman" w:eastAsia="宋体" w:cs="Times New Roman"/>
                      <w:highlight w:val="none"/>
                      <w:lang w:val="en-US" w:eastAsia="zh-CN"/>
                    </w:rPr>
                  </w:pPr>
                  <w:r>
                    <w:rPr>
                      <w:rFonts w:hint="eastAsia" w:cs="Times New Roman"/>
                      <w:highlight w:val="none"/>
                      <w:lang w:val="en-US" w:eastAsia="zh-CN"/>
                    </w:rPr>
                    <w:t>保护目标为项目区域环境空气质量。</w:t>
                  </w:r>
                </w:p>
              </w:tc>
              <w:tc>
                <w:tcPr>
                  <w:tcW w:w="1952" w:type="pct"/>
                  <w:noWrap w:val="0"/>
                  <w:tcMar>
                    <w:top w:w="28" w:type="dxa"/>
                    <w:left w:w="28" w:type="dxa"/>
                    <w:bottom w:w="28" w:type="dxa"/>
                    <w:right w:w="28" w:type="dxa"/>
                  </w:tcMar>
                  <w:vAlign w:val="center"/>
                </w:tcPr>
                <w:p w14:paraId="03E3A248">
                  <w:pPr>
                    <w:adjustRightInd w:val="0"/>
                    <w:snapToGrid w:val="0"/>
                    <w:jc w:val="center"/>
                    <w:rPr>
                      <w:rFonts w:hint="default" w:ascii="Times New Roman" w:hAnsi="Times New Roman" w:eastAsia="宋体" w:cs="Times New Roman"/>
                      <w:highlight w:val="none"/>
                      <w:lang w:val="en-US" w:eastAsia="zh-CN"/>
                    </w:rPr>
                  </w:pPr>
                  <w:r>
                    <w:rPr>
                      <w:rFonts w:hint="eastAsia" w:ascii="Times New Roman" w:hAnsi="Times New Roman" w:eastAsia="宋体" w:cs="Times New Roman"/>
                      <w:b w:val="0"/>
                      <w:bCs/>
                      <w:sz w:val="21"/>
                      <w:highlight w:val="none"/>
                      <w:lang w:val="en-US" w:eastAsia="zh-CN"/>
                    </w:rPr>
                    <w:t>《环境空气质量标准》</w:t>
                  </w:r>
                  <w:r>
                    <w:rPr>
                      <w:rFonts w:hint="eastAsia" w:cs="Times New Roman"/>
                      <w:b w:val="0"/>
                      <w:bCs/>
                      <w:sz w:val="21"/>
                      <w:highlight w:val="none"/>
                      <w:lang w:val="en-US" w:eastAsia="zh-CN"/>
                    </w:rPr>
                    <w:t>（</w:t>
                  </w:r>
                  <w:r>
                    <w:rPr>
                      <w:rFonts w:hint="eastAsia" w:ascii="Times New Roman" w:hAnsi="Times New Roman" w:eastAsia="宋体" w:cs="Times New Roman"/>
                      <w:b w:val="0"/>
                      <w:bCs/>
                      <w:sz w:val="21"/>
                      <w:highlight w:val="none"/>
                      <w:lang w:val="en-US" w:eastAsia="zh-CN"/>
                    </w:rPr>
                    <w:t>GB3095-2012</w:t>
                  </w:r>
                  <w:r>
                    <w:rPr>
                      <w:rFonts w:hint="eastAsia" w:cs="Times New Roman"/>
                      <w:b w:val="0"/>
                      <w:bCs/>
                      <w:sz w:val="21"/>
                      <w:highlight w:val="none"/>
                      <w:lang w:val="en-US" w:eastAsia="zh-CN"/>
                    </w:rPr>
                    <w:t>）</w:t>
                  </w:r>
                  <w:r>
                    <w:rPr>
                      <w:rFonts w:hint="eastAsia" w:ascii="Times New Roman" w:hAnsi="Times New Roman" w:eastAsia="宋体" w:cs="Times New Roman"/>
                      <w:b w:val="0"/>
                      <w:bCs/>
                      <w:sz w:val="21"/>
                      <w:highlight w:val="none"/>
                      <w:lang w:val="en-US" w:eastAsia="zh-CN"/>
                    </w:rPr>
                    <w:t>二级标准及其修改单</w:t>
                  </w:r>
                  <w:r>
                    <w:rPr>
                      <w:rFonts w:hint="eastAsia" w:cs="Times New Roman"/>
                      <w:b w:val="0"/>
                      <w:bCs/>
                      <w:sz w:val="21"/>
                      <w:highlight w:val="none"/>
                      <w:lang w:val="en-US" w:eastAsia="zh-CN"/>
                    </w:rPr>
                    <w:t>。</w:t>
                  </w:r>
                </w:p>
              </w:tc>
            </w:tr>
            <w:tr w14:paraId="27C90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3" w:hRule="atLeast"/>
                <w:jc w:val="center"/>
              </w:trPr>
              <w:tc>
                <w:tcPr>
                  <w:tcW w:w="693" w:type="pct"/>
                  <w:shd w:val="clear" w:color="auto" w:fill="auto"/>
                  <w:noWrap w:val="0"/>
                  <w:tcMar>
                    <w:top w:w="28" w:type="dxa"/>
                    <w:left w:w="28" w:type="dxa"/>
                    <w:bottom w:w="28" w:type="dxa"/>
                    <w:right w:w="28" w:type="dxa"/>
                  </w:tcMar>
                  <w:vAlign w:val="center"/>
                </w:tcPr>
                <w:p w14:paraId="6BCF47E5">
                  <w:pPr>
                    <w:adjustRightInd w:val="0"/>
                    <w:snapToGrid w:val="0"/>
                    <w:jc w:val="center"/>
                    <w:rPr>
                      <w:rFonts w:ascii="Times New Roman" w:hAnsi="Times New Roman" w:eastAsia="宋体" w:cs="Times New Roman"/>
                      <w:kern w:val="2"/>
                      <w:sz w:val="21"/>
                      <w:szCs w:val="24"/>
                      <w:highlight w:val="none"/>
                      <w:lang w:val="en-US" w:eastAsia="zh-CN" w:bidi="ar-SA"/>
                    </w:rPr>
                  </w:pPr>
                  <w:r>
                    <w:rPr>
                      <w:rFonts w:ascii="Times New Roman" w:hAnsi="Times New Roman" w:cs="Times New Roman"/>
                      <w:highlight w:val="none"/>
                    </w:rPr>
                    <w:t>声环境</w:t>
                  </w:r>
                </w:p>
              </w:tc>
              <w:tc>
                <w:tcPr>
                  <w:tcW w:w="2353" w:type="pct"/>
                  <w:shd w:val="clear" w:color="auto" w:fill="auto"/>
                  <w:noWrap w:val="0"/>
                  <w:tcMar>
                    <w:top w:w="28" w:type="dxa"/>
                    <w:left w:w="28" w:type="dxa"/>
                    <w:bottom w:w="28" w:type="dxa"/>
                    <w:right w:w="28" w:type="dxa"/>
                  </w:tcMar>
                  <w:vAlign w:val="center"/>
                </w:tcPr>
                <w:p w14:paraId="016D9CF5">
                  <w:pPr>
                    <w:adjustRightInd w:val="0"/>
                    <w:snapToGrid w:val="0"/>
                    <w:jc w:val="center"/>
                    <w:rPr>
                      <w:rFonts w:hint="default" w:ascii="Times New Roman" w:hAnsi="Times New Roman" w:eastAsia="宋体" w:cs="Times New Roman"/>
                      <w:kern w:val="2"/>
                      <w:sz w:val="21"/>
                      <w:szCs w:val="24"/>
                      <w:highlight w:val="none"/>
                      <w:lang w:val="en-US" w:eastAsia="zh-CN" w:bidi="ar-SA"/>
                    </w:rPr>
                  </w:pPr>
                  <w:r>
                    <w:rPr>
                      <w:rFonts w:ascii="Times New Roman" w:hAnsi="Times New Roman" w:cs="Times New Roman"/>
                      <w:highlight w:val="none"/>
                    </w:rPr>
                    <w:t>项目厂界外</w:t>
                  </w:r>
                  <w:r>
                    <w:rPr>
                      <w:rFonts w:hint="eastAsia" w:cs="Times New Roman"/>
                      <w:highlight w:val="none"/>
                      <w:lang w:val="en-US" w:eastAsia="zh-CN"/>
                    </w:rPr>
                    <w:t>50</w:t>
                  </w:r>
                  <w:r>
                    <w:rPr>
                      <w:rFonts w:ascii="Times New Roman" w:hAnsi="Times New Roman" w:cs="Times New Roman"/>
                      <w:highlight w:val="none"/>
                    </w:rPr>
                    <w:t>m范围内无声环境保护目标</w:t>
                  </w:r>
                  <w:r>
                    <w:rPr>
                      <w:rFonts w:hint="eastAsia" w:ascii="Times New Roman" w:hAnsi="Times New Roman" w:cs="Times New Roman"/>
                      <w:highlight w:val="none"/>
                      <w:lang w:eastAsia="zh-CN"/>
                    </w:rPr>
                    <w:t>，</w:t>
                  </w:r>
                  <w:r>
                    <w:rPr>
                      <w:rFonts w:hint="eastAsia" w:ascii="Times New Roman" w:hAnsi="Times New Roman" w:cs="Times New Roman"/>
                      <w:highlight w:val="none"/>
                      <w:lang w:val="en-US" w:eastAsia="zh-CN"/>
                    </w:rPr>
                    <w:t>保护目标为评价范围内声环境</w:t>
                  </w:r>
                  <w:r>
                    <w:rPr>
                      <w:rFonts w:hint="eastAsia" w:cs="Times New Roman"/>
                      <w:highlight w:val="none"/>
                      <w:lang w:val="en-US" w:eastAsia="zh-CN"/>
                    </w:rPr>
                    <w:t>。</w:t>
                  </w:r>
                </w:p>
              </w:tc>
              <w:tc>
                <w:tcPr>
                  <w:tcW w:w="1952" w:type="pct"/>
                  <w:shd w:val="clear" w:color="auto" w:fill="auto"/>
                  <w:noWrap w:val="0"/>
                  <w:tcMar>
                    <w:top w:w="28" w:type="dxa"/>
                    <w:left w:w="28" w:type="dxa"/>
                    <w:bottom w:w="28" w:type="dxa"/>
                    <w:right w:w="28" w:type="dxa"/>
                  </w:tcMar>
                  <w:vAlign w:val="center"/>
                </w:tcPr>
                <w:p w14:paraId="112372C4">
                  <w:pPr>
                    <w:adjustRightInd w:val="0"/>
                    <w:snapToGrid w:val="0"/>
                    <w:jc w:val="center"/>
                    <w:rPr>
                      <w:rFonts w:hint="eastAsia" w:ascii="Times New Roman" w:hAnsi="Times New Roman" w:eastAsia="宋体" w:cs="Times New Roman"/>
                      <w:kern w:val="2"/>
                      <w:sz w:val="21"/>
                      <w:szCs w:val="24"/>
                      <w:highlight w:val="none"/>
                      <w:lang w:val="en-US" w:eastAsia="zh-CN" w:bidi="ar-SA"/>
                    </w:rPr>
                  </w:pPr>
                  <w:r>
                    <w:rPr>
                      <w:rFonts w:ascii="Times New Roman" w:hAnsi="Times New Roman" w:cs="Times New Roman"/>
                      <w:highlight w:val="none"/>
                    </w:rPr>
                    <w:t>《声环境质量标准》（GB3096-2008）3类标准</w:t>
                  </w:r>
                  <w:r>
                    <w:rPr>
                      <w:rFonts w:hint="eastAsia" w:cs="Times New Roman"/>
                      <w:highlight w:val="none"/>
                      <w:lang w:eastAsia="zh-CN"/>
                    </w:rPr>
                    <w:t>。</w:t>
                  </w:r>
                </w:p>
              </w:tc>
            </w:tr>
            <w:tr w14:paraId="209F0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3" w:hRule="atLeast"/>
                <w:jc w:val="center"/>
              </w:trPr>
              <w:tc>
                <w:tcPr>
                  <w:tcW w:w="693" w:type="pct"/>
                  <w:noWrap w:val="0"/>
                  <w:tcMar>
                    <w:top w:w="28" w:type="dxa"/>
                    <w:left w:w="28" w:type="dxa"/>
                    <w:bottom w:w="28" w:type="dxa"/>
                    <w:right w:w="28" w:type="dxa"/>
                  </w:tcMar>
                  <w:vAlign w:val="center"/>
                </w:tcPr>
                <w:p w14:paraId="48147DD1">
                  <w:pPr>
                    <w:adjustRightInd w:val="0"/>
                    <w:snapToGrid w:val="0"/>
                    <w:jc w:val="center"/>
                    <w:rPr>
                      <w:rFonts w:ascii="Times New Roman" w:hAnsi="Times New Roman" w:cs="Times New Roman"/>
                      <w:highlight w:val="none"/>
                    </w:rPr>
                  </w:pPr>
                  <w:r>
                    <w:rPr>
                      <w:rFonts w:hint="eastAsia" w:cs="Times New Roman"/>
                      <w:highlight w:val="none"/>
                      <w:lang w:val="en-US" w:eastAsia="zh-CN"/>
                    </w:rPr>
                    <w:t>生态</w:t>
                  </w:r>
                  <w:r>
                    <w:rPr>
                      <w:rFonts w:ascii="Times New Roman" w:hAnsi="Times New Roman" w:cs="Times New Roman"/>
                      <w:highlight w:val="none"/>
                    </w:rPr>
                    <w:t>环境</w:t>
                  </w:r>
                </w:p>
              </w:tc>
              <w:tc>
                <w:tcPr>
                  <w:tcW w:w="2353" w:type="pct"/>
                  <w:noWrap w:val="0"/>
                  <w:tcMar>
                    <w:top w:w="28" w:type="dxa"/>
                    <w:left w:w="28" w:type="dxa"/>
                    <w:bottom w:w="28" w:type="dxa"/>
                    <w:right w:w="28" w:type="dxa"/>
                  </w:tcMar>
                  <w:vAlign w:val="center"/>
                </w:tcPr>
                <w:p w14:paraId="733DFE03">
                  <w:pPr>
                    <w:adjustRightInd w:val="0"/>
                    <w:snapToGrid w:val="0"/>
                    <w:jc w:val="center"/>
                    <w:rPr>
                      <w:rFonts w:hint="default" w:ascii="Times New Roman" w:hAnsi="Times New Roman" w:cs="Times New Roman"/>
                      <w:highlight w:val="none"/>
                      <w:lang w:val="en-US"/>
                    </w:rPr>
                  </w:pPr>
                  <w:r>
                    <w:rPr>
                      <w:rFonts w:hint="default" w:ascii="Times New Roman" w:hAnsi="Times New Roman" w:cs="Times New Roman"/>
                      <w:highlight w:val="none"/>
                      <w:lang w:val="en-US" w:eastAsia="zh-CN"/>
                    </w:rPr>
                    <w:t>线路中心线向两侧</w:t>
                  </w:r>
                  <w:r>
                    <w:rPr>
                      <w:rFonts w:hint="default" w:ascii="Times New Roman" w:hAnsi="Times New Roman" w:cs="Times New Roman"/>
                      <w:highlight w:val="none"/>
                    </w:rPr>
                    <w:t>用地外延300m范围</w:t>
                  </w:r>
                  <w:r>
                    <w:rPr>
                      <w:rFonts w:hint="eastAsia" w:cs="Times New Roman"/>
                      <w:highlight w:val="none"/>
                      <w:lang w:val="en-US" w:eastAsia="zh-CN"/>
                    </w:rPr>
                    <w:t>内的天然牧草地。</w:t>
                  </w:r>
                </w:p>
              </w:tc>
              <w:tc>
                <w:tcPr>
                  <w:tcW w:w="1952" w:type="pct"/>
                  <w:noWrap w:val="0"/>
                  <w:tcMar>
                    <w:top w:w="28" w:type="dxa"/>
                    <w:left w:w="28" w:type="dxa"/>
                    <w:bottom w:w="28" w:type="dxa"/>
                    <w:right w:w="28" w:type="dxa"/>
                  </w:tcMar>
                  <w:vAlign w:val="center"/>
                </w:tcPr>
                <w:p w14:paraId="0B62458A">
                  <w:pPr>
                    <w:adjustRightInd w:val="0"/>
                    <w:snapToGrid w:val="0"/>
                    <w:jc w:val="center"/>
                    <w:rPr>
                      <w:rFonts w:hint="default" w:ascii="Times New Roman" w:hAnsi="Times New Roman" w:eastAsia="宋体" w:cs="Times New Roman"/>
                      <w:highlight w:val="none"/>
                      <w:lang w:val="en-US" w:eastAsia="zh-CN"/>
                    </w:rPr>
                  </w:pPr>
                  <w:r>
                    <w:rPr>
                      <w:rFonts w:hint="default" w:ascii="Times New Roman" w:hAnsi="Times New Roman" w:eastAsia="宋体" w:cs="Times New Roman"/>
                      <w:b w:val="0"/>
                      <w:bCs/>
                      <w:sz w:val="21"/>
                      <w:highlight w:val="none"/>
                      <w:lang w:val="en-US" w:eastAsia="zh-CN"/>
                    </w:rPr>
                    <w:t>植被多样性不被破坏</w:t>
                  </w:r>
                  <w:r>
                    <w:rPr>
                      <w:rFonts w:hint="eastAsia" w:ascii="Times New Roman" w:hAnsi="Times New Roman" w:eastAsia="宋体" w:cs="Times New Roman"/>
                      <w:b w:val="0"/>
                      <w:bCs/>
                      <w:sz w:val="21"/>
                      <w:highlight w:val="none"/>
                      <w:lang w:val="en-US" w:eastAsia="zh-CN"/>
                    </w:rPr>
                    <w:t>。生态功能不降低、性质不改变。</w:t>
                  </w:r>
                </w:p>
              </w:tc>
            </w:tr>
            <w:tr w14:paraId="2934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693" w:type="pct"/>
                  <w:noWrap w:val="0"/>
                  <w:tcMar>
                    <w:top w:w="28" w:type="dxa"/>
                    <w:left w:w="28" w:type="dxa"/>
                    <w:bottom w:w="28" w:type="dxa"/>
                    <w:right w:w="28" w:type="dxa"/>
                  </w:tcMar>
                  <w:vAlign w:val="center"/>
                </w:tcPr>
                <w:p w14:paraId="5F3DD709">
                  <w:pPr>
                    <w:adjustRightInd w:val="0"/>
                    <w:snapToGrid w:val="0"/>
                    <w:jc w:val="center"/>
                    <w:rPr>
                      <w:rFonts w:hint="default" w:cs="Times New Roman"/>
                      <w:highlight w:val="none"/>
                      <w:lang w:val="en-US" w:eastAsia="zh-CN"/>
                    </w:rPr>
                  </w:pPr>
                  <w:r>
                    <w:rPr>
                      <w:rFonts w:hint="eastAsia" w:cs="Times New Roman"/>
                      <w:highlight w:val="none"/>
                      <w:lang w:val="en-US" w:eastAsia="zh-CN"/>
                    </w:rPr>
                    <w:t>土壤环境</w:t>
                  </w:r>
                </w:p>
              </w:tc>
              <w:tc>
                <w:tcPr>
                  <w:tcW w:w="2353" w:type="pct"/>
                  <w:noWrap w:val="0"/>
                  <w:tcMar>
                    <w:top w:w="28" w:type="dxa"/>
                    <w:left w:w="28" w:type="dxa"/>
                    <w:bottom w:w="28" w:type="dxa"/>
                    <w:right w:w="28" w:type="dxa"/>
                  </w:tcMar>
                  <w:vAlign w:val="center"/>
                </w:tcPr>
                <w:p w14:paraId="1EDA7E3F">
                  <w:pPr>
                    <w:adjustRightInd w:val="0"/>
                    <w:snapToGrid w:val="0"/>
                    <w:jc w:val="center"/>
                    <w:rPr>
                      <w:rFonts w:hint="eastAsia" w:ascii="Times New Roman" w:hAnsi="Times New Roman" w:eastAsia="宋体" w:cs="Times New Roman"/>
                      <w:highlight w:val="none"/>
                      <w:lang w:val="en-US" w:eastAsia="zh-CN"/>
                    </w:rPr>
                  </w:pPr>
                  <w:r>
                    <w:rPr>
                      <w:rFonts w:hint="eastAsia" w:cs="Times New Roman"/>
                      <w:highlight w:val="none"/>
                      <w:lang w:val="en-US" w:eastAsia="zh-CN"/>
                    </w:rPr>
                    <w:t>项目区</w:t>
                  </w:r>
                  <w:r>
                    <w:rPr>
                      <w:rFonts w:ascii="Times New Roman" w:hAnsi="Times New Roman" w:cs="Times New Roman"/>
                      <w:highlight w:val="none"/>
                    </w:rPr>
                    <w:t>外</w:t>
                  </w:r>
                  <w:r>
                    <w:rPr>
                      <w:rFonts w:hint="eastAsia" w:cs="Times New Roman"/>
                      <w:highlight w:val="none"/>
                      <w:lang w:val="en-US" w:eastAsia="zh-CN"/>
                    </w:rPr>
                    <w:t>200</w:t>
                  </w:r>
                  <w:r>
                    <w:rPr>
                      <w:rFonts w:ascii="Times New Roman" w:hAnsi="Times New Roman" w:cs="Times New Roman"/>
                      <w:highlight w:val="none"/>
                    </w:rPr>
                    <w:t>m范围内</w:t>
                  </w:r>
                  <w:r>
                    <w:rPr>
                      <w:rFonts w:hint="eastAsia" w:cs="Times New Roman"/>
                      <w:highlight w:val="none"/>
                      <w:lang w:val="en-US" w:eastAsia="zh-CN"/>
                    </w:rPr>
                    <w:t>天然牧草地。</w:t>
                  </w:r>
                </w:p>
              </w:tc>
              <w:tc>
                <w:tcPr>
                  <w:tcW w:w="1952" w:type="pct"/>
                  <w:noWrap w:val="0"/>
                  <w:tcMar>
                    <w:top w:w="28" w:type="dxa"/>
                    <w:left w:w="28" w:type="dxa"/>
                    <w:bottom w:w="28" w:type="dxa"/>
                    <w:right w:w="28" w:type="dxa"/>
                  </w:tcMar>
                  <w:vAlign w:val="center"/>
                </w:tcPr>
                <w:p w14:paraId="06CDD201">
                  <w:pPr>
                    <w:adjustRightInd w:val="0"/>
                    <w:snapToGrid w:val="0"/>
                    <w:jc w:val="center"/>
                    <w:rPr>
                      <w:rFonts w:hint="eastAsia" w:eastAsia="宋体"/>
                      <w:highlight w:val="none"/>
                      <w:lang w:eastAsia="zh-CN"/>
                    </w:rPr>
                  </w:pPr>
                  <w:r>
                    <w:rPr>
                      <w:rFonts w:ascii="Times New Roman" w:hAnsi="Times New Roman" w:cs="Times New Roman"/>
                      <w:highlight w:val="none"/>
                    </w:rPr>
                    <w:t>《土壤环境质量</w:t>
                  </w:r>
                  <w:r>
                    <w:rPr>
                      <w:rFonts w:hint="eastAsia" w:cs="Times New Roman"/>
                      <w:highlight w:val="none"/>
                      <w:lang w:val="en-US" w:eastAsia="zh-CN"/>
                    </w:rPr>
                    <w:t xml:space="preserve"> </w:t>
                  </w:r>
                  <w:r>
                    <w:rPr>
                      <w:rFonts w:ascii="Times New Roman" w:hAnsi="Times New Roman" w:cs="Times New Roman"/>
                      <w:highlight w:val="none"/>
                    </w:rPr>
                    <w:t>建设用地土壤污染风险管控标准（试行）》（GB36600-2018）第二类用地土壤污染风险筛选值</w:t>
                  </w:r>
                  <w:r>
                    <w:rPr>
                      <w:rFonts w:hint="eastAsia" w:cs="Times New Roman"/>
                      <w:highlight w:val="none"/>
                      <w:lang w:eastAsia="zh-CN"/>
                    </w:rPr>
                    <w:t>。</w:t>
                  </w:r>
                </w:p>
              </w:tc>
            </w:tr>
          </w:tbl>
          <w:p w14:paraId="780290D2">
            <w:pPr>
              <w:adjustRightInd w:val="0"/>
              <w:snapToGrid w:val="0"/>
              <w:jc w:val="center"/>
              <w:rPr>
                <w:rFonts w:ascii="Times New Roman" w:hAnsi="Times New Roman" w:cs="Times New Roman"/>
                <w:color w:val="0000FF"/>
                <w:kern w:val="0"/>
                <w:szCs w:val="21"/>
                <w:highlight w:val="none"/>
              </w:rPr>
            </w:pPr>
          </w:p>
        </w:tc>
      </w:tr>
      <w:tr w14:paraId="4629D9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11" w:hRule="atLeast"/>
          <w:jc w:val="center"/>
        </w:trPr>
        <w:tc>
          <w:tcPr>
            <w:tcW w:w="456" w:type="dxa"/>
            <w:noWrap w:val="0"/>
            <w:vAlign w:val="center"/>
          </w:tcPr>
          <w:p w14:paraId="6D5541EA">
            <w:pPr>
              <w:adjustRightInd w:val="0"/>
              <w:snapToGrid w:val="0"/>
              <w:jc w:val="center"/>
              <w:rPr>
                <w:rFonts w:hint="eastAsia" w:ascii="宋体" w:hAnsi="宋体" w:cs="宋体"/>
                <w:kern w:val="0"/>
                <w:sz w:val="24"/>
                <w:highlight w:val="none"/>
              </w:rPr>
            </w:pPr>
            <w:r>
              <w:rPr>
                <w:rFonts w:hint="eastAsia" w:ascii="宋体" w:hAnsi="宋体" w:cs="宋体"/>
                <w:kern w:val="0"/>
                <w:sz w:val="24"/>
                <w:highlight w:val="none"/>
              </w:rPr>
              <w:t>评价</w:t>
            </w:r>
          </w:p>
          <w:p w14:paraId="43C447C0">
            <w:pPr>
              <w:adjustRightInd w:val="0"/>
              <w:snapToGrid w:val="0"/>
              <w:jc w:val="center"/>
              <w:rPr>
                <w:rFonts w:ascii="宋体" w:hAnsi="宋体" w:cs="宋体"/>
                <w:kern w:val="0"/>
                <w:szCs w:val="21"/>
                <w:highlight w:val="none"/>
              </w:rPr>
            </w:pPr>
            <w:r>
              <w:rPr>
                <w:rFonts w:hint="eastAsia" w:ascii="宋体" w:hAnsi="宋体" w:cs="宋体"/>
                <w:kern w:val="0"/>
                <w:sz w:val="24"/>
                <w:highlight w:val="none"/>
              </w:rPr>
              <w:t>标准</w:t>
            </w:r>
          </w:p>
        </w:tc>
        <w:tc>
          <w:tcPr>
            <w:tcW w:w="8443" w:type="dxa"/>
            <w:noWrap w:val="0"/>
            <w:vAlign w:val="center"/>
          </w:tcPr>
          <w:p w14:paraId="14F6A214">
            <w:pPr>
              <w:spacing w:line="360" w:lineRule="auto"/>
              <w:ind w:firstLine="482" w:firstLineChars="200"/>
              <w:rPr>
                <w:rFonts w:ascii="Times New Roman" w:hAnsi="Times New Roman" w:cs="Times New Roman"/>
                <w:b/>
                <w:kern w:val="2"/>
                <w:sz w:val="24"/>
                <w:highlight w:val="none"/>
              </w:rPr>
            </w:pPr>
            <w:r>
              <w:rPr>
                <w:rFonts w:hint="default" w:ascii="Times New Roman" w:hAnsi="Times New Roman" w:cs="Times New Roman"/>
                <w:b/>
                <w:kern w:val="2"/>
                <w:sz w:val="24"/>
                <w:highlight w:val="none"/>
              </w:rPr>
              <w:t>1</w:t>
            </w:r>
            <w:r>
              <w:rPr>
                <w:rFonts w:hint="eastAsia" w:cs="Times New Roman"/>
                <w:b/>
                <w:kern w:val="2"/>
                <w:sz w:val="24"/>
                <w:highlight w:val="none"/>
                <w:lang w:val="en-US" w:eastAsia="zh-CN"/>
              </w:rPr>
              <w:t>.</w:t>
            </w:r>
            <w:r>
              <w:rPr>
                <w:rFonts w:hint="default" w:ascii="Times New Roman" w:hAnsi="Times New Roman" w:cs="Times New Roman"/>
                <w:b/>
                <w:kern w:val="2"/>
                <w:sz w:val="24"/>
                <w:highlight w:val="none"/>
              </w:rPr>
              <w:t>大气</w:t>
            </w:r>
          </w:p>
          <w:p w14:paraId="4B93983C">
            <w:pPr>
              <w:adjustRightInd w:val="0"/>
              <w:snapToGrid w:val="0"/>
              <w:spacing w:line="360" w:lineRule="auto"/>
              <w:ind w:firstLine="480" w:firstLineChars="200"/>
              <w:rPr>
                <w:rFonts w:hint="default" w:ascii="Times New Roman" w:hAnsi="Times New Roman" w:eastAsia="宋体" w:cs="Times New Roman"/>
                <w:kern w:val="2"/>
                <w:sz w:val="24"/>
                <w:szCs w:val="24"/>
                <w:highlight w:val="none"/>
              </w:rPr>
            </w:pPr>
            <w:r>
              <w:rPr>
                <w:rFonts w:hint="default" w:ascii="Times New Roman" w:hAnsi="Times New Roman" w:eastAsia="宋体" w:cs="Times New Roman"/>
                <w:kern w:val="2"/>
                <w:sz w:val="24"/>
                <w:szCs w:val="24"/>
                <w:highlight w:val="none"/>
              </w:rPr>
              <w:t>施工期</w:t>
            </w:r>
            <w:r>
              <w:rPr>
                <w:rFonts w:hint="default" w:ascii="Times New Roman" w:hAnsi="Times New Roman" w:cs="Times New Roman"/>
                <w:color w:val="000000"/>
                <w:kern w:val="0"/>
                <w:sz w:val="24"/>
                <w:szCs w:val="24"/>
                <w:highlight w:val="none"/>
              </w:rPr>
              <w:t>无组织</w:t>
            </w:r>
            <w:r>
              <w:rPr>
                <w:rFonts w:hint="eastAsia" w:ascii="Times New Roman" w:hAnsi="Times New Roman" w:cs="Times New Roman"/>
                <w:color w:val="000000"/>
                <w:kern w:val="0"/>
                <w:sz w:val="24"/>
                <w:szCs w:val="24"/>
                <w:highlight w:val="none"/>
                <w:lang w:val="en-US" w:eastAsia="zh-CN"/>
              </w:rPr>
              <w:t>颗粒物</w:t>
            </w:r>
            <w:r>
              <w:rPr>
                <w:rFonts w:hint="default" w:ascii="Times New Roman" w:hAnsi="Times New Roman" w:eastAsia="宋体" w:cs="Times New Roman"/>
                <w:kern w:val="2"/>
                <w:sz w:val="24"/>
                <w:szCs w:val="24"/>
                <w:highlight w:val="none"/>
              </w:rPr>
              <w:t>排放执行《大气污染物综合排放标准》（GB16297-1996）无组织排放监控浓度限值。</w:t>
            </w:r>
            <w:r>
              <w:rPr>
                <w:rFonts w:hint="eastAsia" w:cs="Times New Roman"/>
                <w:kern w:val="2"/>
                <w:sz w:val="24"/>
                <w:szCs w:val="24"/>
                <w:highlight w:val="none"/>
                <w:lang w:val="en-US" w:eastAsia="zh-CN"/>
              </w:rPr>
              <w:t>运营期无废气排放</w:t>
            </w:r>
            <w:r>
              <w:rPr>
                <w:rFonts w:hint="default" w:ascii="Times New Roman" w:hAnsi="Times New Roman" w:eastAsia="宋体" w:cs="Times New Roman"/>
                <w:kern w:val="2"/>
                <w:sz w:val="24"/>
                <w:szCs w:val="24"/>
                <w:highlight w:val="none"/>
              </w:rPr>
              <w:t>。</w:t>
            </w:r>
          </w:p>
          <w:p w14:paraId="5D8174F3">
            <w:pPr>
              <w:widowControl/>
              <w:adjustRightInd w:val="0"/>
              <w:snapToGrid w:val="0"/>
              <w:spacing w:line="360" w:lineRule="auto"/>
              <w:ind w:firstLine="0" w:firstLineChars="0"/>
              <w:jc w:val="center"/>
              <w:outlineLvl w:val="9"/>
              <w:rPr>
                <w:rFonts w:hint="eastAsia" w:ascii="Times New Roman" w:hAnsi="Times New Roman" w:eastAsia="宋体" w:cs="Times New Roman"/>
                <w:b/>
                <w:bCs/>
                <w:sz w:val="21"/>
                <w:szCs w:val="21"/>
                <w:highlight w:val="none"/>
              </w:rPr>
            </w:pPr>
            <w:r>
              <w:rPr>
                <w:rFonts w:hint="eastAsia" w:ascii="Times New Roman" w:hAnsi="Times New Roman" w:eastAsia="宋体" w:cs="Times New Roman"/>
                <w:b/>
                <w:bCs/>
                <w:sz w:val="21"/>
                <w:szCs w:val="21"/>
                <w:highlight w:val="none"/>
              </w:rPr>
              <w:t>表3-</w:t>
            </w:r>
            <w:r>
              <w:rPr>
                <w:rFonts w:hint="eastAsia" w:cs="Times New Roman"/>
                <w:b/>
                <w:bCs/>
                <w:sz w:val="21"/>
                <w:szCs w:val="21"/>
                <w:highlight w:val="none"/>
                <w:lang w:val="en-US" w:eastAsia="zh-CN"/>
              </w:rPr>
              <w:t>11</w:t>
            </w:r>
            <w:r>
              <w:rPr>
                <w:rFonts w:hint="eastAsia" w:ascii="Times New Roman" w:hAnsi="Times New Roman" w:eastAsia="宋体" w:cs="Times New Roman"/>
                <w:b/>
                <w:bCs/>
                <w:sz w:val="21"/>
                <w:szCs w:val="21"/>
                <w:highlight w:val="none"/>
              </w:rPr>
              <w:t xml:space="preserve">   《大气污染物综合排放标准》（GB16297-1996）</w:t>
            </w:r>
          </w:p>
          <w:tbl>
            <w:tblPr>
              <w:tblStyle w:val="19"/>
              <w:tblW w:w="461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904"/>
              <w:gridCol w:w="5687"/>
            </w:tblGrid>
            <w:tr w14:paraId="576EF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Header/>
                <w:jc w:val="center"/>
              </w:trPr>
              <w:tc>
                <w:tcPr>
                  <w:tcW w:w="1254" w:type="pct"/>
                  <w:noWrap w:val="0"/>
                  <w:tcMar>
                    <w:top w:w="28" w:type="dxa"/>
                    <w:left w:w="28" w:type="dxa"/>
                    <w:bottom w:w="28" w:type="dxa"/>
                    <w:right w:w="28" w:type="dxa"/>
                  </w:tcMar>
                  <w:vAlign w:val="center"/>
                </w:tcPr>
                <w:p w14:paraId="4734DEF7">
                  <w:pPr>
                    <w:spacing w:line="360" w:lineRule="auto"/>
                    <w:ind w:firstLine="0" w:firstLineChars="0"/>
                    <w:jc w:val="center"/>
                    <w:rPr>
                      <w:rFonts w:ascii="Times New Roman" w:hAnsi="Times New Roman" w:cs="Times New Roman"/>
                      <w:b w:val="0"/>
                      <w:bCs w:val="0"/>
                      <w:highlight w:val="none"/>
                    </w:rPr>
                  </w:pPr>
                  <w:r>
                    <w:rPr>
                      <w:rFonts w:ascii="Times New Roman" w:hAnsi="Times New Roman" w:cs="Times New Roman"/>
                      <w:b w:val="0"/>
                      <w:bCs w:val="0"/>
                      <w:highlight w:val="none"/>
                    </w:rPr>
                    <w:t>污染物</w:t>
                  </w:r>
                </w:p>
              </w:tc>
              <w:tc>
                <w:tcPr>
                  <w:tcW w:w="3745" w:type="pct"/>
                  <w:noWrap w:val="0"/>
                  <w:tcMar>
                    <w:top w:w="28" w:type="dxa"/>
                    <w:left w:w="28" w:type="dxa"/>
                    <w:bottom w:w="28" w:type="dxa"/>
                    <w:right w:w="28" w:type="dxa"/>
                  </w:tcMar>
                  <w:vAlign w:val="center"/>
                </w:tcPr>
                <w:p w14:paraId="06DC69B3">
                  <w:pPr>
                    <w:spacing w:line="360" w:lineRule="auto"/>
                    <w:ind w:firstLine="0" w:firstLineChars="0"/>
                    <w:jc w:val="center"/>
                    <w:rPr>
                      <w:rFonts w:ascii="Times New Roman" w:hAnsi="Times New Roman" w:cs="Times New Roman"/>
                      <w:b w:val="0"/>
                      <w:bCs w:val="0"/>
                      <w:highlight w:val="none"/>
                    </w:rPr>
                  </w:pPr>
                  <w:r>
                    <w:rPr>
                      <w:rFonts w:ascii="Times New Roman" w:hAnsi="Times New Roman" w:cs="Times New Roman"/>
                      <w:b w:val="0"/>
                      <w:bCs w:val="0"/>
                      <w:highlight w:val="none"/>
                    </w:rPr>
                    <w:t>无组织标准限值（浓度）</w:t>
                  </w:r>
                </w:p>
              </w:tc>
            </w:tr>
            <w:tr w14:paraId="2CB4E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Header/>
                <w:jc w:val="center"/>
              </w:trPr>
              <w:tc>
                <w:tcPr>
                  <w:tcW w:w="1254" w:type="pct"/>
                  <w:noWrap w:val="0"/>
                  <w:tcMar>
                    <w:top w:w="28" w:type="dxa"/>
                    <w:left w:w="28" w:type="dxa"/>
                    <w:bottom w:w="28" w:type="dxa"/>
                    <w:right w:w="28" w:type="dxa"/>
                  </w:tcMar>
                  <w:vAlign w:val="center"/>
                </w:tcPr>
                <w:p w14:paraId="5A9645C0">
                  <w:pPr>
                    <w:spacing w:line="360" w:lineRule="auto"/>
                    <w:ind w:firstLine="0" w:firstLineChars="0"/>
                    <w:jc w:val="center"/>
                    <w:rPr>
                      <w:rFonts w:ascii="Times New Roman" w:hAnsi="Times New Roman" w:cs="Times New Roman"/>
                      <w:b w:val="0"/>
                      <w:bCs w:val="0"/>
                      <w:highlight w:val="none"/>
                    </w:rPr>
                  </w:pPr>
                  <w:r>
                    <w:rPr>
                      <w:rFonts w:ascii="Times New Roman" w:hAnsi="Times New Roman" w:cs="Times New Roman"/>
                      <w:b w:val="0"/>
                      <w:bCs w:val="0"/>
                      <w:highlight w:val="none"/>
                    </w:rPr>
                    <w:t>颗粒物</w:t>
                  </w:r>
                </w:p>
              </w:tc>
              <w:tc>
                <w:tcPr>
                  <w:tcW w:w="3745" w:type="pct"/>
                  <w:noWrap w:val="0"/>
                  <w:tcMar>
                    <w:top w:w="28" w:type="dxa"/>
                    <w:left w:w="28" w:type="dxa"/>
                    <w:bottom w:w="28" w:type="dxa"/>
                    <w:right w:w="28" w:type="dxa"/>
                  </w:tcMar>
                  <w:vAlign w:val="center"/>
                </w:tcPr>
                <w:p w14:paraId="72249CA9">
                  <w:pPr>
                    <w:spacing w:line="360" w:lineRule="auto"/>
                    <w:ind w:firstLine="0" w:firstLineChars="0"/>
                    <w:jc w:val="center"/>
                    <w:rPr>
                      <w:rFonts w:ascii="Times New Roman" w:hAnsi="Times New Roman" w:cs="Times New Roman"/>
                      <w:b w:val="0"/>
                      <w:bCs w:val="0"/>
                      <w:highlight w:val="none"/>
                    </w:rPr>
                  </w:pPr>
                  <w:r>
                    <w:rPr>
                      <w:rFonts w:ascii="Times New Roman" w:hAnsi="Times New Roman" w:cs="Times New Roman"/>
                      <w:b w:val="0"/>
                      <w:bCs w:val="0"/>
                      <w:highlight w:val="none"/>
                    </w:rPr>
                    <w:t>1.0mg/m</w:t>
                  </w:r>
                  <w:r>
                    <w:rPr>
                      <w:rFonts w:ascii="Times New Roman" w:hAnsi="Times New Roman" w:cs="Times New Roman"/>
                      <w:b w:val="0"/>
                      <w:bCs w:val="0"/>
                      <w:highlight w:val="none"/>
                      <w:vertAlign w:val="superscript"/>
                    </w:rPr>
                    <w:t>3</w:t>
                  </w:r>
                </w:p>
              </w:tc>
            </w:tr>
          </w:tbl>
          <w:p w14:paraId="44C26E00">
            <w:pPr>
              <w:spacing w:line="360" w:lineRule="auto"/>
              <w:ind w:firstLine="482" w:firstLineChars="200"/>
              <w:rPr>
                <w:rFonts w:hint="default" w:ascii="Times New Roman" w:hAnsi="Times New Roman" w:eastAsia="宋体" w:cs="Times New Roman"/>
                <w:b/>
                <w:kern w:val="2"/>
                <w:sz w:val="24"/>
                <w:highlight w:val="none"/>
              </w:rPr>
            </w:pPr>
            <w:r>
              <w:rPr>
                <w:rFonts w:hint="default" w:ascii="Times New Roman" w:hAnsi="Times New Roman" w:eastAsia="宋体" w:cs="Times New Roman"/>
                <w:b/>
                <w:kern w:val="2"/>
                <w:sz w:val="24"/>
                <w:highlight w:val="none"/>
              </w:rPr>
              <w:t>2</w:t>
            </w:r>
            <w:r>
              <w:rPr>
                <w:rFonts w:hint="eastAsia" w:cs="Times New Roman"/>
                <w:b/>
                <w:kern w:val="2"/>
                <w:sz w:val="24"/>
                <w:highlight w:val="none"/>
                <w:lang w:val="en-US" w:eastAsia="zh-CN"/>
              </w:rPr>
              <w:t>.</w:t>
            </w:r>
            <w:r>
              <w:rPr>
                <w:rFonts w:hint="default" w:ascii="Times New Roman" w:hAnsi="Times New Roman" w:eastAsia="宋体" w:cs="Times New Roman"/>
                <w:b/>
                <w:kern w:val="2"/>
                <w:sz w:val="24"/>
                <w:highlight w:val="none"/>
              </w:rPr>
              <w:t>噪声</w:t>
            </w:r>
          </w:p>
          <w:p w14:paraId="51F989EA">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kern w:val="2"/>
                <w:sz w:val="24"/>
                <w:szCs w:val="24"/>
                <w:highlight w:val="none"/>
              </w:rPr>
            </w:pPr>
            <w:r>
              <w:rPr>
                <w:rFonts w:hint="default" w:ascii="Times New Roman" w:hAnsi="Times New Roman" w:eastAsia="宋体" w:cs="Times New Roman"/>
                <w:kern w:val="2"/>
                <w:sz w:val="24"/>
                <w:szCs w:val="24"/>
                <w:highlight w:val="none"/>
              </w:rPr>
              <w:t>施工期厂界噪声执行《建筑施工场界环境噪声排放标准》（GB12523-2011）</w:t>
            </w:r>
            <w:r>
              <w:rPr>
                <w:rFonts w:hint="eastAsia" w:cs="Times New Roman"/>
                <w:kern w:val="2"/>
                <w:sz w:val="24"/>
                <w:szCs w:val="24"/>
                <w:highlight w:val="none"/>
                <w:lang w:eastAsia="zh-CN"/>
              </w:rPr>
              <w:t>，</w:t>
            </w:r>
            <w:r>
              <w:rPr>
                <w:rFonts w:hint="default" w:ascii="Times New Roman" w:hAnsi="Times New Roman" w:eastAsia="宋体" w:cs="Times New Roman"/>
                <w:color w:val="000000"/>
                <w:kern w:val="0"/>
                <w:sz w:val="24"/>
                <w:szCs w:val="24"/>
                <w:highlight w:val="none"/>
                <w:lang w:val="en-US" w:eastAsia="zh-CN"/>
              </w:rPr>
              <w:t>运营期噪声执行</w:t>
            </w:r>
            <w:r>
              <w:rPr>
                <w:rFonts w:hint="default" w:ascii="Times New Roman" w:hAnsi="Times New Roman" w:eastAsia="宋体" w:cs="Times New Roman"/>
                <w:color w:val="000000"/>
                <w:kern w:val="0"/>
                <w:sz w:val="24"/>
                <w:szCs w:val="24"/>
                <w:highlight w:val="none"/>
              </w:rPr>
              <w:t>《工业企业厂界环境噪声排放标准》（GB12348-2008）</w:t>
            </w:r>
            <w:r>
              <w:rPr>
                <w:rFonts w:hint="eastAsia" w:ascii="Times New Roman" w:hAnsi="Times New Roman" w:cs="Times New Roman"/>
                <w:color w:val="000000"/>
                <w:kern w:val="0"/>
                <w:sz w:val="24"/>
                <w:szCs w:val="24"/>
                <w:highlight w:val="none"/>
                <w:lang w:val="en-US" w:eastAsia="zh-CN"/>
              </w:rPr>
              <w:t>3</w:t>
            </w:r>
            <w:r>
              <w:rPr>
                <w:rFonts w:hint="default" w:ascii="Times New Roman" w:hAnsi="Times New Roman" w:eastAsia="宋体" w:cs="Times New Roman"/>
                <w:color w:val="000000"/>
                <w:kern w:val="0"/>
                <w:sz w:val="24"/>
                <w:szCs w:val="24"/>
                <w:highlight w:val="none"/>
              </w:rPr>
              <w:t>类</w:t>
            </w:r>
            <w:r>
              <w:rPr>
                <w:rFonts w:hint="default" w:ascii="Times New Roman" w:hAnsi="Times New Roman" w:eastAsia="宋体" w:cs="Times New Roman"/>
                <w:kern w:val="2"/>
                <w:sz w:val="24"/>
                <w:szCs w:val="24"/>
                <w:highlight w:val="none"/>
              </w:rPr>
              <w:t>。</w:t>
            </w:r>
          </w:p>
          <w:p w14:paraId="671B7BAD">
            <w:pPr>
              <w:widowControl/>
              <w:adjustRightInd w:val="0"/>
              <w:snapToGrid w:val="0"/>
              <w:spacing w:line="360" w:lineRule="auto"/>
              <w:ind w:firstLine="0" w:firstLineChars="0"/>
              <w:jc w:val="center"/>
              <w:outlineLvl w:val="9"/>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表</w:t>
            </w:r>
            <w:r>
              <w:rPr>
                <w:rFonts w:hint="default" w:ascii="Times New Roman" w:hAnsi="Times New Roman" w:eastAsia="宋体" w:cs="Times New Roman"/>
                <w:b/>
                <w:bCs/>
                <w:sz w:val="21"/>
                <w:szCs w:val="21"/>
                <w:highlight w:val="none"/>
                <w:lang w:val="en-US" w:eastAsia="zh-CN"/>
              </w:rPr>
              <w:t>3-</w:t>
            </w:r>
            <w:r>
              <w:rPr>
                <w:rFonts w:hint="eastAsia" w:ascii="Times New Roman" w:hAnsi="Times New Roman" w:eastAsia="宋体" w:cs="Times New Roman"/>
                <w:b/>
                <w:bCs/>
                <w:sz w:val="21"/>
                <w:szCs w:val="21"/>
                <w:highlight w:val="none"/>
                <w:lang w:val="en-US" w:eastAsia="zh-CN"/>
              </w:rPr>
              <w:t>1</w:t>
            </w:r>
            <w:r>
              <w:rPr>
                <w:rFonts w:hint="eastAsia" w:cs="Times New Roman"/>
                <w:b/>
                <w:bCs/>
                <w:sz w:val="21"/>
                <w:szCs w:val="21"/>
                <w:highlight w:val="none"/>
                <w:lang w:val="en-US" w:eastAsia="zh-CN"/>
              </w:rPr>
              <w:t>2</w:t>
            </w:r>
            <w:r>
              <w:rPr>
                <w:rFonts w:hint="default" w:ascii="Times New Roman" w:hAnsi="Times New Roman" w:eastAsia="宋体" w:cs="Times New Roman"/>
                <w:b/>
                <w:bCs/>
                <w:sz w:val="21"/>
                <w:szCs w:val="21"/>
                <w:highlight w:val="none"/>
              </w:rPr>
              <w:t xml:space="preserve"> </w:t>
            </w:r>
            <w:r>
              <w:rPr>
                <w:rFonts w:hint="eastAsia" w:ascii="Times New Roman" w:hAnsi="Times New Roman" w:eastAsia="宋体" w:cs="Times New Roman"/>
                <w:b/>
                <w:bCs/>
                <w:sz w:val="21"/>
                <w:szCs w:val="21"/>
                <w:highlight w:val="none"/>
                <w:lang w:val="en-US" w:eastAsia="zh-CN"/>
              </w:rPr>
              <w:t xml:space="preserve">  </w:t>
            </w:r>
            <w:r>
              <w:rPr>
                <w:rFonts w:hint="default" w:ascii="Times New Roman" w:hAnsi="Times New Roman" w:eastAsia="宋体" w:cs="Times New Roman"/>
                <w:b/>
                <w:bCs/>
                <w:sz w:val="21"/>
                <w:szCs w:val="21"/>
                <w:highlight w:val="none"/>
              </w:rPr>
              <w:t>环境噪声排放标准</w:t>
            </w:r>
          </w:p>
          <w:tbl>
            <w:tblPr>
              <w:tblStyle w:val="19"/>
              <w:tblW w:w="461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643"/>
              <w:gridCol w:w="1143"/>
              <w:gridCol w:w="1034"/>
              <w:gridCol w:w="970"/>
              <w:gridCol w:w="3786"/>
            </w:tblGrid>
            <w:tr w14:paraId="7D827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56" w:hRule="exact"/>
                <w:jc w:val="center"/>
              </w:trPr>
              <w:tc>
                <w:tcPr>
                  <w:tcW w:w="1179" w:type="pct"/>
                  <w:gridSpan w:val="2"/>
                  <w:vMerge w:val="restart"/>
                  <w:tcBorders>
                    <w:tl2br w:val="nil"/>
                    <w:tr2bl w:val="nil"/>
                  </w:tcBorders>
                  <w:noWrap w:val="0"/>
                  <w:vAlign w:val="center"/>
                </w:tcPr>
                <w:p w14:paraId="7B7A116B">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时段</w:t>
                  </w:r>
                </w:p>
              </w:tc>
              <w:tc>
                <w:tcPr>
                  <w:tcW w:w="1322" w:type="pct"/>
                  <w:gridSpan w:val="2"/>
                  <w:tcBorders>
                    <w:tl2br w:val="nil"/>
                    <w:tr2bl w:val="nil"/>
                  </w:tcBorders>
                  <w:noWrap w:val="0"/>
                  <w:vAlign w:val="center"/>
                </w:tcPr>
                <w:p w14:paraId="37B64F6E">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rPr>
                  </w:pPr>
                  <w:r>
                    <w:rPr>
                      <w:rFonts w:hint="default" w:ascii="Times New Roman" w:hAnsi="Times New Roman" w:eastAsia="宋体" w:cs="Times New Roman"/>
                      <w:b w:val="0"/>
                      <w:bCs w:val="0"/>
                      <w:highlight w:val="none"/>
                    </w:rPr>
                    <w:t>标准值</w:t>
                  </w:r>
                </w:p>
              </w:tc>
              <w:tc>
                <w:tcPr>
                  <w:tcW w:w="2498" w:type="pct"/>
                  <w:vMerge w:val="restart"/>
                  <w:tcBorders>
                    <w:tl2br w:val="nil"/>
                    <w:tr2bl w:val="nil"/>
                  </w:tcBorders>
                  <w:noWrap w:val="0"/>
                  <w:vAlign w:val="center"/>
                </w:tcPr>
                <w:p w14:paraId="7BA1CC85">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rPr>
                  </w:pPr>
                  <w:r>
                    <w:rPr>
                      <w:rFonts w:hint="default" w:ascii="Times New Roman" w:hAnsi="Times New Roman" w:eastAsia="宋体" w:cs="Times New Roman"/>
                      <w:b w:val="0"/>
                      <w:bCs w:val="0"/>
                      <w:highlight w:val="none"/>
                    </w:rPr>
                    <w:t>标准来源</w:t>
                  </w:r>
                </w:p>
              </w:tc>
            </w:tr>
            <w:tr w14:paraId="75ACE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56" w:hRule="exact"/>
                <w:jc w:val="center"/>
              </w:trPr>
              <w:tc>
                <w:tcPr>
                  <w:tcW w:w="1179" w:type="pct"/>
                  <w:gridSpan w:val="2"/>
                  <w:vMerge w:val="continue"/>
                  <w:tcBorders>
                    <w:tl2br w:val="nil"/>
                    <w:tr2bl w:val="nil"/>
                  </w:tcBorders>
                  <w:noWrap w:val="0"/>
                  <w:vAlign w:val="center"/>
                </w:tcPr>
                <w:p w14:paraId="279B5B4C">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rPr>
                  </w:pPr>
                </w:p>
              </w:tc>
              <w:tc>
                <w:tcPr>
                  <w:tcW w:w="682" w:type="pct"/>
                  <w:tcBorders>
                    <w:tl2br w:val="nil"/>
                    <w:tr2bl w:val="nil"/>
                  </w:tcBorders>
                  <w:noWrap w:val="0"/>
                  <w:vAlign w:val="center"/>
                </w:tcPr>
                <w:p w14:paraId="30BCEA54">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rPr>
                  </w:pPr>
                  <w:r>
                    <w:rPr>
                      <w:rFonts w:hint="default" w:ascii="Times New Roman" w:hAnsi="Times New Roman" w:eastAsia="宋体" w:cs="Times New Roman"/>
                      <w:b w:val="0"/>
                      <w:bCs w:val="0"/>
                      <w:highlight w:val="none"/>
                    </w:rPr>
                    <w:t>昼间</w:t>
                  </w:r>
                </w:p>
              </w:tc>
              <w:tc>
                <w:tcPr>
                  <w:tcW w:w="640" w:type="pct"/>
                  <w:tcBorders>
                    <w:tl2br w:val="nil"/>
                    <w:tr2bl w:val="nil"/>
                  </w:tcBorders>
                  <w:noWrap w:val="0"/>
                  <w:vAlign w:val="center"/>
                </w:tcPr>
                <w:p w14:paraId="678AE006">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rPr>
                  </w:pPr>
                  <w:r>
                    <w:rPr>
                      <w:rFonts w:hint="default" w:ascii="Times New Roman" w:hAnsi="Times New Roman" w:eastAsia="宋体" w:cs="Times New Roman"/>
                      <w:b w:val="0"/>
                      <w:bCs w:val="0"/>
                      <w:highlight w:val="none"/>
                    </w:rPr>
                    <w:t>夜间</w:t>
                  </w:r>
                </w:p>
              </w:tc>
              <w:tc>
                <w:tcPr>
                  <w:tcW w:w="2498" w:type="pct"/>
                  <w:vMerge w:val="continue"/>
                  <w:tcBorders>
                    <w:tl2br w:val="nil"/>
                    <w:tr2bl w:val="nil"/>
                  </w:tcBorders>
                  <w:noWrap w:val="0"/>
                  <w:vAlign w:val="center"/>
                </w:tcPr>
                <w:p w14:paraId="70673449">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rPr>
                  </w:pPr>
                </w:p>
              </w:tc>
            </w:tr>
            <w:tr w14:paraId="572A8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54" w:hRule="atLeast"/>
                <w:jc w:val="center"/>
              </w:trPr>
              <w:tc>
                <w:tcPr>
                  <w:tcW w:w="1179" w:type="pct"/>
                  <w:gridSpan w:val="2"/>
                  <w:tcBorders>
                    <w:tl2br w:val="nil"/>
                    <w:tr2bl w:val="nil"/>
                  </w:tcBorders>
                  <w:noWrap w:val="0"/>
                  <w:vAlign w:val="center"/>
                </w:tcPr>
                <w:p w14:paraId="415D71CE">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rPr>
                  </w:pPr>
                  <w:r>
                    <w:rPr>
                      <w:rFonts w:hint="default" w:ascii="Times New Roman" w:hAnsi="Times New Roman" w:eastAsia="宋体" w:cs="Times New Roman"/>
                      <w:b w:val="0"/>
                      <w:bCs w:val="0"/>
                      <w:highlight w:val="none"/>
                      <w:lang w:val="en-US" w:eastAsia="zh-CN"/>
                    </w:rPr>
                    <w:t>施工期</w:t>
                  </w:r>
                </w:p>
              </w:tc>
              <w:tc>
                <w:tcPr>
                  <w:tcW w:w="682" w:type="pct"/>
                  <w:tcBorders>
                    <w:tl2br w:val="nil"/>
                    <w:tr2bl w:val="nil"/>
                  </w:tcBorders>
                  <w:noWrap w:val="0"/>
                  <w:vAlign w:val="center"/>
                </w:tcPr>
                <w:p w14:paraId="4E9E82C7">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70</w:t>
                  </w:r>
                </w:p>
              </w:tc>
              <w:tc>
                <w:tcPr>
                  <w:tcW w:w="640" w:type="pct"/>
                  <w:tcBorders>
                    <w:tl2br w:val="nil"/>
                    <w:tr2bl w:val="nil"/>
                  </w:tcBorders>
                  <w:noWrap w:val="0"/>
                  <w:vAlign w:val="center"/>
                </w:tcPr>
                <w:p w14:paraId="1F7CFAB0">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55</w:t>
                  </w:r>
                </w:p>
              </w:tc>
              <w:tc>
                <w:tcPr>
                  <w:tcW w:w="2498" w:type="pct"/>
                  <w:tcBorders>
                    <w:tl2br w:val="nil"/>
                    <w:tr2bl w:val="nil"/>
                  </w:tcBorders>
                  <w:noWrap w:val="0"/>
                  <w:vAlign w:val="center"/>
                </w:tcPr>
                <w:p w14:paraId="29C6674E">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val="0"/>
                      <w:highlight w:val="none"/>
                      <w:lang w:eastAsia="zh-CN"/>
                    </w:rPr>
                  </w:pPr>
                  <w:r>
                    <w:rPr>
                      <w:rFonts w:hint="default" w:ascii="Times New Roman" w:hAnsi="Times New Roman" w:eastAsia="宋体" w:cs="Times New Roman"/>
                      <w:b w:val="0"/>
                      <w:bCs w:val="0"/>
                      <w:highlight w:val="none"/>
                    </w:rPr>
                    <w:t>《建筑施工场界环境噪声排放标准》（GB12523-2011）</w:t>
                  </w:r>
                  <w:r>
                    <w:rPr>
                      <w:rFonts w:hint="eastAsia" w:cs="Times New Roman"/>
                      <w:b w:val="0"/>
                      <w:bCs w:val="0"/>
                      <w:highlight w:val="none"/>
                      <w:lang w:eastAsia="zh-CN"/>
                    </w:rPr>
                    <w:t>。</w:t>
                  </w:r>
                </w:p>
              </w:tc>
            </w:tr>
            <w:tr w14:paraId="7D256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6" w:hRule="atLeast"/>
                <w:jc w:val="center"/>
              </w:trPr>
              <w:tc>
                <w:tcPr>
                  <w:tcW w:w="425" w:type="pct"/>
                  <w:tcBorders>
                    <w:tl2br w:val="nil"/>
                    <w:tr2bl w:val="nil"/>
                  </w:tcBorders>
                  <w:noWrap w:val="0"/>
                  <w:vAlign w:val="center"/>
                </w:tcPr>
                <w:p w14:paraId="771C9445">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运营期</w:t>
                  </w:r>
                </w:p>
              </w:tc>
              <w:tc>
                <w:tcPr>
                  <w:tcW w:w="753" w:type="pct"/>
                  <w:tcBorders>
                    <w:tl2br w:val="nil"/>
                    <w:tr2bl w:val="nil"/>
                  </w:tcBorders>
                  <w:noWrap w:val="0"/>
                  <w:vAlign w:val="center"/>
                </w:tcPr>
                <w:p w14:paraId="38621393">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ascii="Times New Roman" w:hAnsi="Times New Roman" w:eastAsia="宋体" w:cs="Times New Roman"/>
                      <w:b w:val="0"/>
                      <w:bCs w:val="0"/>
                      <w:highlight w:val="none"/>
                      <w:lang w:val="en-US" w:eastAsia="zh-CN"/>
                    </w:rPr>
                    <w:t>厂界</w:t>
                  </w:r>
                </w:p>
              </w:tc>
              <w:tc>
                <w:tcPr>
                  <w:tcW w:w="682" w:type="pct"/>
                  <w:tcBorders>
                    <w:tl2br w:val="nil"/>
                    <w:tr2bl w:val="nil"/>
                  </w:tcBorders>
                  <w:noWrap w:val="0"/>
                  <w:vAlign w:val="center"/>
                </w:tcPr>
                <w:p w14:paraId="6BBD7880">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ascii="Times New Roman" w:hAnsi="Times New Roman" w:eastAsia="宋体" w:cs="Times New Roman"/>
                      <w:b w:val="0"/>
                      <w:bCs w:val="0"/>
                      <w:highlight w:val="none"/>
                      <w:lang w:val="en-US" w:eastAsia="zh-CN"/>
                    </w:rPr>
                    <w:t>65</w:t>
                  </w:r>
                </w:p>
              </w:tc>
              <w:tc>
                <w:tcPr>
                  <w:tcW w:w="640" w:type="pct"/>
                  <w:tcBorders>
                    <w:tl2br w:val="nil"/>
                    <w:tr2bl w:val="nil"/>
                  </w:tcBorders>
                  <w:noWrap w:val="0"/>
                  <w:vAlign w:val="center"/>
                </w:tcPr>
                <w:p w14:paraId="2EF11856">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ascii="Times New Roman" w:hAnsi="Times New Roman" w:eastAsia="宋体" w:cs="Times New Roman"/>
                      <w:b w:val="0"/>
                      <w:bCs w:val="0"/>
                      <w:highlight w:val="none"/>
                      <w:lang w:val="en-US" w:eastAsia="zh-CN"/>
                    </w:rPr>
                    <w:t>55</w:t>
                  </w:r>
                </w:p>
              </w:tc>
              <w:tc>
                <w:tcPr>
                  <w:tcW w:w="2498" w:type="pct"/>
                  <w:tcBorders>
                    <w:tl2br w:val="nil"/>
                    <w:tr2bl w:val="nil"/>
                  </w:tcBorders>
                  <w:noWrap w:val="0"/>
                  <w:vAlign w:val="center"/>
                </w:tcPr>
                <w:p w14:paraId="4710AEE2">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val="0"/>
                      <w:highlight w:val="none"/>
                      <w:lang w:eastAsia="zh-CN"/>
                    </w:rPr>
                  </w:pPr>
                  <w:r>
                    <w:rPr>
                      <w:rFonts w:hint="default" w:ascii="Times New Roman" w:hAnsi="Times New Roman" w:eastAsia="宋体" w:cs="Times New Roman"/>
                      <w:b w:val="0"/>
                      <w:bCs w:val="0"/>
                      <w:highlight w:val="none"/>
                    </w:rPr>
                    <w:t>《工业企业厂界环境噪声排放标准》（GB12348-2008）</w:t>
                  </w:r>
                  <w:r>
                    <w:rPr>
                      <w:rFonts w:hint="eastAsia" w:ascii="Times New Roman" w:hAnsi="Times New Roman" w:eastAsia="宋体" w:cs="Times New Roman"/>
                      <w:b w:val="0"/>
                      <w:bCs w:val="0"/>
                      <w:highlight w:val="none"/>
                      <w:lang w:val="en-US" w:eastAsia="zh-CN"/>
                    </w:rPr>
                    <w:t>3</w:t>
                  </w:r>
                  <w:r>
                    <w:rPr>
                      <w:rFonts w:hint="default" w:ascii="Times New Roman" w:hAnsi="Times New Roman" w:eastAsia="宋体" w:cs="Times New Roman"/>
                      <w:b w:val="0"/>
                      <w:bCs w:val="0"/>
                      <w:highlight w:val="none"/>
                    </w:rPr>
                    <w:t>类</w:t>
                  </w:r>
                  <w:r>
                    <w:rPr>
                      <w:rFonts w:hint="eastAsia" w:cs="Times New Roman"/>
                      <w:b w:val="0"/>
                      <w:bCs w:val="0"/>
                      <w:highlight w:val="none"/>
                      <w:lang w:eastAsia="zh-CN"/>
                    </w:rPr>
                    <w:t>。</w:t>
                  </w:r>
                </w:p>
              </w:tc>
            </w:tr>
          </w:tbl>
          <w:p w14:paraId="06CDA699">
            <w:pPr>
              <w:spacing w:line="360" w:lineRule="auto"/>
              <w:ind w:firstLine="482" w:firstLineChars="200"/>
              <w:rPr>
                <w:rFonts w:hint="default" w:ascii="Times New Roman" w:hAnsi="Times New Roman" w:eastAsia="宋体" w:cs="Times New Roman"/>
                <w:b/>
                <w:sz w:val="24"/>
                <w:szCs w:val="24"/>
                <w:highlight w:val="none"/>
              </w:rPr>
            </w:pPr>
            <w:r>
              <w:rPr>
                <w:rFonts w:hint="default" w:ascii="Times New Roman" w:hAnsi="Times New Roman" w:eastAsia="宋体" w:cs="Times New Roman"/>
                <w:b/>
                <w:sz w:val="24"/>
                <w:szCs w:val="24"/>
                <w:highlight w:val="none"/>
              </w:rPr>
              <w:t>3</w:t>
            </w:r>
            <w:r>
              <w:rPr>
                <w:rFonts w:hint="eastAsia" w:cs="Times New Roman"/>
                <w:b/>
                <w:sz w:val="24"/>
                <w:szCs w:val="24"/>
                <w:highlight w:val="none"/>
                <w:lang w:val="en-US" w:eastAsia="zh-CN"/>
              </w:rPr>
              <w:t>.</w:t>
            </w:r>
            <w:r>
              <w:rPr>
                <w:rFonts w:hint="default" w:ascii="Times New Roman" w:hAnsi="Times New Roman" w:eastAsia="宋体" w:cs="Times New Roman"/>
                <w:b/>
                <w:sz w:val="24"/>
                <w:szCs w:val="24"/>
                <w:highlight w:val="none"/>
              </w:rPr>
              <w:t>废水</w:t>
            </w:r>
          </w:p>
          <w:p w14:paraId="7677C8DE">
            <w:pPr>
              <w:spacing w:line="360" w:lineRule="auto"/>
              <w:ind w:firstLine="480" w:firstLineChars="200"/>
              <w:rPr>
                <w:rFonts w:hint="default" w:ascii="Times New Roman" w:hAnsi="Times New Roman" w:eastAsia="宋体" w:cs="Times New Roman"/>
                <w:kern w:val="2"/>
                <w:sz w:val="24"/>
                <w:szCs w:val="24"/>
                <w:highlight w:val="none"/>
              </w:rPr>
            </w:pPr>
            <w:r>
              <w:rPr>
                <w:rFonts w:hint="default" w:ascii="Times New Roman" w:hAnsi="Times New Roman" w:eastAsia="宋体" w:cs="Times New Roman"/>
                <w:kern w:val="2"/>
                <w:sz w:val="24"/>
                <w:szCs w:val="24"/>
                <w:highlight w:val="none"/>
              </w:rPr>
              <w:t>施工期</w:t>
            </w:r>
            <w:r>
              <w:rPr>
                <w:rFonts w:hint="eastAsia" w:cs="Times New Roman"/>
                <w:kern w:val="2"/>
                <w:sz w:val="24"/>
                <w:szCs w:val="24"/>
                <w:highlight w:val="none"/>
                <w:lang w:val="en-US" w:eastAsia="zh-CN"/>
              </w:rPr>
              <w:t>试压</w:t>
            </w:r>
            <w:r>
              <w:rPr>
                <w:rFonts w:hint="default" w:ascii="Times New Roman" w:hAnsi="Times New Roman" w:eastAsia="宋体" w:cs="Times New Roman"/>
                <w:kern w:val="2"/>
                <w:sz w:val="24"/>
                <w:szCs w:val="24"/>
                <w:highlight w:val="none"/>
              </w:rPr>
              <w:t>废水</w:t>
            </w:r>
            <w:r>
              <w:rPr>
                <w:rFonts w:hint="eastAsia" w:cs="Times New Roman"/>
                <w:kern w:val="2"/>
                <w:sz w:val="24"/>
                <w:szCs w:val="24"/>
                <w:highlight w:val="none"/>
                <w:lang w:val="en-US" w:eastAsia="zh-CN"/>
              </w:rPr>
              <w:t>产生后通过罐车运输至伊泰</w:t>
            </w:r>
            <w:r>
              <w:rPr>
                <w:rFonts w:hint="default" w:ascii="Times New Roman" w:hAnsi="Times New Roman" w:eastAsia="宋体" w:cs="Times New Roman"/>
                <w:kern w:val="2"/>
                <w:sz w:val="24"/>
                <w:szCs w:val="24"/>
                <w:highlight w:val="none"/>
              </w:rPr>
              <w:t>厂区内现有</w:t>
            </w:r>
            <w:r>
              <w:rPr>
                <w:rFonts w:cs="Times New Roman"/>
                <w:sz w:val="24"/>
                <w:highlight w:val="none"/>
              </w:rPr>
              <w:t>污水处理站废水处理及回用清净废水处理单元</w:t>
            </w:r>
            <w:r>
              <w:rPr>
                <w:rFonts w:hint="default" w:ascii="Times New Roman" w:hAnsi="Times New Roman" w:eastAsia="宋体" w:cs="Times New Roman"/>
                <w:kern w:val="2"/>
                <w:sz w:val="24"/>
                <w:szCs w:val="24"/>
                <w:highlight w:val="none"/>
              </w:rPr>
              <w:t>，处理后回用，不外排。</w:t>
            </w:r>
          </w:p>
          <w:p w14:paraId="2BE15D75">
            <w:pPr>
              <w:widowControl/>
              <w:adjustRightInd w:val="0"/>
              <w:snapToGrid w:val="0"/>
              <w:spacing w:line="360" w:lineRule="auto"/>
              <w:ind w:firstLine="0" w:firstLineChars="0"/>
              <w:jc w:val="center"/>
              <w:outlineLvl w:val="9"/>
              <w:rPr>
                <w:rFonts w:hint="eastAsia" w:ascii="Times New Roman" w:hAnsi="Times New Roman" w:eastAsia="宋体" w:cs="Times New Roman"/>
                <w:b/>
                <w:bCs/>
                <w:kern w:val="2"/>
                <w:sz w:val="21"/>
                <w:szCs w:val="21"/>
                <w:highlight w:val="none"/>
              </w:rPr>
            </w:pPr>
            <w:r>
              <w:rPr>
                <w:rFonts w:hint="eastAsia" w:ascii="Times New Roman" w:hAnsi="Times New Roman" w:eastAsia="宋体" w:cs="Times New Roman"/>
                <w:b/>
                <w:bCs/>
                <w:kern w:val="2"/>
                <w:sz w:val="21"/>
                <w:szCs w:val="21"/>
                <w:highlight w:val="none"/>
                <w:lang w:val="en-US" w:eastAsia="zh-CN"/>
              </w:rPr>
              <w:t>表3-</w:t>
            </w:r>
            <w:r>
              <w:rPr>
                <w:rFonts w:hint="eastAsia" w:cs="Times New Roman"/>
                <w:b/>
                <w:bCs/>
                <w:kern w:val="2"/>
                <w:sz w:val="21"/>
                <w:szCs w:val="21"/>
                <w:highlight w:val="none"/>
                <w:lang w:val="en-US" w:eastAsia="zh-CN"/>
              </w:rPr>
              <w:t>13</w:t>
            </w:r>
            <w:r>
              <w:rPr>
                <w:rFonts w:hint="eastAsia" w:ascii="Times New Roman" w:hAnsi="Times New Roman" w:eastAsia="宋体" w:cs="Times New Roman"/>
                <w:b/>
                <w:bCs/>
                <w:kern w:val="2"/>
                <w:sz w:val="21"/>
                <w:szCs w:val="21"/>
                <w:highlight w:val="none"/>
                <w:lang w:val="en-US" w:eastAsia="zh-CN"/>
              </w:rPr>
              <w:t xml:space="preserve">   </w:t>
            </w:r>
            <w:r>
              <w:rPr>
                <w:rFonts w:hint="eastAsia" w:cs="Times New Roman"/>
                <w:b/>
                <w:bCs/>
                <w:kern w:val="2"/>
                <w:sz w:val="21"/>
                <w:szCs w:val="21"/>
                <w:highlight w:val="none"/>
                <w:lang w:val="en-US" w:eastAsia="zh-CN"/>
              </w:rPr>
              <w:t>回用水</w:t>
            </w:r>
            <w:r>
              <w:rPr>
                <w:rFonts w:hint="eastAsia" w:ascii="Times New Roman" w:hAnsi="Times New Roman" w:eastAsia="宋体" w:cs="Times New Roman"/>
                <w:b/>
                <w:bCs/>
                <w:kern w:val="2"/>
                <w:sz w:val="21"/>
                <w:szCs w:val="21"/>
                <w:highlight w:val="none"/>
              </w:rPr>
              <w:t>进水水质要求</w:t>
            </w:r>
          </w:p>
          <w:tbl>
            <w:tblPr>
              <w:tblStyle w:val="19"/>
              <w:tblW w:w="80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02"/>
              <w:gridCol w:w="3528"/>
              <w:gridCol w:w="892"/>
              <w:gridCol w:w="760"/>
              <w:gridCol w:w="2155"/>
            </w:tblGrid>
            <w:tr w14:paraId="2FD1B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9" w:hRule="atLeast"/>
                <w:jc w:val="center"/>
              </w:trPr>
              <w:tc>
                <w:tcPr>
                  <w:tcW w:w="0" w:type="auto"/>
                  <w:vAlign w:val="center"/>
                </w:tcPr>
                <w:p w14:paraId="2E051643">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序号</w:t>
                  </w:r>
                </w:p>
              </w:tc>
              <w:tc>
                <w:tcPr>
                  <w:tcW w:w="0" w:type="auto"/>
                  <w:vAlign w:val="center"/>
                </w:tcPr>
                <w:p w14:paraId="45828D76">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检验项目</w:t>
                  </w:r>
                </w:p>
              </w:tc>
              <w:tc>
                <w:tcPr>
                  <w:tcW w:w="0" w:type="auto"/>
                  <w:vAlign w:val="center"/>
                </w:tcPr>
                <w:p w14:paraId="75EB66F9">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数值</w:t>
                  </w:r>
                </w:p>
              </w:tc>
              <w:tc>
                <w:tcPr>
                  <w:tcW w:w="0" w:type="auto"/>
                  <w:vAlign w:val="center"/>
                </w:tcPr>
                <w:p w14:paraId="3775087E">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单位</w:t>
                  </w:r>
                </w:p>
              </w:tc>
              <w:tc>
                <w:tcPr>
                  <w:tcW w:w="0" w:type="auto"/>
                  <w:vAlign w:val="center"/>
                </w:tcPr>
                <w:p w14:paraId="70569D9B">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备注</w:t>
                  </w:r>
                </w:p>
              </w:tc>
            </w:tr>
            <w:tr w14:paraId="740D4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 w:hRule="atLeast"/>
                <w:jc w:val="center"/>
              </w:trPr>
              <w:tc>
                <w:tcPr>
                  <w:tcW w:w="0" w:type="auto"/>
                  <w:vAlign w:val="center"/>
                </w:tcPr>
                <w:p w14:paraId="69168B5C">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1</w:t>
                  </w:r>
                </w:p>
              </w:tc>
              <w:tc>
                <w:tcPr>
                  <w:tcW w:w="0" w:type="auto"/>
                  <w:vAlign w:val="center"/>
                </w:tcPr>
                <w:p w14:paraId="0A4BCDC5">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化学需氧量COD</w:t>
                  </w:r>
                  <w:r>
                    <w:rPr>
                      <w:rFonts w:hint="default" w:ascii="Times New Roman" w:hAnsi="Times New Roman" w:eastAsia="宋体" w:cs="Times New Roman"/>
                      <w:b w:val="0"/>
                      <w:bCs w:val="0"/>
                      <w:highlight w:val="none"/>
                      <w:vertAlign w:val="subscript"/>
                      <w:lang w:val="en-US" w:eastAsia="zh-CN"/>
                    </w:rPr>
                    <w:t>cr</w:t>
                  </w:r>
                </w:p>
              </w:tc>
              <w:tc>
                <w:tcPr>
                  <w:tcW w:w="0" w:type="auto"/>
                  <w:vAlign w:val="center"/>
                </w:tcPr>
                <w:p w14:paraId="318D677B">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≤50</w:t>
                  </w:r>
                </w:p>
              </w:tc>
              <w:tc>
                <w:tcPr>
                  <w:tcW w:w="0" w:type="auto"/>
                  <w:vAlign w:val="center"/>
                </w:tcPr>
                <w:p w14:paraId="59FDE924">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0" w:type="auto"/>
                  <w:vAlign w:val="center"/>
                </w:tcPr>
                <w:p w14:paraId="6287D004">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4E546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3" w:hRule="atLeast"/>
                <w:jc w:val="center"/>
              </w:trPr>
              <w:tc>
                <w:tcPr>
                  <w:tcW w:w="0" w:type="auto"/>
                  <w:vAlign w:val="center"/>
                </w:tcPr>
                <w:p w14:paraId="3F88BE21">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2</w:t>
                  </w:r>
                </w:p>
              </w:tc>
              <w:tc>
                <w:tcPr>
                  <w:tcW w:w="0" w:type="auto"/>
                  <w:vAlign w:val="center"/>
                </w:tcPr>
                <w:p w14:paraId="0DF55FBE">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生化需氧量BOD</w:t>
                  </w:r>
                  <w:r>
                    <w:rPr>
                      <w:rFonts w:hint="default" w:ascii="Times New Roman" w:hAnsi="Times New Roman" w:eastAsia="宋体" w:cs="Times New Roman"/>
                      <w:b w:val="0"/>
                      <w:bCs w:val="0"/>
                      <w:highlight w:val="none"/>
                      <w:vertAlign w:val="subscript"/>
                      <w:lang w:val="en-US" w:eastAsia="zh-CN"/>
                    </w:rPr>
                    <w:t>5</w:t>
                  </w:r>
                </w:p>
              </w:tc>
              <w:tc>
                <w:tcPr>
                  <w:tcW w:w="0" w:type="auto"/>
                  <w:vAlign w:val="center"/>
                </w:tcPr>
                <w:p w14:paraId="3924D04F">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≤5</w:t>
                  </w:r>
                </w:p>
              </w:tc>
              <w:tc>
                <w:tcPr>
                  <w:tcW w:w="0" w:type="auto"/>
                  <w:vAlign w:val="center"/>
                </w:tcPr>
                <w:p w14:paraId="2795BE42">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0" w:type="auto"/>
                  <w:vAlign w:val="center"/>
                </w:tcPr>
                <w:p w14:paraId="5153C8DF">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6A308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 w:hRule="atLeast"/>
                <w:jc w:val="center"/>
              </w:trPr>
              <w:tc>
                <w:tcPr>
                  <w:tcW w:w="0" w:type="auto"/>
                  <w:vAlign w:val="center"/>
                </w:tcPr>
                <w:p w14:paraId="26F77E5D">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3</w:t>
                  </w:r>
                </w:p>
              </w:tc>
              <w:tc>
                <w:tcPr>
                  <w:tcW w:w="0" w:type="auto"/>
                  <w:vAlign w:val="center"/>
                </w:tcPr>
                <w:p w14:paraId="6E3263A2">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氨氮NH</w:t>
                  </w:r>
                  <w:r>
                    <w:rPr>
                      <w:rFonts w:hint="default" w:ascii="Times New Roman" w:hAnsi="Times New Roman" w:eastAsia="宋体" w:cs="Times New Roman"/>
                      <w:b w:val="0"/>
                      <w:bCs w:val="0"/>
                      <w:highlight w:val="none"/>
                      <w:vertAlign w:val="subscript"/>
                      <w:lang w:val="en-US" w:eastAsia="zh-CN"/>
                    </w:rPr>
                    <w:t>3</w:t>
                  </w:r>
                  <w:r>
                    <w:rPr>
                      <w:rFonts w:hint="default" w:ascii="Times New Roman" w:hAnsi="Times New Roman" w:eastAsia="宋体" w:cs="Times New Roman"/>
                      <w:b w:val="0"/>
                      <w:bCs w:val="0"/>
                      <w:highlight w:val="none"/>
                      <w:lang w:val="en-US" w:eastAsia="zh-CN"/>
                    </w:rPr>
                    <w:t>-N</w:t>
                  </w:r>
                </w:p>
              </w:tc>
              <w:tc>
                <w:tcPr>
                  <w:tcW w:w="0" w:type="auto"/>
                  <w:vAlign w:val="center"/>
                </w:tcPr>
                <w:p w14:paraId="0EAC2CEE">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≤5</w:t>
                  </w:r>
                </w:p>
              </w:tc>
              <w:tc>
                <w:tcPr>
                  <w:tcW w:w="0" w:type="auto"/>
                  <w:vAlign w:val="center"/>
                </w:tcPr>
                <w:p w14:paraId="1EEDCBAC">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0" w:type="auto"/>
                  <w:vAlign w:val="center"/>
                </w:tcPr>
                <w:p w14:paraId="0B59B024">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029FE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4" w:hRule="atLeast"/>
                <w:jc w:val="center"/>
              </w:trPr>
              <w:tc>
                <w:tcPr>
                  <w:tcW w:w="0" w:type="auto"/>
                  <w:vAlign w:val="center"/>
                </w:tcPr>
                <w:p w14:paraId="2E6A5895">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4</w:t>
                  </w:r>
                </w:p>
              </w:tc>
              <w:tc>
                <w:tcPr>
                  <w:tcW w:w="0" w:type="auto"/>
                  <w:vAlign w:val="center"/>
                </w:tcPr>
                <w:p w14:paraId="792451EC">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总氮TN</w:t>
                  </w:r>
                </w:p>
              </w:tc>
              <w:tc>
                <w:tcPr>
                  <w:tcW w:w="0" w:type="auto"/>
                  <w:vAlign w:val="center"/>
                </w:tcPr>
                <w:p w14:paraId="4AF626E6">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w:t>
                  </w:r>
                </w:p>
              </w:tc>
              <w:tc>
                <w:tcPr>
                  <w:tcW w:w="0" w:type="auto"/>
                  <w:vAlign w:val="center"/>
                </w:tcPr>
                <w:p w14:paraId="62EE0532">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0" w:type="auto"/>
                  <w:vAlign w:val="center"/>
                </w:tcPr>
                <w:p w14:paraId="287DAB5E">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3C2E5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3" w:hRule="atLeast"/>
                <w:jc w:val="center"/>
              </w:trPr>
              <w:tc>
                <w:tcPr>
                  <w:tcW w:w="0" w:type="auto"/>
                  <w:vAlign w:val="center"/>
                </w:tcPr>
                <w:p w14:paraId="14622859">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5</w:t>
                  </w:r>
                </w:p>
              </w:tc>
              <w:tc>
                <w:tcPr>
                  <w:tcW w:w="0" w:type="auto"/>
                  <w:vAlign w:val="center"/>
                </w:tcPr>
                <w:p w14:paraId="6367468F">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油</w:t>
                  </w:r>
                </w:p>
              </w:tc>
              <w:tc>
                <w:tcPr>
                  <w:tcW w:w="0" w:type="auto"/>
                  <w:vAlign w:val="center"/>
                </w:tcPr>
                <w:p w14:paraId="73B0AA7C">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≤5</w:t>
                  </w:r>
                </w:p>
              </w:tc>
              <w:tc>
                <w:tcPr>
                  <w:tcW w:w="0" w:type="auto"/>
                  <w:vAlign w:val="center"/>
                </w:tcPr>
                <w:p w14:paraId="73E0E4E9">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0" w:type="auto"/>
                  <w:vAlign w:val="center"/>
                </w:tcPr>
                <w:p w14:paraId="22378F9F">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3BFD5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2" w:hRule="atLeast"/>
                <w:jc w:val="center"/>
              </w:trPr>
              <w:tc>
                <w:tcPr>
                  <w:tcW w:w="0" w:type="auto"/>
                  <w:vAlign w:val="center"/>
                </w:tcPr>
                <w:p w14:paraId="0F8C0221">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6</w:t>
                  </w:r>
                </w:p>
              </w:tc>
              <w:tc>
                <w:tcPr>
                  <w:tcW w:w="0" w:type="auto"/>
                  <w:vAlign w:val="center"/>
                </w:tcPr>
                <w:p w14:paraId="0004421B">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pH</w:t>
                  </w:r>
                </w:p>
              </w:tc>
              <w:tc>
                <w:tcPr>
                  <w:tcW w:w="0" w:type="auto"/>
                  <w:vAlign w:val="center"/>
                </w:tcPr>
                <w:p w14:paraId="13E9337A">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7~9</w:t>
                  </w:r>
                </w:p>
              </w:tc>
              <w:tc>
                <w:tcPr>
                  <w:tcW w:w="0" w:type="auto"/>
                  <w:vAlign w:val="center"/>
                </w:tcPr>
                <w:p w14:paraId="0C0A22BB">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c>
                <w:tcPr>
                  <w:tcW w:w="0" w:type="auto"/>
                  <w:vAlign w:val="center"/>
                </w:tcPr>
                <w:p w14:paraId="2AA75A8A">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5BB01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9" w:hRule="atLeast"/>
                <w:jc w:val="center"/>
              </w:trPr>
              <w:tc>
                <w:tcPr>
                  <w:tcW w:w="0" w:type="auto"/>
                  <w:vAlign w:val="center"/>
                </w:tcPr>
                <w:p w14:paraId="32AD0FF7">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7</w:t>
                  </w:r>
                </w:p>
              </w:tc>
              <w:tc>
                <w:tcPr>
                  <w:tcW w:w="0" w:type="auto"/>
                  <w:vAlign w:val="center"/>
                </w:tcPr>
                <w:p w14:paraId="2F3A5367">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SS</w:t>
                  </w:r>
                </w:p>
              </w:tc>
              <w:tc>
                <w:tcPr>
                  <w:tcW w:w="0" w:type="auto"/>
                  <w:vAlign w:val="center"/>
                </w:tcPr>
                <w:p w14:paraId="3D377E7C">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≤50</w:t>
                  </w:r>
                </w:p>
              </w:tc>
              <w:tc>
                <w:tcPr>
                  <w:tcW w:w="0" w:type="auto"/>
                  <w:vAlign w:val="center"/>
                </w:tcPr>
                <w:p w14:paraId="6ACEA2BD">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0" w:type="auto"/>
                  <w:vAlign w:val="center"/>
                </w:tcPr>
                <w:p w14:paraId="3F818430">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31FDC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jc w:val="center"/>
              </w:trPr>
              <w:tc>
                <w:tcPr>
                  <w:tcW w:w="0" w:type="auto"/>
                  <w:vAlign w:val="center"/>
                </w:tcPr>
                <w:p w14:paraId="4C654014">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8</w:t>
                  </w:r>
                </w:p>
              </w:tc>
              <w:tc>
                <w:tcPr>
                  <w:tcW w:w="0" w:type="auto"/>
                  <w:vAlign w:val="center"/>
                </w:tcPr>
                <w:p w14:paraId="2F0CC59E">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TDS</w:t>
                  </w:r>
                </w:p>
              </w:tc>
              <w:tc>
                <w:tcPr>
                  <w:tcW w:w="0" w:type="auto"/>
                  <w:vAlign w:val="center"/>
                </w:tcPr>
                <w:p w14:paraId="5A3ACF2C">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≤3500</w:t>
                  </w:r>
                </w:p>
              </w:tc>
              <w:tc>
                <w:tcPr>
                  <w:tcW w:w="0" w:type="auto"/>
                  <w:vAlign w:val="center"/>
                </w:tcPr>
                <w:p w14:paraId="7DE952C9">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0" w:type="auto"/>
                  <w:vAlign w:val="center"/>
                </w:tcPr>
                <w:p w14:paraId="1F858DB5">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1D4E0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3" w:hRule="atLeast"/>
                <w:jc w:val="center"/>
              </w:trPr>
              <w:tc>
                <w:tcPr>
                  <w:tcW w:w="0" w:type="auto"/>
                  <w:vAlign w:val="center"/>
                </w:tcPr>
                <w:p w14:paraId="1BA1FCA9">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9</w:t>
                  </w:r>
                </w:p>
              </w:tc>
              <w:tc>
                <w:tcPr>
                  <w:tcW w:w="0" w:type="auto"/>
                  <w:vAlign w:val="center"/>
                </w:tcPr>
                <w:p w14:paraId="179DEFD1">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Na</w:t>
                  </w:r>
                  <w:r>
                    <w:rPr>
                      <w:rFonts w:hint="default" w:ascii="Times New Roman" w:hAnsi="Times New Roman" w:eastAsia="宋体" w:cs="Times New Roman"/>
                      <w:b w:val="0"/>
                      <w:bCs w:val="0"/>
                      <w:highlight w:val="none"/>
                      <w:vertAlign w:val="superscript"/>
                      <w:lang w:val="en-US" w:eastAsia="zh-CN"/>
                    </w:rPr>
                    <w:t>+</w:t>
                  </w:r>
                </w:p>
              </w:tc>
              <w:tc>
                <w:tcPr>
                  <w:tcW w:w="0" w:type="auto"/>
                  <w:vAlign w:val="center"/>
                </w:tcPr>
                <w:p w14:paraId="72F1B4B3">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≤556</w:t>
                  </w:r>
                </w:p>
              </w:tc>
              <w:tc>
                <w:tcPr>
                  <w:tcW w:w="0" w:type="auto"/>
                  <w:vAlign w:val="center"/>
                </w:tcPr>
                <w:p w14:paraId="26559B0A">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0" w:type="auto"/>
                  <w:vAlign w:val="center"/>
                </w:tcPr>
                <w:p w14:paraId="429F4E8F">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4B292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 w:hRule="atLeast"/>
                <w:jc w:val="center"/>
              </w:trPr>
              <w:tc>
                <w:tcPr>
                  <w:tcW w:w="0" w:type="auto"/>
                  <w:vAlign w:val="center"/>
                </w:tcPr>
                <w:p w14:paraId="3C46E66D">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10</w:t>
                  </w:r>
                </w:p>
              </w:tc>
              <w:tc>
                <w:tcPr>
                  <w:tcW w:w="0" w:type="auto"/>
                  <w:vAlign w:val="center"/>
                </w:tcPr>
                <w:p w14:paraId="26D1F21D">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K</w:t>
                  </w:r>
                  <w:r>
                    <w:rPr>
                      <w:rFonts w:hint="default" w:ascii="Times New Roman" w:hAnsi="Times New Roman" w:eastAsia="宋体" w:cs="Times New Roman"/>
                      <w:b w:val="0"/>
                      <w:bCs w:val="0"/>
                      <w:highlight w:val="none"/>
                      <w:vertAlign w:val="superscript"/>
                      <w:lang w:val="en-US" w:eastAsia="zh-CN"/>
                    </w:rPr>
                    <w:t>+</w:t>
                  </w:r>
                </w:p>
              </w:tc>
              <w:tc>
                <w:tcPr>
                  <w:tcW w:w="0" w:type="auto"/>
                  <w:vAlign w:val="center"/>
                </w:tcPr>
                <w:p w14:paraId="56B58310">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≤22</w:t>
                  </w:r>
                </w:p>
              </w:tc>
              <w:tc>
                <w:tcPr>
                  <w:tcW w:w="0" w:type="auto"/>
                  <w:vAlign w:val="center"/>
                </w:tcPr>
                <w:p w14:paraId="5B136428">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0" w:type="auto"/>
                  <w:vAlign w:val="center"/>
                </w:tcPr>
                <w:p w14:paraId="71F0EFEA">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72C68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3" w:hRule="atLeast"/>
                <w:jc w:val="center"/>
              </w:trPr>
              <w:tc>
                <w:tcPr>
                  <w:tcW w:w="0" w:type="auto"/>
                  <w:vAlign w:val="center"/>
                </w:tcPr>
                <w:p w14:paraId="6059916C">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11</w:t>
                  </w:r>
                </w:p>
              </w:tc>
              <w:tc>
                <w:tcPr>
                  <w:tcW w:w="0" w:type="auto"/>
                  <w:vAlign w:val="center"/>
                </w:tcPr>
                <w:p w14:paraId="0033A932">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Ca</w:t>
                  </w:r>
                  <w:r>
                    <w:rPr>
                      <w:rFonts w:hint="default" w:ascii="Times New Roman" w:hAnsi="Times New Roman" w:eastAsia="宋体" w:cs="Times New Roman"/>
                      <w:b w:val="0"/>
                      <w:bCs w:val="0"/>
                      <w:highlight w:val="none"/>
                      <w:vertAlign w:val="superscript"/>
                      <w:lang w:val="en-US" w:eastAsia="zh-CN"/>
                    </w:rPr>
                    <w:t>2+</w:t>
                  </w:r>
                </w:p>
              </w:tc>
              <w:tc>
                <w:tcPr>
                  <w:tcW w:w="0" w:type="auto"/>
                  <w:vAlign w:val="center"/>
                </w:tcPr>
                <w:p w14:paraId="312ABD29">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≤304</w:t>
                  </w:r>
                </w:p>
              </w:tc>
              <w:tc>
                <w:tcPr>
                  <w:tcW w:w="0" w:type="auto"/>
                  <w:vAlign w:val="center"/>
                </w:tcPr>
                <w:p w14:paraId="5F6AE397">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0" w:type="auto"/>
                  <w:vAlign w:val="center"/>
                </w:tcPr>
                <w:p w14:paraId="15C0DAE0">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727D4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 w:hRule="atLeast"/>
                <w:jc w:val="center"/>
              </w:trPr>
              <w:tc>
                <w:tcPr>
                  <w:tcW w:w="0" w:type="auto"/>
                  <w:vAlign w:val="center"/>
                </w:tcPr>
                <w:p w14:paraId="1CCD4211">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12</w:t>
                  </w:r>
                </w:p>
              </w:tc>
              <w:tc>
                <w:tcPr>
                  <w:tcW w:w="0" w:type="auto"/>
                  <w:vAlign w:val="center"/>
                </w:tcPr>
                <w:p w14:paraId="42514E17">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w:t>
                  </w:r>
                  <w:r>
                    <w:rPr>
                      <w:rFonts w:hint="default" w:ascii="Times New Roman" w:hAnsi="Times New Roman" w:eastAsia="宋体" w:cs="Times New Roman"/>
                      <w:b w:val="0"/>
                      <w:bCs w:val="0"/>
                      <w:highlight w:val="none"/>
                      <w:vertAlign w:val="superscript"/>
                      <w:lang w:val="en-US" w:eastAsia="zh-CN"/>
                    </w:rPr>
                    <w:t>2+</w:t>
                  </w:r>
                </w:p>
              </w:tc>
              <w:tc>
                <w:tcPr>
                  <w:tcW w:w="0" w:type="auto"/>
                  <w:vAlign w:val="center"/>
                </w:tcPr>
                <w:p w14:paraId="0A0CD9EF">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≤187</w:t>
                  </w:r>
                </w:p>
              </w:tc>
              <w:tc>
                <w:tcPr>
                  <w:tcW w:w="0" w:type="auto"/>
                  <w:vAlign w:val="center"/>
                </w:tcPr>
                <w:p w14:paraId="623B05FF">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0" w:type="auto"/>
                  <w:vAlign w:val="center"/>
                </w:tcPr>
                <w:p w14:paraId="3A179AD0">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0B835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 w:hRule="atLeast"/>
                <w:jc w:val="center"/>
              </w:trPr>
              <w:tc>
                <w:tcPr>
                  <w:tcW w:w="0" w:type="auto"/>
                  <w:vAlign w:val="center"/>
                </w:tcPr>
                <w:p w14:paraId="788E8D10">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13</w:t>
                  </w:r>
                </w:p>
              </w:tc>
              <w:tc>
                <w:tcPr>
                  <w:tcW w:w="0" w:type="auto"/>
                  <w:vAlign w:val="center"/>
                </w:tcPr>
                <w:p w14:paraId="05CD7C4A">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Fe</w:t>
                  </w:r>
                  <w:r>
                    <w:rPr>
                      <w:rFonts w:hint="default" w:ascii="Times New Roman" w:hAnsi="Times New Roman" w:eastAsia="宋体" w:cs="Times New Roman"/>
                      <w:b w:val="0"/>
                      <w:bCs w:val="0"/>
                      <w:highlight w:val="none"/>
                      <w:vertAlign w:val="superscript"/>
                      <w:lang w:val="en-US" w:eastAsia="zh-CN"/>
                    </w:rPr>
                    <w:t>3+</w:t>
                  </w:r>
                </w:p>
              </w:tc>
              <w:tc>
                <w:tcPr>
                  <w:tcW w:w="0" w:type="auto"/>
                  <w:vAlign w:val="center"/>
                </w:tcPr>
                <w:p w14:paraId="4723CF06">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w:t>
                  </w:r>
                </w:p>
              </w:tc>
              <w:tc>
                <w:tcPr>
                  <w:tcW w:w="0" w:type="auto"/>
                  <w:vAlign w:val="center"/>
                </w:tcPr>
                <w:p w14:paraId="0B425346">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0" w:type="auto"/>
                  <w:vAlign w:val="center"/>
                </w:tcPr>
                <w:p w14:paraId="7565E7F6">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5E9FC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 w:hRule="atLeast"/>
                <w:jc w:val="center"/>
              </w:trPr>
              <w:tc>
                <w:tcPr>
                  <w:tcW w:w="0" w:type="auto"/>
                  <w:vAlign w:val="center"/>
                </w:tcPr>
                <w:p w14:paraId="34648772">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14</w:t>
                  </w:r>
                </w:p>
              </w:tc>
              <w:tc>
                <w:tcPr>
                  <w:tcW w:w="0" w:type="auto"/>
                  <w:vAlign w:val="center"/>
                </w:tcPr>
                <w:p w14:paraId="5704B868">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Al</w:t>
                  </w:r>
                  <w:r>
                    <w:rPr>
                      <w:rFonts w:hint="default" w:ascii="Times New Roman" w:hAnsi="Times New Roman" w:eastAsia="宋体" w:cs="Times New Roman"/>
                      <w:b w:val="0"/>
                      <w:bCs w:val="0"/>
                      <w:highlight w:val="none"/>
                      <w:vertAlign w:val="superscript"/>
                      <w:lang w:val="en-US" w:eastAsia="zh-CN"/>
                    </w:rPr>
                    <w:t>3+</w:t>
                  </w:r>
                </w:p>
              </w:tc>
              <w:tc>
                <w:tcPr>
                  <w:tcW w:w="0" w:type="auto"/>
                  <w:vAlign w:val="center"/>
                </w:tcPr>
                <w:p w14:paraId="6DA505F3">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w:t>
                  </w:r>
                </w:p>
              </w:tc>
              <w:tc>
                <w:tcPr>
                  <w:tcW w:w="0" w:type="auto"/>
                  <w:vAlign w:val="center"/>
                </w:tcPr>
                <w:p w14:paraId="55AB977E">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0" w:type="auto"/>
                  <w:vAlign w:val="center"/>
                </w:tcPr>
                <w:p w14:paraId="4CA9D0A7">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60A92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3" w:hRule="atLeast"/>
                <w:jc w:val="center"/>
              </w:trPr>
              <w:tc>
                <w:tcPr>
                  <w:tcW w:w="0" w:type="auto"/>
                  <w:vAlign w:val="center"/>
                </w:tcPr>
                <w:p w14:paraId="760BAB7E">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15</w:t>
                  </w:r>
                </w:p>
              </w:tc>
              <w:tc>
                <w:tcPr>
                  <w:tcW w:w="0" w:type="auto"/>
                  <w:vAlign w:val="center"/>
                </w:tcPr>
                <w:p w14:paraId="18526808">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NH</w:t>
                  </w:r>
                  <w:r>
                    <w:rPr>
                      <w:rFonts w:hint="default" w:ascii="Times New Roman" w:hAnsi="Times New Roman" w:eastAsia="宋体" w:cs="Times New Roman"/>
                      <w:b w:val="0"/>
                      <w:bCs w:val="0"/>
                      <w:highlight w:val="none"/>
                      <w:vertAlign w:val="superscript"/>
                      <w:lang w:val="en-US" w:eastAsia="zh-CN"/>
                    </w:rPr>
                    <w:t>4</w:t>
                  </w:r>
                  <w:r>
                    <w:rPr>
                      <w:rFonts w:hint="eastAsia" w:ascii="Times New Roman" w:hAnsi="Times New Roman" w:eastAsia="宋体" w:cs="Times New Roman"/>
                      <w:b w:val="0"/>
                      <w:bCs w:val="0"/>
                      <w:highlight w:val="none"/>
                      <w:vertAlign w:val="superscript"/>
                      <w:lang w:val="en-US" w:eastAsia="zh-CN"/>
                    </w:rPr>
                    <w:t>+</w:t>
                  </w:r>
                </w:p>
              </w:tc>
              <w:tc>
                <w:tcPr>
                  <w:tcW w:w="0" w:type="auto"/>
                  <w:vAlign w:val="center"/>
                </w:tcPr>
                <w:p w14:paraId="59D6DCA6">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≤5</w:t>
                  </w:r>
                </w:p>
              </w:tc>
              <w:tc>
                <w:tcPr>
                  <w:tcW w:w="0" w:type="auto"/>
                  <w:vAlign w:val="center"/>
                </w:tcPr>
                <w:p w14:paraId="3F63D43E">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0" w:type="auto"/>
                  <w:vAlign w:val="center"/>
                </w:tcPr>
                <w:p w14:paraId="2447B974">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7C8D2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 w:hRule="atLeast"/>
                <w:jc w:val="center"/>
              </w:trPr>
              <w:tc>
                <w:tcPr>
                  <w:tcW w:w="0" w:type="auto"/>
                  <w:vAlign w:val="center"/>
                </w:tcPr>
                <w:p w14:paraId="587864FA">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16</w:t>
                  </w:r>
                </w:p>
              </w:tc>
              <w:tc>
                <w:tcPr>
                  <w:tcW w:w="0" w:type="auto"/>
                  <w:vAlign w:val="center"/>
                </w:tcPr>
                <w:p w14:paraId="529092D1">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Ba</w:t>
                  </w:r>
                  <w:r>
                    <w:rPr>
                      <w:rFonts w:hint="default" w:ascii="Times New Roman" w:hAnsi="Times New Roman" w:eastAsia="宋体" w:cs="Times New Roman"/>
                      <w:b w:val="0"/>
                      <w:bCs w:val="0"/>
                      <w:highlight w:val="none"/>
                      <w:vertAlign w:val="superscript"/>
                      <w:lang w:val="en-US" w:eastAsia="zh-CN"/>
                    </w:rPr>
                    <w:t>2+</w:t>
                  </w:r>
                </w:p>
              </w:tc>
              <w:tc>
                <w:tcPr>
                  <w:tcW w:w="0" w:type="auto"/>
                  <w:vAlign w:val="center"/>
                </w:tcPr>
                <w:p w14:paraId="2EEC84A9">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≤0.52</w:t>
                  </w:r>
                </w:p>
              </w:tc>
              <w:tc>
                <w:tcPr>
                  <w:tcW w:w="0" w:type="auto"/>
                  <w:vAlign w:val="center"/>
                </w:tcPr>
                <w:p w14:paraId="4580B251">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0" w:type="auto"/>
                  <w:vAlign w:val="center"/>
                </w:tcPr>
                <w:p w14:paraId="0F3BFD26">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24A71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 w:hRule="atLeast"/>
                <w:jc w:val="center"/>
              </w:trPr>
              <w:tc>
                <w:tcPr>
                  <w:tcW w:w="0" w:type="auto"/>
                  <w:vAlign w:val="center"/>
                </w:tcPr>
                <w:p w14:paraId="64FCEDC0">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17</w:t>
                  </w:r>
                </w:p>
              </w:tc>
              <w:tc>
                <w:tcPr>
                  <w:tcW w:w="0" w:type="auto"/>
                  <w:vAlign w:val="center"/>
                </w:tcPr>
                <w:p w14:paraId="338DC5A4">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Sr</w:t>
                  </w:r>
                  <w:r>
                    <w:rPr>
                      <w:rFonts w:hint="default" w:ascii="Times New Roman" w:hAnsi="Times New Roman" w:eastAsia="宋体" w:cs="Times New Roman"/>
                      <w:b w:val="0"/>
                      <w:bCs w:val="0"/>
                      <w:highlight w:val="none"/>
                      <w:vertAlign w:val="superscript"/>
                      <w:lang w:val="en-US" w:eastAsia="zh-CN"/>
                    </w:rPr>
                    <w:t>2+</w:t>
                  </w:r>
                </w:p>
              </w:tc>
              <w:tc>
                <w:tcPr>
                  <w:tcW w:w="0" w:type="auto"/>
                  <w:vAlign w:val="center"/>
                </w:tcPr>
                <w:p w14:paraId="6DA2D246">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≤5.24</w:t>
                  </w:r>
                </w:p>
              </w:tc>
              <w:tc>
                <w:tcPr>
                  <w:tcW w:w="0" w:type="auto"/>
                  <w:vAlign w:val="center"/>
                </w:tcPr>
                <w:p w14:paraId="41DAA661">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0" w:type="auto"/>
                  <w:vAlign w:val="center"/>
                </w:tcPr>
                <w:p w14:paraId="162F2264">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7C168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 w:hRule="atLeast"/>
                <w:jc w:val="center"/>
              </w:trPr>
              <w:tc>
                <w:tcPr>
                  <w:tcW w:w="0" w:type="auto"/>
                  <w:vAlign w:val="center"/>
                </w:tcPr>
                <w:p w14:paraId="28C68373">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18</w:t>
                  </w:r>
                </w:p>
              </w:tc>
              <w:tc>
                <w:tcPr>
                  <w:tcW w:w="0" w:type="auto"/>
                  <w:vAlign w:val="center"/>
                </w:tcPr>
                <w:p w14:paraId="763327B5">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Mn</w:t>
                  </w:r>
                  <w:r>
                    <w:rPr>
                      <w:rFonts w:hint="default" w:ascii="Times New Roman" w:hAnsi="Times New Roman" w:eastAsia="宋体" w:cs="Times New Roman"/>
                      <w:b w:val="0"/>
                      <w:bCs w:val="0"/>
                      <w:highlight w:val="none"/>
                      <w:vertAlign w:val="superscript"/>
                      <w:lang w:val="en-US" w:eastAsia="zh-CN"/>
                    </w:rPr>
                    <w:t>2+</w:t>
                  </w:r>
                </w:p>
              </w:tc>
              <w:tc>
                <w:tcPr>
                  <w:tcW w:w="0" w:type="auto"/>
                  <w:vAlign w:val="center"/>
                </w:tcPr>
                <w:p w14:paraId="02528CE6">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w:t>
                  </w:r>
                </w:p>
              </w:tc>
              <w:tc>
                <w:tcPr>
                  <w:tcW w:w="0" w:type="auto"/>
                  <w:vAlign w:val="center"/>
                </w:tcPr>
                <w:p w14:paraId="2601244C">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0" w:type="auto"/>
                  <w:vAlign w:val="center"/>
                </w:tcPr>
                <w:p w14:paraId="0C820B77">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55AA2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 w:hRule="atLeast"/>
                <w:jc w:val="center"/>
              </w:trPr>
              <w:tc>
                <w:tcPr>
                  <w:tcW w:w="0" w:type="auto"/>
                  <w:vAlign w:val="center"/>
                </w:tcPr>
                <w:p w14:paraId="2C8CB8A4">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19</w:t>
                  </w:r>
                </w:p>
              </w:tc>
              <w:tc>
                <w:tcPr>
                  <w:tcW w:w="0" w:type="auto"/>
                  <w:vAlign w:val="center"/>
                </w:tcPr>
                <w:p w14:paraId="34187D2F">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Cu</w:t>
                  </w:r>
                  <w:r>
                    <w:rPr>
                      <w:rFonts w:hint="default" w:ascii="Times New Roman" w:hAnsi="Times New Roman" w:eastAsia="宋体" w:cs="Times New Roman"/>
                      <w:b w:val="0"/>
                      <w:bCs w:val="0"/>
                      <w:highlight w:val="none"/>
                      <w:vertAlign w:val="superscript"/>
                      <w:lang w:val="en-US" w:eastAsia="zh-CN"/>
                    </w:rPr>
                    <w:t>2+</w:t>
                  </w:r>
                </w:p>
              </w:tc>
              <w:tc>
                <w:tcPr>
                  <w:tcW w:w="0" w:type="auto"/>
                  <w:vAlign w:val="center"/>
                </w:tcPr>
                <w:p w14:paraId="0AE589BA">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w:t>
                  </w:r>
                </w:p>
              </w:tc>
              <w:tc>
                <w:tcPr>
                  <w:tcW w:w="0" w:type="auto"/>
                  <w:vAlign w:val="center"/>
                </w:tcPr>
                <w:p w14:paraId="6EDE3405">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0" w:type="auto"/>
                  <w:vAlign w:val="center"/>
                </w:tcPr>
                <w:p w14:paraId="5D4A463C">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5B316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3" w:hRule="atLeast"/>
                <w:jc w:val="center"/>
              </w:trPr>
              <w:tc>
                <w:tcPr>
                  <w:tcW w:w="0" w:type="auto"/>
                  <w:vAlign w:val="center"/>
                </w:tcPr>
                <w:p w14:paraId="1379DD82">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20</w:t>
                  </w:r>
                </w:p>
              </w:tc>
              <w:tc>
                <w:tcPr>
                  <w:tcW w:w="0" w:type="auto"/>
                  <w:vAlign w:val="center"/>
                </w:tcPr>
                <w:p w14:paraId="0E5571D5">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Zn</w:t>
                  </w:r>
                  <w:r>
                    <w:rPr>
                      <w:rFonts w:hint="default" w:ascii="Times New Roman" w:hAnsi="Times New Roman" w:eastAsia="宋体" w:cs="Times New Roman"/>
                      <w:b w:val="0"/>
                      <w:bCs w:val="0"/>
                      <w:highlight w:val="none"/>
                      <w:vertAlign w:val="superscript"/>
                      <w:lang w:val="en-US" w:eastAsia="zh-CN"/>
                    </w:rPr>
                    <w:t>2+</w:t>
                  </w:r>
                </w:p>
              </w:tc>
              <w:tc>
                <w:tcPr>
                  <w:tcW w:w="0" w:type="auto"/>
                  <w:vAlign w:val="center"/>
                </w:tcPr>
                <w:p w14:paraId="2CB3CAF6">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w:t>
                  </w:r>
                </w:p>
              </w:tc>
              <w:tc>
                <w:tcPr>
                  <w:tcW w:w="0" w:type="auto"/>
                  <w:vAlign w:val="center"/>
                </w:tcPr>
                <w:p w14:paraId="56508056">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0" w:type="auto"/>
                  <w:vAlign w:val="center"/>
                </w:tcPr>
                <w:p w14:paraId="7CD0E408">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1F03C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2" w:hRule="atLeast"/>
                <w:jc w:val="center"/>
              </w:trPr>
              <w:tc>
                <w:tcPr>
                  <w:tcW w:w="0" w:type="auto"/>
                  <w:vAlign w:val="center"/>
                </w:tcPr>
                <w:p w14:paraId="45D3CB20">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21</w:t>
                  </w:r>
                </w:p>
              </w:tc>
              <w:tc>
                <w:tcPr>
                  <w:tcW w:w="0" w:type="auto"/>
                  <w:vAlign w:val="center"/>
                </w:tcPr>
                <w:p w14:paraId="10815D2E">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Cl</w:t>
                  </w:r>
                  <w:r>
                    <w:rPr>
                      <w:rFonts w:hint="default" w:ascii="Times New Roman" w:hAnsi="Times New Roman" w:eastAsia="宋体" w:cs="Times New Roman"/>
                      <w:b w:val="0"/>
                      <w:bCs w:val="0"/>
                      <w:highlight w:val="none"/>
                      <w:vertAlign w:val="superscript"/>
                      <w:lang w:val="en-US" w:eastAsia="zh-CN"/>
                    </w:rPr>
                    <w:t>-</w:t>
                  </w:r>
                </w:p>
              </w:tc>
              <w:tc>
                <w:tcPr>
                  <w:tcW w:w="0" w:type="auto"/>
                  <w:vAlign w:val="center"/>
                </w:tcPr>
                <w:p w14:paraId="2E1D6F4D">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≤577</w:t>
                  </w:r>
                </w:p>
              </w:tc>
              <w:tc>
                <w:tcPr>
                  <w:tcW w:w="0" w:type="auto"/>
                  <w:vAlign w:val="center"/>
                </w:tcPr>
                <w:p w14:paraId="45C1E22C">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0" w:type="auto"/>
                  <w:vAlign w:val="center"/>
                </w:tcPr>
                <w:p w14:paraId="3808EB84">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46613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3" w:hRule="atLeast"/>
                <w:jc w:val="center"/>
              </w:trPr>
              <w:tc>
                <w:tcPr>
                  <w:tcW w:w="0" w:type="auto"/>
                  <w:vAlign w:val="center"/>
                </w:tcPr>
                <w:p w14:paraId="57EB7547">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22</w:t>
                  </w:r>
                </w:p>
              </w:tc>
              <w:tc>
                <w:tcPr>
                  <w:tcW w:w="0" w:type="auto"/>
                  <w:vAlign w:val="center"/>
                </w:tcPr>
                <w:p w14:paraId="2E99164D">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SO</w:t>
                  </w:r>
                  <w:r>
                    <w:rPr>
                      <w:rFonts w:hint="default" w:ascii="Times New Roman" w:hAnsi="Times New Roman" w:eastAsia="宋体" w:cs="Times New Roman"/>
                      <w:b w:val="0"/>
                      <w:bCs w:val="0"/>
                      <w:highlight w:val="none"/>
                      <w:vertAlign w:val="subscript"/>
                      <w:lang w:val="en-US" w:eastAsia="zh-CN"/>
                    </w:rPr>
                    <w:t>4</w:t>
                  </w:r>
                  <w:r>
                    <w:rPr>
                      <w:rFonts w:hint="default" w:ascii="Times New Roman" w:hAnsi="Times New Roman" w:eastAsia="宋体" w:cs="Times New Roman"/>
                      <w:b w:val="0"/>
                      <w:bCs w:val="0"/>
                      <w:highlight w:val="none"/>
                      <w:vertAlign w:val="superscript"/>
                      <w:lang w:val="en-US" w:eastAsia="zh-CN"/>
                    </w:rPr>
                    <w:t>2-</w:t>
                  </w:r>
                </w:p>
              </w:tc>
              <w:tc>
                <w:tcPr>
                  <w:tcW w:w="0" w:type="auto"/>
                  <w:vAlign w:val="center"/>
                </w:tcPr>
                <w:p w14:paraId="454D6EA8">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≤790</w:t>
                  </w:r>
                </w:p>
              </w:tc>
              <w:tc>
                <w:tcPr>
                  <w:tcW w:w="0" w:type="auto"/>
                  <w:vAlign w:val="center"/>
                </w:tcPr>
                <w:p w14:paraId="3AFB4D08">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0" w:type="auto"/>
                  <w:vAlign w:val="center"/>
                </w:tcPr>
                <w:p w14:paraId="52A4FD6E">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2E905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4" w:hRule="atLeast"/>
                <w:jc w:val="center"/>
              </w:trPr>
              <w:tc>
                <w:tcPr>
                  <w:tcW w:w="0" w:type="auto"/>
                  <w:vAlign w:val="center"/>
                </w:tcPr>
                <w:p w14:paraId="22F4A21A">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23</w:t>
                  </w:r>
                </w:p>
              </w:tc>
              <w:tc>
                <w:tcPr>
                  <w:tcW w:w="0" w:type="auto"/>
                  <w:vAlign w:val="center"/>
                </w:tcPr>
                <w:p w14:paraId="5CD69A7A">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HCO</w:t>
                  </w:r>
                  <w:r>
                    <w:rPr>
                      <w:rFonts w:hint="default" w:ascii="Times New Roman" w:hAnsi="Times New Roman" w:eastAsia="宋体" w:cs="Times New Roman"/>
                      <w:b w:val="0"/>
                      <w:bCs w:val="0"/>
                      <w:highlight w:val="none"/>
                      <w:vertAlign w:val="subscript"/>
                      <w:lang w:val="en-US" w:eastAsia="zh-CN"/>
                    </w:rPr>
                    <w:t>3</w:t>
                  </w:r>
                  <w:r>
                    <w:rPr>
                      <w:rFonts w:hint="eastAsia" w:ascii="Times New Roman" w:hAnsi="Times New Roman" w:eastAsia="宋体" w:cs="Times New Roman"/>
                      <w:b w:val="0"/>
                      <w:bCs w:val="0"/>
                      <w:highlight w:val="none"/>
                      <w:vertAlign w:val="superscript"/>
                      <w:lang w:val="en-US" w:eastAsia="zh-CN"/>
                    </w:rPr>
                    <w:t>-</w:t>
                  </w:r>
                </w:p>
              </w:tc>
              <w:tc>
                <w:tcPr>
                  <w:tcW w:w="0" w:type="auto"/>
                  <w:vAlign w:val="center"/>
                </w:tcPr>
                <w:p w14:paraId="3E8040C0">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≤1282</w:t>
                  </w:r>
                </w:p>
              </w:tc>
              <w:tc>
                <w:tcPr>
                  <w:tcW w:w="0" w:type="auto"/>
                  <w:vAlign w:val="center"/>
                </w:tcPr>
                <w:p w14:paraId="01A6FA2B">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0" w:type="auto"/>
                  <w:vAlign w:val="center"/>
                </w:tcPr>
                <w:p w14:paraId="2CD57DFD">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3A6B0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2" w:hRule="atLeast"/>
                <w:jc w:val="center"/>
              </w:trPr>
              <w:tc>
                <w:tcPr>
                  <w:tcW w:w="0" w:type="auto"/>
                  <w:vAlign w:val="center"/>
                </w:tcPr>
                <w:p w14:paraId="159BB0BB">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24</w:t>
                  </w:r>
                </w:p>
              </w:tc>
              <w:tc>
                <w:tcPr>
                  <w:tcW w:w="0" w:type="auto"/>
                  <w:vAlign w:val="center"/>
                </w:tcPr>
                <w:p w14:paraId="3A8663D8">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CO</w:t>
                  </w:r>
                  <w:r>
                    <w:rPr>
                      <w:rFonts w:hint="default" w:ascii="Times New Roman" w:hAnsi="Times New Roman" w:eastAsia="宋体" w:cs="Times New Roman"/>
                      <w:b w:val="0"/>
                      <w:bCs w:val="0"/>
                      <w:highlight w:val="none"/>
                      <w:vertAlign w:val="subscript"/>
                      <w:lang w:val="en-US" w:eastAsia="zh-CN"/>
                    </w:rPr>
                    <w:t>3</w:t>
                  </w:r>
                  <w:r>
                    <w:rPr>
                      <w:rFonts w:hint="default" w:ascii="Times New Roman" w:hAnsi="Times New Roman" w:eastAsia="宋体" w:cs="Times New Roman"/>
                      <w:b w:val="0"/>
                      <w:bCs w:val="0"/>
                      <w:highlight w:val="none"/>
                      <w:vertAlign w:val="superscript"/>
                      <w:lang w:val="en-US" w:eastAsia="zh-CN"/>
                    </w:rPr>
                    <w:t>2-</w:t>
                  </w:r>
                </w:p>
              </w:tc>
              <w:tc>
                <w:tcPr>
                  <w:tcW w:w="0" w:type="auto"/>
                  <w:vAlign w:val="center"/>
                </w:tcPr>
                <w:p w14:paraId="2752715C">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≤41</w:t>
                  </w:r>
                </w:p>
              </w:tc>
              <w:tc>
                <w:tcPr>
                  <w:tcW w:w="0" w:type="auto"/>
                  <w:vAlign w:val="center"/>
                </w:tcPr>
                <w:p w14:paraId="1FB55BE6">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0" w:type="auto"/>
                  <w:vAlign w:val="center"/>
                </w:tcPr>
                <w:p w14:paraId="01CCB3D4">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7461F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3" w:hRule="atLeast"/>
                <w:jc w:val="center"/>
              </w:trPr>
              <w:tc>
                <w:tcPr>
                  <w:tcW w:w="0" w:type="auto"/>
                  <w:vAlign w:val="center"/>
                </w:tcPr>
                <w:p w14:paraId="69CA1D68">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25</w:t>
                  </w:r>
                </w:p>
              </w:tc>
              <w:tc>
                <w:tcPr>
                  <w:tcW w:w="0" w:type="auto"/>
                  <w:vAlign w:val="center"/>
                </w:tcPr>
                <w:p w14:paraId="3AF3E666">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NO</w:t>
                  </w:r>
                  <w:r>
                    <w:rPr>
                      <w:rFonts w:hint="default" w:ascii="Times New Roman" w:hAnsi="Times New Roman" w:eastAsia="宋体" w:cs="Times New Roman"/>
                      <w:b w:val="0"/>
                      <w:bCs w:val="0"/>
                      <w:highlight w:val="none"/>
                      <w:vertAlign w:val="subscript"/>
                      <w:lang w:val="en-US" w:eastAsia="zh-CN"/>
                    </w:rPr>
                    <w:t>3</w:t>
                  </w:r>
                  <w:r>
                    <w:rPr>
                      <w:rFonts w:hint="eastAsia" w:ascii="Times New Roman" w:hAnsi="Times New Roman" w:eastAsia="宋体" w:cs="Times New Roman"/>
                      <w:b w:val="0"/>
                      <w:bCs w:val="0"/>
                      <w:highlight w:val="none"/>
                      <w:vertAlign w:val="superscript"/>
                      <w:lang w:val="en-US" w:eastAsia="zh-CN"/>
                    </w:rPr>
                    <w:t>-</w:t>
                  </w:r>
                </w:p>
              </w:tc>
              <w:tc>
                <w:tcPr>
                  <w:tcW w:w="0" w:type="auto"/>
                  <w:vAlign w:val="center"/>
                </w:tcPr>
                <w:p w14:paraId="16312216">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≤12</w:t>
                  </w:r>
                </w:p>
              </w:tc>
              <w:tc>
                <w:tcPr>
                  <w:tcW w:w="0" w:type="auto"/>
                  <w:vAlign w:val="center"/>
                </w:tcPr>
                <w:p w14:paraId="1BB9E624">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0" w:type="auto"/>
                  <w:vAlign w:val="center"/>
                </w:tcPr>
                <w:p w14:paraId="244C7E26">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3DFBE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2" w:hRule="atLeast"/>
                <w:jc w:val="center"/>
              </w:trPr>
              <w:tc>
                <w:tcPr>
                  <w:tcW w:w="0" w:type="auto"/>
                  <w:vAlign w:val="center"/>
                </w:tcPr>
                <w:p w14:paraId="64793191">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26</w:t>
                  </w:r>
                </w:p>
              </w:tc>
              <w:tc>
                <w:tcPr>
                  <w:tcW w:w="0" w:type="auto"/>
                  <w:vAlign w:val="center"/>
                </w:tcPr>
                <w:p w14:paraId="1C587F61">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NO</w:t>
                  </w:r>
                  <w:r>
                    <w:rPr>
                      <w:rFonts w:hint="default" w:ascii="Times New Roman" w:hAnsi="Times New Roman" w:eastAsia="宋体" w:cs="Times New Roman"/>
                      <w:b w:val="0"/>
                      <w:bCs w:val="0"/>
                      <w:highlight w:val="none"/>
                      <w:vertAlign w:val="subscript"/>
                      <w:lang w:val="en-US" w:eastAsia="zh-CN"/>
                    </w:rPr>
                    <w:t>3</w:t>
                  </w:r>
                  <w:r>
                    <w:rPr>
                      <w:rFonts w:hint="eastAsia" w:ascii="Times New Roman" w:hAnsi="Times New Roman" w:eastAsia="宋体" w:cs="Times New Roman"/>
                      <w:b w:val="0"/>
                      <w:bCs w:val="0"/>
                      <w:highlight w:val="none"/>
                      <w:vertAlign w:val="superscript"/>
                      <w:lang w:val="en-US" w:eastAsia="zh-CN"/>
                    </w:rPr>
                    <w:t>-</w:t>
                  </w:r>
                </w:p>
              </w:tc>
              <w:tc>
                <w:tcPr>
                  <w:tcW w:w="0" w:type="auto"/>
                  <w:vAlign w:val="center"/>
                </w:tcPr>
                <w:p w14:paraId="09690701">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w:t>
                  </w:r>
                </w:p>
              </w:tc>
              <w:tc>
                <w:tcPr>
                  <w:tcW w:w="0" w:type="auto"/>
                  <w:vAlign w:val="center"/>
                </w:tcPr>
                <w:p w14:paraId="49C42F81">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0" w:type="auto"/>
                  <w:vAlign w:val="center"/>
                </w:tcPr>
                <w:p w14:paraId="119D907E">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22150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2" w:hRule="atLeast"/>
                <w:jc w:val="center"/>
              </w:trPr>
              <w:tc>
                <w:tcPr>
                  <w:tcW w:w="0" w:type="auto"/>
                  <w:vAlign w:val="center"/>
                </w:tcPr>
                <w:p w14:paraId="30165AD7">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27</w:t>
                  </w:r>
                </w:p>
              </w:tc>
              <w:tc>
                <w:tcPr>
                  <w:tcW w:w="0" w:type="auto"/>
                  <w:vAlign w:val="center"/>
                </w:tcPr>
                <w:p w14:paraId="0F87D445">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OH-</w:t>
                  </w:r>
                </w:p>
              </w:tc>
              <w:tc>
                <w:tcPr>
                  <w:tcW w:w="0" w:type="auto"/>
                  <w:vAlign w:val="center"/>
                </w:tcPr>
                <w:p w14:paraId="6A43F717">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w:t>
                  </w:r>
                </w:p>
              </w:tc>
              <w:tc>
                <w:tcPr>
                  <w:tcW w:w="0" w:type="auto"/>
                  <w:vAlign w:val="center"/>
                </w:tcPr>
                <w:p w14:paraId="48D1E986">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0" w:type="auto"/>
                  <w:vAlign w:val="center"/>
                </w:tcPr>
                <w:p w14:paraId="28BBEF8B">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595AA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2" w:hRule="atLeast"/>
                <w:jc w:val="center"/>
              </w:trPr>
              <w:tc>
                <w:tcPr>
                  <w:tcW w:w="0" w:type="auto"/>
                  <w:vAlign w:val="center"/>
                </w:tcPr>
                <w:p w14:paraId="00AE0D41">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28</w:t>
                  </w:r>
                </w:p>
              </w:tc>
              <w:tc>
                <w:tcPr>
                  <w:tcW w:w="0" w:type="auto"/>
                  <w:vAlign w:val="center"/>
                </w:tcPr>
                <w:p w14:paraId="47B23842">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HSiO</w:t>
                  </w:r>
                  <w:r>
                    <w:rPr>
                      <w:rFonts w:hint="default" w:ascii="Times New Roman" w:hAnsi="Times New Roman" w:eastAsia="宋体" w:cs="Times New Roman"/>
                      <w:b w:val="0"/>
                      <w:bCs w:val="0"/>
                      <w:highlight w:val="none"/>
                      <w:vertAlign w:val="subscript"/>
                      <w:lang w:val="en-US" w:eastAsia="zh-CN"/>
                    </w:rPr>
                    <w:t>3</w:t>
                  </w:r>
                  <w:r>
                    <w:rPr>
                      <w:rFonts w:hint="eastAsia" w:ascii="Times New Roman" w:hAnsi="Times New Roman" w:eastAsia="宋体" w:cs="Times New Roman"/>
                      <w:b w:val="0"/>
                      <w:bCs w:val="0"/>
                      <w:highlight w:val="none"/>
                      <w:vertAlign w:val="superscript"/>
                      <w:lang w:val="en-US" w:eastAsia="zh-CN"/>
                    </w:rPr>
                    <w:t>-</w:t>
                  </w:r>
                </w:p>
              </w:tc>
              <w:tc>
                <w:tcPr>
                  <w:tcW w:w="0" w:type="auto"/>
                  <w:vAlign w:val="center"/>
                </w:tcPr>
                <w:p w14:paraId="26CEB44C">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w:t>
                  </w:r>
                </w:p>
              </w:tc>
              <w:tc>
                <w:tcPr>
                  <w:tcW w:w="0" w:type="auto"/>
                  <w:vAlign w:val="center"/>
                </w:tcPr>
                <w:p w14:paraId="36F0168E">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0" w:type="auto"/>
                  <w:vAlign w:val="center"/>
                </w:tcPr>
                <w:p w14:paraId="5FA1F3B7">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001CF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3" w:hRule="atLeast"/>
                <w:jc w:val="center"/>
              </w:trPr>
              <w:tc>
                <w:tcPr>
                  <w:tcW w:w="0" w:type="auto"/>
                  <w:vAlign w:val="center"/>
                </w:tcPr>
                <w:p w14:paraId="1A13CB9B">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29</w:t>
                  </w:r>
                </w:p>
              </w:tc>
              <w:tc>
                <w:tcPr>
                  <w:tcW w:w="0" w:type="auto"/>
                  <w:vAlign w:val="center"/>
                </w:tcPr>
                <w:p w14:paraId="0FB6AC93">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F</w:t>
                  </w:r>
                  <w:r>
                    <w:rPr>
                      <w:rFonts w:hint="default" w:ascii="Times New Roman" w:hAnsi="Times New Roman" w:eastAsia="宋体" w:cs="Times New Roman"/>
                      <w:b w:val="0"/>
                      <w:bCs w:val="0"/>
                      <w:highlight w:val="none"/>
                      <w:vertAlign w:val="superscript"/>
                      <w:lang w:val="en-US" w:eastAsia="zh-CN"/>
                    </w:rPr>
                    <w:t>-</w:t>
                  </w:r>
                </w:p>
              </w:tc>
              <w:tc>
                <w:tcPr>
                  <w:tcW w:w="0" w:type="auto"/>
                  <w:vAlign w:val="center"/>
                </w:tcPr>
                <w:p w14:paraId="49BA42A8">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≤3</w:t>
                  </w:r>
                </w:p>
              </w:tc>
              <w:tc>
                <w:tcPr>
                  <w:tcW w:w="0" w:type="auto"/>
                  <w:vAlign w:val="center"/>
                </w:tcPr>
                <w:p w14:paraId="071F281E">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0" w:type="auto"/>
                  <w:vAlign w:val="center"/>
                </w:tcPr>
                <w:p w14:paraId="3B31CA56">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159B7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3" w:hRule="atLeast"/>
                <w:jc w:val="center"/>
              </w:trPr>
              <w:tc>
                <w:tcPr>
                  <w:tcW w:w="0" w:type="auto"/>
                  <w:vAlign w:val="center"/>
                </w:tcPr>
                <w:p w14:paraId="4C9B84B9">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30</w:t>
                  </w:r>
                </w:p>
              </w:tc>
              <w:tc>
                <w:tcPr>
                  <w:tcW w:w="0" w:type="auto"/>
                  <w:vAlign w:val="center"/>
                </w:tcPr>
                <w:p w14:paraId="044CC3FC">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PO</w:t>
                  </w:r>
                  <w:r>
                    <w:rPr>
                      <w:rFonts w:hint="default" w:ascii="Times New Roman" w:hAnsi="Times New Roman" w:eastAsia="宋体" w:cs="Times New Roman"/>
                      <w:b w:val="0"/>
                      <w:bCs w:val="0"/>
                      <w:highlight w:val="none"/>
                      <w:vertAlign w:val="subscript"/>
                      <w:lang w:val="en-US" w:eastAsia="zh-CN"/>
                    </w:rPr>
                    <w:t>4</w:t>
                  </w:r>
                  <w:r>
                    <w:rPr>
                      <w:rFonts w:hint="default" w:ascii="Times New Roman" w:hAnsi="Times New Roman" w:eastAsia="宋体" w:cs="Times New Roman"/>
                      <w:b w:val="0"/>
                      <w:bCs w:val="0"/>
                      <w:highlight w:val="none"/>
                      <w:vertAlign w:val="superscript"/>
                      <w:lang w:val="en-US" w:eastAsia="zh-CN"/>
                    </w:rPr>
                    <w:t>3-</w:t>
                  </w:r>
                </w:p>
              </w:tc>
              <w:tc>
                <w:tcPr>
                  <w:tcW w:w="0" w:type="auto"/>
                  <w:vAlign w:val="center"/>
                </w:tcPr>
                <w:p w14:paraId="24F36C18">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w:t>
                  </w:r>
                </w:p>
              </w:tc>
              <w:tc>
                <w:tcPr>
                  <w:tcW w:w="0" w:type="auto"/>
                  <w:vAlign w:val="center"/>
                </w:tcPr>
                <w:p w14:paraId="57B3C41C">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0" w:type="auto"/>
                  <w:vAlign w:val="center"/>
                </w:tcPr>
                <w:p w14:paraId="346828F1">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72D34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7" w:hRule="atLeast"/>
                <w:jc w:val="center"/>
              </w:trPr>
              <w:tc>
                <w:tcPr>
                  <w:tcW w:w="0" w:type="auto"/>
                  <w:vAlign w:val="center"/>
                </w:tcPr>
                <w:p w14:paraId="3FED57F9">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31</w:t>
                  </w:r>
                </w:p>
              </w:tc>
              <w:tc>
                <w:tcPr>
                  <w:tcW w:w="0" w:type="auto"/>
                  <w:vAlign w:val="center"/>
                </w:tcPr>
                <w:p w14:paraId="6D9EC717">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S</w:t>
                  </w:r>
                  <w:r>
                    <w:rPr>
                      <w:rFonts w:hint="default" w:ascii="Times New Roman" w:hAnsi="Times New Roman" w:eastAsia="宋体" w:cs="Times New Roman"/>
                      <w:b w:val="0"/>
                      <w:bCs w:val="0"/>
                      <w:highlight w:val="none"/>
                      <w:vertAlign w:val="superscript"/>
                      <w:lang w:val="en-US" w:eastAsia="zh-CN"/>
                    </w:rPr>
                    <w:t>2-</w:t>
                  </w:r>
                </w:p>
              </w:tc>
              <w:tc>
                <w:tcPr>
                  <w:tcW w:w="0" w:type="auto"/>
                  <w:vAlign w:val="center"/>
                </w:tcPr>
                <w:p w14:paraId="1EA001F6">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w:t>
                  </w:r>
                </w:p>
              </w:tc>
              <w:tc>
                <w:tcPr>
                  <w:tcW w:w="0" w:type="auto"/>
                  <w:vAlign w:val="center"/>
                </w:tcPr>
                <w:p w14:paraId="00C40A9C">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0" w:type="auto"/>
                  <w:vAlign w:val="center"/>
                </w:tcPr>
                <w:p w14:paraId="5AA6166F">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最大&lt;30 mg/L</w:t>
                  </w:r>
                </w:p>
              </w:tc>
            </w:tr>
            <w:tr w14:paraId="6EB52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2" w:hRule="atLeast"/>
                <w:jc w:val="center"/>
              </w:trPr>
              <w:tc>
                <w:tcPr>
                  <w:tcW w:w="0" w:type="auto"/>
                  <w:vAlign w:val="center"/>
                </w:tcPr>
                <w:p w14:paraId="6B303DA8">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32</w:t>
                  </w:r>
                </w:p>
              </w:tc>
              <w:tc>
                <w:tcPr>
                  <w:tcW w:w="0" w:type="auto"/>
                  <w:vAlign w:val="center"/>
                </w:tcPr>
                <w:p w14:paraId="05922180">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HCOO</w:t>
                  </w:r>
                  <w:r>
                    <w:rPr>
                      <w:rFonts w:hint="default" w:ascii="Times New Roman" w:hAnsi="Times New Roman" w:eastAsia="宋体" w:cs="Times New Roman"/>
                      <w:b w:val="0"/>
                      <w:bCs w:val="0"/>
                      <w:highlight w:val="none"/>
                      <w:vertAlign w:val="superscript"/>
                      <w:lang w:val="en-US" w:eastAsia="zh-CN"/>
                    </w:rPr>
                    <w:t>-</w:t>
                  </w:r>
                </w:p>
              </w:tc>
              <w:tc>
                <w:tcPr>
                  <w:tcW w:w="0" w:type="auto"/>
                  <w:vAlign w:val="center"/>
                </w:tcPr>
                <w:p w14:paraId="517205C4">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w:t>
                  </w:r>
                </w:p>
              </w:tc>
              <w:tc>
                <w:tcPr>
                  <w:tcW w:w="0" w:type="auto"/>
                  <w:vAlign w:val="center"/>
                </w:tcPr>
                <w:p w14:paraId="1ED88F55">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0" w:type="auto"/>
                  <w:vAlign w:val="center"/>
                </w:tcPr>
                <w:p w14:paraId="2F1443A4">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46337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3" w:hRule="atLeast"/>
                <w:jc w:val="center"/>
              </w:trPr>
              <w:tc>
                <w:tcPr>
                  <w:tcW w:w="0" w:type="auto"/>
                  <w:vAlign w:val="center"/>
                </w:tcPr>
                <w:p w14:paraId="4CE7EB83">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33</w:t>
                  </w:r>
                </w:p>
              </w:tc>
              <w:tc>
                <w:tcPr>
                  <w:tcW w:w="0" w:type="auto"/>
                  <w:vAlign w:val="center"/>
                </w:tcPr>
                <w:p w14:paraId="4042B1B7">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CN</w:t>
                  </w:r>
                  <w:r>
                    <w:rPr>
                      <w:rFonts w:hint="default" w:ascii="Times New Roman" w:hAnsi="Times New Roman" w:eastAsia="宋体" w:cs="Times New Roman"/>
                      <w:b w:val="0"/>
                      <w:bCs w:val="0"/>
                      <w:highlight w:val="none"/>
                      <w:vertAlign w:val="superscript"/>
                      <w:lang w:val="en-US" w:eastAsia="zh-CN"/>
                    </w:rPr>
                    <w:t>-</w:t>
                  </w:r>
                </w:p>
              </w:tc>
              <w:tc>
                <w:tcPr>
                  <w:tcW w:w="0" w:type="auto"/>
                  <w:vAlign w:val="center"/>
                </w:tcPr>
                <w:p w14:paraId="30B6CF23">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w:t>
                  </w:r>
                </w:p>
              </w:tc>
              <w:tc>
                <w:tcPr>
                  <w:tcW w:w="0" w:type="auto"/>
                  <w:vAlign w:val="center"/>
                </w:tcPr>
                <w:p w14:paraId="45D13DF7">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0" w:type="auto"/>
                  <w:vAlign w:val="center"/>
                </w:tcPr>
                <w:p w14:paraId="153B9310">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1F682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3" w:hRule="atLeast"/>
                <w:jc w:val="center"/>
              </w:trPr>
              <w:tc>
                <w:tcPr>
                  <w:tcW w:w="0" w:type="auto"/>
                  <w:vAlign w:val="center"/>
                </w:tcPr>
                <w:p w14:paraId="2FACE03A">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34</w:t>
                  </w:r>
                </w:p>
              </w:tc>
              <w:tc>
                <w:tcPr>
                  <w:tcW w:w="0" w:type="auto"/>
                  <w:vAlign w:val="center"/>
                </w:tcPr>
                <w:p w14:paraId="4DFD861A">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总硬度（以CaCO</w:t>
                  </w:r>
                  <w:r>
                    <w:rPr>
                      <w:rFonts w:hint="default" w:ascii="Times New Roman" w:hAnsi="Times New Roman" w:eastAsia="宋体" w:cs="Times New Roman"/>
                      <w:b w:val="0"/>
                      <w:bCs w:val="0"/>
                      <w:highlight w:val="none"/>
                      <w:vertAlign w:val="subscript"/>
                      <w:lang w:val="en-US" w:eastAsia="zh-CN"/>
                    </w:rPr>
                    <w:t>3</w:t>
                  </w:r>
                  <w:r>
                    <w:rPr>
                      <w:rFonts w:hint="default" w:ascii="Times New Roman" w:hAnsi="Times New Roman" w:eastAsia="宋体" w:cs="Times New Roman"/>
                      <w:b w:val="0"/>
                      <w:bCs w:val="0"/>
                      <w:highlight w:val="none"/>
                      <w:lang w:val="en-US" w:eastAsia="zh-CN"/>
                    </w:rPr>
                    <w:t>计）</w:t>
                  </w:r>
                </w:p>
              </w:tc>
              <w:tc>
                <w:tcPr>
                  <w:tcW w:w="0" w:type="auto"/>
                  <w:vAlign w:val="center"/>
                </w:tcPr>
                <w:p w14:paraId="2111333D">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≤1500</w:t>
                  </w:r>
                </w:p>
              </w:tc>
              <w:tc>
                <w:tcPr>
                  <w:tcW w:w="0" w:type="auto"/>
                  <w:vAlign w:val="center"/>
                </w:tcPr>
                <w:p w14:paraId="178A2D94">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0" w:type="auto"/>
                  <w:vAlign w:val="center"/>
                </w:tcPr>
                <w:p w14:paraId="09C86E42">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281B2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jc w:val="center"/>
              </w:trPr>
              <w:tc>
                <w:tcPr>
                  <w:tcW w:w="0" w:type="auto"/>
                  <w:vAlign w:val="center"/>
                </w:tcPr>
                <w:p w14:paraId="0D75A336">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35</w:t>
                  </w:r>
                </w:p>
              </w:tc>
              <w:tc>
                <w:tcPr>
                  <w:tcW w:w="0" w:type="auto"/>
                  <w:vAlign w:val="center"/>
                </w:tcPr>
                <w:p w14:paraId="41D8C925">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全硅</w:t>
                  </w:r>
                </w:p>
              </w:tc>
              <w:tc>
                <w:tcPr>
                  <w:tcW w:w="0" w:type="auto"/>
                  <w:vAlign w:val="center"/>
                </w:tcPr>
                <w:p w14:paraId="17974589">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≤45</w:t>
                  </w:r>
                </w:p>
              </w:tc>
              <w:tc>
                <w:tcPr>
                  <w:tcW w:w="0" w:type="auto"/>
                  <w:vAlign w:val="center"/>
                </w:tcPr>
                <w:p w14:paraId="73A0F999">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0" w:type="auto"/>
                  <w:vAlign w:val="center"/>
                </w:tcPr>
                <w:p w14:paraId="472DA34A">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bl>
          <w:p w14:paraId="365CA891">
            <w:pPr>
              <w:spacing w:line="360" w:lineRule="auto"/>
              <w:ind w:firstLine="482" w:firstLineChars="200"/>
              <w:rPr>
                <w:rFonts w:hint="default" w:ascii="Times New Roman" w:hAnsi="Times New Roman" w:eastAsia="宋体" w:cs="Times New Roman"/>
                <w:b/>
                <w:sz w:val="24"/>
                <w:szCs w:val="24"/>
                <w:highlight w:val="none"/>
              </w:rPr>
            </w:pPr>
            <w:r>
              <w:rPr>
                <w:rFonts w:hint="default" w:ascii="Times New Roman" w:hAnsi="Times New Roman" w:eastAsia="宋体" w:cs="Times New Roman"/>
                <w:b/>
                <w:sz w:val="24"/>
                <w:szCs w:val="24"/>
                <w:highlight w:val="none"/>
              </w:rPr>
              <w:t>4</w:t>
            </w:r>
            <w:r>
              <w:rPr>
                <w:rFonts w:hint="eastAsia" w:cs="Times New Roman"/>
                <w:b/>
                <w:sz w:val="24"/>
                <w:szCs w:val="24"/>
                <w:highlight w:val="none"/>
                <w:lang w:val="en-US" w:eastAsia="zh-CN"/>
              </w:rPr>
              <w:t>.</w:t>
            </w:r>
            <w:r>
              <w:rPr>
                <w:rFonts w:hint="default" w:ascii="Times New Roman" w:hAnsi="Times New Roman" w:eastAsia="宋体" w:cs="Times New Roman"/>
                <w:b/>
                <w:sz w:val="24"/>
                <w:szCs w:val="24"/>
                <w:highlight w:val="none"/>
              </w:rPr>
              <w:t>固废</w:t>
            </w:r>
          </w:p>
          <w:p w14:paraId="6C4735DB">
            <w:pPr>
              <w:spacing w:line="360" w:lineRule="auto"/>
              <w:ind w:firstLine="480" w:firstLineChars="200"/>
              <w:rPr>
                <w:rFonts w:ascii="Times New Roman" w:hAnsi="Times New Roman" w:cs="Times New Roman"/>
                <w:color w:val="0000FF"/>
                <w:szCs w:val="21"/>
                <w:highlight w:val="none"/>
              </w:rPr>
            </w:pPr>
            <w:r>
              <w:rPr>
                <w:rFonts w:hint="default" w:ascii="Times New Roman" w:hAnsi="Times New Roman" w:cs="Times New Roman"/>
                <w:kern w:val="2"/>
                <w:sz w:val="24"/>
                <w:szCs w:val="24"/>
                <w:highlight w:val="none"/>
              </w:rPr>
              <w:t>本项目施工期产生的一般固体废物处置执行《一般工业固体废物贮存、处置场污染控制标准》</w:t>
            </w:r>
            <w:r>
              <w:rPr>
                <w:rFonts w:hint="eastAsia" w:cs="Times New Roman"/>
                <w:kern w:val="2"/>
                <w:sz w:val="24"/>
                <w:szCs w:val="24"/>
                <w:highlight w:val="none"/>
                <w:lang w:eastAsia="zh-CN"/>
              </w:rPr>
              <w:t>（</w:t>
            </w:r>
            <w:r>
              <w:rPr>
                <w:rFonts w:hint="default" w:ascii="Times New Roman" w:hAnsi="Times New Roman" w:cs="Times New Roman"/>
                <w:kern w:val="2"/>
                <w:sz w:val="24"/>
                <w:szCs w:val="24"/>
                <w:highlight w:val="none"/>
              </w:rPr>
              <w:t>GB18599-2020</w:t>
            </w:r>
            <w:r>
              <w:rPr>
                <w:rFonts w:hint="eastAsia" w:cs="Times New Roman"/>
                <w:kern w:val="2"/>
                <w:sz w:val="24"/>
                <w:szCs w:val="24"/>
                <w:highlight w:val="none"/>
                <w:lang w:eastAsia="zh-CN"/>
              </w:rPr>
              <w:t>），</w:t>
            </w:r>
            <w:r>
              <w:rPr>
                <w:rFonts w:hint="eastAsia" w:cs="Times New Roman"/>
                <w:kern w:val="2"/>
                <w:sz w:val="24"/>
                <w:szCs w:val="24"/>
                <w:highlight w:val="none"/>
                <w:lang w:val="en-US" w:eastAsia="zh-CN"/>
              </w:rPr>
              <w:t>危险废物为</w:t>
            </w:r>
            <w:r>
              <w:rPr>
                <w:rFonts w:hint="default" w:ascii="Times New Roman" w:hAnsi="Times New Roman" w:cs="Times New Roman"/>
                <w:kern w:val="2"/>
                <w:sz w:val="24"/>
                <w:szCs w:val="24"/>
                <w:highlight w:val="none"/>
                <w:lang w:val="en-US" w:eastAsia="zh-CN"/>
              </w:rPr>
              <w:t>废油漆桶</w:t>
            </w:r>
            <w:r>
              <w:rPr>
                <w:rFonts w:hint="default" w:ascii="Times New Roman" w:hAnsi="Times New Roman" w:cs="Times New Roman"/>
                <w:kern w:val="2"/>
                <w:sz w:val="24"/>
                <w:szCs w:val="24"/>
                <w:highlight w:val="none"/>
              </w:rPr>
              <w:t>。</w:t>
            </w:r>
            <w:r>
              <w:rPr>
                <w:rFonts w:hint="default" w:ascii="Times New Roman" w:hAnsi="Times New Roman" w:cs="Times New Roman"/>
                <w:sz w:val="24"/>
                <w:highlight w:val="none"/>
                <w:lang w:val="zh-CN"/>
              </w:rPr>
              <w:t>废油漆桶属于《国家危险废物名录》</w:t>
            </w:r>
            <w:r>
              <w:rPr>
                <w:rFonts w:hint="eastAsia" w:cs="Times New Roman"/>
                <w:sz w:val="24"/>
                <w:highlight w:val="none"/>
                <w:lang w:val="zh-CN"/>
              </w:rPr>
              <w:t>（</w:t>
            </w:r>
            <w:r>
              <w:rPr>
                <w:rFonts w:hint="default" w:ascii="Times New Roman" w:hAnsi="Times New Roman" w:cs="Times New Roman"/>
                <w:sz w:val="24"/>
                <w:highlight w:val="none"/>
                <w:lang w:val="zh-CN"/>
              </w:rPr>
              <w:t>202</w:t>
            </w:r>
            <w:r>
              <w:rPr>
                <w:rFonts w:hint="default" w:ascii="Times New Roman" w:hAnsi="Times New Roman" w:cs="Times New Roman"/>
                <w:sz w:val="24"/>
                <w:highlight w:val="none"/>
              </w:rPr>
              <w:t>5</w:t>
            </w:r>
            <w:r>
              <w:rPr>
                <w:rFonts w:hint="default" w:ascii="Times New Roman" w:hAnsi="Times New Roman" w:cs="Times New Roman"/>
                <w:sz w:val="24"/>
                <w:highlight w:val="none"/>
                <w:lang w:val="zh-CN"/>
              </w:rPr>
              <w:t>年版</w:t>
            </w:r>
            <w:r>
              <w:rPr>
                <w:rFonts w:hint="eastAsia" w:cs="Times New Roman"/>
                <w:sz w:val="24"/>
                <w:highlight w:val="none"/>
                <w:lang w:val="zh-CN"/>
              </w:rPr>
              <w:t>）</w:t>
            </w:r>
            <w:r>
              <w:rPr>
                <w:rFonts w:hint="default" w:ascii="Times New Roman" w:hAnsi="Times New Roman" w:cs="Times New Roman"/>
                <w:sz w:val="24"/>
                <w:highlight w:val="none"/>
                <w:lang w:val="zh-CN"/>
              </w:rPr>
              <w:t>中HW49其</w:t>
            </w:r>
            <w:r>
              <w:rPr>
                <w:rFonts w:hint="eastAsia" w:cs="Times New Roman"/>
                <w:sz w:val="24"/>
                <w:highlight w:val="none"/>
                <w:lang w:val="zh-CN"/>
              </w:rPr>
              <w:t>他</w:t>
            </w:r>
            <w:r>
              <w:rPr>
                <w:rFonts w:hint="default" w:ascii="Times New Roman" w:hAnsi="Times New Roman" w:cs="Times New Roman"/>
                <w:sz w:val="24"/>
                <w:highlight w:val="none"/>
                <w:lang w:val="zh-CN"/>
              </w:rPr>
              <w:t>废物，废物代码为900-041-49，在</w:t>
            </w:r>
            <w:r>
              <w:rPr>
                <w:rFonts w:hint="default" w:ascii="Times New Roman" w:hAnsi="Times New Roman" w:cs="Times New Roman"/>
                <w:sz w:val="24"/>
                <w:highlight w:val="none"/>
              </w:rPr>
              <w:t>厂区</w:t>
            </w:r>
            <w:r>
              <w:rPr>
                <w:rFonts w:hint="default" w:ascii="Times New Roman" w:hAnsi="Times New Roman" w:cs="Times New Roman"/>
                <w:sz w:val="24"/>
                <w:highlight w:val="none"/>
                <w:lang w:val="zh-CN"/>
              </w:rPr>
              <w:t>内</w:t>
            </w:r>
            <w:r>
              <w:rPr>
                <w:rFonts w:hint="eastAsia" w:cs="Times New Roman"/>
                <w:sz w:val="24"/>
                <w:highlight w:val="none"/>
                <w:lang w:val="en-US" w:eastAsia="zh-CN"/>
              </w:rPr>
              <w:t>现有</w:t>
            </w:r>
            <w:r>
              <w:rPr>
                <w:rFonts w:hint="default" w:ascii="Times New Roman" w:hAnsi="Times New Roman" w:cs="Times New Roman"/>
                <w:sz w:val="24"/>
                <w:highlight w:val="none"/>
                <w:lang w:val="zh-CN"/>
              </w:rPr>
              <w:t>危废间暂存，定期委托有资质的危险废物处置单位进行安全处置。</w:t>
            </w:r>
          </w:p>
        </w:tc>
      </w:tr>
      <w:tr w14:paraId="69A217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63" w:hRule="atLeast"/>
          <w:jc w:val="center"/>
        </w:trPr>
        <w:tc>
          <w:tcPr>
            <w:tcW w:w="456" w:type="dxa"/>
            <w:noWrap w:val="0"/>
            <w:vAlign w:val="center"/>
          </w:tcPr>
          <w:p w14:paraId="4784C1C9">
            <w:pPr>
              <w:adjustRightInd w:val="0"/>
              <w:snapToGrid w:val="0"/>
              <w:jc w:val="center"/>
              <w:rPr>
                <w:rFonts w:ascii="宋体" w:hAnsi="宋体" w:cs="宋体"/>
                <w:kern w:val="0"/>
                <w:szCs w:val="21"/>
                <w:highlight w:val="none"/>
              </w:rPr>
            </w:pPr>
            <w:r>
              <w:rPr>
                <w:rFonts w:hint="eastAsia" w:ascii="宋体" w:hAnsi="宋体" w:cs="宋体"/>
                <w:kern w:val="0"/>
                <w:sz w:val="24"/>
                <w:highlight w:val="none"/>
              </w:rPr>
              <w:t>其他</w:t>
            </w:r>
          </w:p>
        </w:tc>
        <w:tc>
          <w:tcPr>
            <w:tcW w:w="8443" w:type="dxa"/>
            <w:noWrap w:val="0"/>
            <w:vAlign w:val="center"/>
          </w:tcPr>
          <w:p w14:paraId="66E341A0">
            <w:pPr>
              <w:adjustRightInd w:val="0"/>
              <w:snapToGrid w:val="0"/>
              <w:jc w:val="center"/>
              <w:rPr>
                <w:rFonts w:ascii="宋体" w:hAnsi="宋体" w:cs="宋体"/>
                <w:color w:val="0000FF"/>
                <w:kern w:val="0"/>
                <w:szCs w:val="21"/>
                <w:highlight w:val="none"/>
              </w:rPr>
            </w:pPr>
            <w:r>
              <w:rPr>
                <w:rFonts w:hint="eastAsia"/>
                <w:sz w:val="24"/>
                <w:highlight w:val="none"/>
              </w:rPr>
              <w:t>本项目不涉及总量控制指标</w:t>
            </w:r>
            <w:r>
              <w:rPr>
                <w:rFonts w:hint="eastAsia"/>
                <w:sz w:val="24"/>
                <w:szCs w:val="32"/>
                <w:highlight w:val="none"/>
              </w:rPr>
              <w:t>。</w:t>
            </w:r>
          </w:p>
        </w:tc>
      </w:tr>
    </w:tbl>
    <w:p w14:paraId="0EDBB167">
      <w:pPr>
        <w:rPr>
          <w:highlight w:val="none"/>
        </w:rPr>
      </w:pPr>
    </w:p>
    <w:p w14:paraId="6934C6EF">
      <w:pPr>
        <w:pStyle w:val="18"/>
        <w:jc w:val="center"/>
        <w:outlineLvl w:val="0"/>
        <w:rPr>
          <w:rFonts w:ascii="黑体" w:hAnsi="黑体" w:eastAsia="黑体"/>
          <w:snapToGrid w:val="0"/>
          <w:sz w:val="30"/>
          <w:szCs w:val="30"/>
          <w:highlight w:val="none"/>
        </w:rPr>
      </w:pPr>
      <w:r>
        <w:rPr>
          <w:rFonts w:ascii="黑体" w:hAnsi="黑体" w:eastAsia="黑体"/>
          <w:snapToGrid w:val="0"/>
          <w:kern w:val="2"/>
          <w:sz w:val="36"/>
          <w:szCs w:val="36"/>
          <w:highlight w:val="none"/>
        </w:rPr>
        <w:br w:type="page"/>
      </w:r>
      <w:r>
        <w:rPr>
          <w:rFonts w:hint="eastAsia" w:ascii="黑体" w:hAnsi="黑体" w:eastAsia="黑体"/>
          <w:snapToGrid w:val="0"/>
          <w:sz w:val="30"/>
          <w:szCs w:val="30"/>
          <w:highlight w:val="none"/>
        </w:rPr>
        <w:t>四、生态环境影响分析</w:t>
      </w:r>
    </w:p>
    <w:tbl>
      <w:tblPr>
        <w:tblStyle w:val="19"/>
        <w:tblW w:w="886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56"/>
        <w:gridCol w:w="8408"/>
      </w:tblGrid>
      <w:tr w14:paraId="12D093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9" w:hRule="atLeast"/>
          <w:jc w:val="center"/>
        </w:trPr>
        <w:tc>
          <w:tcPr>
            <w:tcW w:w="456" w:type="dxa"/>
            <w:noWrap w:val="0"/>
            <w:tcMar>
              <w:left w:w="28" w:type="dxa"/>
              <w:right w:w="28" w:type="dxa"/>
            </w:tcMar>
            <w:vAlign w:val="center"/>
          </w:tcPr>
          <w:p w14:paraId="262A61BA">
            <w:pPr>
              <w:pStyle w:val="18"/>
              <w:adjustRightInd w:val="0"/>
              <w:snapToGrid w:val="0"/>
              <w:spacing w:before="0" w:beforeAutospacing="0" w:after="0" w:afterAutospacing="0"/>
              <w:jc w:val="center"/>
              <w:rPr>
                <w:rFonts w:cs="宋体"/>
                <w:bCs/>
                <w:kern w:val="2"/>
                <w:sz w:val="21"/>
                <w:szCs w:val="21"/>
                <w:highlight w:val="none"/>
              </w:rPr>
            </w:pPr>
            <w:bookmarkStart w:id="46" w:name="_Hlk49796138"/>
            <w:r>
              <w:rPr>
                <w:rFonts w:hint="eastAsia" w:cs="宋体"/>
                <w:bCs/>
                <w:spacing w:val="10"/>
                <w:kern w:val="2"/>
                <w:highlight w:val="none"/>
              </w:rPr>
              <w:t>施工期生态环境影响分析</w:t>
            </w:r>
            <w:bookmarkEnd w:id="46"/>
          </w:p>
        </w:tc>
        <w:tc>
          <w:tcPr>
            <w:tcW w:w="8408" w:type="dxa"/>
            <w:noWrap w:val="0"/>
            <w:vAlign w:val="center"/>
          </w:tcPr>
          <w:p w14:paraId="00159283">
            <w:pPr>
              <w:spacing w:line="360" w:lineRule="auto"/>
              <w:rPr>
                <w:b/>
                <w:bCs/>
                <w:sz w:val="24"/>
                <w:szCs w:val="32"/>
                <w:highlight w:val="none"/>
              </w:rPr>
            </w:pPr>
            <w:r>
              <w:rPr>
                <w:rFonts w:hint="eastAsia"/>
                <w:b/>
                <w:bCs/>
                <w:sz w:val="24"/>
                <w:szCs w:val="32"/>
                <w:highlight w:val="none"/>
              </w:rPr>
              <w:t>1</w:t>
            </w:r>
            <w:r>
              <w:rPr>
                <w:rFonts w:hint="eastAsia"/>
                <w:b/>
                <w:bCs/>
                <w:sz w:val="24"/>
                <w:szCs w:val="32"/>
                <w:highlight w:val="none"/>
                <w:lang w:val="en-US" w:eastAsia="zh-CN"/>
              </w:rPr>
              <w:t>.</w:t>
            </w:r>
            <w:r>
              <w:rPr>
                <w:rFonts w:hint="eastAsia"/>
                <w:b/>
                <w:bCs/>
                <w:sz w:val="24"/>
                <w:szCs w:val="32"/>
                <w:highlight w:val="none"/>
              </w:rPr>
              <w:t>水环境影响分析</w:t>
            </w:r>
          </w:p>
          <w:p w14:paraId="0C6ACFFD">
            <w:pPr>
              <w:pStyle w:val="13"/>
              <w:spacing w:after="0" w:line="360" w:lineRule="auto"/>
              <w:ind w:left="0" w:leftChars="0" w:firstLine="480" w:firstLineChars="200"/>
              <w:rPr>
                <w:color w:val="1900FF"/>
                <w:sz w:val="24"/>
                <w:szCs w:val="32"/>
                <w:highlight w:val="none"/>
                <w:lang w:val="en-US"/>
              </w:rPr>
            </w:pPr>
            <w:r>
              <w:rPr>
                <w:rFonts w:hint="eastAsia"/>
                <w:sz w:val="24"/>
                <w:szCs w:val="32"/>
                <w:highlight w:val="none"/>
                <w:lang w:val="en-US" w:eastAsia="zh-CN"/>
              </w:rPr>
              <w:t>施工人员依托伊泰化工公司现有工作人员，不新增劳动定员，无新增废水。</w:t>
            </w:r>
            <w:r>
              <w:rPr>
                <w:rFonts w:hint="eastAsia"/>
                <w:sz w:val="24"/>
                <w:szCs w:val="32"/>
                <w:highlight w:val="none"/>
                <w:lang w:val="en-US"/>
              </w:rPr>
              <w:t>施工人员产生的生活废水依托厂区内现有污水处理</w:t>
            </w:r>
            <w:r>
              <w:rPr>
                <w:rFonts w:hint="eastAsia"/>
                <w:sz w:val="24"/>
                <w:szCs w:val="32"/>
                <w:highlight w:val="none"/>
                <w:lang w:val="en-US" w:eastAsia="zh-CN"/>
              </w:rPr>
              <w:t>站</w:t>
            </w:r>
            <w:r>
              <w:rPr>
                <w:rFonts w:hint="eastAsia"/>
                <w:sz w:val="24"/>
                <w:szCs w:val="32"/>
                <w:highlight w:val="none"/>
                <w:lang w:val="en-US"/>
              </w:rPr>
              <w:t>处理。</w:t>
            </w:r>
          </w:p>
          <w:p w14:paraId="012CFDB0">
            <w:pPr>
              <w:pStyle w:val="13"/>
              <w:spacing w:after="0" w:line="360" w:lineRule="auto"/>
              <w:ind w:left="0" w:leftChars="0" w:firstLine="480" w:firstLineChars="200"/>
              <w:rPr>
                <w:rFonts w:hint="eastAsia"/>
                <w:sz w:val="24"/>
                <w:szCs w:val="32"/>
                <w:highlight w:val="none"/>
              </w:rPr>
            </w:pPr>
            <w:r>
              <w:rPr>
                <w:rFonts w:hint="eastAsia"/>
                <w:sz w:val="24"/>
                <w:szCs w:val="32"/>
                <w:highlight w:val="none"/>
              </w:rPr>
              <w:t>施工期生产废水主要为</w:t>
            </w:r>
            <w:r>
              <w:rPr>
                <w:rFonts w:hint="eastAsia" w:ascii="Times New Roman" w:hAnsi="Times New Roman" w:eastAsia="宋体" w:cs="Times New Roman"/>
                <w:sz w:val="24"/>
                <w:szCs w:val="32"/>
                <w:highlight w:val="none"/>
              </w:rPr>
              <w:t>管道试压废水</w:t>
            </w:r>
            <w:r>
              <w:rPr>
                <w:rFonts w:hint="eastAsia" w:ascii="Times New Roman" w:hAnsi="Times New Roman" w:eastAsia="宋体" w:cs="Times New Roman"/>
                <w:sz w:val="24"/>
                <w:szCs w:val="32"/>
                <w:highlight w:val="none"/>
                <w:lang w:eastAsia="zh-CN"/>
              </w:rPr>
              <w:t>：管道敷设完毕后，需分段试压以测试管道的强度和严密性，试压介质为</w:t>
            </w:r>
            <w:r>
              <w:rPr>
                <w:rFonts w:hint="eastAsia" w:cs="Times New Roman"/>
                <w:sz w:val="24"/>
                <w:szCs w:val="32"/>
                <w:highlight w:val="none"/>
                <w:lang w:val="en-US" w:eastAsia="zh-CN"/>
              </w:rPr>
              <w:t>新鲜水</w:t>
            </w:r>
            <w:r>
              <w:rPr>
                <w:rFonts w:hint="eastAsia" w:ascii="Times New Roman" w:hAnsi="Times New Roman" w:eastAsia="宋体" w:cs="Times New Roman"/>
                <w:sz w:val="24"/>
                <w:szCs w:val="32"/>
                <w:highlight w:val="none"/>
                <w:lang w:eastAsia="zh-CN"/>
              </w:rPr>
              <w:t>，会产生试压废水，废水中主要污染物是悬浮物，水质较简单，SS浓度低于</w:t>
            </w:r>
            <w:r>
              <w:rPr>
                <w:rFonts w:hint="eastAsia" w:cs="Times New Roman"/>
                <w:sz w:val="24"/>
                <w:szCs w:val="32"/>
                <w:highlight w:val="none"/>
                <w:lang w:val="en-US" w:eastAsia="zh-CN"/>
              </w:rPr>
              <w:t>50</w:t>
            </w:r>
            <w:r>
              <w:rPr>
                <w:rFonts w:hint="eastAsia" w:ascii="Times New Roman" w:hAnsi="Times New Roman" w:eastAsia="宋体" w:cs="Times New Roman"/>
                <w:sz w:val="24"/>
                <w:szCs w:val="32"/>
                <w:highlight w:val="none"/>
                <w:lang w:eastAsia="zh-CN"/>
              </w:rPr>
              <w:t>mg/L，</w:t>
            </w:r>
            <w:r>
              <w:rPr>
                <w:rFonts w:hint="eastAsia" w:cs="宋体"/>
                <w:kern w:val="2"/>
                <w:sz w:val="24"/>
                <w:szCs w:val="24"/>
                <w:highlight w:val="none"/>
                <w:lang w:val="en-US" w:eastAsia="zh-CN"/>
              </w:rPr>
              <w:t>试压</w:t>
            </w:r>
            <w:r>
              <w:rPr>
                <w:rFonts w:hint="eastAsia" w:ascii="Times New Roman" w:hAnsi="Times New Roman" w:eastAsia="宋体" w:cs="宋体"/>
                <w:kern w:val="2"/>
                <w:sz w:val="24"/>
                <w:szCs w:val="24"/>
                <w:highlight w:val="none"/>
              </w:rPr>
              <w:t>废水</w:t>
            </w:r>
            <w:r>
              <w:rPr>
                <w:rFonts w:hint="eastAsia" w:cs="宋体"/>
                <w:kern w:val="2"/>
                <w:sz w:val="24"/>
                <w:szCs w:val="24"/>
                <w:highlight w:val="none"/>
                <w:lang w:val="en-US" w:eastAsia="zh-CN"/>
              </w:rPr>
              <w:t>产生后通过罐车运输至伊泰化工</w:t>
            </w:r>
            <w:r>
              <w:rPr>
                <w:rFonts w:hint="eastAsia" w:ascii="Times New Roman" w:hAnsi="Times New Roman" w:eastAsia="宋体" w:cs="宋体"/>
                <w:kern w:val="2"/>
                <w:sz w:val="24"/>
                <w:szCs w:val="24"/>
                <w:highlight w:val="none"/>
              </w:rPr>
              <w:t>厂区内现有</w:t>
            </w:r>
            <w:r>
              <w:rPr>
                <w:rFonts w:hint="eastAsia" w:cs="宋体"/>
                <w:sz w:val="24"/>
                <w:highlight w:val="none"/>
              </w:rPr>
              <w:t>污水处理站废水处理及回用清净废水处理单元</w:t>
            </w:r>
            <w:r>
              <w:rPr>
                <w:rFonts w:hint="eastAsia" w:ascii="Times New Roman" w:hAnsi="Times New Roman" w:eastAsia="宋体" w:cs="宋体"/>
                <w:kern w:val="2"/>
                <w:sz w:val="24"/>
                <w:szCs w:val="24"/>
                <w:highlight w:val="none"/>
              </w:rPr>
              <w:t>，处理后回用，不外排。</w:t>
            </w:r>
          </w:p>
          <w:p w14:paraId="0839BF4A">
            <w:pPr>
              <w:adjustRightInd w:val="0"/>
              <w:snapToGrid w:val="0"/>
              <w:spacing w:line="360" w:lineRule="auto"/>
              <w:ind w:firstLine="480" w:firstLineChars="200"/>
              <w:rPr>
                <w:rFonts w:hint="default" w:ascii="Times New Roman" w:hAnsi="Times New Roman" w:eastAsia="宋体" w:cs="Times New Roman"/>
                <w:color w:val="000000"/>
                <w:kern w:val="0"/>
                <w:sz w:val="24"/>
                <w:szCs w:val="24"/>
                <w:highlight w:val="none"/>
              </w:rPr>
            </w:pPr>
            <w:r>
              <w:rPr>
                <w:rFonts w:hint="default" w:ascii="Times New Roman" w:hAnsi="Times New Roman" w:eastAsia="宋体" w:cs="Times New Roman"/>
                <w:color w:val="000000"/>
                <w:kern w:val="0"/>
                <w:sz w:val="24"/>
                <w:szCs w:val="24"/>
                <w:highlight w:val="none"/>
              </w:rPr>
              <w:t>整体而言，施工期项目建设对地表水环境影响较小。施工期间废水的排放随着施工期的结束，亦会随之消失。</w:t>
            </w:r>
          </w:p>
          <w:p w14:paraId="63092579">
            <w:pPr>
              <w:pStyle w:val="13"/>
              <w:spacing w:after="0" w:line="360" w:lineRule="auto"/>
              <w:ind w:left="0" w:leftChars="0"/>
              <w:rPr>
                <w:b/>
                <w:bCs/>
                <w:sz w:val="24"/>
                <w:szCs w:val="32"/>
                <w:highlight w:val="none"/>
                <w:lang w:val="en-US"/>
              </w:rPr>
            </w:pPr>
            <w:r>
              <w:rPr>
                <w:rFonts w:hint="eastAsia"/>
                <w:b/>
                <w:bCs/>
                <w:sz w:val="24"/>
                <w:szCs w:val="32"/>
                <w:highlight w:val="none"/>
                <w:lang w:val="en-US"/>
              </w:rPr>
              <w:t>2</w:t>
            </w:r>
            <w:r>
              <w:rPr>
                <w:rFonts w:hint="eastAsia"/>
                <w:b/>
                <w:bCs/>
                <w:sz w:val="24"/>
                <w:szCs w:val="32"/>
                <w:highlight w:val="none"/>
                <w:lang w:val="en-US" w:eastAsia="zh-CN"/>
              </w:rPr>
              <w:t>.</w:t>
            </w:r>
            <w:r>
              <w:rPr>
                <w:rFonts w:hint="eastAsia"/>
                <w:b/>
                <w:bCs/>
                <w:sz w:val="24"/>
                <w:szCs w:val="32"/>
                <w:highlight w:val="none"/>
                <w:lang w:val="en-US"/>
              </w:rPr>
              <w:t>大气环境影响分析</w:t>
            </w:r>
          </w:p>
          <w:p w14:paraId="50EA7401">
            <w:pPr>
              <w:spacing w:line="360" w:lineRule="auto"/>
              <w:ind w:firstLine="480" w:firstLineChars="200"/>
              <w:rPr>
                <w:rFonts w:hint="default" w:ascii="Times New Roman" w:hAnsi="Times New Roman" w:cs="Times New Roman" w:eastAsiaTheme="minorEastAsia"/>
                <w:sz w:val="24"/>
                <w:szCs w:val="24"/>
                <w:highlight w:val="none"/>
              </w:rPr>
            </w:pPr>
            <w:r>
              <w:rPr>
                <w:rFonts w:hint="default" w:ascii="Times New Roman" w:hAnsi="Times New Roman" w:cs="Times New Roman" w:eastAsiaTheme="minorEastAsia"/>
                <w:sz w:val="24"/>
                <w:szCs w:val="24"/>
                <w:highlight w:val="none"/>
              </w:rPr>
              <w:t>施工期大气污染源主要有：施工扬尘及施工机械设备尾气、焊接烟气及涂漆废气等。</w:t>
            </w:r>
          </w:p>
          <w:p w14:paraId="36F7DBDB">
            <w:pPr>
              <w:spacing w:line="360" w:lineRule="auto"/>
              <w:ind w:firstLine="504" w:firstLineChars="200"/>
              <w:rPr>
                <w:rFonts w:hint="default" w:ascii="Times New Roman" w:hAnsi="Times New Roman" w:cs="Times New Roman" w:eastAsiaTheme="minorEastAsia"/>
                <w:sz w:val="24"/>
                <w:szCs w:val="24"/>
                <w:highlight w:val="none"/>
                <w:lang w:eastAsia="zh-CN"/>
              </w:rPr>
            </w:pPr>
            <w:r>
              <w:rPr>
                <w:rFonts w:hint="default" w:ascii="Times New Roman" w:hAnsi="Times New Roman" w:cs="Times New Roman" w:eastAsiaTheme="minorEastAsia"/>
                <w:spacing w:val="6"/>
                <w:position w:val="1"/>
                <w:sz w:val="24"/>
                <w:szCs w:val="24"/>
                <w:highlight w:val="none"/>
                <w:lang w:eastAsia="zh-CN"/>
              </w:rPr>
              <w:t>（1）施工扬尘</w:t>
            </w:r>
          </w:p>
          <w:p w14:paraId="78B9A3EC">
            <w:pPr>
              <w:pStyle w:val="27"/>
              <w:spacing w:line="360" w:lineRule="auto"/>
              <w:ind w:left="102" w:right="48" w:firstLine="512"/>
              <w:rPr>
                <w:rFonts w:hint="default" w:ascii="Times New Roman" w:hAnsi="Times New Roman" w:cs="Times New Roman" w:eastAsiaTheme="minorEastAsia"/>
                <w:spacing w:val="9"/>
                <w:sz w:val="24"/>
                <w:szCs w:val="24"/>
                <w:highlight w:val="none"/>
                <w:lang w:val="en-US" w:eastAsia="zh-CN"/>
              </w:rPr>
            </w:pPr>
            <w:r>
              <w:rPr>
                <w:rFonts w:hint="default" w:ascii="Times New Roman" w:hAnsi="Times New Roman" w:cs="Times New Roman" w:eastAsiaTheme="minorEastAsia"/>
                <w:spacing w:val="9"/>
                <w:sz w:val="24"/>
                <w:szCs w:val="24"/>
                <w:highlight w:val="none"/>
                <w:lang w:eastAsia="zh-CN"/>
              </w:rPr>
              <w:t>本项目为</w:t>
            </w:r>
            <w:r>
              <w:rPr>
                <w:rFonts w:hint="default" w:ascii="Times New Roman" w:hAnsi="Times New Roman" w:cs="Times New Roman" w:eastAsiaTheme="minorEastAsia"/>
                <w:spacing w:val="9"/>
                <w:sz w:val="24"/>
                <w:szCs w:val="24"/>
                <w:highlight w:val="none"/>
                <w:lang w:val="en-US" w:eastAsia="zh-CN"/>
              </w:rPr>
              <w:t>架空管线</w:t>
            </w:r>
            <w:r>
              <w:rPr>
                <w:rFonts w:hint="default" w:ascii="Times New Roman" w:hAnsi="Times New Roman" w:cs="Times New Roman" w:eastAsiaTheme="minorEastAsia"/>
                <w:spacing w:val="9"/>
                <w:sz w:val="24"/>
                <w:szCs w:val="24"/>
                <w:highlight w:val="none"/>
                <w:lang w:eastAsia="zh-CN"/>
              </w:rPr>
              <w:t>项目，</w:t>
            </w:r>
            <w:r>
              <w:rPr>
                <w:rFonts w:hint="default" w:ascii="Times New Roman" w:hAnsi="Times New Roman" w:cs="Times New Roman" w:eastAsiaTheme="minorEastAsia"/>
                <w:spacing w:val="9"/>
                <w:sz w:val="24"/>
                <w:szCs w:val="24"/>
                <w:highlight w:val="none"/>
                <w:lang w:val="en-US" w:eastAsia="zh-CN"/>
              </w:rPr>
              <w:t>项目黄河水管道厂区外取水点</w:t>
            </w:r>
            <w:r>
              <w:rPr>
                <w:rFonts w:hint="default" w:ascii="Times New Roman" w:hAnsi="Times New Roman" w:cs="Times New Roman" w:eastAsiaTheme="minorEastAsia"/>
                <w:spacing w:val="9"/>
                <w:sz w:val="24"/>
                <w:szCs w:val="24"/>
                <w:highlight w:val="none"/>
                <w:lang w:eastAsia="zh-CN"/>
              </w:rPr>
              <w:t>已有埋地管道</w:t>
            </w:r>
            <w:r>
              <w:rPr>
                <w:rFonts w:hint="default" w:ascii="Times New Roman" w:hAnsi="Times New Roman" w:cs="Times New Roman" w:eastAsiaTheme="minorEastAsia"/>
                <w:spacing w:val="9"/>
                <w:sz w:val="24"/>
                <w:szCs w:val="24"/>
                <w:highlight w:val="none"/>
                <w:lang w:val="en-US" w:eastAsia="zh-CN"/>
              </w:rPr>
              <w:t>预留接口，本项目建设直接从接口接入，不涉及土方工程。</w:t>
            </w:r>
          </w:p>
          <w:p w14:paraId="5C62868E">
            <w:pPr>
              <w:pStyle w:val="27"/>
              <w:spacing w:line="360" w:lineRule="auto"/>
              <w:ind w:right="48" w:firstLine="516" w:firstLineChars="200"/>
              <w:rPr>
                <w:rFonts w:hint="default" w:ascii="Times New Roman" w:hAnsi="Times New Roman" w:cs="Times New Roman" w:eastAsiaTheme="minorEastAsia"/>
                <w:sz w:val="24"/>
                <w:szCs w:val="24"/>
                <w:highlight w:val="none"/>
                <w:lang w:eastAsia="zh-CN"/>
              </w:rPr>
            </w:pPr>
            <w:r>
              <w:rPr>
                <w:rFonts w:hint="default" w:ascii="Times New Roman" w:hAnsi="Times New Roman" w:cs="Times New Roman" w:eastAsiaTheme="minorEastAsia"/>
                <w:spacing w:val="9"/>
                <w:sz w:val="24"/>
                <w:szCs w:val="24"/>
                <w:highlight w:val="none"/>
                <w:lang w:eastAsia="zh-CN"/>
              </w:rPr>
              <w:t>施工作业过程内产生的扬尘（粉尘）为无</w:t>
            </w:r>
            <w:r>
              <w:rPr>
                <w:rFonts w:hint="default" w:ascii="Times New Roman" w:hAnsi="Times New Roman" w:cs="Times New Roman" w:eastAsiaTheme="minorEastAsia"/>
                <w:spacing w:val="8"/>
                <w:sz w:val="24"/>
                <w:szCs w:val="24"/>
                <w:highlight w:val="none"/>
                <w:lang w:eastAsia="zh-CN"/>
              </w:rPr>
              <w:t>组织面源等排放，扬尘（粉尘）污染主要</w:t>
            </w:r>
            <w:r>
              <w:rPr>
                <w:rFonts w:hint="default" w:ascii="Times New Roman" w:hAnsi="Times New Roman" w:cs="Times New Roman" w:eastAsiaTheme="minorEastAsia"/>
                <w:spacing w:val="9"/>
                <w:sz w:val="24"/>
                <w:szCs w:val="24"/>
                <w:highlight w:val="none"/>
                <w:lang w:eastAsia="zh-CN"/>
              </w:rPr>
              <w:t>取决于施工作业方式、材料的堆放以及风力等因素，其中</w:t>
            </w:r>
            <w:r>
              <w:rPr>
                <w:rFonts w:hint="default" w:ascii="Times New Roman" w:hAnsi="Times New Roman" w:cs="Times New Roman" w:eastAsiaTheme="minorEastAsia"/>
                <w:spacing w:val="8"/>
                <w:sz w:val="24"/>
                <w:szCs w:val="24"/>
                <w:highlight w:val="none"/>
                <w:lang w:eastAsia="zh-CN"/>
              </w:rPr>
              <w:t>受风力的影响最大</w:t>
            </w:r>
            <w:r>
              <w:rPr>
                <w:rFonts w:hint="eastAsia" w:ascii="Times New Roman" w:hAnsi="Times New Roman" w:cs="Times New Roman" w:eastAsiaTheme="minorEastAsia"/>
                <w:spacing w:val="8"/>
                <w:sz w:val="24"/>
                <w:szCs w:val="24"/>
                <w:highlight w:val="none"/>
                <w:lang w:eastAsia="zh-CN"/>
              </w:rPr>
              <w:t>。</w:t>
            </w:r>
            <w:r>
              <w:rPr>
                <w:rFonts w:hint="default" w:ascii="Times New Roman" w:hAnsi="Times New Roman" w:cs="Times New Roman" w:eastAsiaTheme="minorEastAsia"/>
                <w:spacing w:val="8"/>
                <w:sz w:val="24"/>
                <w:szCs w:val="24"/>
                <w:highlight w:val="none"/>
                <w:lang w:eastAsia="zh-CN"/>
              </w:rPr>
              <w:t>随着</w:t>
            </w:r>
            <w:r>
              <w:rPr>
                <w:rFonts w:hint="default" w:ascii="Times New Roman" w:hAnsi="Times New Roman" w:cs="Times New Roman" w:eastAsiaTheme="minorEastAsia"/>
                <w:spacing w:val="9"/>
                <w:sz w:val="24"/>
                <w:szCs w:val="24"/>
                <w:highlight w:val="none"/>
                <w:lang w:eastAsia="zh-CN"/>
              </w:rPr>
              <w:t>风速的增大，施工扬尘（粉尘）的污染程度和超标范围也</w:t>
            </w:r>
            <w:r>
              <w:rPr>
                <w:rFonts w:hint="default" w:ascii="Times New Roman" w:hAnsi="Times New Roman" w:cs="Times New Roman" w:eastAsiaTheme="minorEastAsia"/>
                <w:spacing w:val="8"/>
                <w:sz w:val="24"/>
                <w:szCs w:val="24"/>
                <w:highlight w:val="none"/>
                <w:lang w:eastAsia="zh-CN"/>
              </w:rPr>
              <w:t>将随之增强和扩大。根据类似</w:t>
            </w:r>
            <w:r>
              <w:rPr>
                <w:rFonts w:hint="default" w:ascii="Times New Roman" w:hAnsi="Times New Roman" w:cs="Times New Roman" w:eastAsiaTheme="minorEastAsia"/>
                <w:spacing w:val="6"/>
                <w:sz w:val="24"/>
                <w:szCs w:val="24"/>
                <w:highlight w:val="none"/>
                <w:lang w:eastAsia="zh-CN"/>
              </w:rPr>
              <w:t>工程的实际现场调查：在大风情况下施工现场下风向1m处扬尘</w:t>
            </w:r>
            <w:r>
              <w:rPr>
                <w:rFonts w:hint="default" w:ascii="Times New Roman" w:hAnsi="Times New Roman" w:cs="Times New Roman" w:eastAsiaTheme="minorEastAsia"/>
                <w:spacing w:val="5"/>
                <w:sz w:val="24"/>
                <w:szCs w:val="24"/>
                <w:highlight w:val="none"/>
                <w:lang w:eastAsia="zh-CN"/>
              </w:rPr>
              <w:t>浓度可达3</w:t>
            </w:r>
            <w:r>
              <w:rPr>
                <w:rFonts w:hint="default" w:ascii="Times New Roman" w:hAnsi="Times New Roman" w:cs="Times New Roman" w:eastAsiaTheme="minorEastAsia"/>
                <w:sz w:val="24"/>
                <w:szCs w:val="24"/>
                <w:highlight w:val="none"/>
                <w:lang w:eastAsia="zh-CN"/>
              </w:rPr>
              <w:t>mg</w:t>
            </w:r>
            <w:r>
              <w:rPr>
                <w:rFonts w:hint="default" w:ascii="Times New Roman" w:hAnsi="Times New Roman" w:cs="Times New Roman" w:eastAsiaTheme="minorEastAsia"/>
                <w:spacing w:val="5"/>
                <w:sz w:val="24"/>
                <w:szCs w:val="24"/>
                <w:highlight w:val="none"/>
                <w:lang w:eastAsia="zh-CN"/>
              </w:rPr>
              <w:t>/m³以上，25m处为1.53</w:t>
            </w:r>
            <w:r>
              <w:rPr>
                <w:rFonts w:hint="default" w:ascii="Times New Roman" w:hAnsi="Times New Roman" w:cs="Times New Roman" w:eastAsiaTheme="minorEastAsia"/>
                <w:sz w:val="24"/>
                <w:szCs w:val="24"/>
                <w:highlight w:val="none"/>
                <w:lang w:eastAsia="zh-CN"/>
              </w:rPr>
              <w:t>mg</w:t>
            </w:r>
            <w:r>
              <w:rPr>
                <w:rFonts w:hint="default" w:ascii="Times New Roman" w:hAnsi="Times New Roman" w:cs="Times New Roman" w:eastAsiaTheme="minorEastAsia"/>
                <w:spacing w:val="5"/>
                <w:sz w:val="24"/>
                <w:szCs w:val="24"/>
                <w:highlight w:val="none"/>
                <w:lang w:eastAsia="zh-CN"/>
              </w:rPr>
              <w:t>/m³，下风向60m范围内</w:t>
            </w:r>
            <w:r>
              <w:rPr>
                <w:rFonts w:hint="default" w:ascii="Times New Roman" w:hAnsi="Times New Roman" w:cs="Times New Roman" w:eastAsiaTheme="minorEastAsia"/>
                <w:sz w:val="24"/>
                <w:szCs w:val="24"/>
                <w:highlight w:val="none"/>
                <w:lang w:eastAsia="zh-CN"/>
              </w:rPr>
              <w:t>TSP</w:t>
            </w:r>
            <w:r>
              <w:rPr>
                <w:rFonts w:hint="default" w:ascii="Times New Roman" w:hAnsi="Times New Roman" w:cs="Times New Roman" w:eastAsiaTheme="minorEastAsia"/>
                <w:spacing w:val="5"/>
                <w:sz w:val="24"/>
                <w:szCs w:val="24"/>
                <w:highlight w:val="none"/>
                <w:lang w:eastAsia="zh-CN"/>
              </w:rPr>
              <w:t>浓度</w:t>
            </w:r>
            <w:r>
              <w:rPr>
                <w:rFonts w:hint="default" w:ascii="Times New Roman" w:hAnsi="Times New Roman" w:cs="Times New Roman" w:eastAsiaTheme="minorEastAsia"/>
                <w:spacing w:val="4"/>
                <w:sz w:val="24"/>
                <w:szCs w:val="24"/>
                <w:highlight w:val="none"/>
                <w:lang w:eastAsia="zh-CN"/>
              </w:rPr>
              <w:t>超标。</w:t>
            </w:r>
          </w:p>
          <w:p w14:paraId="2F600ABB">
            <w:pPr>
              <w:pStyle w:val="27"/>
              <w:spacing w:line="360" w:lineRule="auto"/>
              <w:ind w:left="105" w:right="34" w:firstLine="512"/>
              <w:rPr>
                <w:rFonts w:hint="default" w:ascii="Times New Roman" w:hAnsi="Times New Roman" w:cs="Times New Roman" w:eastAsiaTheme="minorEastAsia"/>
                <w:sz w:val="24"/>
                <w:szCs w:val="24"/>
                <w:highlight w:val="none"/>
                <w:lang w:eastAsia="zh-CN"/>
              </w:rPr>
            </w:pPr>
            <w:r>
              <w:rPr>
                <w:rFonts w:hint="default" w:ascii="Times New Roman" w:hAnsi="Times New Roman" w:cs="Times New Roman" w:eastAsiaTheme="minorEastAsia"/>
                <w:spacing w:val="8"/>
                <w:sz w:val="24"/>
                <w:szCs w:val="24"/>
                <w:highlight w:val="none"/>
                <w:lang w:eastAsia="zh-CN"/>
              </w:rPr>
              <w:t>距离施工场地较近的敏感点会受到施工扬尘不同程度的影响。根据调查，本项目管</w:t>
            </w:r>
            <w:r>
              <w:rPr>
                <w:rFonts w:hint="default" w:ascii="Times New Roman" w:hAnsi="Times New Roman" w:cs="Times New Roman" w:eastAsiaTheme="minorEastAsia"/>
                <w:spacing w:val="6"/>
                <w:sz w:val="24"/>
                <w:szCs w:val="24"/>
                <w:highlight w:val="none"/>
                <w:lang w:eastAsia="zh-CN"/>
              </w:rPr>
              <w:t>线周边</w:t>
            </w:r>
            <w:r>
              <w:rPr>
                <w:rFonts w:hint="eastAsia" w:ascii="Times New Roman" w:hAnsi="Times New Roman" w:cs="Times New Roman" w:eastAsiaTheme="minorEastAsia"/>
                <w:spacing w:val="6"/>
                <w:sz w:val="24"/>
                <w:szCs w:val="24"/>
                <w:highlight w:val="none"/>
                <w:lang w:val="en-US" w:eastAsia="zh-CN"/>
              </w:rPr>
              <w:t>5</w:t>
            </w:r>
            <w:r>
              <w:rPr>
                <w:rFonts w:hint="default" w:ascii="Times New Roman" w:hAnsi="Times New Roman" w:cs="Times New Roman" w:eastAsiaTheme="minorEastAsia"/>
                <w:spacing w:val="6"/>
                <w:sz w:val="24"/>
                <w:szCs w:val="24"/>
                <w:highlight w:val="none"/>
                <w:lang w:eastAsia="zh-CN"/>
              </w:rPr>
              <w:t>00m范围内无居民区。项目施工道路依托</w:t>
            </w:r>
            <w:r>
              <w:rPr>
                <w:rFonts w:hint="eastAsia" w:ascii="Times New Roman" w:hAnsi="Times New Roman" w:cs="Times New Roman" w:eastAsiaTheme="minorEastAsia"/>
                <w:spacing w:val="6"/>
                <w:sz w:val="24"/>
                <w:szCs w:val="24"/>
                <w:highlight w:val="none"/>
                <w:lang w:val="en-US" w:eastAsia="zh-CN"/>
              </w:rPr>
              <w:t>伊泰化工</w:t>
            </w:r>
            <w:r>
              <w:rPr>
                <w:rFonts w:hint="default" w:ascii="Times New Roman" w:hAnsi="Times New Roman" w:cs="Times New Roman" w:eastAsiaTheme="minorEastAsia"/>
                <w:spacing w:val="6"/>
                <w:sz w:val="24"/>
                <w:szCs w:val="24"/>
                <w:highlight w:val="none"/>
                <w:lang w:eastAsia="zh-CN"/>
              </w:rPr>
              <w:t>内部道路和园区</w:t>
            </w:r>
            <w:r>
              <w:rPr>
                <w:rFonts w:hint="default" w:ascii="Times New Roman" w:hAnsi="Times New Roman" w:cs="Times New Roman" w:eastAsiaTheme="minorEastAsia"/>
                <w:spacing w:val="5"/>
                <w:sz w:val="24"/>
                <w:szCs w:val="24"/>
                <w:highlight w:val="none"/>
                <w:lang w:eastAsia="zh-CN"/>
              </w:rPr>
              <w:t>现有道路，大风天停止作业</w:t>
            </w:r>
            <w:r>
              <w:rPr>
                <w:rFonts w:hint="eastAsia" w:ascii="Times New Roman" w:hAnsi="Times New Roman" w:cs="Times New Roman" w:eastAsiaTheme="minorEastAsia"/>
                <w:spacing w:val="5"/>
                <w:sz w:val="24"/>
                <w:szCs w:val="24"/>
                <w:highlight w:val="none"/>
                <w:lang w:eastAsia="zh-CN"/>
              </w:rPr>
              <w:t>、</w:t>
            </w:r>
            <w:r>
              <w:rPr>
                <w:rFonts w:hint="eastAsia" w:ascii="Times New Roman" w:hAnsi="Times New Roman" w:cs="Times New Roman" w:eastAsiaTheme="minorEastAsia"/>
                <w:spacing w:val="5"/>
                <w:sz w:val="24"/>
                <w:szCs w:val="24"/>
                <w:highlight w:val="none"/>
                <w:lang w:val="en-US" w:eastAsia="zh-CN"/>
              </w:rPr>
              <w:t>采取</w:t>
            </w:r>
            <w:r>
              <w:rPr>
                <w:rFonts w:hint="default" w:ascii="Times New Roman" w:hAnsi="Times New Roman" w:cs="Times New Roman" w:eastAsiaTheme="minorEastAsia"/>
                <w:spacing w:val="8"/>
                <w:sz w:val="24"/>
                <w:szCs w:val="24"/>
                <w:highlight w:val="none"/>
                <w:lang w:eastAsia="zh-CN"/>
              </w:rPr>
              <w:t>定期洒水抑尘措施。</w:t>
            </w:r>
          </w:p>
          <w:p w14:paraId="3C982DE9">
            <w:pPr>
              <w:pStyle w:val="27"/>
              <w:spacing w:line="360" w:lineRule="auto"/>
              <w:ind w:left="105" w:right="34" w:firstLine="512"/>
              <w:rPr>
                <w:rFonts w:hint="default" w:ascii="Times New Roman" w:hAnsi="Times New Roman" w:cs="Times New Roman" w:eastAsiaTheme="minorEastAsia"/>
                <w:spacing w:val="5"/>
                <w:sz w:val="24"/>
                <w:szCs w:val="24"/>
                <w:highlight w:val="none"/>
                <w:lang w:eastAsia="zh-CN"/>
              </w:rPr>
            </w:pPr>
            <w:r>
              <w:rPr>
                <w:rFonts w:hint="default" w:ascii="Times New Roman" w:hAnsi="Times New Roman" w:cs="Times New Roman" w:eastAsiaTheme="minorEastAsia"/>
                <w:spacing w:val="8"/>
                <w:sz w:val="24"/>
                <w:szCs w:val="24"/>
                <w:highlight w:val="none"/>
                <w:lang w:eastAsia="zh-CN"/>
              </w:rPr>
              <w:t>施工阶段汽车运输过程中，也会产生扬尘污染。扬尘量、粒径大小等与多种因素有</w:t>
            </w:r>
            <w:r>
              <w:rPr>
                <w:rFonts w:hint="default" w:ascii="Times New Roman" w:hAnsi="Times New Roman" w:cs="Times New Roman" w:eastAsiaTheme="minorEastAsia"/>
                <w:spacing w:val="9"/>
                <w:sz w:val="24"/>
                <w:szCs w:val="24"/>
                <w:highlight w:val="none"/>
                <w:lang w:eastAsia="zh-CN"/>
              </w:rPr>
              <w:t>关，如路面状况、车辆行驶速度、载重量、天气情</w:t>
            </w:r>
            <w:r>
              <w:rPr>
                <w:rFonts w:hint="default" w:ascii="Times New Roman" w:hAnsi="Times New Roman" w:cs="Times New Roman" w:eastAsiaTheme="minorEastAsia"/>
                <w:spacing w:val="8"/>
                <w:sz w:val="24"/>
                <w:szCs w:val="24"/>
                <w:highlight w:val="none"/>
                <w:lang w:eastAsia="zh-CN"/>
              </w:rPr>
              <w:t>况等。其中风速、风向等天气状况直接影响扬尘的传输方向和距离。</w:t>
            </w:r>
            <w:r>
              <w:rPr>
                <w:rFonts w:hint="default" w:ascii="Times New Roman" w:hAnsi="Times New Roman" w:cs="Times New Roman" w:eastAsiaTheme="minorEastAsia"/>
                <w:spacing w:val="-59"/>
                <w:sz w:val="24"/>
                <w:szCs w:val="24"/>
                <w:highlight w:val="none"/>
                <w:lang w:eastAsia="zh-CN"/>
              </w:rPr>
              <w:t xml:space="preserve"> </w:t>
            </w:r>
            <w:r>
              <w:rPr>
                <w:rFonts w:hint="default" w:ascii="Times New Roman" w:hAnsi="Times New Roman" w:cs="Times New Roman" w:eastAsiaTheme="minorEastAsia"/>
                <w:spacing w:val="8"/>
                <w:sz w:val="24"/>
                <w:szCs w:val="24"/>
                <w:highlight w:val="none"/>
                <w:lang w:eastAsia="zh-CN"/>
              </w:rPr>
              <w:t>由于汽车运输过程中产生的扬尘时间</w:t>
            </w:r>
            <w:r>
              <w:rPr>
                <w:rFonts w:hint="default" w:ascii="Times New Roman" w:hAnsi="Times New Roman" w:cs="Times New Roman" w:eastAsiaTheme="minorEastAsia"/>
                <w:spacing w:val="7"/>
                <w:sz w:val="24"/>
                <w:szCs w:val="24"/>
                <w:highlight w:val="none"/>
                <w:lang w:eastAsia="zh-CN"/>
              </w:rPr>
              <w:t>短、扬尘落地快、</w:t>
            </w:r>
            <w:r>
              <w:rPr>
                <w:rFonts w:hint="default" w:ascii="Times New Roman" w:hAnsi="Times New Roman" w:cs="Times New Roman" w:eastAsiaTheme="minorEastAsia"/>
                <w:spacing w:val="9"/>
                <w:sz w:val="24"/>
                <w:szCs w:val="24"/>
                <w:highlight w:val="none"/>
                <w:lang w:eastAsia="zh-CN"/>
              </w:rPr>
              <w:t>影响范围主要集中在运输道路两侧，</w:t>
            </w:r>
            <w:r>
              <w:rPr>
                <w:rFonts w:hint="eastAsia" w:ascii="Times New Roman" w:hAnsi="Times New Roman" w:cs="Times New Roman" w:eastAsiaTheme="minorEastAsia"/>
                <w:spacing w:val="9"/>
                <w:sz w:val="24"/>
                <w:szCs w:val="24"/>
                <w:highlight w:val="none"/>
                <w:lang w:val="en-US" w:eastAsia="zh-CN"/>
              </w:rPr>
              <w:t>且厂区地面均已硬化。</w:t>
            </w:r>
            <w:r>
              <w:rPr>
                <w:rFonts w:hint="default" w:ascii="Times New Roman" w:hAnsi="Times New Roman" w:cs="Times New Roman" w:eastAsiaTheme="minorEastAsia"/>
                <w:spacing w:val="9"/>
                <w:sz w:val="24"/>
                <w:szCs w:val="24"/>
                <w:highlight w:val="none"/>
                <w:lang w:eastAsia="zh-CN"/>
              </w:rPr>
              <w:t>故汽车运输扬</w:t>
            </w:r>
            <w:r>
              <w:rPr>
                <w:rFonts w:hint="default" w:ascii="Times New Roman" w:hAnsi="Times New Roman" w:cs="Times New Roman" w:eastAsiaTheme="minorEastAsia"/>
                <w:spacing w:val="8"/>
                <w:sz w:val="24"/>
                <w:szCs w:val="24"/>
                <w:highlight w:val="none"/>
                <w:lang w:eastAsia="zh-CN"/>
              </w:rPr>
              <w:t>尘对周边的环境空气影响程度和范围</w:t>
            </w:r>
            <w:r>
              <w:rPr>
                <w:rFonts w:hint="default" w:ascii="Times New Roman" w:hAnsi="Times New Roman" w:cs="Times New Roman" w:eastAsiaTheme="minorEastAsia"/>
                <w:spacing w:val="9"/>
                <w:sz w:val="24"/>
                <w:szCs w:val="24"/>
                <w:highlight w:val="none"/>
                <w:lang w:eastAsia="zh-CN"/>
              </w:rPr>
              <w:t>较小，影响时间也较短。采用对道路定时撒水</w:t>
            </w:r>
            <w:r>
              <w:rPr>
                <w:rFonts w:hint="default" w:ascii="Times New Roman" w:hAnsi="Times New Roman" w:cs="Times New Roman" w:eastAsiaTheme="minorEastAsia"/>
                <w:spacing w:val="8"/>
                <w:sz w:val="24"/>
                <w:szCs w:val="24"/>
                <w:highlight w:val="none"/>
                <w:lang w:eastAsia="zh-CN"/>
              </w:rPr>
              <w:t>抑尘等</w:t>
            </w:r>
            <w:r>
              <w:rPr>
                <w:rFonts w:hint="default" w:ascii="Times New Roman" w:hAnsi="Times New Roman" w:cs="Times New Roman" w:eastAsiaTheme="minorEastAsia"/>
                <w:spacing w:val="9"/>
                <w:sz w:val="24"/>
                <w:szCs w:val="24"/>
                <w:highlight w:val="none"/>
                <w:lang w:eastAsia="zh-CN"/>
              </w:rPr>
              <w:t>措施后，可大大减少运输扬尘对周围环境空</w:t>
            </w:r>
            <w:r>
              <w:rPr>
                <w:rFonts w:hint="default" w:ascii="Times New Roman" w:hAnsi="Times New Roman" w:cs="Times New Roman" w:eastAsiaTheme="minorEastAsia"/>
                <w:spacing w:val="5"/>
                <w:sz w:val="24"/>
                <w:szCs w:val="24"/>
                <w:highlight w:val="none"/>
                <w:lang w:eastAsia="zh-CN"/>
              </w:rPr>
              <w:t>气的影响。</w:t>
            </w:r>
          </w:p>
          <w:p w14:paraId="32392E93">
            <w:pPr>
              <w:pStyle w:val="27"/>
              <w:spacing w:line="360" w:lineRule="auto"/>
              <w:ind w:left="108" w:right="34" w:firstLine="516"/>
              <w:rPr>
                <w:rFonts w:hint="default" w:ascii="Times New Roman" w:hAnsi="Times New Roman" w:cs="Times New Roman" w:eastAsiaTheme="minorEastAsia"/>
                <w:spacing w:val="9"/>
                <w:sz w:val="24"/>
                <w:szCs w:val="24"/>
                <w:highlight w:val="none"/>
                <w:lang w:eastAsia="zh-CN"/>
              </w:rPr>
            </w:pPr>
            <w:r>
              <w:rPr>
                <w:rFonts w:hint="default" w:ascii="Times New Roman" w:hAnsi="Times New Roman" w:cs="Times New Roman" w:eastAsiaTheme="minorEastAsia"/>
                <w:spacing w:val="9"/>
                <w:sz w:val="24"/>
                <w:szCs w:val="24"/>
                <w:highlight w:val="none"/>
                <w:lang w:eastAsia="zh-CN"/>
              </w:rPr>
              <w:t>（2）施工尾气</w:t>
            </w:r>
          </w:p>
          <w:p w14:paraId="12CFDC88">
            <w:pPr>
              <w:pStyle w:val="27"/>
              <w:spacing w:line="360" w:lineRule="auto"/>
              <w:ind w:left="108" w:right="34" w:firstLine="516"/>
              <w:rPr>
                <w:rFonts w:hint="default" w:ascii="Times New Roman" w:hAnsi="Times New Roman" w:cs="Times New Roman" w:eastAsiaTheme="minorEastAsia"/>
                <w:spacing w:val="9"/>
                <w:sz w:val="24"/>
                <w:szCs w:val="24"/>
                <w:highlight w:val="none"/>
                <w:lang w:eastAsia="zh-CN"/>
              </w:rPr>
            </w:pPr>
            <w:r>
              <w:rPr>
                <w:rFonts w:hint="default" w:ascii="Times New Roman" w:hAnsi="Times New Roman" w:cs="Times New Roman" w:eastAsiaTheme="minorEastAsia"/>
                <w:spacing w:val="9"/>
                <w:sz w:val="24"/>
                <w:szCs w:val="24"/>
                <w:highlight w:val="none"/>
                <w:lang w:eastAsia="zh-CN"/>
              </w:rPr>
              <w:t>施工期间，运输汽车以及大型机械施工中，将产生施工尾气，主要污染物为SO</w:t>
            </w:r>
            <w:r>
              <w:rPr>
                <w:rFonts w:hint="default" w:ascii="Times New Roman" w:hAnsi="Times New Roman" w:cs="Times New Roman" w:eastAsiaTheme="minorEastAsia"/>
                <w:spacing w:val="9"/>
                <w:sz w:val="24"/>
                <w:szCs w:val="24"/>
                <w:highlight w:val="none"/>
                <w:vertAlign w:val="subscript"/>
                <w:lang w:eastAsia="zh-CN"/>
              </w:rPr>
              <w:t>2</w:t>
            </w:r>
            <w:r>
              <w:rPr>
                <w:rFonts w:hint="default" w:ascii="Times New Roman" w:hAnsi="Times New Roman" w:cs="Times New Roman" w:eastAsiaTheme="minorEastAsia"/>
                <w:spacing w:val="9"/>
                <w:sz w:val="24"/>
                <w:szCs w:val="24"/>
                <w:highlight w:val="none"/>
                <w:lang w:eastAsia="zh-CN"/>
              </w:rPr>
              <w:t>、NOx等。但由于废气量较小，且施工现场均在野外，有利于空气的扩散，同时废气污染源具有间歇性和流动性，因此对局部地区的环境影响较小。</w:t>
            </w:r>
          </w:p>
          <w:p w14:paraId="5CAF727E">
            <w:pPr>
              <w:pStyle w:val="27"/>
              <w:spacing w:line="360" w:lineRule="auto"/>
              <w:ind w:left="108" w:right="34" w:firstLine="516"/>
              <w:rPr>
                <w:rFonts w:hint="default" w:ascii="Times New Roman" w:hAnsi="Times New Roman" w:cs="Times New Roman" w:eastAsiaTheme="minorEastAsia"/>
                <w:spacing w:val="9"/>
                <w:sz w:val="24"/>
                <w:szCs w:val="24"/>
                <w:highlight w:val="none"/>
                <w:lang w:eastAsia="zh-CN"/>
              </w:rPr>
            </w:pPr>
            <w:r>
              <w:rPr>
                <w:rFonts w:hint="default" w:ascii="Times New Roman" w:hAnsi="Times New Roman" w:cs="Times New Roman" w:eastAsiaTheme="minorEastAsia"/>
                <w:spacing w:val="9"/>
                <w:sz w:val="24"/>
                <w:szCs w:val="24"/>
                <w:highlight w:val="none"/>
                <w:lang w:eastAsia="zh-CN"/>
              </w:rPr>
              <w:t>（3）焊接烟尘</w:t>
            </w:r>
          </w:p>
          <w:p w14:paraId="3AA9DB48">
            <w:pPr>
              <w:spacing w:line="360" w:lineRule="auto"/>
              <w:ind w:firstLine="516" w:firstLineChars="200"/>
              <w:rPr>
                <w:rFonts w:hint="eastAsia" w:ascii="Times New Roman" w:hAnsi="Times New Roman" w:cs="Times New Roman" w:eastAsiaTheme="minorEastAsia"/>
                <w:spacing w:val="8"/>
                <w:sz w:val="24"/>
                <w:szCs w:val="24"/>
                <w:highlight w:val="none"/>
                <w:lang w:eastAsia="zh-CN"/>
              </w:rPr>
            </w:pPr>
            <w:r>
              <w:rPr>
                <w:rFonts w:hint="default" w:ascii="Times New Roman" w:hAnsi="Times New Roman" w:cs="Times New Roman" w:eastAsiaTheme="minorEastAsia"/>
                <w:spacing w:val="9"/>
                <w:sz w:val="24"/>
                <w:szCs w:val="24"/>
                <w:highlight w:val="none"/>
                <w:lang w:eastAsia="zh-CN"/>
              </w:rPr>
              <w:t>管道焊接过程中会产生少量的焊接烟尘。施工期管道焊接使用不锈钢焊丝，不含锡及其化合物、锰及其化合物等，因此焊接烟尘的主要污染物为颗粒物。由于本项目管道长度较短，管径较小，焊接烟尘产生量较小，且项</w:t>
            </w:r>
            <w:r>
              <w:rPr>
                <w:rFonts w:hint="default" w:ascii="Times New Roman" w:hAnsi="Times New Roman" w:cs="Times New Roman" w:eastAsiaTheme="minorEastAsia"/>
                <w:spacing w:val="8"/>
                <w:sz w:val="24"/>
                <w:szCs w:val="24"/>
                <w:highlight w:val="none"/>
                <w:lang w:eastAsia="zh-CN"/>
              </w:rPr>
              <w:t>目施工现场位于开阔地带，有利于废</w:t>
            </w:r>
            <w:r>
              <w:rPr>
                <w:rFonts w:hint="default" w:ascii="Times New Roman" w:hAnsi="Times New Roman" w:cs="Times New Roman" w:eastAsiaTheme="minorEastAsia"/>
                <w:spacing w:val="9"/>
                <w:sz w:val="24"/>
                <w:szCs w:val="24"/>
                <w:highlight w:val="none"/>
                <w:lang w:eastAsia="zh-CN"/>
              </w:rPr>
              <w:t>气的扩散。同时焊接工序是随管道的敷设情况分段</w:t>
            </w:r>
            <w:r>
              <w:rPr>
                <w:rFonts w:hint="default" w:ascii="Times New Roman" w:hAnsi="Times New Roman" w:cs="Times New Roman" w:eastAsiaTheme="minorEastAsia"/>
                <w:spacing w:val="8"/>
                <w:sz w:val="24"/>
                <w:szCs w:val="24"/>
                <w:highlight w:val="none"/>
                <w:lang w:eastAsia="zh-CN"/>
              </w:rPr>
              <w:t>进行的，焊接烟尘具有间歇性</w:t>
            </w:r>
            <w:r>
              <w:rPr>
                <w:rFonts w:hint="default" w:ascii="Times New Roman" w:hAnsi="Times New Roman" w:cs="Times New Roman" w:eastAsiaTheme="minorEastAsia"/>
                <w:spacing w:val="9"/>
                <w:sz w:val="24"/>
                <w:szCs w:val="24"/>
                <w:highlight w:val="none"/>
                <w:lang w:eastAsia="zh-CN"/>
              </w:rPr>
              <w:t>，随着焊接工作的结束而结束。焊接烟尘的排放具有</w:t>
            </w:r>
            <w:r>
              <w:rPr>
                <w:rFonts w:hint="default" w:ascii="Times New Roman" w:hAnsi="Times New Roman" w:cs="Times New Roman" w:eastAsiaTheme="minorEastAsia"/>
                <w:spacing w:val="8"/>
                <w:sz w:val="24"/>
                <w:szCs w:val="24"/>
                <w:highlight w:val="none"/>
                <w:lang w:eastAsia="zh-CN"/>
              </w:rPr>
              <w:t>分散、间断排放和排放量小的特点，对周边环境影响较小</w:t>
            </w:r>
            <w:r>
              <w:rPr>
                <w:rFonts w:hint="eastAsia" w:ascii="Times New Roman" w:hAnsi="Times New Roman" w:cs="Times New Roman" w:eastAsiaTheme="minorEastAsia"/>
                <w:spacing w:val="8"/>
                <w:sz w:val="24"/>
                <w:szCs w:val="24"/>
                <w:highlight w:val="none"/>
                <w:lang w:eastAsia="zh-CN"/>
              </w:rPr>
              <w:t>。</w:t>
            </w:r>
          </w:p>
          <w:p w14:paraId="5B55955F">
            <w:pPr>
              <w:numPr>
                <w:ilvl w:val="0"/>
                <w:numId w:val="3"/>
              </w:numPr>
              <w:spacing w:line="360" w:lineRule="auto"/>
              <w:ind w:left="-60" w:leftChars="0" w:firstLine="480" w:firstLineChars="0"/>
              <w:rPr>
                <w:rFonts w:hint="eastAsia" w:ascii="Times New Roman" w:hAnsi="Times New Roman" w:cs="Times New Roman" w:eastAsiaTheme="minorEastAsia"/>
                <w:spacing w:val="8"/>
                <w:sz w:val="24"/>
                <w:szCs w:val="24"/>
                <w:highlight w:val="none"/>
                <w:lang w:val="en-US" w:eastAsia="zh-CN"/>
              </w:rPr>
            </w:pPr>
            <w:r>
              <w:rPr>
                <w:rFonts w:hint="eastAsia" w:ascii="Times New Roman" w:hAnsi="Times New Roman" w:cs="Times New Roman" w:eastAsiaTheme="minorEastAsia"/>
                <w:spacing w:val="8"/>
                <w:sz w:val="24"/>
                <w:szCs w:val="24"/>
                <w:highlight w:val="none"/>
                <w:lang w:val="en-US" w:eastAsia="zh-CN"/>
              </w:rPr>
              <w:t>涂漆废气</w:t>
            </w:r>
          </w:p>
          <w:p w14:paraId="546083FD">
            <w:pPr>
              <w:spacing w:line="360" w:lineRule="auto"/>
              <w:ind w:firstLine="480" w:firstLineChars="200"/>
              <w:rPr>
                <w:rFonts w:hint="eastAsia"/>
                <w:sz w:val="24"/>
                <w:highlight w:val="none"/>
              </w:rPr>
            </w:pPr>
            <w:r>
              <w:rPr>
                <w:rFonts w:hint="eastAsia"/>
                <w:sz w:val="24"/>
                <w:highlight w:val="none"/>
              </w:rPr>
              <w:t>项目管道已在工厂进行了防腐处理，现场</w:t>
            </w:r>
            <w:r>
              <w:rPr>
                <w:rFonts w:hint="eastAsia"/>
                <w:sz w:val="24"/>
                <w:highlight w:val="none"/>
                <w:lang w:val="en-US" w:eastAsia="zh-CN"/>
              </w:rPr>
              <w:t>只</w:t>
            </w:r>
            <w:r>
              <w:rPr>
                <w:rFonts w:hint="eastAsia"/>
                <w:sz w:val="24"/>
                <w:highlight w:val="none"/>
              </w:rPr>
              <w:t>进行补刷</w:t>
            </w:r>
            <w:r>
              <w:rPr>
                <w:rFonts w:hint="eastAsia"/>
                <w:sz w:val="24"/>
                <w:highlight w:val="none"/>
                <w:lang w:eastAsia="zh-CN"/>
              </w:rPr>
              <w:t>并</w:t>
            </w:r>
            <w:r>
              <w:rPr>
                <w:rFonts w:hint="eastAsia"/>
                <w:sz w:val="24"/>
                <w:highlight w:val="none"/>
              </w:rPr>
              <w:t>加强防腐处理</w:t>
            </w:r>
            <w:r>
              <w:rPr>
                <w:rFonts w:hint="eastAsia"/>
                <w:sz w:val="24"/>
                <w:highlight w:val="none"/>
                <w:lang w:eastAsia="zh-CN"/>
              </w:rPr>
              <w:t>。</w:t>
            </w:r>
            <w:r>
              <w:rPr>
                <w:rFonts w:hint="eastAsia"/>
                <w:sz w:val="24"/>
                <w:highlight w:val="none"/>
              </w:rPr>
              <w:t>管道涂漆时会产生少量有机废气，主要为挥发性有机物</w:t>
            </w:r>
            <w:r>
              <w:rPr>
                <w:rFonts w:hint="eastAsia"/>
                <w:sz w:val="24"/>
                <w:highlight w:val="none"/>
                <w:lang w:eastAsia="zh-CN"/>
              </w:rPr>
              <w:t>。因此，</w:t>
            </w:r>
            <w:r>
              <w:rPr>
                <w:rFonts w:hint="eastAsia"/>
                <w:sz w:val="24"/>
                <w:highlight w:val="none"/>
              </w:rPr>
              <w:t>项目选用固含量高的防腐漆，油漆用量较小，挥发性有机物产生量及排放量较小。</w:t>
            </w:r>
          </w:p>
          <w:p w14:paraId="54EC7C5E">
            <w:pPr>
              <w:spacing w:line="360" w:lineRule="auto"/>
              <w:ind w:firstLine="480" w:firstLineChars="200"/>
              <w:rPr>
                <w:rFonts w:hint="default" w:ascii="Times New Roman" w:hAnsi="Times New Roman" w:cs="Times New Roman" w:eastAsiaTheme="minorEastAsia"/>
                <w:sz w:val="24"/>
                <w:szCs w:val="24"/>
                <w:highlight w:val="none"/>
              </w:rPr>
            </w:pPr>
            <w:r>
              <w:rPr>
                <w:rFonts w:hint="default" w:ascii="Times New Roman" w:hAnsi="Times New Roman" w:eastAsia="宋体" w:cs="Times New Roman"/>
                <w:color w:val="000000"/>
                <w:kern w:val="0"/>
                <w:sz w:val="24"/>
                <w:szCs w:val="24"/>
                <w:highlight w:val="none"/>
              </w:rPr>
              <w:t>综上所述，施工期扬尘主要产生于车辆行驶以及原料堆放等，主要污染因子为TSP。但是由于工程量较少，施工期较短，施工期的扬尘经过洒水和苫布遮盖可以有效降尘，减少污染。</w:t>
            </w:r>
          </w:p>
          <w:p w14:paraId="0BB78C3C">
            <w:pPr>
              <w:pStyle w:val="13"/>
              <w:spacing w:after="0" w:line="360" w:lineRule="auto"/>
              <w:ind w:left="0" w:leftChars="0"/>
              <w:rPr>
                <w:b/>
                <w:bCs/>
                <w:sz w:val="24"/>
                <w:szCs w:val="32"/>
                <w:highlight w:val="none"/>
                <w:lang w:val="en-US"/>
              </w:rPr>
            </w:pPr>
            <w:r>
              <w:rPr>
                <w:rFonts w:hint="eastAsia"/>
                <w:b/>
                <w:bCs/>
                <w:sz w:val="24"/>
                <w:szCs w:val="32"/>
                <w:highlight w:val="none"/>
                <w:lang w:val="en-US"/>
              </w:rPr>
              <w:t>3</w:t>
            </w:r>
            <w:r>
              <w:rPr>
                <w:rFonts w:hint="eastAsia"/>
                <w:b/>
                <w:bCs/>
                <w:sz w:val="24"/>
                <w:szCs w:val="32"/>
                <w:highlight w:val="none"/>
                <w:lang w:val="en-US" w:eastAsia="zh-CN"/>
              </w:rPr>
              <w:t>.</w:t>
            </w:r>
            <w:r>
              <w:rPr>
                <w:rFonts w:hint="eastAsia"/>
                <w:b/>
                <w:bCs/>
                <w:sz w:val="24"/>
                <w:szCs w:val="32"/>
                <w:highlight w:val="none"/>
                <w:lang w:val="en-US"/>
              </w:rPr>
              <w:t>声环境影响分析</w:t>
            </w:r>
          </w:p>
          <w:p w14:paraId="30BB3C2B">
            <w:pPr>
              <w:numPr>
                <w:ilvl w:val="0"/>
                <w:numId w:val="0"/>
              </w:numPr>
              <w:spacing w:line="360" w:lineRule="auto"/>
              <w:ind w:firstLine="480" w:firstLineChars="200"/>
              <w:rPr>
                <w:rFonts w:hint="default" w:ascii="Times New Roman" w:hAnsi="Times New Roman" w:cs="Times New Roman" w:eastAsiaTheme="minorEastAsia"/>
                <w:sz w:val="24"/>
                <w:szCs w:val="24"/>
                <w:highlight w:val="none"/>
                <w:lang w:val="en-US" w:eastAsia="zh-CN"/>
              </w:rPr>
            </w:pPr>
            <w:r>
              <w:rPr>
                <w:rFonts w:hint="eastAsia" w:cs="Times New Roman" w:eastAsiaTheme="minorEastAsia"/>
                <w:sz w:val="24"/>
                <w:szCs w:val="24"/>
                <w:highlight w:val="none"/>
                <w:lang w:eastAsia="zh-CN"/>
              </w:rPr>
              <w:t>（</w:t>
            </w:r>
            <w:r>
              <w:rPr>
                <w:rFonts w:hint="eastAsia" w:cs="Times New Roman" w:eastAsiaTheme="minorEastAsia"/>
                <w:sz w:val="24"/>
                <w:szCs w:val="24"/>
                <w:highlight w:val="none"/>
                <w:lang w:val="en-US" w:eastAsia="zh-CN"/>
              </w:rPr>
              <w:t>1</w:t>
            </w:r>
            <w:r>
              <w:rPr>
                <w:rFonts w:hint="eastAsia" w:cs="Times New Roman" w:eastAsiaTheme="minorEastAsia"/>
                <w:sz w:val="24"/>
                <w:szCs w:val="24"/>
                <w:highlight w:val="none"/>
                <w:lang w:eastAsia="zh-CN"/>
              </w:rPr>
              <w:t>）</w:t>
            </w:r>
            <w:r>
              <w:rPr>
                <w:rFonts w:hint="eastAsia" w:cs="Times New Roman" w:eastAsiaTheme="minorEastAsia"/>
                <w:sz w:val="24"/>
                <w:szCs w:val="24"/>
                <w:highlight w:val="none"/>
                <w:lang w:val="en-US" w:eastAsia="zh-CN"/>
              </w:rPr>
              <w:t>噪声源强</w:t>
            </w:r>
          </w:p>
          <w:p w14:paraId="5FA86B86">
            <w:pPr>
              <w:numPr>
                <w:ilvl w:val="0"/>
                <w:numId w:val="0"/>
              </w:numPr>
              <w:spacing w:line="360" w:lineRule="auto"/>
              <w:ind w:firstLine="480" w:firstLineChars="200"/>
              <w:rPr>
                <w:spacing w:val="6"/>
                <w:highlight w:val="none"/>
                <w:lang w:eastAsia="zh-CN"/>
              </w:rPr>
            </w:pPr>
            <w:r>
              <w:rPr>
                <w:rFonts w:hint="default" w:ascii="Times New Roman" w:hAnsi="Times New Roman" w:cs="Times New Roman" w:eastAsiaTheme="minorEastAsia"/>
                <w:sz w:val="24"/>
                <w:szCs w:val="24"/>
                <w:highlight w:val="none"/>
                <w:lang w:eastAsia="zh-CN"/>
              </w:rPr>
              <w:t>参照</w:t>
            </w:r>
            <w:r>
              <w:rPr>
                <w:rFonts w:hint="eastAsia" w:ascii="Times New Roman" w:hAnsi="Times New Roman" w:cs="Times New Roman" w:eastAsiaTheme="minorEastAsia"/>
                <w:sz w:val="24"/>
                <w:szCs w:val="24"/>
                <w:highlight w:val="none"/>
                <w:lang w:eastAsia="zh-CN"/>
              </w:rPr>
              <w:t>同类型</w:t>
            </w:r>
            <w:r>
              <w:rPr>
                <w:rFonts w:hint="default" w:ascii="Times New Roman" w:hAnsi="Times New Roman" w:cs="Times New Roman" w:eastAsiaTheme="minorEastAsia"/>
                <w:sz w:val="24"/>
                <w:szCs w:val="24"/>
                <w:highlight w:val="none"/>
                <w:lang w:eastAsia="zh-CN"/>
              </w:rPr>
              <w:t>输气管道施工现场类比调查结果，本项目施工期主要噪声源见下表。</w:t>
            </w:r>
          </w:p>
          <w:p w14:paraId="7CAD1807">
            <w:pPr>
              <w:pStyle w:val="27"/>
              <w:spacing w:line="360" w:lineRule="auto"/>
              <w:ind w:firstLine="0" w:firstLineChars="0"/>
              <w:jc w:val="center"/>
              <w:rPr>
                <w:rFonts w:hint="eastAsia" w:ascii="Times New Roman" w:hAnsi="Times New Roman" w:eastAsia="宋体" w:cs="Times New Roman"/>
                <w:b/>
                <w:bCs/>
                <w:kern w:val="2"/>
                <w:sz w:val="21"/>
                <w:szCs w:val="21"/>
                <w:highlight w:val="none"/>
                <w:lang w:val="en-US" w:eastAsia="zh-CN" w:bidi="ar-SA"/>
              </w:rPr>
            </w:pPr>
            <w:r>
              <w:rPr>
                <w:rFonts w:hint="eastAsia" w:ascii="Times New Roman" w:hAnsi="Times New Roman" w:eastAsia="宋体" w:cs="Times New Roman"/>
                <w:b/>
                <w:bCs/>
                <w:kern w:val="2"/>
                <w:sz w:val="21"/>
                <w:szCs w:val="21"/>
                <w:highlight w:val="none"/>
                <w:lang w:val="en-US" w:eastAsia="zh-CN" w:bidi="ar-SA"/>
              </w:rPr>
              <w:t>表4-1   主要施工机械噪声强度</w:t>
            </w:r>
          </w:p>
          <w:tbl>
            <w:tblPr>
              <w:tblStyle w:val="42"/>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79"/>
              <w:gridCol w:w="1428"/>
              <w:gridCol w:w="5673"/>
            </w:tblGrid>
            <w:tr w14:paraId="0AA30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0" w:hRule="atLeast"/>
                <w:jc w:val="center"/>
              </w:trPr>
              <w:tc>
                <w:tcPr>
                  <w:tcW w:w="659" w:type="pct"/>
                  <w:vAlign w:val="center"/>
                </w:tcPr>
                <w:p w14:paraId="35F07371">
                  <w:pPr>
                    <w:pStyle w:val="38"/>
                    <w:rPr>
                      <w:highlight w:val="none"/>
                    </w:rPr>
                  </w:pPr>
                  <w:r>
                    <w:rPr>
                      <w:highlight w:val="none"/>
                    </w:rPr>
                    <w:t>序号</w:t>
                  </w:r>
                </w:p>
              </w:tc>
              <w:tc>
                <w:tcPr>
                  <w:tcW w:w="873" w:type="pct"/>
                  <w:vAlign w:val="center"/>
                </w:tcPr>
                <w:p w14:paraId="35328AB8">
                  <w:pPr>
                    <w:pStyle w:val="38"/>
                    <w:rPr>
                      <w:highlight w:val="none"/>
                    </w:rPr>
                  </w:pPr>
                  <w:r>
                    <w:rPr>
                      <w:highlight w:val="none"/>
                    </w:rPr>
                    <w:t>噪声源</w:t>
                  </w:r>
                </w:p>
              </w:tc>
              <w:tc>
                <w:tcPr>
                  <w:tcW w:w="3466" w:type="pct"/>
                  <w:vAlign w:val="center"/>
                </w:tcPr>
                <w:p w14:paraId="4C82D034">
                  <w:pPr>
                    <w:pStyle w:val="38"/>
                    <w:rPr>
                      <w:highlight w:val="none"/>
                    </w:rPr>
                  </w:pPr>
                  <w:r>
                    <w:rPr>
                      <w:highlight w:val="none"/>
                    </w:rPr>
                    <w:t>距离声源5m处噪声强度dB（A）</w:t>
                  </w:r>
                </w:p>
              </w:tc>
            </w:tr>
            <w:tr w14:paraId="5D0C8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6" w:hRule="atLeast"/>
                <w:jc w:val="center"/>
              </w:trPr>
              <w:tc>
                <w:tcPr>
                  <w:tcW w:w="659" w:type="pct"/>
                  <w:vAlign w:val="center"/>
                </w:tcPr>
                <w:p w14:paraId="42C337B2">
                  <w:pPr>
                    <w:pStyle w:val="38"/>
                    <w:rPr>
                      <w:highlight w:val="none"/>
                    </w:rPr>
                  </w:pPr>
                  <w:r>
                    <w:rPr>
                      <w:highlight w:val="none"/>
                    </w:rPr>
                    <w:t>1</w:t>
                  </w:r>
                </w:p>
              </w:tc>
              <w:tc>
                <w:tcPr>
                  <w:tcW w:w="873" w:type="pct"/>
                  <w:vAlign w:val="center"/>
                </w:tcPr>
                <w:p w14:paraId="5552AB24">
                  <w:pPr>
                    <w:pStyle w:val="38"/>
                    <w:rPr>
                      <w:highlight w:val="none"/>
                    </w:rPr>
                  </w:pPr>
                  <w:r>
                    <w:rPr>
                      <w:highlight w:val="none"/>
                    </w:rPr>
                    <w:t>吊管机</w:t>
                  </w:r>
                </w:p>
              </w:tc>
              <w:tc>
                <w:tcPr>
                  <w:tcW w:w="3466" w:type="pct"/>
                  <w:vAlign w:val="center"/>
                </w:tcPr>
                <w:p w14:paraId="6075BCB7">
                  <w:pPr>
                    <w:pStyle w:val="38"/>
                    <w:rPr>
                      <w:highlight w:val="none"/>
                    </w:rPr>
                  </w:pPr>
                  <w:r>
                    <w:rPr>
                      <w:highlight w:val="none"/>
                    </w:rPr>
                    <w:t>81</w:t>
                  </w:r>
                </w:p>
              </w:tc>
            </w:tr>
            <w:tr w14:paraId="480E6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6" w:hRule="atLeast"/>
                <w:jc w:val="center"/>
              </w:trPr>
              <w:tc>
                <w:tcPr>
                  <w:tcW w:w="659" w:type="pct"/>
                  <w:vAlign w:val="center"/>
                </w:tcPr>
                <w:p w14:paraId="6F36E349">
                  <w:pPr>
                    <w:pStyle w:val="38"/>
                    <w:rPr>
                      <w:highlight w:val="none"/>
                    </w:rPr>
                  </w:pPr>
                  <w:r>
                    <w:rPr>
                      <w:highlight w:val="none"/>
                    </w:rPr>
                    <w:t>2</w:t>
                  </w:r>
                </w:p>
              </w:tc>
              <w:tc>
                <w:tcPr>
                  <w:tcW w:w="873" w:type="pct"/>
                  <w:vAlign w:val="center"/>
                </w:tcPr>
                <w:p w14:paraId="338B6896">
                  <w:pPr>
                    <w:pStyle w:val="38"/>
                    <w:rPr>
                      <w:highlight w:val="none"/>
                    </w:rPr>
                  </w:pPr>
                  <w:r>
                    <w:rPr>
                      <w:highlight w:val="none"/>
                    </w:rPr>
                    <w:t>电焊机</w:t>
                  </w:r>
                </w:p>
              </w:tc>
              <w:tc>
                <w:tcPr>
                  <w:tcW w:w="3466" w:type="pct"/>
                  <w:vAlign w:val="center"/>
                </w:tcPr>
                <w:p w14:paraId="6901AA16">
                  <w:pPr>
                    <w:pStyle w:val="38"/>
                    <w:rPr>
                      <w:highlight w:val="none"/>
                    </w:rPr>
                  </w:pPr>
                  <w:r>
                    <w:rPr>
                      <w:highlight w:val="none"/>
                    </w:rPr>
                    <w:t>87</w:t>
                  </w:r>
                </w:p>
              </w:tc>
            </w:tr>
            <w:tr w14:paraId="43013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0" w:hRule="atLeast"/>
                <w:jc w:val="center"/>
              </w:trPr>
              <w:tc>
                <w:tcPr>
                  <w:tcW w:w="659" w:type="pct"/>
                  <w:vAlign w:val="center"/>
                </w:tcPr>
                <w:p w14:paraId="71757F2B">
                  <w:pPr>
                    <w:pStyle w:val="38"/>
                    <w:rPr>
                      <w:highlight w:val="none"/>
                    </w:rPr>
                  </w:pPr>
                  <w:r>
                    <w:rPr>
                      <w:highlight w:val="none"/>
                    </w:rPr>
                    <w:t>3</w:t>
                  </w:r>
                </w:p>
              </w:tc>
              <w:tc>
                <w:tcPr>
                  <w:tcW w:w="873" w:type="pct"/>
                  <w:vAlign w:val="center"/>
                </w:tcPr>
                <w:p w14:paraId="413F2B24">
                  <w:pPr>
                    <w:pStyle w:val="38"/>
                    <w:rPr>
                      <w:highlight w:val="none"/>
                    </w:rPr>
                  </w:pPr>
                  <w:r>
                    <w:rPr>
                      <w:highlight w:val="none"/>
                    </w:rPr>
                    <w:t>切割机</w:t>
                  </w:r>
                </w:p>
              </w:tc>
              <w:tc>
                <w:tcPr>
                  <w:tcW w:w="3466" w:type="pct"/>
                  <w:vAlign w:val="center"/>
                </w:tcPr>
                <w:p w14:paraId="4A19D3CC">
                  <w:pPr>
                    <w:pStyle w:val="38"/>
                    <w:rPr>
                      <w:highlight w:val="none"/>
                    </w:rPr>
                  </w:pPr>
                  <w:r>
                    <w:rPr>
                      <w:highlight w:val="none"/>
                    </w:rPr>
                    <w:t>95</w:t>
                  </w:r>
                </w:p>
              </w:tc>
            </w:tr>
          </w:tbl>
          <w:p w14:paraId="1CE62019">
            <w:pPr>
              <w:pStyle w:val="27"/>
              <w:spacing w:line="360" w:lineRule="auto"/>
              <w:ind w:firstLine="508"/>
              <w:rPr>
                <w:rFonts w:hint="default" w:ascii="Times New Roman" w:hAnsi="Times New Roman" w:cs="Times New Roman"/>
                <w:sz w:val="24"/>
                <w:szCs w:val="24"/>
                <w:highlight w:val="none"/>
                <w:lang w:eastAsia="zh-CN"/>
              </w:rPr>
            </w:pPr>
            <w:r>
              <w:rPr>
                <w:rFonts w:hint="default" w:ascii="Times New Roman" w:hAnsi="Times New Roman" w:cs="Times New Roman"/>
                <w:spacing w:val="7"/>
                <w:position w:val="1"/>
                <w:sz w:val="24"/>
                <w:szCs w:val="24"/>
                <w:highlight w:val="none"/>
                <w:lang w:eastAsia="zh-CN"/>
              </w:rPr>
              <w:t>（2）噪声预测模式</w:t>
            </w:r>
          </w:p>
          <w:p w14:paraId="1DCBD48E">
            <w:pPr>
              <w:pStyle w:val="27"/>
              <w:spacing w:line="360" w:lineRule="auto"/>
              <w:ind w:right="124" w:firstLine="516"/>
              <w:rPr>
                <w:rFonts w:hint="default" w:ascii="Times New Roman" w:hAnsi="Times New Roman" w:cs="Times New Roman"/>
                <w:sz w:val="24"/>
                <w:szCs w:val="24"/>
                <w:highlight w:val="none"/>
                <w:lang w:eastAsia="zh-CN"/>
              </w:rPr>
            </w:pPr>
            <w:r>
              <w:rPr>
                <w:rFonts w:hint="default" w:ascii="Times New Roman" w:hAnsi="Times New Roman" w:cs="Times New Roman"/>
                <w:spacing w:val="9"/>
                <w:sz w:val="24"/>
                <w:szCs w:val="24"/>
                <w:highlight w:val="none"/>
                <w:lang w:eastAsia="zh-CN"/>
              </w:rPr>
              <w:t>施工期工程噪声源可近似作为点声源处理，根</w:t>
            </w:r>
            <w:r>
              <w:rPr>
                <w:rFonts w:hint="default" w:ascii="Times New Roman" w:hAnsi="Times New Roman" w:cs="Times New Roman"/>
                <w:spacing w:val="8"/>
                <w:sz w:val="24"/>
                <w:szCs w:val="24"/>
                <w:highlight w:val="none"/>
                <w:lang w:eastAsia="zh-CN"/>
              </w:rPr>
              <w:t>据点声源噪声衰减模式，可估算施工期噪声源不同距离处的噪声值，预测模式如下：</w:t>
            </w:r>
          </w:p>
          <w:p w14:paraId="6B26D88C">
            <w:pPr>
              <w:pStyle w:val="27"/>
              <w:spacing w:line="360" w:lineRule="auto"/>
              <w:ind w:firstLine="480"/>
              <w:jc w:val="center"/>
              <w:rPr>
                <w:rFonts w:hint="default" w:ascii="Times New Roman" w:hAnsi="Times New Roman" w:cs="Times New Roman"/>
                <w:spacing w:val="8"/>
                <w:position w:val="2"/>
                <w:sz w:val="24"/>
                <w:szCs w:val="24"/>
                <w:highlight w:val="none"/>
              </w:rPr>
            </w:pPr>
            <w:r>
              <w:rPr>
                <w:rFonts w:hint="default" w:ascii="Times New Roman" w:hAnsi="Times New Roman" w:cs="Times New Roman"/>
                <w:sz w:val="24"/>
                <w:szCs w:val="24"/>
                <w:highlight w:val="none"/>
                <w:lang w:eastAsia="zh-CN"/>
              </w:rPr>
              <w:drawing>
                <wp:inline distT="0" distB="0" distL="114300" distR="114300">
                  <wp:extent cx="1565275" cy="389255"/>
                  <wp:effectExtent l="0" t="0" r="15875" b="10795"/>
                  <wp:docPr id="10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3"/>
                          <pic:cNvPicPr>
                            <a:picLocks noChangeAspect="1"/>
                          </pic:cNvPicPr>
                        </pic:nvPicPr>
                        <pic:blipFill>
                          <a:blip r:embed="rId22" cstate="print"/>
                          <a:stretch>
                            <a:fillRect/>
                          </a:stretch>
                        </pic:blipFill>
                        <pic:spPr>
                          <a:xfrm>
                            <a:off x="0" y="0"/>
                            <a:ext cx="1565275" cy="389255"/>
                          </a:xfrm>
                          <a:prstGeom prst="rect">
                            <a:avLst/>
                          </a:prstGeom>
                          <a:noFill/>
                          <a:ln>
                            <a:noFill/>
                          </a:ln>
                        </pic:spPr>
                      </pic:pic>
                    </a:graphicData>
                  </a:graphic>
                </wp:inline>
              </w:drawing>
            </w:r>
          </w:p>
          <w:p w14:paraId="32FE333E">
            <w:pPr>
              <w:pStyle w:val="27"/>
              <w:spacing w:line="360" w:lineRule="auto"/>
              <w:ind w:firstLine="512"/>
              <w:rPr>
                <w:rFonts w:hint="default" w:ascii="Times New Roman" w:hAnsi="Times New Roman" w:cs="Times New Roman"/>
                <w:sz w:val="24"/>
                <w:szCs w:val="24"/>
                <w:highlight w:val="none"/>
                <w:lang w:eastAsia="zh-CN"/>
              </w:rPr>
            </w:pPr>
            <w:r>
              <w:rPr>
                <w:rFonts w:hint="default" w:ascii="Times New Roman" w:hAnsi="Times New Roman" w:cs="Times New Roman"/>
                <w:spacing w:val="8"/>
                <w:position w:val="2"/>
                <w:sz w:val="24"/>
                <w:szCs w:val="24"/>
                <w:highlight w:val="none"/>
                <w:lang w:eastAsia="zh-CN"/>
              </w:rPr>
              <w:t>式中：</w:t>
            </w:r>
            <w:r>
              <w:rPr>
                <w:rFonts w:hint="default" w:ascii="Times New Roman" w:hAnsi="Times New Roman" w:cs="Times New Roman"/>
                <w:position w:val="2"/>
                <w:sz w:val="24"/>
                <w:szCs w:val="24"/>
                <w:highlight w:val="none"/>
                <w:lang w:eastAsia="zh-CN"/>
              </w:rPr>
              <w:t>L</w:t>
            </w:r>
            <w:r>
              <w:rPr>
                <w:rFonts w:hint="default" w:ascii="Times New Roman" w:hAnsi="Times New Roman" w:cs="Times New Roman"/>
                <w:position w:val="1"/>
                <w:sz w:val="24"/>
                <w:szCs w:val="24"/>
                <w:highlight w:val="none"/>
                <w:lang w:eastAsia="zh-CN"/>
              </w:rPr>
              <w:t>p</w:t>
            </w:r>
            <w:r>
              <w:rPr>
                <w:rFonts w:hint="eastAsia" w:ascii="Times New Roman" w:hAnsi="Times New Roman" w:cs="Times New Roman"/>
                <w:spacing w:val="8"/>
                <w:position w:val="2"/>
                <w:sz w:val="24"/>
                <w:szCs w:val="24"/>
                <w:highlight w:val="none"/>
                <w:lang w:eastAsia="zh-CN"/>
              </w:rPr>
              <w:t>（</w:t>
            </w:r>
            <w:r>
              <w:rPr>
                <w:rFonts w:hint="default" w:ascii="Times New Roman" w:hAnsi="Times New Roman" w:cs="Times New Roman"/>
                <w:spacing w:val="8"/>
                <w:position w:val="2"/>
                <w:sz w:val="24"/>
                <w:szCs w:val="24"/>
                <w:highlight w:val="none"/>
                <w:lang w:eastAsia="zh-CN"/>
              </w:rPr>
              <w:t>r</w:t>
            </w:r>
            <w:r>
              <w:rPr>
                <w:rFonts w:hint="eastAsia" w:ascii="Times New Roman" w:hAnsi="Times New Roman" w:cs="Times New Roman"/>
                <w:spacing w:val="8"/>
                <w:position w:val="2"/>
                <w:sz w:val="24"/>
                <w:szCs w:val="24"/>
                <w:highlight w:val="none"/>
                <w:lang w:eastAsia="zh-CN"/>
              </w:rPr>
              <w:t>）</w:t>
            </w:r>
            <w:r>
              <w:rPr>
                <w:rFonts w:hint="default" w:ascii="Times New Roman" w:hAnsi="Times New Roman" w:cs="Times New Roman"/>
                <w:spacing w:val="8"/>
                <w:position w:val="2"/>
                <w:sz w:val="24"/>
                <w:szCs w:val="24"/>
                <w:highlight w:val="none"/>
                <w:lang w:eastAsia="zh-CN"/>
              </w:rPr>
              <w:t>--点声源在预测点产生的声压级，</w:t>
            </w:r>
            <w:r>
              <w:rPr>
                <w:rFonts w:hint="default" w:ascii="Times New Roman" w:hAnsi="Times New Roman" w:cs="Times New Roman"/>
                <w:position w:val="2"/>
                <w:sz w:val="24"/>
                <w:szCs w:val="24"/>
                <w:highlight w:val="none"/>
                <w:lang w:eastAsia="zh-CN"/>
              </w:rPr>
              <w:t>dB</w:t>
            </w:r>
            <w:r>
              <w:rPr>
                <w:rFonts w:hint="default" w:ascii="Times New Roman" w:hAnsi="Times New Roman" w:cs="Times New Roman"/>
                <w:spacing w:val="8"/>
                <w:position w:val="2"/>
                <w:sz w:val="24"/>
                <w:szCs w:val="24"/>
                <w:highlight w:val="none"/>
                <w:lang w:eastAsia="zh-CN"/>
              </w:rPr>
              <w:t>；</w:t>
            </w:r>
          </w:p>
          <w:p w14:paraId="458CE8ED">
            <w:pPr>
              <w:pStyle w:val="27"/>
              <w:spacing w:line="360" w:lineRule="auto"/>
              <w:ind w:left="522" w:firstLine="720" w:firstLineChars="300"/>
              <w:rPr>
                <w:rFonts w:hint="default" w:ascii="Times New Roman" w:hAnsi="Times New Roman" w:cs="Times New Roman"/>
                <w:sz w:val="24"/>
                <w:szCs w:val="24"/>
                <w:highlight w:val="none"/>
                <w:lang w:eastAsia="zh-CN"/>
              </w:rPr>
            </w:pPr>
            <w:r>
              <w:rPr>
                <w:rFonts w:hint="default" w:ascii="Times New Roman" w:hAnsi="Times New Roman" w:cs="Times New Roman"/>
                <w:position w:val="2"/>
                <w:sz w:val="24"/>
                <w:szCs w:val="24"/>
                <w:highlight w:val="none"/>
                <w:lang w:eastAsia="zh-CN"/>
              </w:rPr>
              <w:t>L</w:t>
            </w:r>
            <w:r>
              <w:rPr>
                <w:rFonts w:hint="default" w:ascii="Times New Roman" w:hAnsi="Times New Roman" w:cs="Times New Roman"/>
                <w:position w:val="1"/>
                <w:sz w:val="24"/>
                <w:szCs w:val="24"/>
                <w:highlight w:val="none"/>
                <w:lang w:eastAsia="zh-CN"/>
              </w:rPr>
              <w:t>p</w:t>
            </w:r>
            <w:r>
              <w:rPr>
                <w:rFonts w:hint="eastAsia" w:ascii="Times New Roman" w:hAnsi="Times New Roman" w:cs="Times New Roman"/>
                <w:spacing w:val="8"/>
                <w:position w:val="2"/>
                <w:sz w:val="24"/>
                <w:szCs w:val="24"/>
                <w:highlight w:val="none"/>
                <w:lang w:eastAsia="zh-CN"/>
              </w:rPr>
              <w:t>（</w:t>
            </w:r>
            <w:r>
              <w:rPr>
                <w:rFonts w:hint="default" w:ascii="Times New Roman" w:hAnsi="Times New Roman" w:cs="Times New Roman"/>
                <w:spacing w:val="8"/>
                <w:position w:val="2"/>
                <w:sz w:val="24"/>
                <w:szCs w:val="24"/>
                <w:highlight w:val="none"/>
                <w:lang w:eastAsia="zh-CN"/>
              </w:rPr>
              <w:t>r0</w:t>
            </w:r>
            <w:r>
              <w:rPr>
                <w:rFonts w:hint="eastAsia" w:ascii="Times New Roman" w:hAnsi="Times New Roman" w:cs="Times New Roman"/>
                <w:spacing w:val="8"/>
                <w:position w:val="2"/>
                <w:sz w:val="24"/>
                <w:szCs w:val="24"/>
                <w:highlight w:val="none"/>
                <w:lang w:eastAsia="zh-CN"/>
              </w:rPr>
              <w:t>）</w:t>
            </w:r>
            <w:r>
              <w:rPr>
                <w:rFonts w:hint="default" w:ascii="Times New Roman" w:hAnsi="Times New Roman" w:cs="Times New Roman"/>
                <w:spacing w:val="8"/>
                <w:position w:val="2"/>
                <w:sz w:val="24"/>
                <w:szCs w:val="24"/>
                <w:highlight w:val="none"/>
                <w:lang w:eastAsia="zh-CN"/>
              </w:rPr>
              <w:t>--点声源在参考点产生的声压级，</w:t>
            </w:r>
            <w:r>
              <w:rPr>
                <w:rFonts w:hint="default" w:ascii="Times New Roman" w:hAnsi="Times New Roman" w:cs="Times New Roman"/>
                <w:position w:val="2"/>
                <w:sz w:val="24"/>
                <w:szCs w:val="24"/>
                <w:highlight w:val="none"/>
                <w:lang w:eastAsia="zh-CN"/>
              </w:rPr>
              <w:t>dB</w:t>
            </w:r>
            <w:r>
              <w:rPr>
                <w:rFonts w:hint="default" w:ascii="Times New Roman" w:hAnsi="Times New Roman" w:cs="Times New Roman"/>
                <w:spacing w:val="8"/>
                <w:position w:val="2"/>
                <w:sz w:val="24"/>
                <w:szCs w:val="24"/>
                <w:highlight w:val="none"/>
                <w:lang w:eastAsia="zh-CN"/>
              </w:rPr>
              <w:t>；</w:t>
            </w:r>
          </w:p>
          <w:p w14:paraId="3B4FA0F4">
            <w:pPr>
              <w:pStyle w:val="27"/>
              <w:spacing w:line="360" w:lineRule="auto"/>
              <w:ind w:left="519" w:firstLine="762" w:firstLineChars="300"/>
              <w:rPr>
                <w:rFonts w:hint="default" w:ascii="Times New Roman" w:hAnsi="Times New Roman" w:cs="Times New Roman"/>
                <w:sz w:val="24"/>
                <w:szCs w:val="24"/>
                <w:highlight w:val="none"/>
                <w:lang w:eastAsia="zh-CN"/>
              </w:rPr>
            </w:pPr>
            <w:r>
              <w:rPr>
                <w:rFonts w:hint="default" w:ascii="Times New Roman" w:hAnsi="Times New Roman" w:cs="Times New Roman"/>
                <w:spacing w:val="7"/>
                <w:sz w:val="24"/>
                <w:szCs w:val="24"/>
                <w:highlight w:val="none"/>
                <w:lang w:eastAsia="zh-CN"/>
              </w:rPr>
              <w:t>r--预测点距声源的距离，m；</w:t>
            </w:r>
          </w:p>
          <w:p w14:paraId="31105EAB">
            <w:pPr>
              <w:pStyle w:val="27"/>
              <w:spacing w:line="360" w:lineRule="auto"/>
              <w:ind w:left="519" w:firstLine="762" w:firstLineChars="300"/>
              <w:rPr>
                <w:rFonts w:hint="default" w:ascii="Times New Roman" w:hAnsi="Times New Roman" w:cs="Times New Roman"/>
                <w:sz w:val="24"/>
                <w:szCs w:val="24"/>
                <w:highlight w:val="none"/>
                <w:lang w:eastAsia="zh-CN"/>
              </w:rPr>
            </w:pPr>
            <w:r>
              <w:rPr>
                <w:rFonts w:hint="default" w:ascii="Times New Roman" w:hAnsi="Times New Roman" w:cs="Times New Roman"/>
                <w:spacing w:val="7"/>
                <w:position w:val="1"/>
                <w:sz w:val="24"/>
                <w:szCs w:val="24"/>
                <w:highlight w:val="none"/>
                <w:lang w:eastAsia="zh-CN"/>
              </w:rPr>
              <w:t>r0--参考点距声源的距离，m。</w:t>
            </w:r>
          </w:p>
          <w:p w14:paraId="359DC135">
            <w:pPr>
              <w:pStyle w:val="27"/>
              <w:spacing w:line="360" w:lineRule="auto"/>
              <w:ind w:firstLine="508"/>
              <w:rPr>
                <w:rFonts w:hint="default" w:ascii="Times New Roman" w:hAnsi="Times New Roman" w:cs="Times New Roman"/>
                <w:sz w:val="24"/>
                <w:szCs w:val="24"/>
                <w:highlight w:val="none"/>
                <w:lang w:eastAsia="zh-CN"/>
              </w:rPr>
            </w:pPr>
            <w:r>
              <w:rPr>
                <w:rFonts w:hint="default" w:ascii="Times New Roman" w:hAnsi="Times New Roman" w:cs="Times New Roman"/>
                <w:spacing w:val="7"/>
                <w:position w:val="1"/>
                <w:sz w:val="24"/>
                <w:szCs w:val="24"/>
                <w:highlight w:val="none"/>
                <w:lang w:eastAsia="zh-CN"/>
              </w:rPr>
              <w:t>（3）预测结果及分析</w:t>
            </w:r>
          </w:p>
          <w:p w14:paraId="2843E23F">
            <w:pPr>
              <w:pStyle w:val="27"/>
              <w:spacing w:line="360" w:lineRule="auto"/>
              <w:ind w:right="124" w:firstLine="516"/>
              <w:rPr>
                <w:rFonts w:hint="default" w:ascii="Times New Roman" w:hAnsi="Times New Roman" w:cs="Times New Roman"/>
                <w:sz w:val="24"/>
                <w:szCs w:val="24"/>
                <w:highlight w:val="none"/>
                <w:lang w:eastAsia="zh-CN"/>
              </w:rPr>
            </w:pPr>
            <w:r>
              <w:rPr>
                <w:rFonts w:hint="default" w:ascii="Times New Roman" w:hAnsi="Times New Roman" w:cs="Times New Roman"/>
                <w:spacing w:val="9"/>
                <w:sz w:val="24"/>
                <w:szCs w:val="24"/>
                <w:highlight w:val="none"/>
                <w:lang w:eastAsia="zh-CN"/>
              </w:rPr>
              <w:t>通常施工场地上有多台不同种类的施工机械</w:t>
            </w:r>
            <w:r>
              <w:rPr>
                <w:rFonts w:hint="default" w:ascii="Times New Roman" w:hAnsi="Times New Roman" w:cs="Times New Roman"/>
                <w:spacing w:val="8"/>
                <w:sz w:val="24"/>
                <w:szCs w:val="24"/>
                <w:highlight w:val="none"/>
                <w:lang w:eastAsia="zh-CN"/>
              </w:rPr>
              <w:t>同时作业，它们的辐射声级将叠加，其强度增量视噪声源种类、数量、相对分布的距离等因素而不同。施工噪声随距离衰减后</w:t>
            </w:r>
            <w:r>
              <w:rPr>
                <w:rFonts w:hint="default" w:ascii="Times New Roman" w:hAnsi="Times New Roman" w:cs="Times New Roman"/>
                <w:spacing w:val="6"/>
                <w:sz w:val="24"/>
                <w:szCs w:val="24"/>
                <w:highlight w:val="none"/>
                <w:lang w:eastAsia="zh-CN"/>
              </w:rPr>
              <w:t>的预测值见下表。</w:t>
            </w:r>
          </w:p>
          <w:p w14:paraId="14E05D7B">
            <w:pPr>
              <w:widowControl/>
              <w:spacing w:line="240" w:lineRule="atLeast"/>
              <w:ind w:firstLine="0" w:firstLineChars="0"/>
              <w:jc w:val="center"/>
              <w:rPr>
                <w:b/>
                <w:bCs/>
                <w:spacing w:val="6"/>
                <w:highlight w:val="none"/>
              </w:rPr>
            </w:pPr>
            <w:r>
              <w:rPr>
                <w:b/>
                <w:bCs/>
                <w:spacing w:val="6"/>
                <w:highlight w:val="none"/>
              </w:rPr>
              <w:t>表</w:t>
            </w:r>
            <w:r>
              <w:rPr>
                <w:rFonts w:eastAsia="Times New Roman" w:cs="Times New Roman"/>
                <w:b/>
                <w:bCs/>
                <w:spacing w:val="6"/>
                <w:highlight w:val="none"/>
              </w:rPr>
              <w:t xml:space="preserve">4-2   </w:t>
            </w:r>
            <w:r>
              <w:rPr>
                <w:b/>
                <w:bCs/>
                <w:spacing w:val="6"/>
                <w:highlight w:val="none"/>
              </w:rPr>
              <w:t>施工噪声随距离的衰减情况</w:t>
            </w:r>
            <w:r>
              <w:rPr>
                <w:spacing w:val="6"/>
                <w:highlight w:val="none"/>
              </w:rPr>
              <w:t xml:space="preserve">    </w:t>
            </w:r>
            <w:r>
              <w:rPr>
                <w:b/>
                <w:bCs/>
                <w:spacing w:val="6"/>
                <w:highlight w:val="none"/>
              </w:rPr>
              <w:t>单位：</w:t>
            </w:r>
            <w:r>
              <w:rPr>
                <w:rFonts w:eastAsia="Times New Roman" w:cs="Times New Roman"/>
                <w:b/>
                <w:bCs/>
                <w:highlight w:val="none"/>
              </w:rPr>
              <w:t>dB</w:t>
            </w:r>
            <w:r>
              <w:rPr>
                <w:b/>
                <w:bCs/>
                <w:spacing w:val="6"/>
                <w:highlight w:val="none"/>
              </w:rPr>
              <w:t>（</w:t>
            </w:r>
            <w:r>
              <w:rPr>
                <w:rFonts w:eastAsia="Times New Roman" w:cs="Times New Roman"/>
                <w:b/>
                <w:bCs/>
                <w:spacing w:val="6"/>
                <w:highlight w:val="none"/>
              </w:rPr>
              <w:t>A</w:t>
            </w:r>
            <w:r>
              <w:rPr>
                <w:b/>
                <w:bCs/>
                <w:spacing w:val="6"/>
                <w:highlight w:val="none"/>
              </w:rPr>
              <w:t>）</w:t>
            </w:r>
          </w:p>
          <w:tbl>
            <w:tblPr>
              <w:tblStyle w:val="42"/>
              <w:tblW w:w="81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81"/>
              <w:gridCol w:w="622"/>
              <w:gridCol w:w="623"/>
              <w:gridCol w:w="623"/>
              <w:gridCol w:w="623"/>
              <w:gridCol w:w="623"/>
              <w:gridCol w:w="777"/>
              <w:gridCol w:w="777"/>
              <w:gridCol w:w="778"/>
              <w:gridCol w:w="778"/>
              <w:gridCol w:w="466"/>
            </w:tblGrid>
            <w:tr w14:paraId="0B130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jc w:val="center"/>
              </w:trPr>
              <w:tc>
                <w:tcPr>
                  <w:tcW w:w="1481" w:type="dxa"/>
                  <w:vAlign w:val="center"/>
                </w:tcPr>
                <w:p w14:paraId="2CE50D22">
                  <w:pPr>
                    <w:pStyle w:val="38"/>
                    <w:rPr>
                      <w:highlight w:val="none"/>
                    </w:rPr>
                  </w:pPr>
                  <w:r>
                    <w:rPr>
                      <w:highlight w:val="none"/>
                    </w:rPr>
                    <w:t>噪声源距离，m</w:t>
                  </w:r>
                </w:p>
              </w:tc>
              <w:tc>
                <w:tcPr>
                  <w:tcW w:w="622" w:type="dxa"/>
                  <w:vAlign w:val="center"/>
                </w:tcPr>
                <w:p w14:paraId="37DFD529">
                  <w:pPr>
                    <w:pStyle w:val="38"/>
                    <w:rPr>
                      <w:highlight w:val="none"/>
                    </w:rPr>
                  </w:pPr>
                  <w:r>
                    <w:rPr>
                      <w:highlight w:val="none"/>
                    </w:rPr>
                    <w:t>10</w:t>
                  </w:r>
                </w:p>
              </w:tc>
              <w:tc>
                <w:tcPr>
                  <w:tcW w:w="623" w:type="dxa"/>
                  <w:vAlign w:val="center"/>
                </w:tcPr>
                <w:p w14:paraId="73AE8365">
                  <w:pPr>
                    <w:pStyle w:val="38"/>
                    <w:rPr>
                      <w:highlight w:val="none"/>
                    </w:rPr>
                  </w:pPr>
                  <w:r>
                    <w:rPr>
                      <w:highlight w:val="none"/>
                    </w:rPr>
                    <w:t>20</w:t>
                  </w:r>
                </w:p>
              </w:tc>
              <w:tc>
                <w:tcPr>
                  <w:tcW w:w="623" w:type="dxa"/>
                  <w:vAlign w:val="center"/>
                </w:tcPr>
                <w:p w14:paraId="14BBCD3B">
                  <w:pPr>
                    <w:pStyle w:val="38"/>
                    <w:rPr>
                      <w:highlight w:val="none"/>
                    </w:rPr>
                  </w:pPr>
                  <w:r>
                    <w:rPr>
                      <w:highlight w:val="none"/>
                    </w:rPr>
                    <w:t>40</w:t>
                  </w:r>
                </w:p>
              </w:tc>
              <w:tc>
                <w:tcPr>
                  <w:tcW w:w="623" w:type="dxa"/>
                  <w:vAlign w:val="center"/>
                </w:tcPr>
                <w:p w14:paraId="1A4D3E6E">
                  <w:pPr>
                    <w:pStyle w:val="38"/>
                    <w:rPr>
                      <w:highlight w:val="none"/>
                    </w:rPr>
                  </w:pPr>
                  <w:r>
                    <w:rPr>
                      <w:highlight w:val="none"/>
                    </w:rPr>
                    <w:t>60</w:t>
                  </w:r>
                </w:p>
              </w:tc>
              <w:tc>
                <w:tcPr>
                  <w:tcW w:w="623" w:type="dxa"/>
                  <w:vAlign w:val="center"/>
                </w:tcPr>
                <w:p w14:paraId="0BB09B1A">
                  <w:pPr>
                    <w:pStyle w:val="38"/>
                    <w:rPr>
                      <w:highlight w:val="none"/>
                    </w:rPr>
                  </w:pPr>
                  <w:r>
                    <w:rPr>
                      <w:highlight w:val="none"/>
                    </w:rPr>
                    <w:t>80</w:t>
                  </w:r>
                </w:p>
              </w:tc>
              <w:tc>
                <w:tcPr>
                  <w:tcW w:w="777" w:type="dxa"/>
                  <w:vAlign w:val="center"/>
                </w:tcPr>
                <w:p w14:paraId="1C39B81A">
                  <w:pPr>
                    <w:pStyle w:val="38"/>
                    <w:rPr>
                      <w:highlight w:val="none"/>
                    </w:rPr>
                  </w:pPr>
                  <w:r>
                    <w:rPr>
                      <w:highlight w:val="none"/>
                    </w:rPr>
                    <w:t>100</w:t>
                  </w:r>
                </w:p>
              </w:tc>
              <w:tc>
                <w:tcPr>
                  <w:tcW w:w="777" w:type="dxa"/>
                  <w:vAlign w:val="center"/>
                </w:tcPr>
                <w:p w14:paraId="696D5648">
                  <w:pPr>
                    <w:pStyle w:val="38"/>
                    <w:rPr>
                      <w:highlight w:val="none"/>
                    </w:rPr>
                  </w:pPr>
                  <w:r>
                    <w:rPr>
                      <w:highlight w:val="none"/>
                    </w:rPr>
                    <w:t>200</w:t>
                  </w:r>
                </w:p>
              </w:tc>
              <w:tc>
                <w:tcPr>
                  <w:tcW w:w="778" w:type="dxa"/>
                  <w:vAlign w:val="center"/>
                </w:tcPr>
                <w:p w14:paraId="45836076">
                  <w:pPr>
                    <w:pStyle w:val="38"/>
                    <w:rPr>
                      <w:highlight w:val="none"/>
                    </w:rPr>
                  </w:pPr>
                  <w:r>
                    <w:rPr>
                      <w:highlight w:val="none"/>
                    </w:rPr>
                    <w:t>400</w:t>
                  </w:r>
                </w:p>
              </w:tc>
              <w:tc>
                <w:tcPr>
                  <w:tcW w:w="778" w:type="dxa"/>
                  <w:vAlign w:val="center"/>
                </w:tcPr>
                <w:p w14:paraId="640916DB">
                  <w:pPr>
                    <w:pStyle w:val="38"/>
                    <w:rPr>
                      <w:highlight w:val="none"/>
                    </w:rPr>
                  </w:pPr>
                  <w:r>
                    <w:rPr>
                      <w:highlight w:val="none"/>
                    </w:rPr>
                    <w:t>800</w:t>
                  </w:r>
                </w:p>
              </w:tc>
              <w:tc>
                <w:tcPr>
                  <w:tcW w:w="466" w:type="dxa"/>
                  <w:vAlign w:val="center"/>
                </w:tcPr>
                <w:p w14:paraId="54C46182">
                  <w:pPr>
                    <w:pStyle w:val="38"/>
                    <w:rPr>
                      <w:highlight w:val="none"/>
                      <w:lang w:val="en-US"/>
                    </w:rPr>
                  </w:pPr>
                  <w:r>
                    <w:rPr>
                      <w:highlight w:val="none"/>
                    </w:rPr>
                    <w:t>10</w:t>
                  </w:r>
                  <w:r>
                    <w:rPr>
                      <w:rFonts w:hint="eastAsia"/>
                      <w:highlight w:val="none"/>
                      <w:lang w:val="en-US"/>
                    </w:rPr>
                    <w:t>00</w:t>
                  </w:r>
                </w:p>
              </w:tc>
            </w:tr>
            <w:tr w14:paraId="64BCB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6" w:hRule="atLeast"/>
                <w:jc w:val="center"/>
              </w:trPr>
              <w:tc>
                <w:tcPr>
                  <w:tcW w:w="1481" w:type="dxa"/>
                  <w:vAlign w:val="center"/>
                </w:tcPr>
                <w:p w14:paraId="6AF039C9">
                  <w:pPr>
                    <w:pStyle w:val="38"/>
                    <w:rPr>
                      <w:highlight w:val="none"/>
                    </w:rPr>
                  </w:pPr>
                  <w:r>
                    <w:rPr>
                      <w:highlight w:val="none"/>
                    </w:rPr>
                    <w:t>吊管机</w:t>
                  </w:r>
                </w:p>
              </w:tc>
              <w:tc>
                <w:tcPr>
                  <w:tcW w:w="622" w:type="dxa"/>
                  <w:vAlign w:val="center"/>
                </w:tcPr>
                <w:p w14:paraId="34532FDE">
                  <w:pPr>
                    <w:pStyle w:val="38"/>
                    <w:rPr>
                      <w:highlight w:val="none"/>
                    </w:rPr>
                  </w:pPr>
                  <w:r>
                    <w:rPr>
                      <w:highlight w:val="none"/>
                    </w:rPr>
                    <w:t>75</w:t>
                  </w:r>
                </w:p>
              </w:tc>
              <w:tc>
                <w:tcPr>
                  <w:tcW w:w="623" w:type="dxa"/>
                  <w:vAlign w:val="center"/>
                </w:tcPr>
                <w:p w14:paraId="48E856F6">
                  <w:pPr>
                    <w:pStyle w:val="38"/>
                    <w:rPr>
                      <w:highlight w:val="none"/>
                    </w:rPr>
                  </w:pPr>
                  <w:r>
                    <w:rPr>
                      <w:highlight w:val="none"/>
                    </w:rPr>
                    <w:t>69</w:t>
                  </w:r>
                </w:p>
              </w:tc>
              <w:tc>
                <w:tcPr>
                  <w:tcW w:w="623" w:type="dxa"/>
                  <w:vAlign w:val="center"/>
                </w:tcPr>
                <w:p w14:paraId="6C0B0B8B">
                  <w:pPr>
                    <w:pStyle w:val="38"/>
                    <w:rPr>
                      <w:highlight w:val="none"/>
                    </w:rPr>
                  </w:pPr>
                  <w:r>
                    <w:rPr>
                      <w:highlight w:val="none"/>
                    </w:rPr>
                    <w:t>63</w:t>
                  </w:r>
                </w:p>
              </w:tc>
              <w:tc>
                <w:tcPr>
                  <w:tcW w:w="623" w:type="dxa"/>
                  <w:vAlign w:val="center"/>
                </w:tcPr>
                <w:p w14:paraId="125A6AE1">
                  <w:pPr>
                    <w:pStyle w:val="38"/>
                    <w:rPr>
                      <w:highlight w:val="none"/>
                    </w:rPr>
                  </w:pPr>
                  <w:r>
                    <w:rPr>
                      <w:highlight w:val="none"/>
                    </w:rPr>
                    <w:t>59</w:t>
                  </w:r>
                </w:p>
              </w:tc>
              <w:tc>
                <w:tcPr>
                  <w:tcW w:w="623" w:type="dxa"/>
                  <w:vAlign w:val="center"/>
                </w:tcPr>
                <w:p w14:paraId="26B171FB">
                  <w:pPr>
                    <w:pStyle w:val="38"/>
                    <w:rPr>
                      <w:highlight w:val="none"/>
                    </w:rPr>
                  </w:pPr>
                  <w:r>
                    <w:rPr>
                      <w:highlight w:val="none"/>
                    </w:rPr>
                    <w:t>57</w:t>
                  </w:r>
                </w:p>
              </w:tc>
              <w:tc>
                <w:tcPr>
                  <w:tcW w:w="777" w:type="dxa"/>
                  <w:vAlign w:val="center"/>
                </w:tcPr>
                <w:p w14:paraId="24DD055D">
                  <w:pPr>
                    <w:pStyle w:val="38"/>
                    <w:rPr>
                      <w:highlight w:val="none"/>
                    </w:rPr>
                  </w:pPr>
                  <w:r>
                    <w:rPr>
                      <w:highlight w:val="none"/>
                    </w:rPr>
                    <w:t>55</w:t>
                  </w:r>
                </w:p>
              </w:tc>
              <w:tc>
                <w:tcPr>
                  <w:tcW w:w="777" w:type="dxa"/>
                  <w:vAlign w:val="center"/>
                </w:tcPr>
                <w:p w14:paraId="4CEB703C">
                  <w:pPr>
                    <w:pStyle w:val="38"/>
                    <w:rPr>
                      <w:highlight w:val="none"/>
                    </w:rPr>
                  </w:pPr>
                  <w:r>
                    <w:rPr>
                      <w:highlight w:val="none"/>
                    </w:rPr>
                    <w:t>49</w:t>
                  </w:r>
                </w:p>
              </w:tc>
              <w:tc>
                <w:tcPr>
                  <w:tcW w:w="778" w:type="dxa"/>
                  <w:vAlign w:val="center"/>
                </w:tcPr>
                <w:p w14:paraId="3D9EA0E1">
                  <w:pPr>
                    <w:pStyle w:val="38"/>
                    <w:rPr>
                      <w:highlight w:val="none"/>
                    </w:rPr>
                  </w:pPr>
                  <w:r>
                    <w:rPr>
                      <w:highlight w:val="none"/>
                    </w:rPr>
                    <w:t>43</w:t>
                  </w:r>
                </w:p>
              </w:tc>
              <w:tc>
                <w:tcPr>
                  <w:tcW w:w="778" w:type="dxa"/>
                  <w:vAlign w:val="center"/>
                </w:tcPr>
                <w:p w14:paraId="13BF3115">
                  <w:pPr>
                    <w:pStyle w:val="38"/>
                    <w:rPr>
                      <w:highlight w:val="none"/>
                    </w:rPr>
                  </w:pPr>
                  <w:r>
                    <w:rPr>
                      <w:highlight w:val="none"/>
                    </w:rPr>
                    <w:t>37</w:t>
                  </w:r>
                </w:p>
              </w:tc>
              <w:tc>
                <w:tcPr>
                  <w:tcW w:w="466" w:type="dxa"/>
                  <w:vAlign w:val="center"/>
                </w:tcPr>
                <w:p w14:paraId="4E61A481">
                  <w:pPr>
                    <w:pStyle w:val="38"/>
                    <w:rPr>
                      <w:highlight w:val="none"/>
                      <w:lang w:val="en-US"/>
                    </w:rPr>
                  </w:pPr>
                  <w:r>
                    <w:rPr>
                      <w:highlight w:val="none"/>
                    </w:rPr>
                    <w:t>3</w:t>
                  </w:r>
                  <w:r>
                    <w:rPr>
                      <w:rFonts w:hint="eastAsia"/>
                      <w:highlight w:val="none"/>
                      <w:lang w:val="en-US"/>
                    </w:rPr>
                    <w:t>4</w:t>
                  </w:r>
                </w:p>
              </w:tc>
            </w:tr>
            <w:tr w14:paraId="45342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1481" w:type="dxa"/>
                  <w:vAlign w:val="center"/>
                </w:tcPr>
                <w:p w14:paraId="58D9D6BA">
                  <w:pPr>
                    <w:pStyle w:val="38"/>
                    <w:rPr>
                      <w:highlight w:val="none"/>
                    </w:rPr>
                  </w:pPr>
                  <w:r>
                    <w:rPr>
                      <w:highlight w:val="none"/>
                    </w:rPr>
                    <w:t>电焊机</w:t>
                  </w:r>
                </w:p>
              </w:tc>
              <w:tc>
                <w:tcPr>
                  <w:tcW w:w="622" w:type="dxa"/>
                  <w:vAlign w:val="center"/>
                </w:tcPr>
                <w:p w14:paraId="007B7978">
                  <w:pPr>
                    <w:pStyle w:val="38"/>
                    <w:rPr>
                      <w:highlight w:val="none"/>
                    </w:rPr>
                  </w:pPr>
                  <w:r>
                    <w:rPr>
                      <w:highlight w:val="none"/>
                    </w:rPr>
                    <w:t>81</w:t>
                  </w:r>
                </w:p>
              </w:tc>
              <w:tc>
                <w:tcPr>
                  <w:tcW w:w="623" w:type="dxa"/>
                  <w:vAlign w:val="center"/>
                </w:tcPr>
                <w:p w14:paraId="02B95676">
                  <w:pPr>
                    <w:pStyle w:val="38"/>
                    <w:rPr>
                      <w:highlight w:val="none"/>
                    </w:rPr>
                  </w:pPr>
                  <w:r>
                    <w:rPr>
                      <w:highlight w:val="none"/>
                    </w:rPr>
                    <w:t>75</w:t>
                  </w:r>
                </w:p>
              </w:tc>
              <w:tc>
                <w:tcPr>
                  <w:tcW w:w="623" w:type="dxa"/>
                  <w:vAlign w:val="center"/>
                </w:tcPr>
                <w:p w14:paraId="4C7C4E1F">
                  <w:pPr>
                    <w:pStyle w:val="38"/>
                    <w:rPr>
                      <w:highlight w:val="none"/>
                    </w:rPr>
                  </w:pPr>
                  <w:r>
                    <w:rPr>
                      <w:highlight w:val="none"/>
                    </w:rPr>
                    <w:t>69</w:t>
                  </w:r>
                </w:p>
              </w:tc>
              <w:tc>
                <w:tcPr>
                  <w:tcW w:w="623" w:type="dxa"/>
                  <w:vAlign w:val="center"/>
                </w:tcPr>
                <w:p w14:paraId="11DB42E6">
                  <w:pPr>
                    <w:pStyle w:val="38"/>
                    <w:rPr>
                      <w:highlight w:val="none"/>
                    </w:rPr>
                  </w:pPr>
                  <w:r>
                    <w:rPr>
                      <w:highlight w:val="none"/>
                    </w:rPr>
                    <w:t>65</w:t>
                  </w:r>
                </w:p>
              </w:tc>
              <w:tc>
                <w:tcPr>
                  <w:tcW w:w="623" w:type="dxa"/>
                  <w:vAlign w:val="center"/>
                </w:tcPr>
                <w:p w14:paraId="1DB6AC17">
                  <w:pPr>
                    <w:pStyle w:val="38"/>
                    <w:rPr>
                      <w:highlight w:val="none"/>
                    </w:rPr>
                  </w:pPr>
                  <w:r>
                    <w:rPr>
                      <w:highlight w:val="none"/>
                    </w:rPr>
                    <w:t>63</w:t>
                  </w:r>
                </w:p>
              </w:tc>
              <w:tc>
                <w:tcPr>
                  <w:tcW w:w="777" w:type="dxa"/>
                  <w:vAlign w:val="center"/>
                </w:tcPr>
                <w:p w14:paraId="77E32E97">
                  <w:pPr>
                    <w:pStyle w:val="38"/>
                    <w:rPr>
                      <w:highlight w:val="none"/>
                    </w:rPr>
                  </w:pPr>
                  <w:r>
                    <w:rPr>
                      <w:highlight w:val="none"/>
                    </w:rPr>
                    <w:t>61</w:t>
                  </w:r>
                </w:p>
              </w:tc>
              <w:tc>
                <w:tcPr>
                  <w:tcW w:w="777" w:type="dxa"/>
                  <w:vAlign w:val="center"/>
                </w:tcPr>
                <w:p w14:paraId="622CDC10">
                  <w:pPr>
                    <w:pStyle w:val="38"/>
                    <w:rPr>
                      <w:highlight w:val="none"/>
                    </w:rPr>
                  </w:pPr>
                  <w:r>
                    <w:rPr>
                      <w:highlight w:val="none"/>
                    </w:rPr>
                    <w:t>55</w:t>
                  </w:r>
                </w:p>
              </w:tc>
              <w:tc>
                <w:tcPr>
                  <w:tcW w:w="778" w:type="dxa"/>
                  <w:vAlign w:val="center"/>
                </w:tcPr>
                <w:p w14:paraId="284D4446">
                  <w:pPr>
                    <w:pStyle w:val="38"/>
                    <w:rPr>
                      <w:highlight w:val="none"/>
                    </w:rPr>
                  </w:pPr>
                  <w:r>
                    <w:rPr>
                      <w:highlight w:val="none"/>
                    </w:rPr>
                    <w:t>49</w:t>
                  </w:r>
                </w:p>
              </w:tc>
              <w:tc>
                <w:tcPr>
                  <w:tcW w:w="778" w:type="dxa"/>
                  <w:vAlign w:val="center"/>
                </w:tcPr>
                <w:p w14:paraId="2D277464">
                  <w:pPr>
                    <w:pStyle w:val="38"/>
                    <w:rPr>
                      <w:highlight w:val="none"/>
                    </w:rPr>
                  </w:pPr>
                  <w:r>
                    <w:rPr>
                      <w:highlight w:val="none"/>
                    </w:rPr>
                    <w:t>43</w:t>
                  </w:r>
                </w:p>
              </w:tc>
              <w:tc>
                <w:tcPr>
                  <w:tcW w:w="466" w:type="dxa"/>
                  <w:vAlign w:val="center"/>
                </w:tcPr>
                <w:p w14:paraId="50CA9849">
                  <w:pPr>
                    <w:pStyle w:val="38"/>
                    <w:rPr>
                      <w:highlight w:val="none"/>
                      <w:lang w:val="en-US"/>
                    </w:rPr>
                  </w:pPr>
                  <w:r>
                    <w:rPr>
                      <w:highlight w:val="none"/>
                    </w:rPr>
                    <w:t>4</w:t>
                  </w:r>
                  <w:r>
                    <w:rPr>
                      <w:rFonts w:hint="eastAsia"/>
                      <w:highlight w:val="none"/>
                      <w:lang w:val="en-US"/>
                    </w:rPr>
                    <w:t>2</w:t>
                  </w:r>
                </w:p>
              </w:tc>
            </w:tr>
            <w:tr w14:paraId="18BF2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1481" w:type="dxa"/>
                  <w:vAlign w:val="center"/>
                </w:tcPr>
                <w:p w14:paraId="3DD682DE">
                  <w:pPr>
                    <w:pStyle w:val="38"/>
                    <w:rPr>
                      <w:highlight w:val="none"/>
                    </w:rPr>
                  </w:pPr>
                  <w:r>
                    <w:rPr>
                      <w:highlight w:val="none"/>
                    </w:rPr>
                    <w:t>切割机</w:t>
                  </w:r>
                </w:p>
              </w:tc>
              <w:tc>
                <w:tcPr>
                  <w:tcW w:w="622" w:type="dxa"/>
                  <w:vAlign w:val="center"/>
                </w:tcPr>
                <w:p w14:paraId="4008CDF3">
                  <w:pPr>
                    <w:pStyle w:val="38"/>
                    <w:rPr>
                      <w:highlight w:val="none"/>
                    </w:rPr>
                  </w:pPr>
                  <w:r>
                    <w:rPr>
                      <w:highlight w:val="none"/>
                    </w:rPr>
                    <w:t>89</w:t>
                  </w:r>
                </w:p>
              </w:tc>
              <w:tc>
                <w:tcPr>
                  <w:tcW w:w="623" w:type="dxa"/>
                  <w:vAlign w:val="center"/>
                </w:tcPr>
                <w:p w14:paraId="5BE9EA92">
                  <w:pPr>
                    <w:pStyle w:val="38"/>
                    <w:rPr>
                      <w:highlight w:val="none"/>
                    </w:rPr>
                  </w:pPr>
                  <w:r>
                    <w:rPr>
                      <w:highlight w:val="none"/>
                    </w:rPr>
                    <w:t>83</w:t>
                  </w:r>
                </w:p>
              </w:tc>
              <w:tc>
                <w:tcPr>
                  <w:tcW w:w="623" w:type="dxa"/>
                  <w:vAlign w:val="center"/>
                </w:tcPr>
                <w:p w14:paraId="5454E295">
                  <w:pPr>
                    <w:pStyle w:val="38"/>
                    <w:rPr>
                      <w:highlight w:val="none"/>
                    </w:rPr>
                  </w:pPr>
                  <w:r>
                    <w:rPr>
                      <w:highlight w:val="none"/>
                    </w:rPr>
                    <w:t>77</w:t>
                  </w:r>
                </w:p>
              </w:tc>
              <w:tc>
                <w:tcPr>
                  <w:tcW w:w="623" w:type="dxa"/>
                  <w:vAlign w:val="center"/>
                </w:tcPr>
                <w:p w14:paraId="07E483B9">
                  <w:pPr>
                    <w:pStyle w:val="38"/>
                    <w:rPr>
                      <w:highlight w:val="none"/>
                    </w:rPr>
                  </w:pPr>
                  <w:r>
                    <w:rPr>
                      <w:highlight w:val="none"/>
                    </w:rPr>
                    <w:t>73</w:t>
                  </w:r>
                </w:p>
              </w:tc>
              <w:tc>
                <w:tcPr>
                  <w:tcW w:w="623" w:type="dxa"/>
                  <w:vAlign w:val="center"/>
                </w:tcPr>
                <w:p w14:paraId="164B0C50">
                  <w:pPr>
                    <w:pStyle w:val="38"/>
                    <w:rPr>
                      <w:highlight w:val="none"/>
                    </w:rPr>
                  </w:pPr>
                  <w:r>
                    <w:rPr>
                      <w:highlight w:val="none"/>
                    </w:rPr>
                    <w:t>71</w:t>
                  </w:r>
                </w:p>
              </w:tc>
              <w:tc>
                <w:tcPr>
                  <w:tcW w:w="777" w:type="dxa"/>
                  <w:vAlign w:val="center"/>
                </w:tcPr>
                <w:p w14:paraId="3DD249D2">
                  <w:pPr>
                    <w:pStyle w:val="38"/>
                    <w:rPr>
                      <w:highlight w:val="none"/>
                    </w:rPr>
                  </w:pPr>
                  <w:r>
                    <w:rPr>
                      <w:highlight w:val="none"/>
                    </w:rPr>
                    <w:t>69</w:t>
                  </w:r>
                </w:p>
              </w:tc>
              <w:tc>
                <w:tcPr>
                  <w:tcW w:w="777" w:type="dxa"/>
                  <w:vAlign w:val="center"/>
                </w:tcPr>
                <w:p w14:paraId="725F7F7A">
                  <w:pPr>
                    <w:pStyle w:val="38"/>
                    <w:rPr>
                      <w:highlight w:val="none"/>
                    </w:rPr>
                  </w:pPr>
                  <w:r>
                    <w:rPr>
                      <w:highlight w:val="none"/>
                    </w:rPr>
                    <w:t>63</w:t>
                  </w:r>
                </w:p>
              </w:tc>
              <w:tc>
                <w:tcPr>
                  <w:tcW w:w="778" w:type="dxa"/>
                  <w:vAlign w:val="center"/>
                </w:tcPr>
                <w:p w14:paraId="2124E308">
                  <w:pPr>
                    <w:pStyle w:val="38"/>
                    <w:rPr>
                      <w:highlight w:val="none"/>
                    </w:rPr>
                  </w:pPr>
                  <w:r>
                    <w:rPr>
                      <w:highlight w:val="none"/>
                    </w:rPr>
                    <w:t>57</w:t>
                  </w:r>
                </w:p>
              </w:tc>
              <w:tc>
                <w:tcPr>
                  <w:tcW w:w="778" w:type="dxa"/>
                  <w:vAlign w:val="center"/>
                </w:tcPr>
                <w:p w14:paraId="02008034">
                  <w:pPr>
                    <w:pStyle w:val="38"/>
                    <w:rPr>
                      <w:highlight w:val="none"/>
                    </w:rPr>
                  </w:pPr>
                  <w:r>
                    <w:rPr>
                      <w:highlight w:val="none"/>
                    </w:rPr>
                    <w:t>51</w:t>
                  </w:r>
                </w:p>
              </w:tc>
              <w:tc>
                <w:tcPr>
                  <w:tcW w:w="466" w:type="dxa"/>
                  <w:vAlign w:val="center"/>
                </w:tcPr>
                <w:p w14:paraId="5585F273">
                  <w:pPr>
                    <w:pStyle w:val="38"/>
                    <w:rPr>
                      <w:highlight w:val="none"/>
                      <w:lang w:val="en-US"/>
                    </w:rPr>
                  </w:pPr>
                  <w:r>
                    <w:rPr>
                      <w:highlight w:val="none"/>
                    </w:rPr>
                    <w:t>4</w:t>
                  </w:r>
                  <w:r>
                    <w:rPr>
                      <w:rFonts w:hint="eastAsia"/>
                      <w:highlight w:val="none"/>
                      <w:lang w:val="en-US"/>
                    </w:rPr>
                    <w:t>6</w:t>
                  </w:r>
                </w:p>
              </w:tc>
            </w:tr>
          </w:tbl>
          <w:p w14:paraId="482DB52F">
            <w:pPr>
              <w:spacing w:line="360" w:lineRule="auto"/>
              <w:ind w:firstLine="456"/>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预测可知：主要机械在60m以外均不会超过建筑物施工场界昼间噪声限值75dB（A），而在夜间无施工作业且施工噪声是短暂的且具有分散性，一般在白天施工，不会对夜间声环境产生影响。</w:t>
            </w:r>
          </w:p>
          <w:p w14:paraId="16BC479A">
            <w:pPr>
              <w:spacing w:line="360" w:lineRule="auto"/>
              <w:ind w:firstLine="456"/>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施工机械产生噪声将对敏感点昼间有一定程度的影响。为避免施工机械对沿线敏感点声环境的影响，本评价要求项目施工期间采取以下措施：</w:t>
            </w:r>
          </w:p>
          <w:p w14:paraId="5E7D6186">
            <w:pPr>
              <w:keepNext w:val="0"/>
              <w:keepLines w:val="0"/>
              <w:widowControl/>
              <w:suppressLineNumbers w:val="0"/>
              <w:spacing w:line="360" w:lineRule="auto"/>
              <w:ind w:firstLine="480" w:firstLineChars="200"/>
              <w:jc w:val="left"/>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kern w:val="0"/>
                <w:sz w:val="24"/>
                <w:szCs w:val="24"/>
                <w:highlight w:val="none"/>
                <w:lang w:val="en-US" w:eastAsia="zh-CN" w:bidi="ar"/>
              </w:rPr>
              <w:t>（1）合理安排施工</w:t>
            </w:r>
          </w:p>
          <w:p w14:paraId="36CC1232">
            <w:pPr>
              <w:keepNext w:val="0"/>
              <w:keepLines w:val="0"/>
              <w:widowControl/>
              <w:suppressLineNumbers w:val="0"/>
              <w:spacing w:line="360" w:lineRule="auto"/>
              <w:ind w:firstLine="480" w:firstLineChars="200"/>
              <w:jc w:val="left"/>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kern w:val="0"/>
                <w:sz w:val="24"/>
                <w:szCs w:val="24"/>
                <w:highlight w:val="none"/>
                <w:lang w:val="en-US" w:eastAsia="zh-CN" w:bidi="ar"/>
              </w:rPr>
              <w:t>①根据《建筑施工场界环境噪声排放标准》</w:t>
            </w:r>
            <w:r>
              <w:rPr>
                <w:rFonts w:hint="eastAsia" w:cs="Times New Roman"/>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GB12523-2011</w:t>
            </w:r>
            <w:r>
              <w:rPr>
                <w:rFonts w:hint="eastAsia" w:cs="Times New Roman"/>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确定工程施工场界，合理科学地布局施工现场，</w:t>
            </w:r>
            <w:r>
              <w:rPr>
                <w:rFonts w:hint="default" w:ascii="Times New Roman" w:hAnsi="Times New Roman" w:cs="Times New Roman"/>
                <w:color w:val="000000"/>
                <w:sz w:val="24"/>
                <w:szCs w:val="24"/>
                <w:highlight w:val="none"/>
              </w:rPr>
              <w:t>施工机械</w:t>
            </w:r>
            <w:r>
              <w:rPr>
                <w:rFonts w:hint="eastAsia" w:cs="Times New Roman"/>
                <w:color w:val="000000"/>
                <w:sz w:val="24"/>
                <w:szCs w:val="24"/>
                <w:highlight w:val="none"/>
                <w:lang w:eastAsia="zh-CN"/>
              </w:rPr>
              <w:t>应</w:t>
            </w:r>
            <w:r>
              <w:rPr>
                <w:rFonts w:hint="default" w:ascii="Times New Roman" w:hAnsi="Times New Roman" w:cs="Times New Roman"/>
                <w:color w:val="000000"/>
                <w:sz w:val="24"/>
                <w:szCs w:val="24"/>
                <w:highlight w:val="none"/>
              </w:rPr>
              <w:t>布置在施工场地内远离周边敏感点</w:t>
            </w:r>
            <w:r>
              <w:rPr>
                <w:rFonts w:hint="eastAsia" w:cs="Times New Roman"/>
                <w:color w:val="000000"/>
                <w:sz w:val="24"/>
                <w:szCs w:val="24"/>
                <w:highlight w:val="none"/>
                <w:lang w:eastAsia="zh-CN"/>
              </w:rPr>
              <w:t>的</w:t>
            </w:r>
            <w:r>
              <w:rPr>
                <w:rFonts w:hint="default" w:ascii="Times New Roman" w:hAnsi="Times New Roman" w:cs="Times New Roman"/>
                <w:color w:val="000000"/>
                <w:sz w:val="24"/>
                <w:szCs w:val="24"/>
                <w:highlight w:val="none"/>
              </w:rPr>
              <w:t>一侧</w:t>
            </w:r>
            <w:r>
              <w:rPr>
                <w:rFonts w:hint="default" w:ascii="Times New Roman" w:hAnsi="Times New Roman" w:eastAsia="宋体" w:cs="Times New Roman"/>
                <w:color w:val="000000"/>
                <w:kern w:val="0"/>
                <w:sz w:val="24"/>
                <w:szCs w:val="24"/>
                <w:highlight w:val="none"/>
                <w:lang w:val="en-US" w:eastAsia="zh-CN" w:bidi="ar"/>
              </w:rPr>
              <w:t>。</w:t>
            </w:r>
          </w:p>
          <w:p w14:paraId="4B15DA42">
            <w:pPr>
              <w:keepNext w:val="0"/>
              <w:keepLines w:val="0"/>
              <w:widowControl/>
              <w:suppressLineNumbers w:val="0"/>
              <w:spacing w:line="360" w:lineRule="auto"/>
              <w:ind w:firstLine="480" w:firstLineChars="200"/>
              <w:jc w:val="left"/>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kern w:val="0"/>
                <w:sz w:val="24"/>
                <w:szCs w:val="24"/>
                <w:highlight w:val="none"/>
                <w:lang w:val="en-US" w:eastAsia="zh-CN" w:bidi="ar"/>
              </w:rPr>
              <w:t>②施工现场设置施工标志，并将施工计划报交通管理部门，以便做好车辆的疏通工作，保证交通的安全、畅通。</w:t>
            </w:r>
          </w:p>
          <w:p w14:paraId="1FA927A9">
            <w:pPr>
              <w:keepNext w:val="0"/>
              <w:keepLines w:val="0"/>
              <w:widowControl/>
              <w:suppressLineNumbers w:val="0"/>
              <w:spacing w:line="360" w:lineRule="auto"/>
              <w:ind w:firstLine="480" w:firstLineChars="200"/>
              <w:jc w:val="left"/>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kern w:val="0"/>
                <w:sz w:val="24"/>
                <w:szCs w:val="24"/>
                <w:highlight w:val="none"/>
                <w:lang w:val="en-US" w:eastAsia="zh-CN" w:bidi="ar"/>
              </w:rPr>
              <w:t>（2）合理安排施工时间</w:t>
            </w:r>
          </w:p>
          <w:p w14:paraId="3753C065">
            <w:pPr>
              <w:keepNext w:val="0"/>
              <w:keepLines w:val="0"/>
              <w:widowControl/>
              <w:suppressLineNumbers w:val="0"/>
              <w:spacing w:line="360" w:lineRule="auto"/>
              <w:ind w:firstLine="480" w:firstLineChars="200"/>
              <w:jc w:val="left"/>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施工单位合理安排施工时间</w:t>
            </w:r>
            <w:r>
              <w:rPr>
                <w:rFonts w:hint="eastAsia" w:cs="Times New Roman"/>
                <w:color w:val="000000"/>
                <w:kern w:val="0"/>
                <w:sz w:val="24"/>
                <w:szCs w:val="24"/>
                <w:highlight w:val="none"/>
                <w:lang w:val="en-US" w:eastAsia="zh-CN" w:bidi="ar"/>
              </w:rPr>
              <w:t>，</w:t>
            </w:r>
            <w:r>
              <w:rPr>
                <w:rFonts w:hint="eastAsia" w:ascii="Times New Roman" w:hAnsi="Times New Roman" w:eastAsia="宋体" w:cs="Times New Roman"/>
                <w:color w:val="000000"/>
                <w:kern w:val="0"/>
                <w:sz w:val="24"/>
                <w:szCs w:val="24"/>
                <w:highlight w:val="none"/>
                <w:lang w:val="en-US" w:eastAsia="zh-CN" w:bidi="ar"/>
              </w:rPr>
              <w:t>合理安排</w:t>
            </w:r>
            <w:r>
              <w:rPr>
                <w:rFonts w:hint="default" w:ascii="Times New Roman" w:hAnsi="Times New Roman" w:eastAsia="宋体" w:cs="Times New Roman"/>
                <w:color w:val="000000"/>
                <w:kern w:val="0"/>
                <w:sz w:val="24"/>
                <w:szCs w:val="24"/>
                <w:highlight w:val="none"/>
                <w:lang w:val="en-US" w:eastAsia="zh-CN" w:bidi="ar"/>
              </w:rPr>
              <w:t>施工时间</w:t>
            </w:r>
            <w:r>
              <w:rPr>
                <w:rFonts w:hint="eastAsia" w:ascii="Times New Roman" w:hAnsi="Times New Roman" w:eastAsia="宋体" w:cs="Times New Roman"/>
                <w:color w:val="000000"/>
                <w:kern w:val="0"/>
                <w:sz w:val="24"/>
                <w:szCs w:val="24"/>
                <w:highlight w:val="none"/>
                <w:lang w:val="en-US" w:eastAsia="zh-CN" w:bidi="ar"/>
              </w:rPr>
              <w:t>，</w:t>
            </w:r>
            <w:r>
              <w:rPr>
                <w:rFonts w:hint="default" w:ascii="Times New Roman" w:hAnsi="Times New Roman" w:cs="Times New Roman"/>
                <w:color w:val="000000"/>
                <w:sz w:val="24"/>
                <w:szCs w:val="24"/>
                <w:highlight w:val="none"/>
              </w:rPr>
              <w:t>按照</w:t>
            </w:r>
            <w:r>
              <w:rPr>
                <w:rFonts w:hint="default" w:ascii="Times New Roman" w:hAnsi="Times New Roman" w:eastAsia="宋体" w:cs="Times New Roman"/>
                <w:color w:val="000000"/>
                <w:kern w:val="0"/>
                <w:sz w:val="24"/>
                <w:szCs w:val="24"/>
                <w:highlight w:val="none"/>
                <w:lang w:val="en-US" w:eastAsia="zh-CN" w:bidi="ar"/>
              </w:rPr>
              <w:t>《建筑施工场界环境噪声排放标准》</w:t>
            </w:r>
            <w:r>
              <w:rPr>
                <w:rFonts w:hint="eastAsia" w:cs="Times New Roman"/>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GB12523-2011</w:t>
            </w:r>
            <w:r>
              <w:rPr>
                <w:rFonts w:hint="eastAsia" w:cs="Times New Roman"/>
                <w:color w:val="000000"/>
                <w:kern w:val="0"/>
                <w:sz w:val="24"/>
                <w:szCs w:val="24"/>
                <w:highlight w:val="none"/>
                <w:lang w:val="en-US" w:eastAsia="zh-CN" w:bidi="ar"/>
              </w:rPr>
              <w:t>）</w:t>
            </w:r>
            <w:r>
              <w:rPr>
                <w:rFonts w:hint="default" w:ascii="Times New Roman" w:hAnsi="Times New Roman" w:cs="Times New Roman"/>
                <w:color w:val="000000"/>
                <w:sz w:val="24"/>
                <w:szCs w:val="24"/>
                <w:highlight w:val="none"/>
              </w:rPr>
              <w:t>要求，严禁夜间施工（夜间22：00～次日06：00）</w:t>
            </w:r>
            <w:r>
              <w:rPr>
                <w:rFonts w:hint="default" w:ascii="Times New Roman" w:hAnsi="Times New Roman" w:eastAsia="宋体" w:cs="Times New Roman"/>
                <w:color w:val="000000"/>
                <w:kern w:val="0"/>
                <w:sz w:val="24"/>
                <w:szCs w:val="24"/>
                <w:highlight w:val="none"/>
                <w:lang w:val="en-US" w:eastAsia="zh-CN" w:bidi="ar"/>
              </w:rPr>
              <w:t>。</w:t>
            </w:r>
          </w:p>
          <w:p w14:paraId="4F20D968">
            <w:pPr>
              <w:keepNext w:val="0"/>
              <w:keepLines w:val="0"/>
              <w:widowControl/>
              <w:suppressLineNumbers w:val="0"/>
              <w:spacing w:line="360" w:lineRule="auto"/>
              <w:ind w:firstLine="480" w:firstLineChars="200"/>
              <w:jc w:val="left"/>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kern w:val="0"/>
                <w:sz w:val="24"/>
                <w:szCs w:val="24"/>
                <w:highlight w:val="none"/>
                <w:lang w:val="en-US" w:eastAsia="zh-CN" w:bidi="ar"/>
              </w:rPr>
              <w:t>减少施工交通噪声，施工期间运输车辆均为大型重车，限制大型载重车的车速，运输路线安排上应尽量</w:t>
            </w:r>
            <w:r>
              <w:rPr>
                <w:rFonts w:hint="eastAsia" w:cs="Times New Roman"/>
                <w:color w:val="000000"/>
                <w:kern w:val="0"/>
                <w:sz w:val="24"/>
                <w:szCs w:val="24"/>
                <w:highlight w:val="none"/>
                <w:lang w:val="en-US" w:eastAsia="zh-CN" w:bidi="ar"/>
              </w:rPr>
              <w:t>避开</w:t>
            </w:r>
            <w:r>
              <w:rPr>
                <w:rFonts w:hint="default" w:ascii="Times New Roman" w:hAnsi="Times New Roman" w:eastAsia="宋体" w:cs="Times New Roman"/>
                <w:color w:val="000000"/>
                <w:kern w:val="0"/>
                <w:sz w:val="24"/>
                <w:szCs w:val="24"/>
                <w:highlight w:val="none"/>
                <w:lang w:val="en-US" w:eastAsia="zh-CN" w:bidi="ar"/>
              </w:rPr>
              <w:t>环境敏感目标。</w:t>
            </w:r>
          </w:p>
          <w:p w14:paraId="0E4A0C10">
            <w:pPr>
              <w:keepNext w:val="0"/>
              <w:keepLines w:val="0"/>
              <w:widowControl/>
              <w:suppressLineNumbers w:val="0"/>
              <w:spacing w:line="360" w:lineRule="auto"/>
              <w:ind w:firstLine="480" w:firstLineChars="200"/>
              <w:jc w:val="left"/>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kern w:val="0"/>
                <w:sz w:val="24"/>
                <w:szCs w:val="24"/>
                <w:highlight w:val="none"/>
                <w:lang w:val="en-US" w:eastAsia="zh-CN" w:bidi="ar"/>
              </w:rPr>
              <w:t>（3）采取噪声控制措施</w:t>
            </w:r>
          </w:p>
          <w:p w14:paraId="225D9B16">
            <w:pPr>
              <w:keepNext w:val="0"/>
              <w:keepLines w:val="0"/>
              <w:widowControl/>
              <w:suppressLineNumbers w:val="0"/>
              <w:spacing w:line="360" w:lineRule="auto"/>
              <w:ind w:firstLine="480" w:firstLineChars="200"/>
              <w:jc w:val="left"/>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kern w:val="0"/>
                <w:sz w:val="24"/>
                <w:szCs w:val="24"/>
                <w:highlight w:val="none"/>
                <w:lang w:val="en-US" w:eastAsia="zh-CN" w:bidi="ar"/>
              </w:rPr>
              <w:t>施工单位应尽量选用低噪声、低振动的施工机械设备和带有消声、隔音的附属设备，减少对周围声环境的影响。加强施工机械的保养维护，使其处于良好</w:t>
            </w:r>
            <w:r>
              <w:rPr>
                <w:rFonts w:hint="eastAsia" w:cs="Times New Roman"/>
                <w:color w:val="000000"/>
                <w:kern w:val="0"/>
                <w:sz w:val="24"/>
                <w:szCs w:val="24"/>
                <w:highlight w:val="none"/>
                <w:lang w:val="en-US" w:eastAsia="zh-CN" w:bidi="ar"/>
              </w:rPr>
              <w:t>的</w:t>
            </w:r>
            <w:r>
              <w:rPr>
                <w:rFonts w:hint="default" w:ascii="Times New Roman" w:hAnsi="Times New Roman" w:eastAsia="宋体" w:cs="Times New Roman"/>
                <w:color w:val="000000"/>
                <w:kern w:val="0"/>
                <w:sz w:val="24"/>
                <w:szCs w:val="24"/>
                <w:highlight w:val="none"/>
                <w:lang w:val="en-US" w:eastAsia="zh-CN" w:bidi="ar"/>
              </w:rPr>
              <w:t>运行状态。做好宣传工作，倡导科学管理和文明施工。</w:t>
            </w:r>
          </w:p>
          <w:p w14:paraId="68194069">
            <w:pPr>
              <w:pStyle w:val="11"/>
              <w:bidi w:val="0"/>
              <w:spacing w:line="360" w:lineRule="auto"/>
              <w:ind w:firstLine="480" w:firstLineChars="200"/>
              <w:rPr>
                <w:rFonts w:hint="default" w:ascii="Times New Roman" w:hAnsi="Times New Roman" w:eastAsia="宋体" w:cs="Times New Roman"/>
                <w:highlight w:val="none"/>
                <w:lang w:eastAsia="zh-CN"/>
              </w:rPr>
            </w:pPr>
            <w:r>
              <w:rPr>
                <w:rFonts w:hint="default" w:ascii="Times New Roman" w:hAnsi="Times New Roman" w:eastAsia="宋体" w:cs="Times New Roman"/>
                <w:color w:val="000000"/>
                <w:sz w:val="24"/>
                <w:szCs w:val="24"/>
                <w:highlight w:val="none"/>
                <w:lang w:val="en-US" w:eastAsia="zh-CN"/>
              </w:rPr>
              <w:t>通过以上控制措施，建筑施工过程中场界环境噪声不得超过《建筑施工场界环境噪声排放标准》</w:t>
            </w:r>
            <w:r>
              <w:rPr>
                <w:rFonts w:hint="eastAsia" w:ascii="Times New Roman" w:hAnsi="Times New Roman"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lang w:val="en-US" w:eastAsia="zh-CN"/>
              </w:rPr>
              <w:t>GB12523-2011</w:t>
            </w:r>
            <w:r>
              <w:rPr>
                <w:rFonts w:hint="eastAsia" w:ascii="Times New Roman" w:hAnsi="Times New Roman"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lang w:val="en-US" w:eastAsia="zh-CN"/>
              </w:rPr>
              <w:t>中的标准要求</w:t>
            </w:r>
            <w:r>
              <w:rPr>
                <w:rFonts w:hint="eastAsia" w:ascii="Times New Roman" w:hAnsi="Times New Roman" w:eastAsia="宋体" w:cs="Times New Roman"/>
                <w:color w:val="000000"/>
                <w:sz w:val="24"/>
                <w:szCs w:val="24"/>
                <w:highlight w:val="none"/>
                <w:lang w:val="en-US" w:eastAsia="zh-CN"/>
              </w:rPr>
              <w:t>。</w:t>
            </w:r>
            <w:r>
              <w:rPr>
                <w:rFonts w:hint="default" w:ascii="Times New Roman" w:hAnsi="Times New Roman" w:eastAsia="宋体" w:cs="Times New Roman"/>
                <w:color w:val="000000"/>
                <w:kern w:val="0"/>
                <w:sz w:val="24"/>
                <w:szCs w:val="24"/>
                <w:highlight w:val="none"/>
                <w:lang w:val="en-US" w:eastAsia="zh-CN" w:bidi="ar"/>
              </w:rPr>
              <w:t>施工期属于短期行为，总体上存在无规则、强度大、暂时性等特点。加强施工期间的施工组织和施工管理，合理安排施工进度和时间，环保施工、文明施工</w:t>
            </w:r>
            <w:r>
              <w:rPr>
                <w:rFonts w:hint="eastAsia" w:ascii="Times New Roman" w:hAnsi="Times New Roman" w:cs="Times New Roman"/>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快速施工，并因地制宜地制定有效的临时降噪措施，不会对声环境产生明显影响。</w:t>
            </w:r>
          </w:p>
          <w:p w14:paraId="5A144338">
            <w:pPr>
              <w:pStyle w:val="13"/>
              <w:spacing w:after="0" w:line="360" w:lineRule="auto"/>
              <w:ind w:left="0" w:leftChars="0"/>
              <w:rPr>
                <w:b/>
                <w:bCs/>
                <w:sz w:val="24"/>
                <w:szCs w:val="32"/>
                <w:highlight w:val="none"/>
                <w:lang w:val="en-US"/>
              </w:rPr>
            </w:pPr>
            <w:r>
              <w:rPr>
                <w:rFonts w:hint="eastAsia"/>
                <w:b/>
                <w:bCs/>
                <w:sz w:val="24"/>
                <w:szCs w:val="32"/>
                <w:highlight w:val="none"/>
                <w:lang w:val="en-US"/>
              </w:rPr>
              <w:t>4</w:t>
            </w:r>
            <w:r>
              <w:rPr>
                <w:rFonts w:hint="eastAsia"/>
                <w:b/>
                <w:bCs/>
                <w:sz w:val="24"/>
                <w:szCs w:val="32"/>
                <w:highlight w:val="none"/>
                <w:lang w:val="en-US" w:eastAsia="zh-CN"/>
              </w:rPr>
              <w:t>.</w:t>
            </w:r>
            <w:r>
              <w:rPr>
                <w:rFonts w:hint="eastAsia"/>
                <w:b/>
                <w:bCs/>
                <w:sz w:val="24"/>
                <w:szCs w:val="32"/>
                <w:highlight w:val="none"/>
                <w:lang w:val="en-US"/>
              </w:rPr>
              <w:t>固体废物影响分析</w:t>
            </w:r>
          </w:p>
          <w:p w14:paraId="0F852EB1">
            <w:pPr>
              <w:pStyle w:val="13"/>
              <w:spacing w:after="0" w:line="360" w:lineRule="auto"/>
              <w:ind w:left="0" w:leftChars="0" w:firstLine="480" w:firstLineChars="200"/>
              <w:rPr>
                <w:rFonts w:hint="eastAsia"/>
                <w:sz w:val="24"/>
                <w:szCs w:val="32"/>
                <w:highlight w:val="none"/>
              </w:rPr>
            </w:pPr>
            <w:r>
              <w:rPr>
                <w:rFonts w:hint="eastAsia"/>
                <w:sz w:val="24"/>
                <w:szCs w:val="32"/>
                <w:highlight w:val="none"/>
              </w:rPr>
              <w:t>施工期产生的固体废物主要为施工废料、废油漆桶及生活垃圾。施工废料</w:t>
            </w:r>
            <w:r>
              <w:rPr>
                <w:rFonts w:hint="eastAsia"/>
                <w:sz w:val="24"/>
                <w:szCs w:val="32"/>
                <w:highlight w:val="none"/>
                <w:lang w:val="en-US" w:eastAsia="zh-CN"/>
              </w:rPr>
              <w:t>共计0.5t，</w:t>
            </w:r>
            <w:r>
              <w:rPr>
                <w:rFonts w:hint="eastAsia"/>
                <w:sz w:val="24"/>
                <w:szCs w:val="32"/>
                <w:highlight w:val="none"/>
              </w:rPr>
              <w:t>均由回收利用单位进行回收利用；废油漆桶</w:t>
            </w:r>
            <w:r>
              <w:rPr>
                <w:rFonts w:hint="eastAsia"/>
                <w:sz w:val="24"/>
                <w:szCs w:val="32"/>
                <w:highlight w:val="none"/>
                <w:lang w:val="en-US" w:eastAsia="zh-CN"/>
              </w:rPr>
              <w:t>产生量为5kg。</w:t>
            </w:r>
            <w:r>
              <w:rPr>
                <w:rFonts w:hint="eastAsia"/>
                <w:sz w:val="24"/>
                <w:szCs w:val="32"/>
                <w:highlight w:val="none"/>
                <w:lang w:val="en-US"/>
              </w:rPr>
              <w:t>暂存</w:t>
            </w:r>
            <w:r>
              <w:rPr>
                <w:rFonts w:hint="eastAsia"/>
                <w:sz w:val="24"/>
                <w:szCs w:val="32"/>
                <w:highlight w:val="none"/>
                <w:lang w:val="en-US" w:eastAsia="zh-CN"/>
              </w:rPr>
              <w:t>在伊泰化工厂区</w:t>
            </w:r>
            <w:r>
              <w:rPr>
                <w:rFonts w:hint="eastAsia"/>
                <w:sz w:val="24"/>
                <w:szCs w:val="32"/>
                <w:highlight w:val="none"/>
                <w:lang w:val="en-US"/>
              </w:rPr>
              <w:t>危废间后</w:t>
            </w:r>
            <w:r>
              <w:rPr>
                <w:rFonts w:hint="eastAsia"/>
                <w:sz w:val="24"/>
                <w:szCs w:val="32"/>
                <w:highlight w:val="none"/>
              </w:rPr>
              <w:t>委托有资质的单位处置；施工期生活垃圾经收集后，交由当地环卫部门处置。</w:t>
            </w:r>
          </w:p>
          <w:p w14:paraId="51EDBD76">
            <w:pPr>
              <w:pStyle w:val="13"/>
              <w:spacing w:after="0" w:line="360" w:lineRule="auto"/>
              <w:ind w:left="0" w:leftChars="0" w:firstLine="480" w:firstLineChars="200"/>
              <w:rPr>
                <w:rFonts w:hint="eastAsia"/>
                <w:highlight w:val="none"/>
              </w:rPr>
            </w:pPr>
            <w:r>
              <w:rPr>
                <w:rFonts w:hint="eastAsia"/>
                <w:sz w:val="24"/>
                <w:szCs w:val="32"/>
                <w:highlight w:val="none"/>
              </w:rPr>
              <w:t>施工期产生的各类固废均能有效处置，基本不会对周边环境造成影响。</w:t>
            </w:r>
          </w:p>
          <w:p w14:paraId="0C7E3F52">
            <w:pPr>
              <w:spacing w:line="360" w:lineRule="auto"/>
              <w:rPr>
                <w:rFonts w:hint="eastAsia"/>
                <w:b/>
                <w:bCs/>
                <w:sz w:val="24"/>
                <w:szCs w:val="32"/>
                <w:highlight w:val="none"/>
              </w:rPr>
            </w:pPr>
            <w:r>
              <w:rPr>
                <w:rFonts w:hint="eastAsia"/>
                <w:b/>
                <w:bCs/>
                <w:sz w:val="24"/>
                <w:szCs w:val="32"/>
                <w:highlight w:val="none"/>
              </w:rPr>
              <w:t>5</w:t>
            </w:r>
            <w:r>
              <w:rPr>
                <w:rFonts w:hint="eastAsia"/>
                <w:b/>
                <w:bCs/>
                <w:sz w:val="24"/>
                <w:szCs w:val="32"/>
                <w:highlight w:val="none"/>
                <w:lang w:val="en-US" w:eastAsia="zh-CN"/>
              </w:rPr>
              <w:t>.</w:t>
            </w:r>
            <w:r>
              <w:rPr>
                <w:rFonts w:hint="eastAsia"/>
                <w:b/>
                <w:bCs/>
                <w:sz w:val="24"/>
                <w:szCs w:val="32"/>
                <w:highlight w:val="none"/>
              </w:rPr>
              <w:t>生态环境影响分析</w:t>
            </w:r>
          </w:p>
          <w:p w14:paraId="4CD465D3">
            <w:pPr>
              <w:spacing w:line="360" w:lineRule="auto"/>
              <w:ind w:firstLine="480" w:firstLineChars="200"/>
              <w:rPr>
                <w:rFonts w:hint="eastAsia"/>
                <w:sz w:val="24"/>
                <w:szCs w:val="32"/>
                <w:highlight w:val="none"/>
              </w:rPr>
            </w:pPr>
            <w:r>
              <w:rPr>
                <w:rFonts w:hint="eastAsia" w:ascii="Times New Roman" w:hAnsi="Times New Roman" w:eastAsia="宋体" w:cs="Times New Roman"/>
                <w:snapToGrid w:val="0"/>
                <w:sz w:val="24"/>
                <w:szCs w:val="24"/>
                <w:highlight w:val="none"/>
                <w:lang w:val="en-US" w:eastAsia="zh-CN"/>
              </w:rPr>
              <w:t>本项目为伊泰化工在原有联博管廊的基础上</w:t>
            </w:r>
            <w:r>
              <w:rPr>
                <w:rFonts w:hint="eastAsia" w:ascii="Times New Roman" w:hAnsi="Times New Roman" w:eastAsia="宋体" w:cs="Times New Roman"/>
                <w:sz w:val="24"/>
                <w:szCs w:val="24"/>
                <w:highlight w:val="none"/>
                <w:lang w:val="en-US" w:eastAsia="zh-CN"/>
              </w:rPr>
              <w:t>通过加固、加两层的方式，将23条物料管线布置在改造后的联博管廊，属于</w:t>
            </w:r>
            <w:r>
              <w:rPr>
                <w:rFonts w:hint="eastAsia" w:ascii="Times New Roman" w:hAnsi="Times New Roman" w:cs="Times New Roman"/>
                <w:sz w:val="24"/>
                <w:szCs w:val="24"/>
                <w:highlight w:val="none"/>
                <w:lang w:val="en-US" w:eastAsia="zh-CN"/>
              </w:rPr>
              <w:t>物</w:t>
            </w:r>
            <w:r>
              <w:rPr>
                <w:rFonts w:hint="eastAsia" w:ascii="Times New Roman" w:hAnsi="Times New Roman" w:eastAsia="宋体" w:cs="Times New Roman"/>
                <w:sz w:val="24"/>
                <w:szCs w:val="24"/>
                <w:highlight w:val="none"/>
                <w:lang w:val="en-US" w:eastAsia="zh-CN"/>
              </w:rPr>
              <w:t>料输送管线及管廊建设，</w:t>
            </w:r>
            <w:r>
              <w:rPr>
                <w:rFonts w:hint="eastAsia" w:ascii="Times New Roman" w:hAnsi="Times New Roman" w:cs="Times New Roman"/>
                <w:sz w:val="24"/>
                <w:szCs w:val="24"/>
                <w:highlight w:val="none"/>
                <w:lang w:val="en-US" w:eastAsia="zh-CN"/>
              </w:rPr>
              <w:t>本项目的建设不对主体工程</w:t>
            </w:r>
            <w:r>
              <w:rPr>
                <w:rFonts w:hint="eastAsia" w:ascii="Times New Roman" w:hAnsi="Times New Roman" w:eastAsia="宋体" w:cs="Times New Roman"/>
                <w:snapToGrid w:val="0"/>
                <w:sz w:val="24"/>
                <w:szCs w:val="24"/>
                <w:highlight w:val="none"/>
                <w:lang w:val="en-US" w:eastAsia="zh-CN"/>
              </w:rPr>
              <w:t>进行技改，项目选址</w:t>
            </w:r>
            <w:r>
              <w:rPr>
                <w:rFonts w:hint="eastAsia" w:ascii="Times New Roman" w:hAnsi="Times New Roman" w:eastAsia="宋体" w:cs="Times New Roman"/>
                <w:sz w:val="24"/>
                <w:szCs w:val="32"/>
                <w:highlight w:val="none"/>
                <w:lang w:val="en-US" w:eastAsia="zh-CN"/>
              </w:rPr>
              <w:t>位于伊泰化工厂区内</w:t>
            </w:r>
            <w:r>
              <w:rPr>
                <w:rFonts w:hint="eastAsia" w:cs="Times New Roman"/>
                <w:sz w:val="24"/>
                <w:szCs w:val="32"/>
                <w:highlight w:val="none"/>
                <w:lang w:val="en-US" w:eastAsia="zh-CN"/>
              </w:rPr>
              <w:t>及厂界外空地</w:t>
            </w:r>
            <w:r>
              <w:rPr>
                <w:rFonts w:hint="eastAsia" w:ascii="Times New Roman" w:hAnsi="Times New Roman" w:eastAsia="宋体" w:cs="Times New Roman"/>
                <w:sz w:val="24"/>
                <w:szCs w:val="32"/>
                <w:highlight w:val="none"/>
                <w:lang w:val="en-US" w:eastAsia="zh-CN"/>
              </w:rPr>
              <w:t>，紧挨鹏泰生物</w:t>
            </w:r>
            <w:r>
              <w:rPr>
                <w:rFonts w:hint="eastAsia"/>
                <w:sz w:val="24"/>
                <w:szCs w:val="32"/>
                <w:highlight w:val="none"/>
              </w:rPr>
              <w:t>。</w:t>
            </w:r>
          </w:p>
          <w:p w14:paraId="10980331">
            <w:pPr>
              <w:spacing w:line="360" w:lineRule="auto"/>
              <w:ind w:firstLine="480" w:firstLineChars="200"/>
              <w:rPr>
                <w:rFonts w:ascii="宋体" w:hAnsi="宋体" w:cs="宋体"/>
                <w:bCs/>
                <w:color w:val="0000FF"/>
                <w:szCs w:val="21"/>
                <w:highlight w:val="none"/>
              </w:rPr>
            </w:pPr>
            <w:r>
              <w:rPr>
                <w:rFonts w:hint="eastAsia"/>
                <w:sz w:val="24"/>
                <w:szCs w:val="32"/>
                <w:highlight w:val="none"/>
              </w:rPr>
              <w:t>施工期结束后，除支架基础外，将拆除施工现场其</w:t>
            </w:r>
            <w:r>
              <w:rPr>
                <w:rFonts w:hint="eastAsia"/>
                <w:sz w:val="24"/>
                <w:szCs w:val="32"/>
                <w:highlight w:val="none"/>
                <w:lang w:eastAsia="zh-CN"/>
              </w:rPr>
              <w:t>他建筑物</w:t>
            </w:r>
            <w:r>
              <w:rPr>
                <w:rFonts w:hint="eastAsia"/>
                <w:sz w:val="24"/>
                <w:szCs w:val="32"/>
                <w:highlight w:val="none"/>
              </w:rPr>
              <w:t>并恢复</w:t>
            </w:r>
            <w:r>
              <w:rPr>
                <w:rFonts w:hint="eastAsia"/>
                <w:sz w:val="24"/>
                <w:szCs w:val="32"/>
                <w:highlight w:val="none"/>
                <w:lang w:val="en-US" w:eastAsia="zh-CN"/>
              </w:rPr>
              <w:t>厂区原有状态</w:t>
            </w:r>
            <w:r>
              <w:rPr>
                <w:rFonts w:hint="eastAsia"/>
                <w:sz w:val="24"/>
                <w:szCs w:val="32"/>
                <w:highlight w:val="none"/>
              </w:rPr>
              <w:t>。</w:t>
            </w:r>
            <w:r>
              <w:rPr>
                <w:rFonts w:hint="eastAsia"/>
                <w:sz w:val="24"/>
                <w:szCs w:val="32"/>
                <w:highlight w:val="none"/>
                <w:lang w:val="en-US" w:eastAsia="zh-CN"/>
              </w:rPr>
              <w:t>项目</w:t>
            </w:r>
            <w:r>
              <w:rPr>
                <w:rFonts w:hint="eastAsia" w:cs="Times New Roman"/>
                <w:bCs/>
                <w:sz w:val="24"/>
                <w:highlight w:val="none"/>
                <w:lang w:val="en-US" w:eastAsia="zh-CN"/>
              </w:rPr>
              <w:t>黄河水管线</w:t>
            </w:r>
            <w:r>
              <w:rPr>
                <w:rFonts w:hint="eastAsia" w:ascii="Times New Roman" w:hAnsi="Times New Roman" w:eastAsia="宋体" w:cs="Times New Roman"/>
                <w:bCs/>
                <w:sz w:val="24"/>
                <w:highlight w:val="none"/>
                <w:lang w:val="en-US" w:eastAsia="zh-CN"/>
              </w:rPr>
              <w:t>接至已有埋地管道</w:t>
            </w:r>
            <w:r>
              <w:rPr>
                <w:rFonts w:hint="eastAsia" w:cs="Times New Roman"/>
                <w:bCs/>
                <w:sz w:val="24"/>
                <w:highlight w:val="none"/>
                <w:lang w:val="en-US" w:eastAsia="zh-CN"/>
              </w:rPr>
              <w:t>预留接口</w:t>
            </w:r>
            <w:r>
              <w:rPr>
                <w:rFonts w:hint="eastAsia" w:ascii="Times New Roman" w:hAnsi="Times New Roman" w:eastAsia="宋体" w:cs="Times New Roman"/>
                <w:bCs/>
                <w:sz w:val="24"/>
                <w:highlight w:val="none"/>
                <w:lang w:val="en-US" w:eastAsia="zh-CN"/>
              </w:rPr>
              <w:t>，</w:t>
            </w:r>
            <w:r>
              <w:rPr>
                <w:rFonts w:hint="eastAsia" w:cs="Times New Roman"/>
                <w:bCs/>
                <w:sz w:val="24"/>
                <w:highlight w:val="none"/>
                <w:lang w:val="en-US" w:eastAsia="zh-CN"/>
              </w:rPr>
              <w:t>管线整体采用架空敷设，管线从</w:t>
            </w:r>
            <w:r>
              <w:rPr>
                <w:rFonts w:hint="eastAsia" w:ascii="Times New Roman" w:hAnsi="Times New Roman" w:eastAsia="宋体" w:cs="Times New Roman"/>
                <w:bCs/>
                <w:sz w:val="24"/>
                <w:highlight w:val="none"/>
                <w:lang w:val="en-US" w:eastAsia="zh-CN"/>
              </w:rPr>
              <w:t>支墩上</w:t>
            </w:r>
            <w:r>
              <w:rPr>
                <w:rFonts w:hint="default" w:ascii="Times New Roman" w:hAnsi="Times New Roman" w:eastAsia="宋体" w:cs="Times New Roman"/>
                <w:bCs/>
                <w:sz w:val="24"/>
                <w:highlight w:val="none"/>
                <w:lang w:val="en-US" w:eastAsia="zh-CN"/>
              </w:rPr>
              <w:t>引入伊泰化工</w:t>
            </w:r>
            <w:r>
              <w:rPr>
                <w:rFonts w:hint="eastAsia" w:ascii="Times New Roman" w:hAnsi="Times New Roman" w:eastAsia="宋体" w:cs="Times New Roman"/>
                <w:bCs/>
                <w:sz w:val="24"/>
                <w:highlight w:val="none"/>
                <w:lang w:val="en-US" w:eastAsia="zh-CN"/>
              </w:rPr>
              <w:t>联博</w:t>
            </w:r>
            <w:r>
              <w:rPr>
                <w:rFonts w:hint="default" w:ascii="Times New Roman" w:hAnsi="Times New Roman" w:eastAsia="宋体" w:cs="Times New Roman"/>
                <w:bCs/>
                <w:sz w:val="24"/>
                <w:highlight w:val="none"/>
                <w:lang w:val="en-US" w:eastAsia="zh-CN"/>
              </w:rPr>
              <w:t>管廊</w:t>
            </w:r>
            <w:r>
              <w:rPr>
                <w:rFonts w:hint="eastAsia" w:ascii="Times New Roman" w:hAnsi="Times New Roman" w:eastAsia="宋体" w:cs="Times New Roman"/>
                <w:bCs/>
                <w:sz w:val="24"/>
                <w:highlight w:val="none"/>
                <w:lang w:val="en-US" w:eastAsia="zh-CN"/>
              </w:rPr>
              <w:t>不涉及土方工程。</w:t>
            </w:r>
            <w:r>
              <w:rPr>
                <w:rFonts w:hint="eastAsia" w:cs="Times New Roman"/>
                <w:sz w:val="24"/>
                <w:highlight w:val="none"/>
                <w:lang w:val="en-US" w:eastAsia="zh-CN"/>
              </w:rPr>
              <w:t>本项目WRT甲烷气、清净废水管道位于厂区外均采用架空敷设。管道跨越厂区之间的天然牧草地，</w:t>
            </w:r>
            <w:r>
              <w:rPr>
                <w:rFonts w:ascii="Segoe UI" w:hAnsi="Segoe UI" w:eastAsia="Segoe UI" w:cs="Segoe UI"/>
                <w:i w:val="0"/>
                <w:iCs w:val="0"/>
                <w:caps w:val="0"/>
                <w:color w:val="0F1115"/>
                <w:spacing w:val="0"/>
                <w:sz w:val="24"/>
                <w:szCs w:val="24"/>
                <w:highlight w:val="none"/>
                <w:shd w:val="clear" w:fill="FFFFFF"/>
              </w:rPr>
              <w:t>施工过程中如对牧草造成局部损伤，应在施工结束后及时采取植被恢复措施，必要时进行草籽补播，促进植被自然恢复。</w:t>
            </w:r>
            <w:r>
              <w:rPr>
                <w:rFonts w:hint="eastAsia"/>
                <w:sz w:val="24"/>
                <w:szCs w:val="32"/>
                <w:highlight w:val="none"/>
              </w:rPr>
              <w:t>由于本项目支架基础占地面积在整体区域范围内较小，因此项目不会对区域整体土地利用的性质产生明显影响。</w:t>
            </w:r>
          </w:p>
        </w:tc>
      </w:tr>
      <w:tr w14:paraId="4015FA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456" w:type="dxa"/>
            <w:noWrap w:val="0"/>
            <w:tcMar>
              <w:left w:w="28" w:type="dxa"/>
              <w:right w:w="28" w:type="dxa"/>
            </w:tcMar>
            <w:vAlign w:val="center"/>
          </w:tcPr>
          <w:p w14:paraId="51466E3D">
            <w:pPr>
              <w:pStyle w:val="18"/>
              <w:adjustRightInd w:val="0"/>
              <w:snapToGrid w:val="0"/>
              <w:spacing w:before="0" w:beforeAutospacing="0" w:after="0" w:afterAutospacing="0"/>
              <w:jc w:val="center"/>
              <w:rPr>
                <w:rFonts w:cs="宋体"/>
                <w:bCs/>
                <w:kern w:val="2"/>
                <w:sz w:val="21"/>
                <w:szCs w:val="21"/>
                <w:highlight w:val="none"/>
              </w:rPr>
            </w:pPr>
            <w:r>
              <w:rPr>
                <w:rFonts w:hint="eastAsia" w:cs="宋体"/>
                <w:bCs/>
                <w:spacing w:val="10"/>
                <w:kern w:val="2"/>
                <w:highlight w:val="none"/>
              </w:rPr>
              <w:t>运营期生态环境影响分析</w:t>
            </w:r>
          </w:p>
        </w:tc>
        <w:tc>
          <w:tcPr>
            <w:tcW w:w="8408" w:type="dxa"/>
            <w:noWrap w:val="0"/>
            <w:vAlign w:val="center"/>
          </w:tcPr>
          <w:p w14:paraId="47BB7CE5">
            <w:pPr>
              <w:pStyle w:val="13"/>
              <w:spacing w:after="0" w:line="360" w:lineRule="auto"/>
              <w:ind w:left="0" w:leftChars="0"/>
              <w:rPr>
                <w:b/>
                <w:bCs/>
                <w:sz w:val="24"/>
                <w:szCs w:val="32"/>
                <w:highlight w:val="none"/>
                <w:lang w:val="en-US"/>
              </w:rPr>
            </w:pPr>
            <w:r>
              <w:rPr>
                <w:rFonts w:hint="eastAsia"/>
                <w:b/>
                <w:bCs/>
                <w:sz w:val="24"/>
                <w:szCs w:val="32"/>
                <w:highlight w:val="none"/>
                <w:lang w:val="en-US" w:eastAsia="zh-CN"/>
              </w:rPr>
              <w:t>1.大气环境</w:t>
            </w:r>
            <w:r>
              <w:rPr>
                <w:rFonts w:hint="eastAsia"/>
                <w:b/>
                <w:bCs/>
                <w:sz w:val="24"/>
                <w:szCs w:val="32"/>
                <w:highlight w:val="none"/>
                <w:lang w:val="en-US"/>
              </w:rPr>
              <w:t>影响分析</w:t>
            </w:r>
          </w:p>
          <w:p w14:paraId="3A422F0E">
            <w:pPr>
              <w:spacing w:line="360" w:lineRule="auto"/>
              <w:ind w:firstLine="480" w:firstLineChars="200"/>
              <w:rPr>
                <w:rFonts w:hint="eastAsia" w:eastAsia="宋体"/>
                <w:sz w:val="24"/>
                <w:szCs w:val="32"/>
                <w:highlight w:val="none"/>
                <w:lang w:val="en-US" w:eastAsia="zh-CN"/>
              </w:rPr>
            </w:pPr>
            <w:r>
              <w:rPr>
                <w:rFonts w:hint="eastAsia"/>
                <w:sz w:val="24"/>
                <w:szCs w:val="32"/>
                <w:highlight w:val="none"/>
              </w:rPr>
              <w:t>项目正常运营后，</w:t>
            </w:r>
            <w:r>
              <w:rPr>
                <w:rFonts w:hint="eastAsia"/>
                <w:sz w:val="24"/>
                <w:szCs w:val="32"/>
                <w:highlight w:val="none"/>
                <w:lang w:val="en-US" w:eastAsia="zh-CN"/>
              </w:rPr>
              <w:t>正常工况下</w:t>
            </w:r>
            <w:r>
              <w:rPr>
                <w:rFonts w:hint="eastAsia"/>
                <w:sz w:val="24"/>
                <w:szCs w:val="32"/>
                <w:highlight w:val="none"/>
              </w:rPr>
              <w:t>不会产生废气。</w:t>
            </w:r>
          </w:p>
          <w:p w14:paraId="7B738F91">
            <w:pPr>
              <w:pStyle w:val="13"/>
              <w:spacing w:after="0" w:line="360" w:lineRule="auto"/>
              <w:ind w:left="0" w:leftChars="0"/>
              <w:rPr>
                <w:b/>
                <w:bCs/>
                <w:sz w:val="24"/>
                <w:szCs w:val="32"/>
                <w:highlight w:val="none"/>
                <w:lang w:val="en-US"/>
              </w:rPr>
            </w:pPr>
            <w:r>
              <w:rPr>
                <w:rFonts w:hint="eastAsia"/>
                <w:b/>
                <w:bCs/>
                <w:sz w:val="24"/>
                <w:szCs w:val="32"/>
                <w:highlight w:val="none"/>
                <w:lang w:val="en-US" w:eastAsia="zh-CN"/>
              </w:rPr>
              <w:t>2.水环境</w:t>
            </w:r>
            <w:r>
              <w:rPr>
                <w:rFonts w:hint="eastAsia"/>
                <w:b/>
                <w:bCs/>
                <w:sz w:val="24"/>
                <w:szCs w:val="32"/>
                <w:highlight w:val="none"/>
                <w:lang w:val="en-US"/>
              </w:rPr>
              <w:t>影响分析</w:t>
            </w:r>
          </w:p>
          <w:p w14:paraId="7C1F7BD6">
            <w:pPr>
              <w:spacing w:line="360" w:lineRule="auto"/>
              <w:ind w:firstLine="480" w:firstLineChars="200"/>
              <w:rPr>
                <w:rFonts w:hint="eastAsia"/>
                <w:sz w:val="24"/>
                <w:szCs w:val="32"/>
                <w:highlight w:val="none"/>
              </w:rPr>
            </w:pPr>
            <w:r>
              <w:rPr>
                <w:rFonts w:hint="eastAsia"/>
                <w:sz w:val="24"/>
                <w:szCs w:val="32"/>
                <w:highlight w:val="none"/>
              </w:rPr>
              <w:t>项目运营后，</w:t>
            </w:r>
            <w:r>
              <w:rPr>
                <w:rFonts w:hint="eastAsia"/>
                <w:sz w:val="24"/>
                <w:szCs w:val="32"/>
                <w:highlight w:val="none"/>
                <w:lang w:val="en-US" w:eastAsia="zh-CN"/>
              </w:rPr>
              <w:t>正常工况下</w:t>
            </w:r>
            <w:r>
              <w:rPr>
                <w:rFonts w:hint="eastAsia"/>
                <w:sz w:val="24"/>
                <w:szCs w:val="32"/>
                <w:highlight w:val="none"/>
              </w:rPr>
              <w:t>不会产生废</w:t>
            </w:r>
            <w:r>
              <w:rPr>
                <w:rFonts w:hint="eastAsia"/>
                <w:sz w:val="24"/>
                <w:szCs w:val="32"/>
                <w:highlight w:val="none"/>
                <w:lang w:val="en-US" w:eastAsia="zh-CN"/>
              </w:rPr>
              <w:t>水</w:t>
            </w:r>
            <w:r>
              <w:rPr>
                <w:rFonts w:hint="eastAsia"/>
                <w:sz w:val="24"/>
                <w:szCs w:val="32"/>
                <w:highlight w:val="none"/>
              </w:rPr>
              <w:t>。</w:t>
            </w:r>
          </w:p>
          <w:p w14:paraId="0A057AFE">
            <w:pPr>
              <w:spacing w:line="360" w:lineRule="auto"/>
              <w:ind w:firstLine="476" w:firstLineChars="200"/>
              <w:rPr>
                <w:rFonts w:hint="eastAsia"/>
                <w:color w:val="000000"/>
                <w:spacing w:val="-1"/>
                <w:sz w:val="24"/>
                <w:szCs w:val="24"/>
                <w:highlight w:val="none"/>
                <w:lang w:val="en-US" w:eastAsia="zh-CN"/>
              </w:rPr>
            </w:pPr>
            <w:r>
              <w:rPr>
                <w:color w:val="000000"/>
                <w:spacing w:val="-1"/>
                <w:sz w:val="24"/>
                <w:szCs w:val="24"/>
                <w:highlight w:val="none"/>
              </w:rPr>
              <w:t>本项目为</w:t>
            </w:r>
            <w:r>
              <w:rPr>
                <w:rFonts w:hint="eastAsia"/>
                <w:color w:val="000000"/>
                <w:spacing w:val="-1"/>
                <w:sz w:val="24"/>
                <w:szCs w:val="24"/>
                <w:highlight w:val="none"/>
                <w:lang w:val="en-US" w:eastAsia="zh-CN"/>
              </w:rPr>
              <w:t>架空管线</w:t>
            </w:r>
            <w:r>
              <w:rPr>
                <w:color w:val="000000"/>
                <w:spacing w:val="-1"/>
                <w:sz w:val="24"/>
                <w:szCs w:val="24"/>
                <w:highlight w:val="none"/>
              </w:rPr>
              <w:t>项目，</w:t>
            </w:r>
            <w:r>
              <w:rPr>
                <w:rFonts w:hint="eastAsia"/>
                <w:color w:val="000000"/>
                <w:spacing w:val="-1"/>
                <w:sz w:val="24"/>
                <w:szCs w:val="24"/>
                <w:highlight w:val="none"/>
                <w:lang w:val="en-US" w:eastAsia="zh-CN"/>
              </w:rPr>
              <w:t>架空管线工程本身主体结构不直接接触地下水，且本项目管线不涉及管线支架、塔基基础建设，均在原有基础上直接建设，本次建设内容均为空中管线，不涉及地面工程，管线支撑结构（如杆塔基础、支架底座）检修、维护均不属于本次评价内容，均依托现有工程。本项目对地下水影响较小。</w:t>
            </w:r>
          </w:p>
          <w:p w14:paraId="6520DF56">
            <w:pPr>
              <w:pStyle w:val="13"/>
              <w:spacing w:after="0" w:line="360" w:lineRule="auto"/>
              <w:ind w:left="0" w:leftChars="0"/>
              <w:rPr>
                <w:b/>
                <w:bCs/>
                <w:sz w:val="24"/>
                <w:szCs w:val="32"/>
                <w:highlight w:val="none"/>
                <w:lang w:val="en-US"/>
              </w:rPr>
            </w:pPr>
            <w:r>
              <w:rPr>
                <w:rFonts w:hint="eastAsia"/>
                <w:b/>
                <w:bCs/>
                <w:sz w:val="24"/>
                <w:szCs w:val="32"/>
                <w:highlight w:val="none"/>
                <w:lang w:val="en-US" w:eastAsia="zh-CN"/>
              </w:rPr>
              <w:t>3.固体废物</w:t>
            </w:r>
            <w:r>
              <w:rPr>
                <w:rFonts w:hint="eastAsia"/>
                <w:b/>
                <w:bCs/>
                <w:sz w:val="24"/>
                <w:szCs w:val="32"/>
                <w:highlight w:val="none"/>
                <w:lang w:val="en-US"/>
              </w:rPr>
              <w:t>影响分析</w:t>
            </w:r>
          </w:p>
          <w:p w14:paraId="71A9FADB">
            <w:pPr>
              <w:spacing w:line="360" w:lineRule="auto"/>
              <w:ind w:firstLine="480" w:firstLineChars="200"/>
              <w:rPr>
                <w:rFonts w:hint="default" w:eastAsia="宋体"/>
                <w:sz w:val="24"/>
                <w:szCs w:val="32"/>
                <w:highlight w:val="none"/>
                <w:lang w:val="en-US" w:eastAsia="zh-CN"/>
              </w:rPr>
            </w:pPr>
            <w:r>
              <w:rPr>
                <w:rFonts w:hint="eastAsia"/>
                <w:sz w:val="24"/>
                <w:szCs w:val="32"/>
                <w:highlight w:val="none"/>
                <w:lang w:val="en-US" w:eastAsia="zh-CN"/>
              </w:rPr>
              <w:t>本</w:t>
            </w:r>
            <w:r>
              <w:rPr>
                <w:rFonts w:hint="eastAsia"/>
                <w:sz w:val="24"/>
                <w:szCs w:val="32"/>
                <w:highlight w:val="none"/>
              </w:rPr>
              <w:t>项目正常运营后，</w:t>
            </w:r>
            <w:r>
              <w:rPr>
                <w:rFonts w:hint="eastAsia"/>
                <w:sz w:val="24"/>
                <w:szCs w:val="32"/>
                <w:highlight w:val="none"/>
                <w:lang w:val="en-US" w:eastAsia="zh-CN"/>
              </w:rPr>
              <w:t>正常工况下</w:t>
            </w:r>
            <w:r>
              <w:rPr>
                <w:rFonts w:hint="eastAsia"/>
                <w:sz w:val="24"/>
                <w:szCs w:val="32"/>
                <w:highlight w:val="none"/>
              </w:rPr>
              <w:t>不会产生</w:t>
            </w:r>
            <w:r>
              <w:rPr>
                <w:rFonts w:hint="eastAsia"/>
                <w:sz w:val="24"/>
                <w:szCs w:val="32"/>
                <w:highlight w:val="none"/>
                <w:lang w:val="en-US" w:eastAsia="zh-CN"/>
              </w:rPr>
              <w:t>固体废物</w:t>
            </w:r>
            <w:r>
              <w:rPr>
                <w:rFonts w:hint="eastAsia"/>
                <w:sz w:val="24"/>
                <w:szCs w:val="32"/>
                <w:highlight w:val="none"/>
              </w:rPr>
              <w:t>。</w:t>
            </w:r>
            <w:r>
              <w:rPr>
                <w:rFonts w:hint="eastAsia"/>
                <w:sz w:val="24"/>
                <w:szCs w:val="32"/>
                <w:highlight w:val="none"/>
                <w:lang w:val="en-US" w:eastAsia="zh-CN"/>
              </w:rPr>
              <w:t>管线维修均依托现有管廊维修人员及系统，不涉及新增生产排污。</w:t>
            </w:r>
          </w:p>
          <w:p w14:paraId="51E82141">
            <w:pPr>
              <w:pStyle w:val="13"/>
              <w:spacing w:after="0" w:line="360" w:lineRule="auto"/>
              <w:ind w:left="0" w:leftChars="0"/>
              <w:rPr>
                <w:b/>
                <w:bCs/>
                <w:sz w:val="24"/>
                <w:szCs w:val="32"/>
                <w:highlight w:val="none"/>
                <w:lang w:val="en-US"/>
              </w:rPr>
            </w:pPr>
            <w:r>
              <w:rPr>
                <w:rFonts w:hint="eastAsia"/>
                <w:b/>
                <w:bCs/>
                <w:sz w:val="24"/>
                <w:szCs w:val="32"/>
                <w:highlight w:val="none"/>
                <w:lang w:val="en-US" w:eastAsia="zh-CN"/>
              </w:rPr>
              <w:t>4.声环境</w:t>
            </w:r>
            <w:r>
              <w:rPr>
                <w:rFonts w:hint="eastAsia"/>
                <w:b/>
                <w:bCs/>
                <w:sz w:val="24"/>
                <w:szCs w:val="32"/>
                <w:highlight w:val="none"/>
                <w:lang w:val="en-US"/>
              </w:rPr>
              <w:t>影响分析</w:t>
            </w:r>
          </w:p>
          <w:p w14:paraId="6C1DBBF4">
            <w:pPr>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（1）噪声源分析</w:t>
            </w:r>
          </w:p>
          <w:p w14:paraId="5230E3BE">
            <w:pPr>
              <w:keepNext w:val="0"/>
              <w:keepLines w:val="0"/>
              <w:widowControl/>
              <w:suppressLineNumbers w:val="0"/>
              <w:adjustRightInd w:val="0"/>
              <w:snapToGrid w:val="0"/>
              <w:spacing w:line="360" w:lineRule="auto"/>
              <w:ind w:firstLine="480" w:firstLineChars="200"/>
              <w:jc w:val="left"/>
              <w:rPr>
                <w:rFonts w:hint="default" w:ascii="Times New Roman" w:hAnsi="Times New Roman" w:eastAsia="宋体" w:cs="Times New Roman"/>
                <w:color w:val="000000"/>
                <w:kern w:val="0"/>
                <w:sz w:val="24"/>
                <w:szCs w:val="24"/>
                <w:highlight w:val="none"/>
                <w:lang w:val="en-US" w:eastAsia="zh-CN" w:bidi="ar"/>
              </w:rPr>
            </w:pPr>
            <w:r>
              <w:rPr>
                <w:rFonts w:hint="eastAsia" w:ascii="宋体" w:hAnsi="宋体" w:eastAsia="宋体" w:cs="宋体"/>
                <w:b w:val="0"/>
                <w:bCs w:val="0"/>
                <w:color w:val="000000"/>
                <w:kern w:val="0"/>
                <w:sz w:val="24"/>
                <w:szCs w:val="24"/>
                <w:highlight w:val="none"/>
                <w:lang w:val="en-US" w:eastAsia="zh-CN" w:bidi="ar-SA"/>
              </w:rPr>
              <w:t>本</w:t>
            </w:r>
            <w:r>
              <w:rPr>
                <w:rFonts w:hint="eastAsia" w:ascii="宋体" w:hAnsi="宋体" w:cs="宋体"/>
                <w:b w:val="0"/>
                <w:bCs w:val="0"/>
                <w:color w:val="000000"/>
                <w:kern w:val="0"/>
                <w:sz w:val="24"/>
                <w:szCs w:val="24"/>
                <w:highlight w:val="none"/>
                <w:lang w:val="en-US" w:eastAsia="zh-CN" w:bidi="ar-SA"/>
              </w:rPr>
              <w:t>项目</w:t>
            </w:r>
            <w:r>
              <w:rPr>
                <w:rFonts w:hint="eastAsia" w:ascii="宋体" w:hAnsi="宋体" w:eastAsia="宋体" w:cs="宋体"/>
                <w:b w:val="0"/>
                <w:bCs w:val="0"/>
                <w:color w:val="000000"/>
                <w:kern w:val="0"/>
                <w:sz w:val="24"/>
                <w:szCs w:val="24"/>
                <w:highlight w:val="none"/>
                <w:lang w:val="en-US" w:eastAsia="zh-CN" w:bidi="ar-SA"/>
              </w:rPr>
              <w:t>运营期主要噪声源</w:t>
            </w:r>
            <w:r>
              <w:rPr>
                <w:rFonts w:hint="eastAsia" w:ascii="宋体" w:hAnsi="宋体" w:cs="宋体"/>
                <w:b w:val="0"/>
                <w:bCs w:val="0"/>
                <w:color w:val="000000"/>
                <w:kern w:val="0"/>
                <w:sz w:val="24"/>
                <w:szCs w:val="24"/>
                <w:highlight w:val="none"/>
                <w:lang w:val="en-US" w:eastAsia="zh-CN" w:bidi="ar-SA"/>
              </w:rPr>
              <w:t>为新增压缩机。</w:t>
            </w:r>
          </w:p>
          <w:p w14:paraId="1011D6C0">
            <w:pPr>
              <w:spacing w:line="360" w:lineRule="auto"/>
              <w:ind w:firstLine="0" w:firstLineChars="0"/>
              <w:jc w:val="center"/>
              <w:rPr>
                <w:rFonts w:hint="default" w:ascii="Times New Roman" w:hAnsi="Times New Roman" w:eastAsia="宋体" w:cs="Times New Roman"/>
                <w:b/>
                <w:bCs/>
                <w:color w:val="000000"/>
                <w:sz w:val="21"/>
                <w:szCs w:val="21"/>
                <w:highlight w:val="none"/>
              </w:rPr>
            </w:pPr>
            <w:r>
              <w:rPr>
                <w:rFonts w:hint="default" w:ascii="Times New Roman" w:hAnsi="Times New Roman" w:eastAsia="宋体" w:cs="Times New Roman"/>
                <w:b/>
                <w:bCs/>
                <w:color w:val="000000"/>
                <w:sz w:val="21"/>
                <w:szCs w:val="21"/>
                <w:highlight w:val="none"/>
                <w:u w:val="none"/>
              </w:rPr>
              <w:t>表</w:t>
            </w:r>
            <w:r>
              <w:rPr>
                <w:rFonts w:hint="eastAsia" w:ascii="Times New Roman" w:hAnsi="Times New Roman" w:eastAsia="宋体" w:cs="Times New Roman"/>
                <w:b/>
                <w:bCs/>
                <w:color w:val="000000"/>
                <w:sz w:val="21"/>
                <w:szCs w:val="21"/>
                <w:highlight w:val="none"/>
                <w:u w:val="none"/>
                <w:lang w:val="en-US" w:eastAsia="zh-CN"/>
              </w:rPr>
              <w:t>4-</w:t>
            </w:r>
            <w:r>
              <w:rPr>
                <w:rFonts w:hint="eastAsia" w:cs="Times New Roman"/>
                <w:b/>
                <w:bCs/>
                <w:color w:val="000000"/>
                <w:sz w:val="21"/>
                <w:szCs w:val="21"/>
                <w:highlight w:val="none"/>
                <w:u w:val="none"/>
                <w:lang w:val="en-US" w:eastAsia="zh-CN"/>
              </w:rPr>
              <w:t>3</w:t>
            </w:r>
            <w:r>
              <w:rPr>
                <w:rFonts w:hint="eastAsia" w:ascii="Times New Roman" w:hAnsi="Times New Roman" w:eastAsia="宋体" w:cs="Times New Roman"/>
                <w:b/>
                <w:bCs/>
                <w:color w:val="000000"/>
                <w:sz w:val="21"/>
                <w:szCs w:val="21"/>
                <w:highlight w:val="none"/>
                <w:u w:val="none"/>
                <w:lang w:val="en-US" w:eastAsia="zh-CN"/>
              </w:rPr>
              <w:t xml:space="preserve">   </w:t>
            </w:r>
            <w:r>
              <w:rPr>
                <w:rFonts w:hint="default" w:ascii="Times New Roman" w:hAnsi="Times New Roman" w:eastAsia="宋体" w:cs="Times New Roman"/>
                <w:b/>
                <w:bCs/>
                <w:color w:val="000000"/>
                <w:sz w:val="21"/>
                <w:szCs w:val="21"/>
                <w:highlight w:val="none"/>
              </w:rPr>
              <w:t>噪声污染产、排情况及防治措施一览表</w:t>
            </w:r>
          </w:p>
          <w:tbl>
            <w:tblPr>
              <w:tblStyle w:val="19"/>
              <w:tblW w:w="80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7"/>
              <w:gridCol w:w="700"/>
              <w:gridCol w:w="643"/>
              <w:gridCol w:w="1000"/>
              <w:gridCol w:w="914"/>
              <w:gridCol w:w="672"/>
              <w:gridCol w:w="728"/>
              <w:gridCol w:w="843"/>
              <w:gridCol w:w="972"/>
              <w:gridCol w:w="557"/>
              <w:gridCol w:w="678"/>
            </w:tblGrid>
            <w:tr w14:paraId="7CA5F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367" w:type="dxa"/>
                  <w:vMerge w:val="restart"/>
                  <w:tcBorders>
                    <w:tl2br w:val="nil"/>
                    <w:tr2bl w:val="nil"/>
                  </w:tcBorders>
                  <w:noWrap w:val="0"/>
                  <w:vAlign w:val="center"/>
                </w:tcPr>
                <w:p w14:paraId="23B559C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序号</w:t>
                  </w:r>
                </w:p>
              </w:tc>
              <w:tc>
                <w:tcPr>
                  <w:tcW w:w="700" w:type="dxa"/>
                  <w:vMerge w:val="restart"/>
                  <w:tcBorders>
                    <w:tl2br w:val="nil"/>
                    <w:tr2bl w:val="nil"/>
                  </w:tcBorders>
                  <w:noWrap w:val="0"/>
                  <w:vAlign w:val="center"/>
                </w:tcPr>
                <w:p w14:paraId="39CBA6B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建筑物名称</w:t>
                  </w:r>
                </w:p>
              </w:tc>
              <w:tc>
                <w:tcPr>
                  <w:tcW w:w="643" w:type="dxa"/>
                  <w:vMerge w:val="restart"/>
                  <w:tcBorders>
                    <w:tl2br w:val="nil"/>
                    <w:tr2bl w:val="nil"/>
                  </w:tcBorders>
                  <w:noWrap w:val="0"/>
                  <w:vAlign w:val="center"/>
                </w:tcPr>
                <w:p w14:paraId="5247A4F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声源名称</w:t>
                  </w:r>
                </w:p>
              </w:tc>
              <w:tc>
                <w:tcPr>
                  <w:tcW w:w="1000" w:type="dxa"/>
                  <w:tcBorders>
                    <w:tl2br w:val="nil"/>
                    <w:tr2bl w:val="nil"/>
                  </w:tcBorders>
                  <w:noWrap w:val="0"/>
                  <w:vAlign w:val="center"/>
                </w:tcPr>
                <w:p w14:paraId="5DFA4BB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声源源强</w:t>
                  </w:r>
                </w:p>
              </w:tc>
              <w:tc>
                <w:tcPr>
                  <w:tcW w:w="914" w:type="dxa"/>
                  <w:vMerge w:val="restart"/>
                  <w:tcBorders>
                    <w:tl2br w:val="nil"/>
                    <w:tr2bl w:val="nil"/>
                  </w:tcBorders>
                  <w:noWrap w:val="0"/>
                  <w:vAlign w:val="center"/>
                </w:tcPr>
                <w:p w14:paraId="5F67F3E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声源控制措施</w:t>
                  </w:r>
                </w:p>
              </w:tc>
              <w:tc>
                <w:tcPr>
                  <w:tcW w:w="672" w:type="dxa"/>
                  <w:vMerge w:val="restart"/>
                  <w:tcBorders>
                    <w:tl2br w:val="nil"/>
                    <w:tr2bl w:val="nil"/>
                  </w:tcBorders>
                  <w:noWrap w:val="0"/>
                  <w:vAlign w:val="center"/>
                </w:tcPr>
                <w:p w14:paraId="79EACA8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距室内边界距离/m</w:t>
                  </w:r>
                </w:p>
              </w:tc>
              <w:tc>
                <w:tcPr>
                  <w:tcW w:w="728" w:type="dxa"/>
                  <w:vMerge w:val="restart"/>
                  <w:tcBorders>
                    <w:tl2br w:val="nil"/>
                    <w:tr2bl w:val="nil"/>
                  </w:tcBorders>
                  <w:noWrap w:val="0"/>
                  <w:vAlign w:val="center"/>
                </w:tcPr>
                <w:p w14:paraId="2CBEE0C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室内边界声级/dB</w:t>
                  </w:r>
                  <w:r>
                    <w:rPr>
                      <w:rFonts w:hint="eastAsia" w:cs="Times New Roman"/>
                      <w:i w:val="0"/>
                      <w:iCs w:val="0"/>
                      <w:color w:val="000000"/>
                      <w:kern w:val="0"/>
                      <w:sz w:val="21"/>
                      <w:szCs w:val="21"/>
                      <w:highlight w:val="none"/>
                      <w:u w:val="none"/>
                      <w:lang w:val="en-US" w:eastAsia="zh-CN" w:bidi="ar"/>
                    </w:rPr>
                    <w:t>（</w:t>
                  </w:r>
                  <w:r>
                    <w:rPr>
                      <w:rFonts w:hint="default" w:ascii="Times New Roman" w:hAnsi="Times New Roman" w:eastAsia="宋体" w:cs="Times New Roman"/>
                      <w:i w:val="0"/>
                      <w:iCs w:val="0"/>
                      <w:color w:val="000000"/>
                      <w:kern w:val="0"/>
                      <w:sz w:val="21"/>
                      <w:szCs w:val="21"/>
                      <w:highlight w:val="none"/>
                      <w:u w:val="none"/>
                      <w:lang w:val="en-US" w:eastAsia="zh-CN" w:bidi="ar"/>
                    </w:rPr>
                    <w:t>A</w:t>
                  </w:r>
                  <w:r>
                    <w:rPr>
                      <w:rFonts w:hint="eastAsia" w:cs="Times New Roman"/>
                      <w:i w:val="0"/>
                      <w:iCs w:val="0"/>
                      <w:color w:val="000000"/>
                      <w:kern w:val="0"/>
                      <w:sz w:val="21"/>
                      <w:szCs w:val="21"/>
                      <w:highlight w:val="none"/>
                      <w:u w:val="none"/>
                      <w:lang w:val="en-US" w:eastAsia="zh-CN" w:bidi="ar"/>
                    </w:rPr>
                    <w:t>）</w:t>
                  </w:r>
                </w:p>
              </w:tc>
              <w:tc>
                <w:tcPr>
                  <w:tcW w:w="843" w:type="dxa"/>
                  <w:vMerge w:val="restart"/>
                  <w:tcBorders>
                    <w:tl2br w:val="nil"/>
                    <w:tr2bl w:val="nil"/>
                  </w:tcBorders>
                  <w:noWrap/>
                  <w:vAlign w:val="center"/>
                </w:tcPr>
                <w:p w14:paraId="29BBF6E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运行时段</w:t>
                  </w:r>
                </w:p>
              </w:tc>
              <w:tc>
                <w:tcPr>
                  <w:tcW w:w="972" w:type="dxa"/>
                  <w:vMerge w:val="restart"/>
                  <w:tcBorders>
                    <w:tl2br w:val="nil"/>
                    <w:tr2bl w:val="nil"/>
                  </w:tcBorders>
                  <w:noWrap w:val="0"/>
                  <w:vAlign w:val="center"/>
                </w:tcPr>
                <w:p w14:paraId="622B1E4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建筑物插入损失/dB</w:t>
                  </w:r>
                  <w:r>
                    <w:rPr>
                      <w:rFonts w:hint="eastAsia" w:cs="Times New Roman"/>
                      <w:i w:val="0"/>
                      <w:iCs w:val="0"/>
                      <w:color w:val="000000"/>
                      <w:kern w:val="0"/>
                      <w:sz w:val="21"/>
                      <w:szCs w:val="21"/>
                      <w:highlight w:val="none"/>
                      <w:u w:val="none"/>
                      <w:lang w:val="en-US" w:eastAsia="zh-CN" w:bidi="ar"/>
                    </w:rPr>
                    <w:t>（</w:t>
                  </w:r>
                  <w:r>
                    <w:rPr>
                      <w:rFonts w:hint="default" w:ascii="Times New Roman" w:hAnsi="Times New Roman" w:eastAsia="宋体" w:cs="Times New Roman"/>
                      <w:i w:val="0"/>
                      <w:iCs w:val="0"/>
                      <w:color w:val="000000"/>
                      <w:kern w:val="0"/>
                      <w:sz w:val="21"/>
                      <w:szCs w:val="21"/>
                      <w:highlight w:val="none"/>
                      <w:u w:val="none"/>
                      <w:lang w:val="en-US" w:eastAsia="zh-CN" w:bidi="ar"/>
                    </w:rPr>
                    <w:t>A</w:t>
                  </w:r>
                  <w:r>
                    <w:rPr>
                      <w:rFonts w:hint="eastAsia" w:cs="Times New Roman"/>
                      <w:i w:val="0"/>
                      <w:iCs w:val="0"/>
                      <w:color w:val="000000"/>
                      <w:kern w:val="0"/>
                      <w:sz w:val="21"/>
                      <w:szCs w:val="21"/>
                      <w:highlight w:val="none"/>
                      <w:u w:val="none"/>
                      <w:lang w:val="en-US" w:eastAsia="zh-CN" w:bidi="ar"/>
                    </w:rPr>
                    <w:t>）</w:t>
                  </w:r>
                </w:p>
              </w:tc>
              <w:tc>
                <w:tcPr>
                  <w:tcW w:w="1235" w:type="dxa"/>
                  <w:gridSpan w:val="2"/>
                  <w:tcBorders>
                    <w:tl2br w:val="nil"/>
                    <w:tr2bl w:val="nil"/>
                  </w:tcBorders>
                  <w:noWrap w:val="0"/>
                  <w:vAlign w:val="center"/>
                </w:tcPr>
                <w:p w14:paraId="2303EC6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建筑物外噪声</w:t>
                  </w:r>
                </w:p>
              </w:tc>
            </w:tr>
            <w:tr w14:paraId="08B72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jc w:val="center"/>
              </w:trPr>
              <w:tc>
                <w:tcPr>
                  <w:tcW w:w="367" w:type="dxa"/>
                  <w:vMerge w:val="continue"/>
                  <w:tcBorders>
                    <w:tl2br w:val="nil"/>
                    <w:tr2bl w:val="nil"/>
                  </w:tcBorders>
                  <w:noWrap w:val="0"/>
                  <w:vAlign w:val="center"/>
                </w:tcPr>
                <w:p w14:paraId="70DDB4E8">
                  <w:pPr>
                    <w:jc w:val="center"/>
                    <w:rPr>
                      <w:rFonts w:hint="default" w:ascii="Times New Roman" w:hAnsi="Times New Roman" w:eastAsia="宋体" w:cs="Times New Roman"/>
                      <w:i w:val="0"/>
                      <w:iCs w:val="0"/>
                      <w:color w:val="000000"/>
                      <w:sz w:val="21"/>
                      <w:szCs w:val="21"/>
                      <w:highlight w:val="none"/>
                      <w:u w:val="none"/>
                    </w:rPr>
                  </w:pPr>
                </w:p>
              </w:tc>
              <w:tc>
                <w:tcPr>
                  <w:tcW w:w="700" w:type="dxa"/>
                  <w:vMerge w:val="continue"/>
                  <w:tcBorders>
                    <w:tl2br w:val="nil"/>
                    <w:tr2bl w:val="nil"/>
                  </w:tcBorders>
                  <w:noWrap w:val="0"/>
                  <w:vAlign w:val="center"/>
                </w:tcPr>
                <w:p w14:paraId="48885C84">
                  <w:pPr>
                    <w:jc w:val="center"/>
                    <w:rPr>
                      <w:rFonts w:hint="default" w:ascii="Times New Roman" w:hAnsi="Times New Roman" w:eastAsia="宋体" w:cs="Times New Roman"/>
                      <w:i w:val="0"/>
                      <w:iCs w:val="0"/>
                      <w:color w:val="000000"/>
                      <w:sz w:val="21"/>
                      <w:szCs w:val="21"/>
                      <w:highlight w:val="none"/>
                      <w:u w:val="none"/>
                    </w:rPr>
                  </w:pPr>
                </w:p>
              </w:tc>
              <w:tc>
                <w:tcPr>
                  <w:tcW w:w="643" w:type="dxa"/>
                  <w:vMerge w:val="continue"/>
                  <w:tcBorders>
                    <w:tl2br w:val="nil"/>
                    <w:tr2bl w:val="nil"/>
                  </w:tcBorders>
                  <w:noWrap w:val="0"/>
                  <w:vAlign w:val="center"/>
                </w:tcPr>
                <w:p w14:paraId="1D7F5822">
                  <w:pPr>
                    <w:jc w:val="center"/>
                    <w:rPr>
                      <w:rFonts w:hint="default" w:ascii="Times New Roman" w:hAnsi="Times New Roman" w:eastAsia="宋体" w:cs="Times New Roman"/>
                      <w:i w:val="0"/>
                      <w:iCs w:val="0"/>
                      <w:color w:val="000000"/>
                      <w:sz w:val="21"/>
                      <w:szCs w:val="21"/>
                      <w:highlight w:val="none"/>
                      <w:u w:val="none"/>
                    </w:rPr>
                  </w:pPr>
                </w:p>
              </w:tc>
              <w:tc>
                <w:tcPr>
                  <w:tcW w:w="1000" w:type="dxa"/>
                  <w:tcBorders>
                    <w:tl2br w:val="nil"/>
                    <w:tr2bl w:val="nil"/>
                  </w:tcBorders>
                  <w:noWrap w:val="0"/>
                  <w:vAlign w:val="center"/>
                </w:tcPr>
                <w:p w14:paraId="57CD352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声压级/据声源距离/dB</w:t>
                  </w:r>
                  <w:r>
                    <w:rPr>
                      <w:rFonts w:hint="eastAsia" w:cs="Times New Roman"/>
                      <w:i w:val="0"/>
                      <w:iCs w:val="0"/>
                      <w:color w:val="000000"/>
                      <w:kern w:val="0"/>
                      <w:sz w:val="21"/>
                      <w:szCs w:val="21"/>
                      <w:highlight w:val="none"/>
                      <w:u w:val="none"/>
                      <w:lang w:val="en-US" w:eastAsia="zh-CN" w:bidi="ar"/>
                    </w:rPr>
                    <w:t>（</w:t>
                  </w:r>
                  <w:r>
                    <w:rPr>
                      <w:rFonts w:hint="default" w:ascii="Times New Roman" w:hAnsi="Times New Roman" w:eastAsia="宋体" w:cs="Times New Roman"/>
                      <w:i w:val="0"/>
                      <w:iCs w:val="0"/>
                      <w:color w:val="000000"/>
                      <w:kern w:val="0"/>
                      <w:sz w:val="21"/>
                      <w:szCs w:val="21"/>
                      <w:highlight w:val="none"/>
                      <w:u w:val="none"/>
                      <w:lang w:val="en-US" w:eastAsia="zh-CN" w:bidi="ar"/>
                    </w:rPr>
                    <w:t>A</w:t>
                  </w:r>
                  <w:r>
                    <w:rPr>
                      <w:rFonts w:hint="eastAsia" w:cs="Times New Roman"/>
                      <w:i w:val="0"/>
                      <w:iCs w:val="0"/>
                      <w:color w:val="000000"/>
                      <w:kern w:val="0"/>
                      <w:sz w:val="21"/>
                      <w:szCs w:val="21"/>
                      <w:highlight w:val="none"/>
                      <w:u w:val="none"/>
                      <w:lang w:val="en-US" w:eastAsia="zh-CN" w:bidi="ar"/>
                    </w:rPr>
                    <w:t>）</w:t>
                  </w:r>
                  <w:r>
                    <w:rPr>
                      <w:rFonts w:hint="default" w:ascii="Times New Roman" w:hAnsi="Times New Roman" w:eastAsia="宋体" w:cs="Times New Roman"/>
                      <w:i w:val="0"/>
                      <w:iCs w:val="0"/>
                      <w:color w:val="000000"/>
                      <w:kern w:val="0"/>
                      <w:sz w:val="21"/>
                      <w:szCs w:val="21"/>
                      <w:highlight w:val="none"/>
                      <w:u w:val="none"/>
                      <w:lang w:val="en-US" w:eastAsia="zh-CN" w:bidi="ar"/>
                    </w:rPr>
                    <w:t>/m</w:t>
                  </w:r>
                </w:p>
              </w:tc>
              <w:tc>
                <w:tcPr>
                  <w:tcW w:w="914" w:type="dxa"/>
                  <w:vMerge w:val="continue"/>
                  <w:tcBorders>
                    <w:tl2br w:val="nil"/>
                    <w:tr2bl w:val="nil"/>
                  </w:tcBorders>
                  <w:noWrap w:val="0"/>
                  <w:vAlign w:val="center"/>
                </w:tcPr>
                <w:p w14:paraId="040A658B">
                  <w:pPr>
                    <w:jc w:val="center"/>
                    <w:rPr>
                      <w:rFonts w:hint="default" w:ascii="Times New Roman" w:hAnsi="Times New Roman" w:eastAsia="宋体" w:cs="Times New Roman"/>
                      <w:i w:val="0"/>
                      <w:iCs w:val="0"/>
                      <w:color w:val="000000"/>
                      <w:sz w:val="21"/>
                      <w:szCs w:val="21"/>
                      <w:highlight w:val="none"/>
                      <w:u w:val="none"/>
                    </w:rPr>
                  </w:pPr>
                </w:p>
              </w:tc>
              <w:tc>
                <w:tcPr>
                  <w:tcW w:w="672" w:type="dxa"/>
                  <w:vMerge w:val="continue"/>
                  <w:tcBorders>
                    <w:tl2br w:val="nil"/>
                    <w:tr2bl w:val="nil"/>
                  </w:tcBorders>
                  <w:noWrap w:val="0"/>
                  <w:vAlign w:val="center"/>
                </w:tcPr>
                <w:p w14:paraId="7CD39580">
                  <w:pPr>
                    <w:jc w:val="center"/>
                    <w:rPr>
                      <w:rFonts w:hint="default" w:ascii="Times New Roman" w:hAnsi="Times New Roman" w:eastAsia="宋体" w:cs="Times New Roman"/>
                      <w:i w:val="0"/>
                      <w:iCs w:val="0"/>
                      <w:color w:val="000000"/>
                      <w:sz w:val="21"/>
                      <w:szCs w:val="21"/>
                      <w:highlight w:val="none"/>
                      <w:u w:val="none"/>
                    </w:rPr>
                  </w:pPr>
                </w:p>
              </w:tc>
              <w:tc>
                <w:tcPr>
                  <w:tcW w:w="728" w:type="dxa"/>
                  <w:vMerge w:val="continue"/>
                  <w:tcBorders>
                    <w:tl2br w:val="nil"/>
                    <w:tr2bl w:val="nil"/>
                  </w:tcBorders>
                  <w:noWrap w:val="0"/>
                  <w:vAlign w:val="center"/>
                </w:tcPr>
                <w:p w14:paraId="367E5F0E">
                  <w:pPr>
                    <w:jc w:val="center"/>
                    <w:rPr>
                      <w:rFonts w:hint="default" w:ascii="Times New Roman" w:hAnsi="Times New Roman" w:eastAsia="宋体" w:cs="Times New Roman"/>
                      <w:i w:val="0"/>
                      <w:iCs w:val="0"/>
                      <w:color w:val="000000"/>
                      <w:sz w:val="21"/>
                      <w:szCs w:val="21"/>
                      <w:highlight w:val="none"/>
                      <w:u w:val="none"/>
                    </w:rPr>
                  </w:pPr>
                </w:p>
              </w:tc>
              <w:tc>
                <w:tcPr>
                  <w:tcW w:w="843" w:type="dxa"/>
                  <w:vMerge w:val="continue"/>
                  <w:tcBorders>
                    <w:tl2br w:val="nil"/>
                    <w:tr2bl w:val="nil"/>
                  </w:tcBorders>
                  <w:noWrap/>
                  <w:vAlign w:val="center"/>
                </w:tcPr>
                <w:p w14:paraId="05F898E8">
                  <w:pPr>
                    <w:jc w:val="center"/>
                    <w:rPr>
                      <w:rFonts w:hint="default" w:ascii="Times New Roman" w:hAnsi="Times New Roman" w:eastAsia="宋体" w:cs="Times New Roman"/>
                      <w:i w:val="0"/>
                      <w:iCs w:val="0"/>
                      <w:color w:val="000000"/>
                      <w:sz w:val="21"/>
                      <w:szCs w:val="21"/>
                      <w:highlight w:val="none"/>
                      <w:u w:val="none"/>
                    </w:rPr>
                  </w:pPr>
                </w:p>
              </w:tc>
              <w:tc>
                <w:tcPr>
                  <w:tcW w:w="972" w:type="dxa"/>
                  <w:vMerge w:val="continue"/>
                  <w:tcBorders>
                    <w:tl2br w:val="nil"/>
                    <w:tr2bl w:val="nil"/>
                  </w:tcBorders>
                  <w:noWrap w:val="0"/>
                  <w:vAlign w:val="center"/>
                </w:tcPr>
                <w:p w14:paraId="710C730F">
                  <w:pPr>
                    <w:jc w:val="center"/>
                    <w:rPr>
                      <w:rFonts w:hint="default" w:ascii="Times New Roman" w:hAnsi="Times New Roman" w:eastAsia="宋体" w:cs="Times New Roman"/>
                      <w:i w:val="0"/>
                      <w:iCs w:val="0"/>
                      <w:color w:val="000000"/>
                      <w:sz w:val="21"/>
                      <w:szCs w:val="21"/>
                      <w:highlight w:val="none"/>
                      <w:u w:val="none"/>
                    </w:rPr>
                  </w:pPr>
                </w:p>
              </w:tc>
              <w:tc>
                <w:tcPr>
                  <w:tcW w:w="557" w:type="dxa"/>
                  <w:tcBorders>
                    <w:tl2br w:val="nil"/>
                    <w:tr2bl w:val="nil"/>
                  </w:tcBorders>
                  <w:noWrap w:val="0"/>
                  <w:vAlign w:val="center"/>
                </w:tcPr>
                <w:p w14:paraId="0D13EF5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声压级/dB</w:t>
                  </w:r>
                  <w:r>
                    <w:rPr>
                      <w:rFonts w:hint="eastAsia" w:cs="Times New Roman"/>
                      <w:i w:val="0"/>
                      <w:iCs w:val="0"/>
                      <w:color w:val="000000"/>
                      <w:kern w:val="0"/>
                      <w:sz w:val="21"/>
                      <w:szCs w:val="21"/>
                      <w:highlight w:val="none"/>
                      <w:u w:val="none"/>
                      <w:lang w:val="en-US" w:eastAsia="zh-CN" w:bidi="ar"/>
                    </w:rPr>
                    <w:t>（</w:t>
                  </w:r>
                  <w:r>
                    <w:rPr>
                      <w:rFonts w:hint="default" w:ascii="Times New Roman" w:hAnsi="Times New Roman" w:eastAsia="宋体" w:cs="Times New Roman"/>
                      <w:i w:val="0"/>
                      <w:iCs w:val="0"/>
                      <w:color w:val="000000"/>
                      <w:kern w:val="0"/>
                      <w:sz w:val="21"/>
                      <w:szCs w:val="21"/>
                      <w:highlight w:val="none"/>
                      <w:u w:val="none"/>
                      <w:lang w:val="en-US" w:eastAsia="zh-CN" w:bidi="ar"/>
                    </w:rPr>
                    <w:t>A</w:t>
                  </w:r>
                  <w:r>
                    <w:rPr>
                      <w:rFonts w:hint="eastAsia" w:cs="Times New Roman"/>
                      <w:i w:val="0"/>
                      <w:iCs w:val="0"/>
                      <w:color w:val="000000"/>
                      <w:kern w:val="0"/>
                      <w:sz w:val="21"/>
                      <w:szCs w:val="21"/>
                      <w:highlight w:val="none"/>
                      <w:u w:val="none"/>
                      <w:lang w:val="en-US" w:eastAsia="zh-CN" w:bidi="ar"/>
                    </w:rPr>
                    <w:t>）</w:t>
                  </w:r>
                </w:p>
              </w:tc>
              <w:tc>
                <w:tcPr>
                  <w:tcW w:w="678" w:type="dxa"/>
                  <w:tcBorders>
                    <w:tl2br w:val="nil"/>
                    <w:tr2bl w:val="nil"/>
                  </w:tcBorders>
                  <w:noWrap w:val="0"/>
                  <w:vAlign w:val="center"/>
                </w:tcPr>
                <w:p w14:paraId="05CE2AD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建筑物</w:t>
                  </w:r>
                  <w:r>
                    <w:rPr>
                      <w:rFonts w:hint="default" w:ascii="Times New Roman" w:hAnsi="Times New Roman" w:eastAsia="宋体" w:cs="Times New Roman"/>
                      <w:i w:val="0"/>
                      <w:iCs w:val="0"/>
                      <w:color w:val="000000"/>
                      <w:kern w:val="0"/>
                      <w:sz w:val="21"/>
                      <w:szCs w:val="21"/>
                      <w:highlight w:val="none"/>
                      <w:u w:val="none"/>
                      <w:lang w:val="en-US" w:eastAsia="zh-CN" w:bidi="ar"/>
                    </w:rPr>
                    <w:br w:type="textWrapping"/>
                  </w:r>
                  <w:r>
                    <w:rPr>
                      <w:rFonts w:hint="default" w:ascii="Times New Roman" w:hAnsi="Times New Roman" w:eastAsia="宋体" w:cs="Times New Roman"/>
                      <w:i w:val="0"/>
                      <w:iCs w:val="0"/>
                      <w:color w:val="000000"/>
                      <w:kern w:val="0"/>
                      <w:sz w:val="21"/>
                      <w:szCs w:val="21"/>
                      <w:highlight w:val="none"/>
                      <w:u w:val="none"/>
                      <w:lang w:val="en-US" w:eastAsia="zh-CN" w:bidi="ar"/>
                    </w:rPr>
                    <w:t>外距离/m</w:t>
                  </w:r>
                </w:p>
              </w:tc>
            </w:tr>
            <w:tr w14:paraId="0EF5B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367" w:type="dxa"/>
                  <w:tcBorders>
                    <w:tl2br w:val="nil"/>
                    <w:tr2bl w:val="nil"/>
                  </w:tcBorders>
                  <w:noWrap/>
                  <w:vAlign w:val="center"/>
                </w:tcPr>
                <w:p w14:paraId="22844EA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700" w:type="dxa"/>
                  <w:tcBorders>
                    <w:tl2br w:val="nil"/>
                    <w:tr2bl w:val="nil"/>
                  </w:tcBorders>
                  <w:noWrap/>
                  <w:vAlign w:val="center"/>
                </w:tcPr>
                <w:p w14:paraId="6036180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lang w:val="en-US" w:eastAsia="zh-CN"/>
                    </w:rPr>
                  </w:pPr>
                  <w:r>
                    <w:rPr>
                      <w:rFonts w:hint="default" w:ascii="Times New Roman" w:hAnsi="Times New Roman" w:cs="Times New Roman"/>
                      <w:highlight w:val="none"/>
                      <w:lang w:val="en-US" w:eastAsia="zh-CN"/>
                    </w:rPr>
                    <w:t>增压风机房</w:t>
                  </w:r>
                </w:p>
              </w:tc>
              <w:tc>
                <w:tcPr>
                  <w:tcW w:w="643" w:type="dxa"/>
                  <w:tcBorders>
                    <w:tl2br w:val="nil"/>
                    <w:tr2bl w:val="nil"/>
                  </w:tcBorders>
                  <w:noWrap/>
                  <w:vAlign w:val="center"/>
                </w:tcPr>
                <w:p w14:paraId="2670BE8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lang w:val="en-US" w:eastAsia="zh-CN"/>
                    </w:rPr>
                  </w:pPr>
                  <w:r>
                    <w:rPr>
                      <w:rFonts w:hint="default" w:ascii="Times New Roman" w:hAnsi="Times New Roman" w:cs="Times New Roman"/>
                      <w:i w:val="0"/>
                      <w:iCs w:val="0"/>
                      <w:color w:val="000000"/>
                      <w:sz w:val="21"/>
                      <w:szCs w:val="21"/>
                      <w:highlight w:val="none"/>
                      <w:u w:val="none"/>
                      <w:lang w:val="en-US" w:eastAsia="zh-CN"/>
                    </w:rPr>
                    <w:t>甲烷压缩机</w:t>
                  </w:r>
                </w:p>
              </w:tc>
              <w:tc>
                <w:tcPr>
                  <w:tcW w:w="1000" w:type="dxa"/>
                  <w:tcBorders>
                    <w:tl2br w:val="nil"/>
                    <w:tr2bl w:val="nil"/>
                  </w:tcBorders>
                  <w:noWrap/>
                  <w:vAlign w:val="center"/>
                </w:tcPr>
                <w:p w14:paraId="573A017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95/1</w:t>
                  </w:r>
                </w:p>
              </w:tc>
              <w:tc>
                <w:tcPr>
                  <w:tcW w:w="914" w:type="dxa"/>
                  <w:tcBorders>
                    <w:tl2br w:val="nil"/>
                    <w:tr2bl w:val="nil"/>
                  </w:tcBorders>
                  <w:noWrap w:val="0"/>
                  <w:vAlign w:val="center"/>
                </w:tcPr>
                <w:p w14:paraId="367744A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减振、建筑物隔声</w:t>
                  </w:r>
                </w:p>
              </w:tc>
              <w:tc>
                <w:tcPr>
                  <w:tcW w:w="672" w:type="dxa"/>
                  <w:tcBorders>
                    <w:tl2br w:val="nil"/>
                    <w:tr2bl w:val="nil"/>
                  </w:tcBorders>
                  <w:noWrap/>
                  <w:vAlign w:val="center"/>
                </w:tcPr>
                <w:p w14:paraId="71FDF02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728" w:type="dxa"/>
                  <w:tcBorders>
                    <w:tl2br w:val="nil"/>
                    <w:tr2bl w:val="nil"/>
                  </w:tcBorders>
                  <w:noWrap/>
                  <w:vAlign w:val="center"/>
                </w:tcPr>
                <w:p w14:paraId="1DA74FC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lang w:val="en-US"/>
                    </w:rPr>
                  </w:pPr>
                  <w:r>
                    <w:rPr>
                      <w:rFonts w:hint="default" w:ascii="Times New Roman" w:hAnsi="Times New Roman" w:eastAsia="宋体" w:cs="Times New Roman"/>
                      <w:i w:val="0"/>
                      <w:iCs w:val="0"/>
                      <w:color w:val="000000"/>
                      <w:kern w:val="0"/>
                      <w:sz w:val="21"/>
                      <w:szCs w:val="21"/>
                      <w:highlight w:val="none"/>
                      <w:u w:val="none"/>
                      <w:lang w:val="en-US" w:eastAsia="zh-CN" w:bidi="ar"/>
                    </w:rPr>
                    <w:t>90</w:t>
                  </w:r>
                </w:p>
              </w:tc>
              <w:tc>
                <w:tcPr>
                  <w:tcW w:w="843" w:type="dxa"/>
                  <w:tcBorders>
                    <w:tl2br w:val="nil"/>
                    <w:tr2bl w:val="nil"/>
                  </w:tcBorders>
                  <w:noWrap/>
                  <w:vAlign w:val="center"/>
                </w:tcPr>
                <w:p w14:paraId="4F3AB10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正常</w:t>
                  </w:r>
                </w:p>
              </w:tc>
              <w:tc>
                <w:tcPr>
                  <w:tcW w:w="972" w:type="dxa"/>
                  <w:tcBorders>
                    <w:tl2br w:val="nil"/>
                    <w:tr2bl w:val="nil"/>
                  </w:tcBorders>
                  <w:noWrap/>
                  <w:vAlign w:val="center"/>
                </w:tcPr>
                <w:p w14:paraId="2155168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20</w:t>
                  </w:r>
                </w:p>
              </w:tc>
              <w:tc>
                <w:tcPr>
                  <w:tcW w:w="557" w:type="dxa"/>
                  <w:tcBorders>
                    <w:tl2br w:val="nil"/>
                    <w:tr2bl w:val="nil"/>
                  </w:tcBorders>
                  <w:noWrap/>
                  <w:vAlign w:val="center"/>
                </w:tcPr>
                <w:p w14:paraId="07C62F7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70</w:t>
                  </w:r>
                </w:p>
              </w:tc>
              <w:tc>
                <w:tcPr>
                  <w:tcW w:w="678" w:type="dxa"/>
                  <w:tcBorders>
                    <w:tl2br w:val="nil"/>
                    <w:tr2bl w:val="nil"/>
                  </w:tcBorders>
                  <w:noWrap/>
                  <w:vAlign w:val="center"/>
                </w:tcPr>
                <w:p w14:paraId="0678027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r>
          </w:tbl>
          <w:p w14:paraId="2039AB16">
            <w:pPr>
              <w:spacing w:line="360" w:lineRule="auto"/>
              <w:ind w:firstLine="480" w:firstLineChars="200"/>
              <w:rPr>
                <w:rFonts w:hint="default" w:ascii="Times New Roman" w:hAnsi="Times New Roman" w:cs="Times New Roman"/>
                <w:color w:val="000000"/>
                <w:sz w:val="24"/>
                <w:szCs w:val="24"/>
                <w:highlight w:val="none"/>
                <w:lang w:val="en-US" w:eastAsia="zh-CN"/>
              </w:rPr>
            </w:pPr>
            <w:r>
              <w:rPr>
                <w:rFonts w:hint="eastAsia" w:ascii="Times New Roman" w:hAnsi="Times New Roman" w:cs="Times New Roman"/>
                <w:color w:val="000000"/>
                <w:sz w:val="24"/>
                <w:szCs w:val="24"/>
                <w:highlight w:val="none"/>
                <w:lang w:val="en-US" w:eastAsia="zh-CN"/>
              </w:rPr>
              <w:t>（2）</w:t>
            </w:r>
            <w:r>
              <w:rPr>
                <w:rFonts w:hint="eastAsia" w:ascii="Times New Roman" w:hAnsi="Times New Roman" w:cs="Times New Roman"/>
                <w:color w:val="000000"/>
                <w:sz w:val="24"/>
                <w:szCs w:val="24"/>
                <w:highlight w:val="none"/>
              </w:rPr>
              <w:t>噪声预测模式</w:t>
            </w:r>
          </w:p>
          <w:p w14:paraId="115EBF4B">
            <w:pPr>
              <w:widowControl w:val="0"/>
              <w:spacing w:line="360" w:lineRule="auto"/>
              <w:ind w:firstLine="480" w:firstLineChars="200"/>
              <w:rPr>
                <w:color w:val="000000"/>
                <w:sz w:val="24"/>
                <w:szCs w:val="24"/>
                <w:highlight w:val="none"/>
              </w:rPr>
            </w:pPr>
            <w:r>
              <w:rPr>
                <w:rFonts w:hint="eastAsia"/>
                <w:color w:val="000000"/>
                <w:sz w:val="24"/>
                <w:szCs w:val="24"/>
                <w:highlight w:val="none"/>
              </w:rPr>
              <w:t>采用《环境影响评价技术导则 声环境》（</w:t>
            </w:r>
            <w:r>
              <w:rPr>
                <w:color w:val="000000"/>
                <w:sz w:val="24"/>
                <w:szCs w:val="24"/>
                <w:highlight w:val="none"/>
              </w:rPr>
              <w:t>HJ2.4-20</w:t>
            </w:r>
            <w:r>
              <w:rPr>
                <w:rFonts w:hint="eastAsia"/>
                <w:color w:val="000000"/>
                <w:sz w:val="24"/>
                <w:szCs w:val="24"/>
                <w:highlight w:val="none"/>
                <w:lang w:val="en-US" w:eastAsia="zh-CN"/>
              </w:rPr>
              <w:t>21</w:t>
            </w:r>
            <w:r>
              <w:rPr>
                <w:rFonts w:hint="eastAsia"/>
                <w:color w:val="000000"/>
                <w:sz w:val="24"/>
                <w:szCs w:val="24"/>
                <w:highlight w:val="none"/>
              </w:rPr>
              <w:t>）中工业噪声预测模式。在进行噪声预测时，采用声源的倍频带声功率级，</w:t>
            </w:r>
            <w:r>
              <w:rPr>
                <w:color w:val="000000"/>
                <w:sz w:val="24"/>
                <w:szCs w:val="24"/>
                <w:highlight w:val="none"/>
              </w:rPr>
              <w:t>A</w:t>
            </w:r>
            <w:r>
              <w:rPr>
                <w:rFonts w:hint="eastAsia"/>
                <w:color w:val="000000"/>
                <w:sz w:val="24"/>
                <w:szCs w:val="24"/>
                <w:highlight w:val="none"/>
              </w:rPr>
              <w:t>声功率级或靠近</w:t>
            </w:r>
            <w:r>
              <w:rPr>
                <w:rFonts w:hint="eastAsia"/>
                <w:color w:val="000000"/>
                <w:sz w:val="24"/>
                <w:szCs w:val="24"/>
                <w:highlight w:val="none"/>
                <w:lang w:eastAsia="zh-CN"/>
              </w:rPr>
              <w:t>声</w:t>
            </w:r>
            <w:r>
              <w:rPr>
                <w:rFonts w:hint="eastAsia"/>
                <w:color w:val="000000"/>
                <w:sz w:val="24"/>
                <w:szCs w:val="24"/>
                <w:highlight w:val="none"/>
              </w:rPr>
              <w:t>源某一位置的倍频带声压级、</w:t>
            </w:r>
            <w:r>
              <w:rPr>
                <w:color w:val="000000"/>
                <w:sz w:val="24"/>
                <w:szCs w:val="24"/>
                <w:highlight w:val="none"/>
              </w:rPr>
              <w:t>A</w:t>
            </w:r>
            <w:r>
              <w:rPr>
                <w:rFonts w:hint="eastAsia"/>
                <w:color w:val="000000"/>
                <w:sz w:val="24"/>
                <w:szCs w:val="24"/>
                <w:highlight w:val="none"/>
              </w:rPr>
              <w:t>声级来预测计算不同距离的声级。本项目采用工业声源</w:t>
            </w:r>
            <w:r>
              <w:rPr>
                <w:rFonts w:hint="eastAsia"/>
                <w:color w:val="000000"/>
                <w:sz w:val="24"/>
                <w:szCs w:val="24"/>
                <w:highlight w:val="none"/>
                <w:lang w:eastAsia="zh-CN"/>
              </w:rPr>
              <w:t>预测和</w:t>
            </w:r>
            <w:r>
              <w:rPr>
                <w:rFonts w:hint="eastAsia"/>
                <w:color w:val="000000"/>
                <w:sz w:val="24"/>
                <w:szCs w:val="24"/>
                <w:highlight w:val="none"/>
              </w:rPr>
              <w:t>室内声源预测模式进行计算。室内声源等效室外声源声功率级计算：</w:t>
            </w:r>
          </w:p>
          <w:p w14:paraId="72C1CF7F">
            <w:pPr>
              <w:widowControl w:val="0"/>
              <w:spacing w:line="360" w:lineRule="auto"/>
              <w:ind w:firstLine="480" w:firstLineChars="200"/>
              <w:rPr>
                <w:color w:val="000000"/>
                <w:sz w:val="24"/>
                <w:szCs w:val="24"/>
                <w:highlight w:val="none"/>
              </w:rPr>
            </w:pPr>
            <w:r>
              <w:rPr>
                <w:rFonts w:hint="eastAsia"/>
                <w:color w:val="000000"/>
                <w:sz w:val="24"/>
                <w:szCs w:val="24"/>
                <w:highlight w:val="none"/>
              </w:rPr>
              <w:t>声源位于室内，室内声源可采用等效室外声源声功率级法进行计算。设靠近开口处（或窗户）室内、室外某倍频带的声压级分别为</w:t>
            </w:r>
            <w:r>
              <w:rPr>
                <w:color w:val="000000"/>
                <w:sz w:val="24"/>
                <w:szCs w:val="24"/>
                <w:highlight w:val="none"/>
              </w:rPr>
              <w:t>Lp</w:t>
            </w:r>
            <w:r>
              <w:rPr>
                <w:color w:val="000000"/>
                <w:sz w:val="24"/>
                <w:szCs w:val="24"/>
                <w:highlight w:val="none"/>
                <w:vertAlign w:val="subscript"/>
              </w:rPr>
              <w:t>1</w:t>
            </w:r>
            <w:r>
              <w:rPr>
                <w:rFonts w:hint="eastAsia"/>
                <w:color w:val="000000"/>
                <w:sz w:val="24"/>
                <w:szCs w:val="24"/>
                <w:highlight w:val="none"/>
              </w:rPr>
              <w:t>和</w:t>
            </w:r>
            <w:r>
              <w:rPr>
                <w:color w:val="000000"/>
                <w:sz w:val="24"/>
                <w:szCs w:val="24"/>
                <w:highlight w:val="none"/>
              </w:rPr>
              <w:t>Lp</w:t>
            </w:r>
            <w:r>
              <w:rPr>
                <w:color w:val="000000"/>
                <w:sz w:val="24"/>
                <w:szCs w:val="24"/>
                <w:highlight w:val="none"/>
                <w:vertAlign w:val="subscript"/>
              </w:rPr>
              <w:t>2</w:t>
            </w:r>
            <w:r>
              <w:rPr>
                <w:rFonts w:hint="eastAsia"/>
                <w:color w:val="000000"/>
                <w:sz w:val="24"/>
                <w:szCs w:val="24"/>
                <w:highlight w:val="none"/>
              </w:rPr>
              <w:t>。若声源所在室内声场为近似扩散声场，则室外的倍频带声压级可近似求出：</w:t>
            </w:r>
          </w:p>
          <w:p w14:paraId="4F229559">
            <w:pPr>
              <w:widowControl w:val="0"/>
              <w:spacing w:before="120" w:beforeLines="50" w:line="360" w:lineRule="auto"/>
              <w:jc w:val="center"/>
              <w:rPr>
                <w:color w:val="000000"/>
                <w:sz w:val="24"/>
                <w:szCs w:val="24"/>
                <w:highlight w:val="none"/>
              </w:rPr>
            </w:pPr>
            <w:r>
              <w:rPr>
                <w:color w:val="000000"/>
                <w:sz w:val="24"/>
                <w:szCs w:val="24"/>
                <w:highlight w:val="none"/>
              </w:rPr>
              <w:drawing>
                <wp:inline distT="0" distB="0" distL="114300" distR="114300">
                  <wp:extent cx="1514475" cy="295275"/>
                  <wp:effectExtent l="0" t="0" r="0" b="10160"/>
                  <wp:docPr id="2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
                          <pic:cNvPicPr>
                            <a:picLocks noChangeAspect="1"/>
                          </pic:cNvPicPr>
                        </pic:nvPicPr>
                        <pic:blipFill>
                          <a:blip r:embed="rId23"/>
                          <a:stretch>
                            <a:fillRect/>
                          </a:stretch>
                        </pic:blipFill>
                        <pic:spPr>
                          <a:xfrm>
                            <a:off x="0" y="0"/>
                            <a:ext cx="1514475" cy="295275"/>
                          </a:xfrm>
                          <a:prstGeom prst="rect">
                            <a:avLst/>
                          </a:prstGeom>
                          <a:noFill/>
                          <a:ln>
                            <a:noFill/>
                          </a:ln>
                        </pic:spPr>
                      </pic:pic>
                    </a:graphicData>
                  </a:graphic>
                </wp:inline>
              </w:drawing>
            </w:r>
          </w:p>
          <w:p w14:paraId="11BA28E8">
            <w:pPr>
              <w:widowControl w:val="0"/>
              <w:spacing w:line="360" w:lineRule="auto"/>
              <w:rPr>
                <w:color w:val="000000"/>
                <w:sz w:val="24"/>
                <w:szCs w:val="24"/>
                <w:highlight w:val="none"/>
              </w:rPr>
            </w:pPr>
            <w:r>
              <w:rPr>
                <w:rFonts w:hint="eastAsia"/>
                <w:color w:val="000000"/>
                <w:sz w:val="24"/>
                <w:szCs w:val="24"/>
                <w:highlight w:val="none"/>
              </w:rPr>
              <w:t>式中：</w:t>
            </w:r>
            <w:r>
              <w:rPr>
                <w:i/>
                <w:color w:val="000000"/>
                <w:sz w:val="24"/>
                <w:szCs w:val="24"/>
                <w:highlight w:val="none"/>
              </w:rPr>
              <w:t>TL—</w:t>
            </w:r>
            <w:r>
              <w:rPr>
                <w:rFonts w:hint="eastAsia"/>
                <w:color w:val="000000"/>
                <w:sz w:val="24"/>
                <w:szCs w:val="24"/>
                <w:highlight w:val="none"/>
              </w:rPr>
              <w:t>隔墙（或窗户）倍频带的隔声量，</w:t>
            </w:r>
            <w:r>
              <w:rPr>
                <w:color w:val="000000"/>
                <w:sz w:val="24"/>
                <w:szCs w:val="24"/>
                <w:highlight w:val="none"/>
              </w:rPr>
              <w:t>dB</w:t>
            </w:r>
            <w:r>
              <w:rPr>
                <w:rFonts w:hint="eastAsia"/>
                <w:color w:val="000000"/>
                <w:sz w:val="24"/>
                <w:szCs w:val="24"/>
                <w:highlight w:val="none"/>
              </w:rPr>
              <w:t>。</w:t>
            </w:r>
          </w:p>
          <w:p w14:paraId="4BA5A78A">
            <w:pPr>
              <w:widowControl w:val="0"/>
              <w:spacing w:line="360" w:lineRule="auto"/>
              <w:ind w:firstLine="480" w:firstLineChars="200"/>
              <w:rPr>
                <w:color w:val="000000"/>
                <w:sz w:val="24"/>
                <w:szCs w:val="24"/>
                <w:highlight w:val="none"/>
              </w:rPr>
            </w:pPr>
            <w:r>
              <w:rPr>
                <w:rFonts w:hint="eastAsia"/>
                <w:color w:val="000000"/>
                <w:sz w:val="24"/>
                <w:szCs w:val="24"/>
                <w:highlight w:val="none"/>
              </w:rPr>
              <w:t>某一室内声源靠近围护结构处产生的倍频带声压级：</w:t>
            </w:r>
          </w:p>
          <w:p w14:paraId="28F884ED">
            <w:pPr>
              <w:widowControl w:val="0"/>
              <w:spacing w:before="240" w:beforeLines="100" w:line="360" w:lineRule="auto"/>
              <w:jc w:val="center"/>
              <w:rPr>
                <w:color w:val="000000"/>
                <w:sz w:val="24"/>
                <w:szCs w:val="24"/>
                <w:highlight w:val="none"/>
              </w:rPr>
            </w:pPr>
            <w:r>
              <w:rPr>
                <w:color w:val="000000"/>
                <w:sz w:val="24"/>
                <w:szCs w:val="24"/>
                <w:highlight w:val="none"/>
              </w:rPr>
              <w:drawing>
                <wp:inline distT="0" distB="0" distL="114300" distR="114300">
                  <wp:extent cx="1695450" cy="457200"/>
                  <wp:effectExtent l="0" t="0" r="0" b="0"/>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24"/>
                          <a:srcRect b="8749"/>
                          <a:stretch>
                            <a:fillRect/>
                          </a:stretch>
                        </pic:blipFill>
                        <pic:spPr>
                          <a:xfrm>
                            <a:off x="0" y="0"/>
                            <a:ext cx="1695450" cy="457200"/>
                          </a:xfrm>
                          <a:prstGeom prst="rect">
                            <a:avLst/>
                          </a:prstGeom>
                          <a:noFill/>
                          <a:ln>
                            <a:noFill/>
                          </a:ln>
                        </pic:spPr>
                      </pic:pic>
                    </a:graphicData>
                  </a:graphic>
                </wp:inline>
              </w:drawing>
            </w:r>
          </w:p>
          <w:p w14:paraId="386FEB2B">
            <w:pPr>
              <w:widowControl w:val="0"/>
              <w:spacing w:line="360" w:lineRule="auto"/>
              <w:rPr>
                <w:color w:val="000000"/>
                <w:sz w:val="24"/>
                <w:szCs w:val="24"/>
                <w:highlight w:val="none"/>
              </w:rPr>
            </w:pPr>
            <w:r>
              <w:rPr>
                <w:rFonts w:hint="eastAsia"/>
                <w:color w:val="000000"/>
                <w:sz w:val="24"/>
                <w:szCs w:val="24"/>
                <w:highlight w:val="none"/>
              </w:rPr>
              <w:t>式中：</w:t>
            </w:r>
            <w:r>
              <w:rPr>
                <w:color w:val="000000"/>
                <w:sz w:val="24"/>
                <w:szCs w:val="24"/>
                <w:highlight w:val="none"/>
              </w:rPr>
              <w:t>Lp</w:t>
            </w:r>
            <w:r>
              <w:rPr>
                <w:color w:val="000000"/>
                <w:sz w:val="24"/>
                <w:szCs w:val="24"/>
                <w:highlight w:val="none"/>
                <w:vertAlign w:val="subscript"/>
              </w:rPr>
              <w:t>1</w:t>
            </w:r>
            <w:r>
              <w:rPr>
                <w:color w:val="000000"/>
                <w:sz w:val="24"/>
                <w:szCs w:val="24"/>
                <w:highlight w:val="none"/>
              </w:rPr>
              <w:t>—</w:t>
            </w:r>
            <w:r>
              <w:rPr>
                <w:rFonts w:hint="eastAsia"/>
                <w:color w:val="000000"/>
                <w:sz w:val="24"/>
                <w:szCs w:val="24"/>
                <w:highlight w:val="none"/>
              </w:rPr>
              <w:t>某个室内声源在靠近围护结构处产生的倍频带声压级；</w:t>
            </w:r>
          </w:p>
          <w:p w14:paraId="56E942EE">
            <w:pPr>
              <w:widowControl w:val="0"/>
              <w:spacing w:line="360" w:lineRule="auto"/>
              <w:ind w:firstLine="720" w:firstLineChars="300"/>
              <w:rPr>
                <w:color w:val="000000"/>
                <w:sz w:val="24"/>
                <w:szCs w:val="24"/>
                <w:highlight w:val="none"/>
              </w:rPr>
            </w:pPr>
            <w:r>
              <w:rPr>
                <w:i/>
                <w:color w:val="000000"/>
                <w:sz w:val="24"/>
                <w:szCs w:val="24"/>
                <w:highlight w:val="none"/>
              </w:rPr>
              <w:t>Lw</w:t>
            </w:r>
            <w:r>
              <w:rPr>
                <w:color w:val="000000"/>
                <w:sz w:val="24"/>
                <w:szCs w:val="24"/>
                <w:highlight w:val="none"/>
              </w:rPr>
              <w:t>—</w:t>
            </w:r>
            <w:r>
              <w:rPr>
                <w:rFonts w:hint="eastAsia"/>
                <w:color w:val="000000"/>
                <w:sz w:val="24"/>
                <w:szCs w:val="24"/>
                <w:highlight w:val="none"/>
              </w:rPr>
              <w:t>某个声源的倍频带声功率级；</w:t>
            </w:r>
          </w:p>
          <w:p w14:paraId="35463AAB">
            <w:pPr>
              <w:widowControl w:val="0"/>
              <w:spacing w:line="360" w:lineRule="auto"/>
              <w:ind w:firstLine="720" w:firstLineChars="300"/>
              <w:rPr>
                <w:color w:val="000000"/>
                <w:sz w:val="24"/>
                <w:szCs w:val="24"/>
                <w:highlight w:val="none"/>
              </w:rPr>
            </w:pPr>
            <w:r>
              <w:rPr>
                <w:i/>
                <w:color w:val="000000"/>
                <w:sz w:val="24"/>
                <w:szCs w:val="24"/>
                <w:highlight w:val="none"/>
              </w:rPr>
              <w:t>r</w:t>
            </w:r>
            <w:r>
              <w:rPr>
                <w:i/>
                <w:color w:val="000000"/>
                <w:sz w:val="24"/>
                <w:szCs w:val="24"/>
                <w:highlight w:val="none"/>
                <w:vertAlign w:val="subscript"/>
              </w:rPr>
              <w:t>1</w:t>
            </w:r>
            <w:r>
              <w:rPr>
                <w:color w:val="000000"/>
                <w:sz w:val="24"/>
                <w:szCs w:val="24"/>
                <w:highlight w:val="none"/>
              </w:rPr>
              <w:t>—</w:t>
            </w:r>
            <w:r>
              <w:rPr>
                <w:rFonts w:hint="eastAsia"/>
                <w:color w:val="000000"/>
                <w:sz w:val="24"/>
                <w:szCs w:val="24"/>
                <w:highlight w:val="none"/>
              </w:rPr>
              <w:t>室内某个声源与靠近结构围护处的距离（</w:t>
            </w:r>
            <w:r>
              <w:rPr>
                <w:color w:val="000000"/>
                <w:sz w:val="24"/>
                <w:szCs w:val="24"/>
                <w:highlight w:val="none"/>
              </w:rPr>
              <w:t>m</w:t>
            </w:r>
            <w:r>
              <w:rPr>
                <w:rFonts w:hint="eastAsia"/>
                <w:color w:val="000000"/>
                <w:sz w:val="24"/>
                <w:szCs w:val="24"/>
                <w:highlight w:val="none"/>
              </w:rPr>
              <w:t>）；</w:t>
            </w:r>
          </w:p>
          <w:p w14:paraId="489629D6">
            <w:pPr>
              <w:widowControl w:val="0"/>
              <w:spacing w:line="360" w:lineRule="auto"/>
              <w:ind w:firstLine="720" w:firstLineChars="300"/>
              <w:rPr>
                <w:color w:val="000000"/>
                <w:sz w:val="24"/>
                <w:szCs w:val="24"/>
                <w:highlight w:val="none"/>
              </w:rPr>
            </w:pPr>
            <w:r>
              <w:rPr>
                <w:i/>
                <w:color w:val="000000"/>
                <w:sz w:val="24"/>
                <w:szCs w:val="24"/>
                <w:highlight w:val="none"/>
              </w:rPr>
              <w:t>R</w:t>
            </w:r>
            <w:r>
              <w:rPr>
                <w:color w:val="000000"/>
                <w:sz w:val="24"/>
                <w:szCs w:val="24"/>
                <w:highlight w:val="none"/>
              </w:rPr>
              <w:t>—</w:t>
            </w:r>
            <w:r>
              <w:rPr>
                <w:rFonts w:hint="eastAsia"/>
                <w:color w:val="000000"/>
                <w:sz w:val="24"/>
                <w:szCs w:val="24"/>
                <w:highlight w:val="none"/>
              </w:rPr>
              <w:t>房间常数；</w:t>
            </w:r>
          </w:p>
          <w:p w14:paraId="07FA4F4F">
            <w:pPr>
              <w:widowControl w:val="0"/>
              <w:spacing w:line="360" w:lineRule="auto"/>
              <w:ind w:firstLine="720" w:firstLineChars="300"/>
              <w:rPr>
                <w:color w:val="000000"/>
                <w:sz w:val="24"/>
                <w:szCs w:val="24"/>
                <w:highlight w:val="none"/>
              </w:rPr>
            </w:pPr>
            <w:r>
              <w:rPr>
                <w:i/>
                <w:color w:val="000000"/>
                <w:sz w:val="24"/>
                <w:szCs w:val="24"/>
                <w:highlight w:val="none"/>
              </w:rPr>
              <w:t>Q</w:t>
            </w:r>
            <w:r>
              <w:rPr>
                <w:color w:val="000000"/>
                <w:sz w:val="24"/>
                <w:szCs w:val="24"/>
                <w:highlight w:val="none"/>
              </w:rPr>
              <w:t>—</w:t>
            </w:r>
            <w:r>
              <w:rPr>
                <w:rFonts w:hint="eastAsia"/>
                <w:color w:val="000000"/>
                <w:sz w:val="24"/>
                <w:szCs w:val="24"/>
                <w:highlight w:val="none"/>
              </w:rPr>
              <w:t>方向性因子。</w:t>
            </w:r>
          </w:p>
          <w:p w14:paraId="0F531103">
            <w:pPr>
              <w:widowControl w:val="0"/>
              <w:spacing w:line="360" w:lineRule="auto"/>
              <w:ind w:firstLine="480" w:firstLineChars="200"/>
              <w:rPr>
                <w:color w:val="000000"/>
                <w:sz w:val="24"/>
                <w:szCs w:val="24"/>
                <w:highlight w:val="none"/>
              </w:rPr>
            </w:pPr>
            <w:r>
              <w:rPr>
                <w:rFonts w:hint="eastAsia"/>
                <w:color w:val="000000"/>
                <w:sz w:val="24"/>
                <w:szCs w:val="24"/>
                <w:highlight w:val="none"/>
              </w:rPr>
              <w:t>计算出所有室内声源在靠近围护结构处产生的总倍频带声压级：</w:t>
            </w:r>
          </w:p>
          <w:p w14:paraId="7AEBC0CC">
            <w:pPr>
              <w:widowControl w:val="0"/>
              <w:spacing w:before="240" w:beforeLines="100" w:line="360" w:lineRule="auto"/>
              <w:jc w:val="center"/>
              <w:rPr>
                <w:color w:val="000000"/>
                <w:sz w:val="24"/>
                <w:szCs w:val="24"/>
                <w:highlight w:val="none"/>
              </w:rPr>
            </w:pPr>
            <w:r>
              <w:rPr>
                <w:color w:val="000000"/>
                <w:sz w:val="24"/>
                <w:szCs w:val="24"/>
                <w:highlight w:val="none"/>
              </w:rPr>
              <w:drawing>
                <wp:inline distT="0" distB="0" distL="114300" distR="114300">
                  <wp:extent cx="1743075" cy="390525"/>
                  <wp:effectExtent l="0" t="0" r="0" b="5080"/>
                  <wp:docPr id="2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4"/>
                          <pic:cNvPicPr>
                            <a:picLocks noChangeAspect="1"/>
                          </pic:cNvPicPr>
                        </pic:nvPicPr>
                        <pic:blipFill>
                          <a:blip r:embed="rId25"/>
                          <a:stretch>
                            <a:fillRect/>
                          </a:stretch>
                        </pic:blipFill>
                        <pic:spPr>
                          <a:xfrm>
                            <a:off x="0" y="0"/>
                            <a:ext cx="1743075" cy="390525"/>
                          </a:xfrm>
                          <a:prstGeom prst="rect">
                            <a:avLst/>
                          </a:prstGeom>
                          <a:noFill/>
                          <a:ln>
                            <a:noFill/>
                          </a:ln>
                        </pic:spPr>
                      </pic:pic>
                    </a:graphicData>
                  </a:graphic>
                </wp:inline>
              </w:drawing>
            </w:r>
          </w:p>
          <w:p w14:paraId="137BFD35">
            <w:pPr>
              <w:widowControl w:val="0"/>
              <w:spacing w:line="360" w:lineRule="auto"/>
              <w:ind w:firstLine="480" w:firstLineChars="200"/>
              <w:rPr>
                <w:color w:val="000000"/>
                <w:sz w:val="24"/>
                <w:szCs w:val="24"/>
                <w:highlight w:val="none"/>
              </w:rPr>
            </w:pPr>
            <w:r>
              <w:rPr>
                <w:rFonts w:hint="eastAsia"/>
                <w:color w:val="000000"/>
                <w:sz w:val="24"/>
                <w:szCs w:val="24"/>
                <w:highlight w:val="none"/>
              </w:rPr>
              <w:t>计算出室外靠近围护结构处的声压级：</w:t>
            </w:r>
          </w:p>
          <w:p w14:paraId="51310A06">
            <w:pPr>
              <w:widowControl w:val="0"/>
              <w:spacing w:before="120" w:beforeLines="50" w:line="360" w:lineRule="auto"/>
              <w:jc w:val="center"/>
              <w:rPr>
                <w:color w:val="000000"/>
                <w:sz w:val="24"/>
                <w:szCs w:val="24"/>
                <w:highlight w:val="none"/>
              </w:rPr>
            </w:pPr>
            <w:r>
              <w:rPr>
                <w:color w:val="000000"/>
                <w:sz w:val="24"/>
                <w:szCs w:val="24"/>
                <w:highlight w:val="none"/>
              </w:rPr>
              <w:drawing>
                <wp:inline distT="0" distB="0" distL="114300" distR="114300">
                  <wp:extent cx="2085975" cy="247650"/>
                  <wp:effectExtent l="0" t="0" r="0" b="12065"/>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26"/>
                          <a:stretch>
                            <a:fillRect/>
                          </a:stretch>
                        </pic:blipFill>
                        <pic:spPr>
                          <a:xfrm>
                            <a:off x="0" y="0"/>
                            <a:ext cx="2085975" cy="247650"/>
                          </a:xfrm>
                          <a:prstGeom prst="rect">
                            <a:avLst/>
                          </a:prstGeom>
                          <a:noFill/>
                          <a:ln>
                            <a:noFill/>
                          </a:ln>
                        </pic:spPr>
                      </pic:pic>
                    </a:graphicData>
                  </a:graphic>
                </wp:inline>
              </w:drawing>
            </w:r>
          </w:p>
          <w:p w14:paraId="48383B59">
            <w:pPr>
              <w:widowControl w:val="0"/>
              <w:spacing w:line="360" w:lineRule="auto"/>
              <w:ind w:firstLine="480" w:firstLineChars="200"/>
              <w:rPr>
                <w:color w:val="000000"/>
                <w:sz w:val="24"/>
                <w:szCs w:val="24"/>
                <w:highlight w:val="none"/>
              </w:rPr>
            </w:pPr>
            <w:r>
              <w:rPr>
                <w:rFonts w:hint="eastAsia"/>
                <w:color w:val="000000"/>
                <w:sz w:val="24"/>
                <w:szCs w:val="24"/>
                <w:highlight w:val="none"/>
              </w:rPr>
              <w:t>将室外声级</w:t>
            </w:r>
            <w:r>
              <w:rPr>
                <w:i/>
                <w:color w:val="000000"/>
                <w:sz w:val="24"/>
                <w:szCs w:val="24"/>
                <w:highlight w:val="none"/>
              </w:rPr>
              <w:t>Lp</w:t>
            </w:r>
            <w:r>
              <w:rPr>
                <w:i/>
                <w:color w:val="000000"/>
                <w:sz w:val="24"/>
                <w:szCs w:val="24"/>
                <w:highlight w:val="none"/>
                <w:vertAlign w:val="subscript"/>
              </w:rPr>
              <w:t>2</w:t>
            </w:r>
            <w:r>
              <w:rPr>
                <w:rFonts w:hint="eastAsia"/>
                <w:i/>
                <w:color w:val="000000"/>
                <w:sz w:val="24"/>
                <w:szCs w:val="24"/>
                <w:highlight w:val="none"/>
              </w:rPr>
              <w:t>（</w:t>
            </w:r>
            <w:r>
              <w:rPr>
                <w:i/>
                <w:color w:val="000000"/>
                <w:sz w:val="24"/>
                <w:szCs w:val="24"/>
                <w:highlight w:val="none"/>
              </w:rPr>
              <w:t>T</w:t>
            </w:r>
            <w:r>
              <w:rPr>
                <w:rFonts w:hint="eastAsia"/>
                <w:i/>
                <w:color w:val="000000"/>
                <w:sz w:val="24"/>
                <w:szCs w:val="24"/>
                <w:highlight w:val="none"/>
              </w:rPr>
              <w:t>）</w:t>
            </w:r>
            <w:r>
              <w:rPr>
                <w:rFonts w:hint="eastAsia"/>
                <w:color w:val="000000"/>
                <w:sz w:val="24"/>
                <w:szCs w:val="24"/>
                <w:highlight w:val="none"/>
              </w:rPr>
              <w:t>和透声面积换算成等效的室外声源，计算出等效声源倍频带的声功率级</w:t>
            </w:r>
            <w:r>
              <w:rPr>
                <w:color w:val="000000"/>
                <w:sz w:val="24"/>
                <w:szCs w:val="24"/>
                <w:highlight w:val="none"/>
              </w:rPr>
              <w:t>Lw</w:t>
            </w:r>
            <w:r>
              <w:rPr>
                <w:rFonts w:hint="eastAsia"/>
                <w:color w:val="000000"/>
                <w:sz w:val="24"/>
                <w:szCs w:val="24"/>
                <w:highlight w:val="none"/>
              </w:rPr>
              <w:t>：</w:t>
            </w:r>
          </w:p>
          <w:p w14:paraId="4F9457BF">
            <w:pPr>
              <w:widowControl w:val="0"/>
              <w:spacing w:before="120" w:beforeLines="50" w:line="360" w:lineRule="auto"/>
              <w:jc w:val="center"/>
              <w:rPr>
                <w:color w:val="000000"/>
                <w:sz w:val="24"/>
                <w:szCs w:val="24"/>
                <w:highlight w:val="none"/>
              </w:rPr>
            </w:pPr>
            <w:r>
              <w:rPr>
                <w:color w:val="000000"/>
                <w:sz w:val="24"/>
                <w:szCs w:val="24"/>
                <w:highlight w:val="none"/>
              </w:rPr>
              <w:drawing>
                <wp:inline distT="0" distB="0" distL="114300" distR="114300">
                  <wp:extent cx="1733550" cy="257175"/>
                  <wp:effectExtent l="0" t="0" r="3810" b="0"/>
                  <wp:docPr id="2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6"/>
                          <pic:cNvPicPr>
                            <a:picLocks noChangeAspect="1"/>
                          </pic:cNvPicPr>
                        </pic:nvPicPr>
                        <pic:blipFill>
                          <a:blip r:embed="rId27"/>
                          <a:stretch>
                            <a:fillRect/>
                          </a:stretch>
                        </pic:blipFill>
                        <pic:spPr>
                          <a:xfrm>
                            <a:off x="0" y="0"/>
                            <a:ext cx="1733550" cy="257175"/>
                          </a:xfrm>
                          <a:prstGeom prst="rect">
                            <a:avLst/>
                          </a:prstGeom>
                          <a:noFill/>
                          <a:ln>
                            <a:noFill/>
                          </a:ln>
                        </pic:spPr>
                      </pic:pic>
                    </a:graphicData>
                  </a:graphic>
                </wp:inline>
              </w:drawing>
            </w:r>
          </w:p>
          <w:p w14:paraId="6CD602EC">
            <w:pPr>
              <w:widowControl w:val="0"/>
              <w:spacing w:line="360" w:lineRule="auto"/>
              <w:rPr>
                <w:color w:val="000000"/>
                <w:sz w:val="24"/>
                <w:szCs w:val="24"/>
                <w:highlight w:val="none"/>
              </w:rPr>
            </w:pPr>
            <w:r>
              <w:rPr>
                <w:rFonts w:hint="eastAsia"/>
                <w:color w:val="000000"/>
                <w:sz w:val="24"/>
                <w:szCs w:val="24"/>
                <w:highlight w:val="none"/>
              </w:rPr>
              <w:t>式中：</w:t>
            </w:r>
            <w:r>
              <w:rPr>
                <w:color w:val="000000"/>
                <w:sz w:val="24"/>
                <w:szCs w:val="24"/>
                <w:highlight w:val="none"/>
              </w:rPr>
              <w:t>S—</w:t>
            </w:r>
            <w:r>
              <w:rPr>
                <w:rFonts w:hint="eastAsia"/>
                <w:color w:val="000000"/>
                <w:sz w:val="24"/>
                <w:szCs w:val="24"/>
                <w:highlight w:val="none"/>
              </w:rPr>
              <w:t>透声面积，</w:t>
            </w:r>
            <w:r>
              <w:rPr>
                <w:color w:val="000000"/>
                <w:sz w:val="24"/>
                <w:szCs w:val="24"/>
                <w:highlight w:val="none"/>
              </w:rPr>
              <w:t>m</w:t>
            </w:r>
            <w:r>
              <w:rPr>
                <w:color w:val="000000"/>
                <w:sz w:val="24"/>
                <w:szCs w:val="24"/>
                <w:highlight w:val="none"/>
                <w:vertAlign w:val="superscript"/>
              </w:rPr>
              <w:t>2</w:t>
            </w:r>
            <w:r>
              <w:rPr>
                <w:rFonts w:hint="eastAsia"/>
                <w:color w:val="000000"/>
                <w:sz w:val="24"/>
                <w:szCs w:val="24"/>
                <w:highlight w:val="none"/>
              </w:rPr>
              <w:t>。</w:t>
            </w:r>
          </w:p>
          <w:p w14:paraId="78E605E2">
            <w:pPr>
              <w:widowControl w:val="0"/>
              <w:spacing w:line="360" w:lineRule="auto"/>
              <w:ind w:firstLine="480" w:firstLineChars="200"/>
              <w:rPr>
                <w:color w:val="000000"/>
                <w:sz w:val="24"/>
                <w:szCs w:val="24"/>
                <w:highlight w:val="none"/>
              </w:rPr>
            </w:pPr>
            <w:r>
              <w:rPr>
                <w:rFonts w:hint="eastAsia"/>
                <w:color w:val="000000"/>
                <w:sz w:val="24"/>
                <w:szCs w:val="24"/>
                <w:highlight w:val="none"/>
              </w:rPr>
              <w:t>然后按室外声源预测方法计算预测点的</w:t>
            </w:r>
            <w:r>
              <w:rPr>
                <w:color w:val="000000"/>
                <w:sz w:val="24"/>
                <w:szCs w:val="24"/>
                <w:highlight w:val="none"/>
              </w:rPr>
              <w:t>A</w:t>
            </w:r>
            <w:r>
              <w:rPr>
                <w:rFonts w:hint="eastAsia"/>
                <w:color w:val="000000"/>
                <w:sz w:val="24"/>
                <w:szCs w:val="24"/>
                <w:highlight w:val="none"/>
              </w:rPr>
              <w:t>声级。</w:t>
            </w:r>
          </w:p>
          <w:p w14:paraId="40EF36D4">
            <w:pPr>
              <w:widowControl w:val="0"/>
              <w:spacing w:line="360" w:lineRule="auto"/>
              <w:ind w:firstLine="480" w:firstLineChars="200"/>
              <w:rPr>
                <w:color w:val="000000"/>
                <w:sz w:val="24"/>
                <w:szCs w:val="24"/>
                <w:highlight w:val="none"/>
              </w:rPr>
            </w:pPr>
            <w:r>
              <w:rPr>
                <w:rFonts w:hint="eastAsia"/>
                <w:color w:val="000000"/>
                <w:sz w:val="24"/>
                <w:szCs w:val="24"/>
                <w:highlight w:val="none"/>
              </w:rPr>
              <w:t>③计算噪声贡献值</w:t>
            </w:r>
          </w:p>
          <w:p w14:paraId="0BC99198">
            <w:pPr>
              <w:widowControl w:val="0"/>
              <w:spacing w:line="360" w:lineRule="auto"/>
              <w:ind w:firstLine="480" w:firstLineChars="200"/>
              <w:rPr>
                <w:color w:val="000000"/>
                <w:sz w:val="24"/>
                <w:szCs w:val="24"/>
                <w:highlight w:val="none"/>
              </w:rPr>
            </w:pPr>
            <w:r>
              <w:rPr>
                <w:rFonts w:hint="eastAsia"/>
                <w:color w:val="000000"/>
                <w:sz w:val="24"/>
                <w:szCs w:val="24"/>
                <w:highlight w:val="none"/>
              </w:rPr>
              <w:t>设第</w:t>
            </w:r>
            <w:r>
              <w:rPr>
                <w:color w:val="000000"/>
                <w:sz w:val="24"/>
                <w:szCs w:val="24"/>
                <w:highlight w:val="none"/>
              </w:rPr>
              <w:t>i</w:t>
            </w:r>
            <w:r>
              <w:rPr>
                <w:rFonts w:hint="eastAsia"/>
                <w:color w:val="000000"/>
                <w:sz w:val="24"/>
                <w:szCs w:val="24"/>
                <w:highlight w:val="none"/>
              </w:rPr>
              <w:t>个室外声源在预测点产生的</w:t>
            </w:r>
            <w:r>
              <w:rPr>
                <w:color w:val="000000"/>
                <w:sz w:val="24"/>
                <w:szCs w:val="24"/>
                <w:highlight w:val="none"/>
              </w:rPr>
              <w:t>A</w:t>
            </w:r>
            <w:r>
              <w:rPr>
                <w:rFonts w:hint="eastAsia"/>
                <w:color w:val="000000"/>
                <w:sz w:val="24"/>
                <w:szCs w:val="24"/>
                <w:highlight w:val="none"/>
              </w:rPr>
              <w:t>声级为</w:t>
            </w:r>
            <w:r>
              <w:rPr>
                <w:color w:val="000000"/>
                <w:sz w:val="24"/>
                <w:szCs w:val="24"/>
                <w:highlight w:val="none"/>
              </w:rPr>
              <w:t>LAi</w:t>
            </w:r>
            <w:r>
              <w:rPr>
                <w:rFonts w:hint="eastAsia"/>
                <w:color w:val="000000"/>
                <w:sz w:val="24"/>
                <w:szCs w:val="24"/>
                <w:highlight w:val="none"/>
              </w:rPr>
              <w:t>，在</w:t>
            </w:r>
            <w:r>
              <w:rPr>
                <w:color w:val="000000"/>
                <w:sz w:val="24"/>
                <w:szCs w:val="24"/>
                <w:highlight w:val="none"/>
              </w:rPr>
              <w:t>T</w:t>
            </w:r>
            <w:r>
              <w:rPr>
                <w:rFonts w:hint="eastAsia"/>
                <w:color w:val="000000"/>
                <w:sz w:val="24"/>
                <w:szCs w:val="24"/>
                <w:highlight w:val="none"/>
              </w:rPr>
              <w:t>时间内该声源工作时间为</w:t>
            </w:r>
            <w:r>
              <w:rPr>
                <w:color w:val="000000"/>
                <w:sz w:val="24"/>
                <w:szCs w:val="24"/>
                <w:highlight w:val="none"/>
              </w:rPr>
              <w:t>ti</w:t>
            </w:r>
            <w:r>
              <w:rPr>
                <w:rFonts w:hint="eastAsia"/>
                <w:color w:val="000000"/>
                <w:sz w:val="24"/>
                <w:szCs w:val="24"/>
                <w:highlight w:val="none"/>
              </w:rPr>
              <w:t>；第</w:t>
            </w:r>
            <w:r>
              <w:rPr>
                <w:color w:val="000000"/>
                <w:sz w:val="24"/>
                <w:szCs w:val="24"/>
                <w:highlight w:val="none"/>
              </w:rPr>
              <w:t>j</w:t>
            </w:r>
            <w:r>
              <w:rPr>
                <w:rFonts w:hint="eastAsia"/>
                <w:color w:val="000000"/>
                <w:sz w:val="24"/>
                <w:szCs w:val="24"/>
                <w:highlight w:val="none"/>
              </w:rPr>
              <w:t>个等效室外声源在预测点产生的</w:t>
            </w:r>
            <w:r>
              <w:rPr>
                <w:color w:val="000000"/>
                <w:sz w:val="24"/>
                <w:szCs w:val="24"/>
                <w:highlight w:val="none"/>
              </w:rPr>
              <w:t>A</w:t>
            </w:r>
            <w:r>
              <w:rPr>
                <w:rFonts w:hint="eastAsia"/>
                <w:color w:val="000000"/>
                <w:sz w:val="24"/>
                <w:szCs w:val="24"/>
                <w:highlight w:val="none"/>
              </w:rPr>
              <w:t>声级为</w:t>
            </w:r>
            <w:r>
              <w:rPr>
                <w:color w:val="000000"/>
                <w:sz w:val="24"/>
                <w:szCs w:val="24"/>
                <w:highlight w:val="none"/>
              </w:rPr>
              <w:t>LAj</w:t>
            </w:r>
            <w:r>
              <w:rPr>
                <w:rFonts w:hint="eastAsia"/>
                <w:color w:val="000000"/>
                <w:sz w:val="24"/>
                <w:szCs w:val="24"/>
                <w:highlight w:val="none"/>
              </w:rPr>
              <w:t>，在</w:t>
            </w:r>
            <w:r>
              <w:rPr>
                <w:color w:val="000000"/>
                <w:sz w:val="24"/>
                <w:szCs w:val="24"/>
                <w:highlight w:val="none"/>
              </w:rPr>
              <w:t>T</w:t>
            </w:r>
            <w:r>
              <w:rPr>
                <w:rFonts w:hint="eastAsia"/>
                <w:color w:val="000000"/>
                <w:sz w:val="24"/>
                <w:szCs w:val="24"/>
                <w:highlight w:val="none"/>
              </w:rPr>
              <w:t>时间内该声源工作时间为</w:t>
            </w:r>
            <w:r>
              <w:rPr>
                <w:color w:val="000000"/>
                <w:sz w:val="24"/>
                <w:szCs w:val="24"/>
                <w:highlight w:val="none"/>
              </w:rPr>
              <w:t>tj</w:t>
            </w:r>
            <w:r>
              <w:rPr>
                <w:rFonts w:hint="eastAsia"/>
                <w:color w:val="000000"/>
                <w:sz w:val="24"/>
                <w:szCs w:val="24"/>
                <w:highlight w:val="none"/>
              </w:rPr>
              <w:t>，则预测点产生的贡献值为：</w:t>
            </w:r>
          </w:p>
          <w:p w14:paraId="6A24FD2A">
            <w:pPr>
              <w:widowControl w:val="0"/>
              <w:spacing w:before="240" w:beforeLines="100" w:line="360" w:lineRule="auto"/>
              <w:jc w:val="center"/>
              <w:rPr>
                <w:color w:val="000000"/>
                <w:sz w:val="24"/>
                <w:szCs w:val="24"/>
                <w:highlight w:val="none"/>
              </w:rPr>
            </w:pPr>
            <w:r>
              <w:rPr>
                <w:color w:val="000000"/>
                <w:sz w:val="24"/>
                <w:szCs w:val="24"/>
                <w:highlight w:val="none"/>
              </w:rPr>
              <w:drawing>
                <wp:inline distT="0" distB="0" distL="114300" distR="114300">
                  <wp:extent cx="2295525" cy="381000"/>
                  <wp:effectExtent l="0" t="0" r="0" b="0"/>
                  <wp:docPr id="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pic:cNvPicPr>
                            <a:picLocks noChangeAspect="1"/>
                          </pic:cNvPicPr>
                        </pic:nvPicPr>
                        <pic:blipFill>
                          <a:blip r:embed="rId28"/>
                          <a:stretch>
                            <a:fillRect/>
                          </a:stretch>
                        </pic:blipFill>
                        <pic:spPr>
                          <a:xfrm>
                            <a:off x="0" y="0"/>
                            <a:ext cx="2295525" cy="381000"/>
                          </a:xfrm>
                          <a:prstGeom prst="rect">
                            <a:avLst/>
                          </a:prstGeom>
                          <a:noFill/>
                          <a:ln>
                            <a:noFill/>
                          </a:ln>
                        </pic:spPr>
                      </pic:pic>
                    </a:graphicData>
                  </a:graphic>
                </wp:inline>
              </w:drawing>
            </w:r>
          </w:p>
          <w:p w14:paraId="5BD1F57F">
            <w:pPr>
              <w:widowControl w:val="0"/>
              <w:spacing w:line="360" w:lineRule="auto"/>
              <w:rPr>
                <w:color w:val="000000"/>
                <w:sz w:val="24"/>
                <w:szCs w:val="24"/>
                <w:highlight w:val="none"/>
              </w:rPr>
            </w:pPr>
            <w:r>
              <w:rPr>
                <w:rFonts w:hint="eastAsia"/>
                <w:color w:val="000000"/>
                <w:sz w:val="24"/>
                <w:szCs w:val="24"/>
                <w:highlight w:val="none"/>
              </w:rPr>
              <w:t>式中：</w:t>
            </w:r>
            <w:r>
              <w:rPr>
                <w:i/>
                <w:color w:val="000000"/>
                <w:sz w:val="24"/>
                <w:szCs w:val="24"/>
                <w:highlight w:val="none"/>
              </w:rPr>
              <w:t>T—</w:t>
            </w:r>
            <w:r>
              <w:rPr>
                <w:rFonts w:hint="eastAsia"/>
                <w:color w:val="000000"/>
                <w:sz w:val="24"/>
                <w:szCs w:val="24"/>
                <w:highlight w:val="none"/>
              </w:rPr>
              <w:t>计算等效声级的时间；</w:t>
            </w:r>
          </w:p>
          <w:p w14:paraId="1B4945D5">
            <w:pPr>
              <w:widowControl w:val="0"/>
              <w:spacing w:line="360" w:lineRule="auto"/>
              <w:ind w:firstLine="720" w:firstLineChars="300"/>
              <w:rPr>
                <w:color w:val="000000"/>
                <w:sz w:val="24"/>
                <w:szCs w:val="24"/>
                <w:highlight w:val="none"/>
              </w:rPr>
            </w:pPr>
            <w:r>
              <w:rPr>
                <w:i/>
                <w:color w:val="000000"/>
                <w:sz w:val="24"/>
                <w:szCs w:val="24"/>
                <w:highlight w:val="none"/>
              </w:rPr>
              <w:t>N—</w:t>
            </w:r>
            <w:r>
              <w:rPr>
                <w:rFonts w:hint="eastAsia"/>
                <w:color w:val="000000"/>
                <w:sz w:val="24"/>
                <w:szCs w:val="24"/>
                <w:highlight w:val="none"/>
              </w:rPr>
              <w:t>室外声源个数；</w:t>
            </w:r>
          </w:p>
          <w:p w14:paraId="149384C9">
            <w:pPr>
              <w:widowControl w:val="0"/>
              <w:spacing w:line="360" w:lineRule="auto"/>
              <w:ind w:firstLine="720" w:firstLineChars="300"/>
              <w:rPr>
                <w:color w:val="000000"/>
                <w:sz w:val="24"/>
                <w:szCs w:val="24"/>
                <w:highlight w:val="none"/>
              </w:rPr>
            </w:pPr>
            <w:r>
              <w:rPr>
                <w:i/>
                <w:color w:val="000000"/>
                <w:sz w:val="24"/>
                <w:szCs w:val="24"/>
                <w:highlight w:val="none"/>
              </w:rPr>
              <w:t>M—</w:t>
            </w:r>
            <w:r>
              <w:rPr>
                <w:rFonts w:hint="eastAsia"/>
                <w:color w:val="000000"/>
                <w:sz w:val="24"/>
                <w:szCs w:val="24"/>
                <w:highlight w:val="none"/>
              </w:rPr>
              <w:t>等效室外声源个数。</w:t>
            </w:r>
          </w:p>
          <w:p w14:paraId="0C3D2DC9">
            <w:pPr>
              <w:widowControl w:val="0"/>
              <w:spacing w:line="360" w:lineRule="auto"/>
              <w:ind w:firstLine="480" w:firstLineChars="200"/>
              <w:rPr>
                <w:color w:val="000000"/>
                <w:sz w:val="24"/>
                <w:szCs w:val="24"/>
                <w:highlight w:val="none"/>
              </w:rPr>
            </w:pPr>
            <w:r>
              <w:rPr>
                <w:rFonts w:hint="eastAsia"/>
                <w:color w:val="000000"/>
                <w:sz w:val="24"/>
                <w:szCs w:val="24"/>
                <w:highlight w:val="none"/>
              </w:rPr>
              <w:t>④预测值计算</w:t>
            </w:r>
          </w:p>
          <w:p w14:paraId="6E979A6E">
            <w:pPr>
              <w:widowControl w:val="0"/>
              <w:spacing w:line="360" w:lineRule="auto"/>
              <w:ind w:firstLine="480" w:firstLineChars="200"/>
              <w:rPr>
                <w:color w:val="000000"/>
                <w:sz w:val="24"/>
                <w:szCs w:val="24"/>
                <w:highlight w:val="none"/>
              </w:rPr>
            </w:pPr>
            <w:r>
              <w:rPr>
                <w:rFonts w:hint="eastAsia"/>
                <w:color w:val="000000"/>
                <w:sz w:val="24"/>
                <w:szCs w:val="24"/>
                <w:highlight w:val="none"/>
              </w:rPr>
              <w:t>预测点的预测等效声级（</w:t>
            </w:r>
            <w:r>
              <w:rPr>
                <w:color w:val="000000"/>
                <w:sz w:val="24"/>
                <w:szCs w:val="24"/>
                <w:highlight w:val="none"/>
              </w:rPr>
              <w:t>Leq</w:t>
            </w:r>
            <w:r>
              <w:rPr>
                <w:rFonts w:hint="eastAsia"/>
                <w:color w:val="000000"/>
                <w:sz w:val="24"/>
                <w:szCs w:val="24"/>
                <w:highlight w:val="none"/>
              </w:rPr>
              <w:t>）计算公式：</w:t>
            </w:r>
          </w:p>
          <w:p w14:paraId="7F0228F0">
            <w:pPr>
              <w:widowControl w:val="0"/>
              <w:spacing w:before="120" w:beforeLines="50" w:line="360" w:lineRule="auto"/>
              <w:jc w:val="center"/>
              <w:rPr>
                <w:color w:val="000000"/>
                <w:sz w:val="24"/>
                <w:szCs w:val="24"/>
                <w:highlight w:val="none"/>
              </w:rPr>
            </w:pPr>
            <w:r>
              <w:rPr>
                <w:color w:val="000000"/>
                <w:sz w:val="24"/>
                <w:szCs w:val="24"/>
                <w:highlight w:val="none"/>
              </w:rPr>
              <w:drawing>
                <wp:inline distT="0" distB="0" distL="114300" distR="114300">
                  <wp:extent cx="1971675" cy="295275"/>
                  <wp:effectExtent l="0" t="0" r="9525" b="0"/>
                  <wp:docPr id="2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8"/>
                          <pic:cNvPicPr>
                            <a:picLocks noChangeAspect="1"/>
                          </pic:cNvPicPr>
                        </pic:nvPicPr>
                        <pic:blipFill>
                          <a:blip r:embed="rId29"/>
                          <a:stretch>
                            <a:fillRect/>
                          </a:stretch>
                        </pic:blipFill>
                        <pic:spPr>
                          <a:xfrm>
                            <a:off x="0" y="0"/>
                            <a:ext cx="1971675" cy="295275"/>
                          </a:xfrm>
                          <a:prstGeom prst="rect">
                            <a:avLst/>
                          </a:prstGeom>
                          <a:noFill/>
                          <a:ln>
                            <a:noFill/>
                          </a:ln>
                        </pic:spPr>
                      </pic:pic>
                    </a:graphicData>
                  </a:graphic>
                </wp:inline>
              </w:drawing>
            </w:r>
          </w:p>
          <w:p w14:paraId="24AC42C3">
            <w:pPr>
              <w:widowControl w:val="0"/>
              <w:spacing w:line="360" w:lineRule="auto"/>
              <w:rPr>
                <w:color w:val="000000"/>
                <w:sz w:val="24"/>
                <w:szCs w:val="24"/>
                <w:highlight w:val="none"/>
              </w:rPr>
            </w:pPr>
            <w:r>
              <w:rPr>
                <w:rFonts w:hint="eastAsia"/>
                <w:color w:val="000000"/>
                <w:sz w:val="24"/>
                <w:szCs w:val="24"/>
                <w:highlight w:val="none"/>
              </w:rPr>
              <w:t>式中：</w:t>
            </w:r>
            <w:r>
              <w:rPr>
                <w:i/>
                <w:color w:val="000000"/>
                <w:sz w:val="24"/>
                <w:szCs w:val="24"/>
                <w:highlight w:val="none"/>
              </w:rPr>
              <w:t>Leqg</w:t>
            </w:r>
            <w:r>
              <w:rPr>
                <w:color w:val="000000"/>
                <w:sz w:val="24"/>
                <w:szCs w:val="24"/>
                <w:highlight w:val="none"/>
              </w:rPr>
              <w:t>—</w:t>
            </w:r>
            <w:r>
              <w:rPr>
                <w:rFonts w:hint="eastAsia"/>
                <w:color w:val="000000"/>
                <w:sz w:val="24"/>
                <w:szCs w:val="24"/>
                <w:highlight w:val="none"/>
              </w:rPr>
              <w:t>建设项目声源在预测点的等效声级贡献值，</w:t>
            </w:r>
            <w:r>
              <w:rPr>
                <w:color w:val="000000"/>
                <w:sz w:val="24"/>
                <w:szCs w:val="24"/>
                <w:highlight w:val="none"/>
              </w:rPr>
              <w:t>dB</w:t>
            </w:r>
            <w:r>
              <w:rPr>
                <w:rFonts w:hint="eastAsia"/>
                <w:color w:val="000000"/>
                <w:sz w:val="24"/>
                <w:szCs w:val="24"/>
                <w:highlight w:val="none"/>
              </w:rPr>
              <w:t>（</w:t>
            </w:r>
            <w:r>
              <w:rPr>
                <w:color w:val="000000"/>
                <w:sz w:val="24"/>
                <w:szCs w:val="24"/>
                <w:highlight w:val="none"/>
              </w:rPr>
              <w:t>A</w:t>
            </w:r>
            <w:r>
              <w:rPr>
                <w:rFonts w:hint="eastAsia"/>
                <w:color w:val="000000"/>
                <w:sz w:val="24"/>
                <w:szCs w:val="24"/>
                <w:highlight w:val="none"/>
              </w:rPr>
              <w:t>）；</w:t>
            </w:r>
          </w:p>
          <w:p w14:paraId="674DFE56">
            <w:pPr>
              <w:widowControl w:val="0"/>
              <w:spacing w:line="360" w:lineRule="auto"/>
              <w:ind w:firstLine="720" w:firstLineChars="300"/>
              <w:rPr>
                <w:color w:val="000000"/>
                <w:sz w:val="24"/>
                <w:szCs w:val="24"/>
                <w:highlight w:val="none"/>
              </w:rPr>
            </w:pPr>
            <w:r>
              <w:rPr>
                <w:i/>
                <w:color w:val="000000"/>
                <w:sz w:val="24"/>
                <w:szCs w:val="24"/>
                <w:highlight w:val="none"/>
              </w:rPr>
              <w:t>Leqb</w:t>
            </w:r>
            <w:r>
              <w:rPr>
                <w:color w:val="000000"/>
                <w:sz w:val="24"/>
                <w:szCs w:val="24"/>
                <w:highlight w:val="none"/>
              </w:rPr>
              <w:t>—</w:t>
            </w:r>
            <w:r>
              <w:rPr>
                <w:rFonts w:hint="eastAsia"/>
                <w:color w:val="000000"/>
                <w:sz w:val="24"/>
                <w:szCs w:val="24"/>
                <w:highlight w:val="none"/>
              </w:rPr>
              <w:t>预测点的背景值，</w:t>
            </w:r>
            <w:r>
              <w:rPr>
                <w:color w:val="000000"/>
                <w:sz w:val="24"/>
                <w:szCs w:val="24"/>
                <w:highlight w:val="none"/>
              </w:rPr>
              <w:t>dB</w:t>
            </w:r>
            <w:r>
              <w:rPr>
                <w:rFonts w:hint="eastAsia"/>
                <w:color w:val="000000"/>
                <w:sz w:val="24"/>
                <w:szCs w:val="24"/>
                <w:highlight w:val="none"/>
              </w:rPr>
              <w:t>（</w:t>
            </w:r>
            <w:r>
              <w:rPr>
                <w:color w:val="000000"/>
                <w:sz w:val="24"/>
                <w:szCs w:val="24"/>
                <w:highlight w:val="none"/>
              </w:rPr>
              <w:t>A</w:t>
            </w:r>
            <w:r>
              <w:rPr>
                <w:rFonts w:hint="eastAsia"/>
                <w:color w:val="000000"/>
                <w:sz w:val="24"/>
                <w:szCs w:val="24"/>
                <w:highlight w:val="none"/>
              </w:rPr>
              <w:t>）。</w:t>
            </w:r>
          </w:p>
          <w:p w14:paraId="4DE35665">
            <w:pPr>
              <w:widowControl w:val="0"/>
              <w:spacing w:line="360" w:lineRule="auto"/>
              <w:ind w:firstLine="720" w:firstLineChars="300"/>
              <w:rPr>
                <w:rFonts w:hint="eastAsia"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lang w:eastAsia="zh-CN"/>
              </w:rPr>
              <w:t>（</w:t>
            </w:r>
            <w:r>
              <w:rPr>
                <w:rFonts w:hint="eastAsia" w:ascii="Times New Roman" w:hAnsi="Times New Roman" w:eastAsia="宋体" w:cs="Times New Roman"/>
                <w:color w:val="000000"/>
                <w:sz w:val="24"/>
                <w:szCs w:val="24"/>
                <w:highlight w:val="none"/>
                <w:lang w:val="en-US" w:eastAsia="zh-CN"/>
              </w:rPr>
              <w:t>3</w:t>
            </w:r>
            <w:r>
              <w:rPr>
                <w:rFonts w:hint="eastAsia" w:ascii="Times New Roman" w:hAnsi="Times New Roman" w:eastAsia="宋体" w:cs="Times New Roman"/>
                <w:color w:val="000000"/>
                <w:sz w:val="24"/>
                <w:szCs w:val="24"/>
                <w:highlight w:val="none"/>
                <w:lang w:eastAsia="zh-CN"/>
              </w:rPr>
              <w:t>）</w:t>
            </w:r>
            <w:r>
              <w:rPr>
                <w:rFonts w:hint="eastAsia" w:ascii="Times New Roman" w:hAnsi="Times New Roman" w:eastAsia="宋体" w:cs="Times New Roman"/>
                <w:color w:val="000000"/>
                <w:sz w:val="24"/>
                <w:szCs w:val="24"/>
                <w:highlight w:val="none"/>
              </w:rPr>
              <w:t>预测结果</w:t>
            </w:r>
          </w:p>
          <w:p w14:paraId="6B8095D6">
            <w:pPr>
              <w:widowControl w:val="0"/>
              <w:spacing w:line="360" w:lineRule="auto"/>
              <w:ind w:firstLine="480" w:firstLineChars="200"/>
              <w:rPr>
                <w:color w:val="000000"/>
                <w:sz w:val="24"/>
                <w:szCs w:val="24"/>
                <w:highlight w:val="none"/>
              </w:rPr>
            </w:pPr>
            <w:r>
              <w:rPr>
                <w:rFonts w:hint="eastAsia"/>
                <w:color w:val="000000"/>
                <w:sz w:val="24"/>
                <w:szCs w:val="24"/>
                <w:highlight w:val="none"/>
              </w:rPr>
              <w:t>根据本项目主要噪声源的声学参数、声源分布及声源防治措施，对项目运行后的厂界噪声进行预测计算。</w:t>
            </w:r>
          </w:p>
          <w:p w14:paraId="289B0F4A">
            <w:pPr>
              <w:widowControl w:val="0"/>
              <w:spacing w:line="360" w:lineRule="auto"/>
              <w:jc w:val="center"/>
              <w:rPr>
                <w:b/>
                <w:color w:val="000000"/>
                <w:sz w:val="21"/>
                <w:szCs w:val="21"/>
                <w:highlight w:val="none"/>
              </w:rPr>
            </w:pPr>
            <w:r>
              <w:rPr>
                <w:rFonts w:hint="eastAsia"/>
                <w:b/>
                <w:color w:val="000000"/>
                <w:sz w:val="21"/>
                <w:szCs w:val="21"/>
                <w:highlight w:val="none"/>
              </w:rPr>
              <w:t>表</w:t>
            </w:r>
            <w:r>
              <w:rPr>
                <w:b/>
                <w:color w:val="000000"/>
                <w:sz w:val="21"/>
                <w:szCs w:val="21"/>
                <w:highlight w:val="none"/>
              </w:rPr>
              <w:t>4-</w:t>
            </w:r>
            <w:r>
              <w:rPr>
                <w:rFonts w:hint="eastAsia"/>
                <w:b/>
                <w:color w:val="000000"/>
                <w:sz w:val="21"/>
                <w:szCs w:val="21"/>
                <w:highlight w:val="none"/>
                <w:lang w:val="en-US" w:eastAsia="zh-CN"/>
              </w:rPr>
              <w:t xml:space="preserve">4 </w:t>
            </w:r>
            <w:r>
              <w:rPr>
                <w:b/>
                <w:color w:val="000000"/>
                <w:sz w:val="21"/>
                <w:szCs w:val="21"/>
                <w:highlight w:val="none"/>
              </w:rPr>
              <w:t xml:space="preserve">  </w:t>
            </w:r>
            <w:r>
              <w:rPr>
                <w:rFonts w:hint="eastAsia"/>
                <w:b/>
                <w:color w:val="000000"/>
                <w:sz w:val="21"/>
                <w:szCs w:val="21"/>
                <w:highlight w:val="none"/>
                <w:lang w:val="en-US" w:eastAsia="zh-CN"/>
              </w:rPr>
              <w:t>厂界</w:t>
            </w:r>
            <w:r>
              <w:rPr>
                <w:rFonts w:hint="eastAsia"/>
                <w:b/>
                <w:color w:val="000000"/>
                <w:sz w:val="21"/>
                <w:szCs w:val="21"/>
                <w:highlight w:val="none"/>
              </w:rPr>
              <w:t xml:space="preserve">噪声预测结果 </w:t>
            </w:r>
            <w:r>
              <w:rPr>
                <w:rFonts w:hint="eastAsia"/>
                <w:b/>
                <w:color w:val="000000"/>
                <w:sz w:val="21"/>
                <w:szCs w:val="21"/>
                <w:highlight w:val="none"/>
                <w:lang w:val="en-US" w:eastAsia="zh-CN"/>
              </w:rPr>
              <w:t xml:space="preserve"> </w:t>
            </w:r>
            <w:r>
              <w:rPr>
                <w:rFonts w:hint="eastAsia"/>
                <w:b/>
                <w:color w:val="000000"/>
                <w:sz w:val="21"/>
                <w:szCs w:val="21"/>
                <w:highlight w:val="none"/>
              </w:rPr>
              <w:t xml:space="preserve"> 单位：</w:t>
            </w:r>
            <w:r>
              <w:rPr>
                <w:b/>
                <w:color w:val="000000"/>
                <w:sz w:val="21"/>
                <w:szCs w:val="21"/>
                <w:highlight w:val="none"/>
              </w:rPr>
              <w:t>dB</w:t>
            </w:r>
            <w:r>
              <w:rPr>
                <w:rFonts w:hint="eastAsia"/>
                <w:b/>
                <w:color w:val="000000"/>
                <w:sz w:val="21"/>
                <w:szCs w:val="21"/>
                <w:highlight w:val="none"/>
              </w:rPr>
              <w:t>（</w:t>
            </w:r>
            <w:r>
              <w:rPr>
                <w:b/>
                <w:color w:val="000000"/>
                <w:sz w:val="21"/>
                <w:szCs w:val="21"/>
                <w:highlight w:val="none"/>
              </w:rPr>
              <w:t>A</w:t>
            </w:r>
            <w:r>
              <w:rPr>
                <w:rFonts w:hint="eastAsia"/>
                <w:b/>
                <w:color w:val="000000"/>
                <w:sz w:val="21"/>
                <w:szCs w:val="21"/>
                <w:highlight w:val="none"/>
              </w:rPr>
              <w:t>）</w:t>
            </w:r>
          </w:p>
          <w:tbl>
            <w:tblPr>
              <w:tblStyle w:val="19"/>
              <w:tblW w:w="79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24"/>
              <w:gridCol w:w="1497"/>
              <w:gridCol w:w="1252"/>
              <w:gridCol w:w="1254"/>
              <w:gridCol w:w="1254"/>
              <w:gridCol w:w="1254"/>
            </w:tblGrid>
            <w:tr w14:paraId="7E649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73" w:hRule="atLeast"/>
                <w:jc w:val="center"/>
              </w:trPr>
              <w:tc>
                <w:tcPr>
                  <w:tcW w:w="897" w:type="pct"/>
                  <w:tcBorders>
                    <w:tl2br w:val="nil"/>
                    <w:tr2bl w:val="nil"/>
                  </w:tcBorders>
                  <w:noWrap w:val="0"/>
                  <w:tcMar>
                    <w:top w:w="28" w:type="dxa"/>
                    <w:left w:w="28" w:type="dxa"/>
                    <w:bottom w:w="28" w:type="dxa"/>
                    <w:right w:w="28" w:type="dxa"/>
                  </w:tcMar>
                  <w:vAlign w:val="center"/>
                </w:tcPr>
                <w:p w14:paraId="3D77B080">
                  <w:pPr>
                    <w:widowControl w:val="0"/>
                    <w:adjustRightInd w:val="0"/>
                    <w:snapToGrid w:val="0"/>
                    <w:jc w:val="center"/>
                    <w:rPr>
                      <w:rFonts w:hint="eastAsia" w:eastAsia="宋体"/>
                      <w:color w:val="000000"/>
                      <w:sz w:val="21"/>
                      <w:szCs w:val="21"/>
                      <w:highlight w:val="none"/>
                      <w:lang w:eastAsia="zh-CN"/>
                    </w:rPr>
                  </w:pPr>
                  <w:r>
                    <w:rPr>
                      <w:rFonts w:hint="eastAsia"/>
                      <w:color w:val="000000"/>
                      <w:sz w:val="21"/>
                      <w:szCs w:val="21"/>
                      <w:highlight w:val="none"/>
                      <w:lang w:val="en-US" w:eastAsia="zh-CN"/>
                    </w:rPr>
                    <w:t>接收点</w:t>
                  </w:r>
                </w:p>
              </w:tc>
              <w:tc>
                <w:tcPr>
                  <w:tcW w:w="943" w:type="pct"/>
                  <w:tcBorders>
                    <w:tl2br w:val="nil"/>
                    <w:tr2bl w:val="nil"/>
                  </w:tcBorders>
                  <w:noWrap w:val="0"/>
                  <w:tcMar>
                    <w:top w:w="28" w:type="dxa"/>
                    <w:left w:w="28" w:type="dxa"/>
                    <w:bottom w:w="28" w:type="dxa"/>
                    <w:right w:w="28" w:type="dxa"/>
                  </w:tcMar>
                  <w:vAlign w:val="center"/>
                </w:tcPr>
                <w:p w14:paraId="5E9075A7">
                  <w:pPr>
                    <w:widowControl w:val="0"/>
                    <w:adjustRightInd w:val="0"/>
                    <w:snapToGrid w:val="0"/>
                    <w:jc w:val="center"/>
                    <w:rPr>
                      <w:rFonts w:hint="eastAsia" w:eastAsia="宋体"/>
                      <w:color w:val="000000"/>
                      <w:sz w:val="21"/>
                      <w:szCs w:val="21"/>
                      <w:highlight w:val="none"/>
                      <w:lang w:val="en-US" w:eastAsia="zh-CN"/>
                    </w:rPr>
                  </w:pPr>
                  <w:r>
                    <w:rPr>
                      <w:rFonts w:hint="eastAsia"/>
                      <w:color w:val="000000"/>
                      <w:sz w:val="21"/>
                      <w:szCs w:val="21"/>
                      <w:highlight w:val="none"/>
                      <w:lang w:val="en-US" w:eastAsia="zh-CN"/>
                    </w:rPr>
                    <w:t>接收点高度（m）</w:t>
                  </w:r>
                </w:p>
              </w:tc>
              <w:tc>
                <w:tcPr>
                  <w:tcW w:w="788" w:type="pct"/>
                  <w:tcBorders>
                    <w:tl2br w:val="nil"/>
                    <w:tr2bl w:val="nil"/>
                  </w:tcBorders>
                  <w:noWrap w:val="0"/>
                  <w:tcMar>
                    <w:top w:w="28" w:type="dxa"/>
                    <w:left w:w="28" w:type="dxa"/>
                    <w:bottom w:w="28" w:type="dxa"/>
                    <w:right w:w="28" w:type="dxa"/>
                  </w:tcMar>
                  <w:vAlign w:val="center"/>
                </w:tcPr>
                <w:p w14:paraId="629687BC">
                  <w:pPr>
                    <w:widowControl w:val="0"/>
                    <w:adjustRightInd w:val="0"/>
                    <w:snapToGrid w:val="0"/>
                    <w:jc w:val="center"/>
                    <w:rPr>
                      <w:rFonts w:hint="eastAsia"/>
                      <w:color w:val="000000"/>
                      <w:sz w:val="21"/>
                      <w:szCs w:val="21"/>
                      <w:highlight w:val="none"/>
                      <w:lang w:val="en-US" w:eastAsia="zh-CN"/>
                    </w:rPr>
                  </w:pPr>
                  <w:r>
                    <w:rPr>
                      <w:rFonts w:hint="eastAsia"/>
                      <w:color w:val="000000"/>
                      <w:sz w:val="21"/>
                      <w:szCs w:val="21"/>
                      <w:highlight w:val="none"/>
                      <w:lang w:val="en-US" w:eastAsia="zh-CN"/>
                    </w:rPr>
                    <w:t>贡献值</w:t>
                  </w:r>
                </w:p>
              </w:tc>
              <w:tc>
                <w:tcPr>
                  <w:tcW w:w="790" w:type="pct"/>
                  <w:tcBorders>
                    <w:tl2br w:val="nil"/>
                    <w:tr2bl w:val="nil"/>
                  </w:tcBorders>
                  <w:noWrap w:val="0"/>
                  <w:tcMar>
                    <w:top w:w="28" w:type="dxa"/>
                    <w:left w:w="28" w:type="dxa"/>
                    <w:bottom w:w="28" w:type="dxa"/>
                    <w:right w:w="28" w:type="dxa"/>
                  </w:tcMar>
                  <w:vAlign w:val="center"/>
                </w:tcPr>
                <w:p w14:paraId="6163E9BB">
                  <w:pPr>
                    <w:widowControl w:val="0"/>
                    <w:adjustRightInd w:val="0"/>
                    <w:snapToGrid w:val="0"/>
                    <w:jc w:val="center"/>
                    <w:rPr>
                      <w:rFonts w:hint="default"/>
                      <w:color w:val="000000"/>
                      <w:sz w:val="21"/>
                      <w:szCs w:val="21"/>
                      <w:highlight w:val="none"/>
                      <w:lang w:val="en-US" w:eastAsia="zh-CN"/>
                    </w:rPr>
                  </w:pPr>
                  <w:r>
                    <w:rPr>
                      <w:rFonts w:hint="eastAsia"/>
                      <w:color w:val="000000"/>
                      <w:sz w:val="21"/>
                      <w:szCs w:val="21"/>
                      <w:highlight w:val="none"/>
                      <w:lang w:val="en-US" w:eastAsia="zh-CN"/>
                    </w:rPr>
                    <w:t>预测值</w:t>
                  </w:r>
                </w:p>
              </w:tc>
              <w:tc>
                <w:tcPr>
                  <w:tcW w:w="790" w:type="pct"/>
                  <w:tcBorders>
                    <w:tl2br w:val="nil"/>
                    <w:tr2bl w:val="nil"/>
                  </w:tcBorders>
                  <w:noWrap w:val="0"/>
                  <w:tcMar>
                    <w:top w:w="28" w:type="dxa"/>
                    <w:left w:w="28" w:type="dxa"/>
                    <w:bottom w:w="28" w:type="dxa"/>
                    <w:right w:w="28" w:type="dxa"/>
                  </w:tcMar>
                  <w:vAlign w:val="center"/>
                </w:tcPr>
                <w:p w14:paraId="2A6C6433">
                  <w:pPr>
                    <w:widowControl w:val="0"/>
                    <w:adjustRightInd w:val="0"/>
                    <w:snapToGrid w:val="0"/>
                    <w:jc w:val="center"/>
                    <w:rPr>
                      <w:rFonts w:hint="default"/>
                      <w:color w:val="000000"/>
                      <w:sz w:val="21"/>
                      <w:szCs w:val="21"/>
                      <w:highlight w:val="none"/>
                      <w:lang w:val="en-US" w:eastAsia="zh-CN"/>
                    </w:rPr>
                  </w:pPr>
                  <w:r>
                    <w:rPr>
                      <w:rFonts w:hint="eastAsia"/>
                      <w:color w:val="000000"/>
                      <w:sz w:val="21"/>
                      <w:szCs w:val="21"/>
                      <w:highlight w:val="none"/>
                      <w:lang w:val="en-US" w:eastAsia="zh-CN"/>
                    </w:rPr>
                    <w:t>背景值</w:t>
                  </w:r>
                </w:p>
              </w:tc>
              <w:tc>
                <w:tcPr>
                  <w:tcW w:w="790" w:type="pct"/>
                  <w:tcBorders>
                    <w:tl2br w:val="nil"/>
                    <w:tr2bl w:val="nil"/>
                  </w:tcBorders>
                  <w:noWrap w:val="0"/>
                  <w:tcMar>
                    <w:top w:w="28" w:type="dxa"/>
                    <w:left w:w="28" w:type="dxa"/>
                    <w:bottom w:w="28" w:type="dxa"/>
                    <w:right w:w="28" w:type="dxa"/>
                  </w:tcMar>
                  <w:vAlign w:val="center"/>
                </w:tcPr>
                <w:p w14:paraId="5DB2B4D8">
                  <w:pPr>
                    <w:widowControl w:val="0"/>
                    <w:adjustRightInd w:val="0"/>
                    <w:snapToGrid w:val="0"/>
                    <w:jc w:val="center"/>
                    <w:rPr>
                      <w:rFonts w:hint="default"/>
                      <w:color w:val="000000"/>
                      <w:sz w:val="21"/>
                      <w:szCs w:val="21"/>
                      <w:highlight w:val="none"/>
                      <w:lang w:val="en-US" w:eastAsia="zh-CN"/>
                    </w:rPr>
                  </w:pPr>
                  <w:r>
                    <w:rPr>
                      <w:rFonts w:hint="eastAsia"/>
                      <w:color w:val="000000"/>
                      <w:sz w:val="21"/>
                      <w:szCs w:val="21"/>
                      <w:highlight w:val="none"/>
                      <w:lang w:val="en-US" w:eastAsia="zh-CN"/>
                    </w:rPr>
                    <w:t>达标情况</w:t>
                  </w:r>
                </w:p>
              </w:tc>
            </w:tr>
            <w:tr w14:paraId="60956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1" w:hRule="atLeast"/>
                <w:jc w:val="center"/>
              </w:trPr>
              <w:tc>
                <w:tcPr>
                  <w:tcW w:w="897" w:type="pct"/>
                  <w:tcBorders>
                    <w:tl2br w:val="nil"/>
                    <w:tr2bl w:val="nil"/>
                  </w:tcBorders>
                  <w:noWrap w:val="0"/>
                  <w:tcMar>
                    <w:top w:w="28" w:type="dxa"/>
                    <w:left w:w="28" w:type="dxa"/>
                    <w:bottom w:w="28" w:type="dxa"/>
                    <w:right w:w="28" w:type="dxa"/>
                  </w:tcMar>
                  <w:vAlign w:val="center"/>
                </w:tcPr>
                <w:p w14:paraId="76E24CEC">
                  <w:pPr>
                    <w:jc w:val="center"/>
                    <w:rPr>
                      <w:rFonts w:hint="default" w:eastAsia="宋体"/>
                      <w:color w:val="000000"/>
                      <w:sz w:val="21"/>
                      <w:szCs w:val="21"/>
                      <w:highlight w:val="none"/>
                      <w:lang w:val="en-US" w:eastAsia="zh-CN"/>
                    </w:rPr>
                  </w:pPr>
                  <w:r>
                    <w:rPr>
                      <w:rFonts w:hint="eastAsia"/>
                      <w:color w:val="000000"/>
                      <w:sz w:val="21"/>
                      <w:szCs w:val="21"/>
                      <w:highlight w:val="none"/>
                      <w:lang w:val="en-US" w:eastAsia="zh-CN"/>
                    </w:rPr>
                    <w:t>厂界北</w:t>
                  </w:r>
                </w:p>
              </w:tc>
              <w:tc>
                <w:tcPr>
                  <w:tcW w:w="943" w:type="pct"/>
                  <w:tcBorders>
                    <w:tl2br w:val="nil"/>
                    <w:tr2bl w:val="nil"/>
                  </w:tcBorders>
                  <w:noWrap w:val="0"/>
                  <w:tcMar>
                    <w:top w:w="28" w:type="dxa"/>
                    <w:left w:w="28" w:type="dxa"/>
                    <w:bottom w:w="28" w:type="dxa"/>
                    <w:right w:w="28" w:type="dxa"/>
                  </w:tcMar>
                  <w:vAlign w:val="center"/>
                </w:tcPr>
                <w:p w14:paraId="4483E1E5">
                  <w:pPr>
                    <w:jc w:val="center"/>
                    <w:rPr>
                      <w:rFonts w:hint="default"/>
                      <w:color w:val="000000"/>
                      <w:sz w:val="21"/>
                      <w:szCs w:val="21"/>
                      <w:highlight w:val="none"/>
                      <w:lang w:val="en-US" w:eastAsia="zh-CN"/>
                    </w:rPr>
                  </w:pPr>
                  <w:r>
                    <w:rPr>
                      <w:rFonts w:hint="eastAsia"/>
                      <w:color w:val="000000"/>
                      <w:sz w:val="21"/>
                      <w:szCs w:val="21"/>
                      <w:highlight w:val="none"/>
                      <w:lang w:val="en-US" w:eastAsia="zh-CN"/>
                    </w:rPr>
                    <w:t>1.2米</w:t>
                  </w:r>
                </w:p>
              </w:tc>
              <w:tc>
                <w:tcPr>
                  <w:tcW w:w="788" w:type="pct"/>
                  <w:tcBorders>
                    <w:tl2br w:val="nil"/>
                    <w:tr2bl w:val="nil"/>
                  </w:tcBorders>
                  <w:noWrap w:val="0"/>
                  <w:tcMar>
                    <w:top w:w="28" w:type="dxa"/>
                    <w:left w:w="28" w:type="dxa"/>
                    <w:bottom w:w="28" w:type="dxa"/>
                    <w:right w:w="28" w:type="dxa"/>
                  </w:tcMar>
                  <w:vAlign w:val="center"/>
                </w:tcPr>
                <w:p w14:paraId="5DE5781F">
                  <w:pPr>
                    <w:jc w:val="center"/>
                    <w:rPr>
                      <w:rFonts w:hint="default" w:eastAsia="宋体"/>
                      <w:color w:val="000000"/>
                      <w:sz w:val="21"/>
                      <w:szCs w:val="21"/>
                      <w:highlight w:val="none"/>
                      <w:lang w:val="en-US" w:eastAsia="zh-CN"/>
                    </w:rPr>
                  </w:pPr>
                  <w:r>
                    <w:rPr>
                      <w:rFonts w:hint="eastAsia"/>
                      <w:highlight w:val="none"/>
                      <w:lang w:val="en-US" w:eastAsia="zh-CN"/>
                    </w:rPr>
                    <w:t>44.32</w:t>
                  </w:r>
                </w:p>
              </w:tc>
              <w:tc>
                <w:tcPr>
                  <w:tcW w:w="790" w:type="pct"/>
                  <w:tcBorders>
                    <w:tl2br w:val="nil"/>
                    <w:tr2bl w:val="nil"/>
                  </w:tcBorders>
                  <w:noWrap w:val="0"/>
                  <w:tcMar>
                    <w:top w:w="28" w:type="dxa"/>
                    <w:left w:w="28" w:type="dxa"/>
                    <w:bottom w:w="28" w:type="dxa"/>
                    <w:right w:w="28" w:type="dxa"/>
                  </w:tcMar>
                  <w:vAlign w:val="center"/>
                </w:tcPr>
                <w:p w14:paraId="4BAD65CC">
                  <w:pPr>
                    <w:jc w:val="center"/>
                    <w:rPr>
                      <w:rFonts w:hint="default"/>
                      <w:highlight w:val="none"/>
                      <w:lang w:val="en-US" w:eastAsia="zh-CN"/>
                    </w:rPr>
                  </w:pPr>
                  <w:r>
                    <w:rPr>
                      <w:rFonts w:hint="eastAsia"/>
                      <w:highlight w:val="none"/>
                      <w:lang w:val="en-US" w:eastAsia="zh-CN"/>
                    </w:rPr>
                    <w:t>53.38</w:t>
                  </w:r>
                </w:p>
              </w:tc>
              <w:tc>
                <w:tcPr>
                  <w:tcW w:w="790" w:type="pct"/>
                  <w:tcBorders>
                    <w:tl2br w:val="nil"/>
                    <w:tr2bl w:val="nil"/>
                  </w:tcBorders>
                  <w:noWrap w:val="0"/>
                  <w:tcMar>
                    <w:top w:w="28" w:type="dxa"/>
                    <w:left w:w="28" w:type="dxa"/>
                    <w:bottom w:w="28" w:type="dxa"/>
                    <w:right w:w="28" w:type="dxa"/>
                  </w:tcMar>
                  <w:vAlign w:val="center"/>
                </w:tcPr>
                <w:p w14:paraId="1FEA6062">
                  <w:pPr>
                    <w:jc w:val="center"/>
                    <w:rPr>
                      <w:rFonts w:hint="default"/>
                      <w:highlight w:val="none"/>
                      <w:lang w:val="en-US" w:eastAsia="zh-CN"/>
                    </w:rPr>
                  </w:pPr>
                  <w:r>
                    <w:rPr>
                      <w:rFonts w:hint="eastAsia"/>
                      <w:highlight w:val="none"/>
                      <w:lang w:val="en-US" w:eastAsia="zh-CN"/>
                    </w:rPr>
                    <w:t>52.08</w:t>
                  </w:r>
                </w:p>
              </w:tc>
              <w:tc>
                <w:tcPr>
                  <w:tcW w:w="790" w:type="pct"/>
                  <w:tcBorders>
                    <w:tl2br w:val="nil"/>
                    <w:tr2bl w:val="nil"/>
                  </w:tcBorders>
                  <w:noWrap w:val="0"/>
                  <w:tcMar>
                    <w:top w:w="28" w:type="dxa"/>
                    <w:left w:w="28" w:type="dxa"/>
                    <w:bottom w:w="28" w:type="dxa"/>
                    <w:right w:w="28" w:type="dxa"/>
                  </w:tcMar>
                  <w:vAlign w:val="center"/>
                </w:tcPr>
                <w:p w14:paraId="244F5F70">
                  <w:pPr>
                    <w:jc w:val="center"/>
                    <w:rPr>
                      <w:rFonts w:hint="eastAsia"/>
                      <w:color w:val="000000"/>
                      <w:sz w:val="21"/>
                      <w:szCs w:val="21"/>
                      <w:highlight w:val="none"/>
                      <w:lang w:val="en-US" w:eastAsia="zh-CN"/>
                    </w:rPr>
                  </w:pPr>
                  <w:r>
                    <w:rPr>
                      <w:rFonts w:hint="eastAsia"/>
                      <w:color w:val="000000"/>
                      <w:sz w:val="21"/>
                      <w:szCs w:val="21"/>
                      <w:highlight w:val="none"/>
                      <w:lang w:val="en-US" w:eastAsia="zh-CN"/>
                    </w:rPr>
                    <w:t>达标</w:t>
                  </w:r>
                </w:p>
              </w:tc>
            </w:tr>
            <w:tr w14:paraId="221D8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78" w:hRule="atLeast"/>
                <w:jc w:val="center"/>
              </w:trPr>
              <w:tc>
                <w:tcPr>
                  <w:tcW w:w="897" w:type="pct"/>
                  <w:tcBorders>
                    <w:tl2br w:val="nil"/>
                    <w:tr2bl w:val="nil"/>
                  </w:tcBorders>
                  <w:noWrap w:val="0"/>
                  <w:tcMar>
                    <w:top w:w="28" w:type="dxa"/>
                    <w:left w:w="28" w:type="dxa"/>
                    <w:bottom w:w="28" w:type="dxa"/>
                    <w:right w:w="28" w:type="dxa"/>
                  </w:tcMar>
                  <w:vAlign w:val="center"/>
                </w:tcPr>
                <w:p w14:paraId="659CBC8A">
                  <w:pPr>
                    <w:jc w:val="center"/>
                    <w:rPr>
                      <w:rFonts w:hint="default"/>
                      <w:color w:val="000000"/>
                      <w:sz w:val="21"/>
                      <w:szCs w:val="21"/>
                      <w:highlight w:val="none"/>
                      <w:lang w:val="en-US" w:eastAsia="zh-CN"/>
                    </w:rPr>
                  </w:pPr>
                  <w:r>
                    <w:rPr>
                      <w:rFonts w:hint="eastAsia"/>
                      <w:color w:val="000000"/>
                      <w:sz w:val="21"/>
                      <w:szCs w:val="21"/>
                      <w:highlight w:val="none"/>
                      <w:lang w:val="en-US" w:eastAsia="zh-CN"/>
                    </w:rPr>
                    <w:t>厂界南</w:t>
                  </w:r>
                </w:p>
              </w:tc>
              <w:tc>
                <w:tcPr>
                  <w:tcW w:w="943" w:type="pct"/>
                  <w:tcBorders>
                    <w:tl2br w:val="nil"/>
                    <w:tr2bl w:val="nil"/>
                  </w:tcBorders>
                  <w:noWrap w:val="0"/>
                  <w:tcMar>
                    <w:top w:w="28" w:type="dxa"/>
                    <w:left w:w="28" w:type="dxa"/>
                    <w:bottom w:w="28" w:type="dxa"/>
                    <w:right w:w="28" w:type="dxa"/>
                  </w:tcMar>
                  <w:vAlign w:val="center"/>
                </w:tcPr>
                <w:p w14:paraId="748887C5">
                  <w:pPr>
                    <w:jc w:val="center"/>
                    <w:rPr>
                      <w:rFonts w:hint="eastAsia"/>
                      <w:color w:val="000000"/>
                      <w:sz w:val="21"/>
                      <w:szCs w:val="21"/>
                      <w:highlight w:val="none"/>
                      <w:lang w:val="en-US" w:eastAsia="zh-CN"/>
                    </w:rPr>
                  </w:pPr>
                  <w:r>
                    <w:rPr>
                      <w:rFonts w:hint="eastAsia"/>
                      <w:color w:val="000000"/>
                      <w:sz w:val="21"/>
                      <w:szCs w:val="21"/>
                      <w:highlight w:val="none"/>
                      <w:lang w:val="en-US" w:eastAsia="zh-CN"/>
                    </w:rPr>
                    <w:t>1.2米</w:t>
                  </w:r>
                </w:p>
              </w:tc>
              <w:tc>
                <w:tcPr>
                  <w:tcW w:w="788" w:type="pct"/>
                  <w:tcBorders>
                    <w:tl2br w:val="nil"/>
                    <w:tr2bl w:val="nil"/>
                  </w:tcBorders>
                  <w:noWrap w:val="0"/>
                  <w:tcMar>
                    <w:top w:w="28" w:type="dxa"/>
                    <w:left w:w="28" w:type="dxa"/>
                    <w:bottom w:w="28" w:type="dxa"/>
                    <w:right w:w="28" w:type="dxa"/>
                  </w:tcMar>
                  <w:vAlign w:val="center"/>
                </w:tcPr>
                <w:p w14:paraId="4FFA49E9">
                  <w:pPr>
                    <w:jc w:val="center"/>
                    <w:rPr>
                      <w:rFonts w:hint="default"/>
                      <w:color w:val="000000"/>
                      <w:sz w:val="21"/>
                      <w:szCs w:val="21"/>
                      <w:highlight w:val="none"/>
                      <w:lang w:val="en-US" w:eastAsia="zh-CN"/>
                    </w:rPr>
                  </w:pPr>
                  <w:r>
                    <w:rPr>
                      <w:rFonts w:hint="eastAsia"/>
                      <w:color w:val="000000"/>
                      <w:sz w:val="21"/>
                      <w:szCs w:val="21"/>
                      <w:highlight w:val="none"/>
                      <w:lang w:val="en-US" w:eastAsia="zh-CN"/>
                    </w:rPr>
                    <w:t>44.34</w:t>
                  </w:r>
                </w:p>
              </w:tc>
              <w:tc>
                <w:tcPr>
                  <w:tcW w:w="790" w:type="pct"/>
                  <w:tcBorders>
                    <w:tl2br w:val="nil"/>
                    <w:tr2bl w:val="nil"/>
                  </w:tcBorders>
                  <w:noWrap w:val="0"/>
                  <w:tcMar>
                    <w:top w:w="28" w:type="dxa"/>
                    <w:left w:w="28" w:type="dxa"/>
                    <w:bottom w:w="28" w:type="dxa"/>
                    <w:right w:w="28" w:type="dxa"/>
                  </w:tcMar>
                  <w:vAlign w:val="center"/>
                </w:tcPr>
                <w:p w14:paraId="6CC9A20F">
                  <w:pPr>
                    <w:jc w:val="center"/>
                    <w:rPr>
                      <w:rFonts w:hint="default"/>
                      <w:color w:val="000000"/>
                      <w:sz w:val="21"/>
                      <w:szCs w:val="21"/>
                      <w:highlight w:val="none"/>
                      <w:lang w:val="en-US" w:eastAsia="zh-CN"/>
                    </w:rPr>
                  </w:pPr>
                  <w:r>
                    <w:rPr>
                      <w:rFonts w:hint="eastAsia"/>
                      <w:color w:val="000000"/>
                      <w:sz w:val="21"/>
                      <w:szCs w:val="21"/>
                      <w:highlight w:val="none"/>
                      <w:lang w:val="en-US" w:eastAsia="zh-CN"/>
                    </w:rPr>
                    <w:t>55.01</w:t>
                  </w:r>
                </w:p>
              </w:tc>
              <w:tc>
                <w:tcPr>
                  <w:tcW w:w="790" w:type="pct"/>
                  <w:tcBorders>
                    <w:tl2br w:val="nil"/>
                    <w:tr2bl w:val="nil"/>
                  </w:tcBorders>
                  <w:noWrap w:val="0"/>
                  <w:tcMar>
                    <w:top w:w="28" w:type="dxa"/>
                    <w:left w:w="28" w:type="dxa"/>
                    <w:bottom w:w="28" w:type="dxa"/>
                    <w:right w:w="28" w:type="dxa"/>
                  </w:tcMar>
                  <w:vAlign w:val="center"/>
                </w:tcPr>
                <w:p w14:paraId="4AA4DE9B">
                  <w:pPr>
                    <w:jc w:val="center"/>
                    <w:rPr>
                      <w:rFonts w:hint="default"/>
                      <w:color w:val="000000"/>
                      <w:sz w:val="21"/>
                      <w:szCs w:val="21"/>
                      <w:highlight w:val="none"/>
                      <w:lang w:val="en-US" w:eastAsia="zh-CN"/>
                    </w:rPr>
                  </w:pPr>
                  <w:r>
                    <w:rPr>
                      <w:rFonts w:hint="eastAsia"/>
                      <w:color w:val="000000"/>
                      <w:sz w:val="21"/>
                      <w:szCs w:val="21"/>
                      <w:highlight w:val="none"/>
                      <w:lang w:val="en-US" w:eastAsia="zh-CN"/>
                    </w:rPr>
                    <w:t>54.62</w:t>
                  </w:r>
                </w:p>
              </w:tc>
              <w:tc>
                <w:tcPr>
                  <w:tcW w:w="790" w:type="pct"/>
                  <w:tcBorders>
                    <w:tl2br w:val="nil"/>
                    <w:tr2bl w:val="nil"/>
                  </w:tcBorders>
                  <w:noWrap w:val="0"/>
                  <w:tcMar>
                    <w:top w:w="28" w:type="dxa"/>
                    <w:left w:w="28" w:type="dxa"/>
                    <w:bottom w:w="28" w:type="dxa"/>
                    <w:right w:w="28" w:type="dxa"/>
                  </w:tcMar>
                  <w:vAlign w:val="center"/>
                </w:tcPr>
                <w:p w14:paraId="45213D5C">
                  <w:pPr>
                    <w:jc w:val="center"/>
                    <w:rPr>
                      <w:rFonts w:hint="eastAsia"/>
                      <w:color w:val="000000"/>
                      <w:sz w:val="21"/>
                      <w:szCs w:val="21"/>
                      <w:highlight w:val="none"/>
                      <w:lang w:val="en-US" w:eastAsia="zh-CN"/>
                    </w:rPr>
                  </w:pPr>
                  <w:r>
                    <w:rPr>
                      <w:rFonts w:hint="eastAsia"/>
                      <w:color w:val="000000"/>
                      <w:sz w:val="21"/>
                      <w:szCs w:val="21"/>
                      <w:highlight w:val="none"/>
                      <w:lang w:val="en-US" w:eastAsia="zh-CN"/>
                    </w:rPr>
                    <w:t>达标</w:t>
                  </w:r>
                </w:p>
              </w:tc>
            </w:tr>
            <w:tr w14:paraId="5E3AC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72" w:hRule="atLeast"/>
                <w:jc w:val="center"/>
              </w:trPr>
              <w:tc>
                <w:tcPr>
                  <w:tcW w:w="897" w:type="pct"/>
                  <w:tcBorders>
                    <w:tl2br w:val="nil"/>
                    <w:tr2bl w:val="nil"/>
                  </w:tcBorders>
                  <w:noWrap w:val="0"/>
                  <w:tcMar>
                    <w:top w:w="28" w:type="dxa"/>
                    <w:left w:w="28" w:type="dxa"/>
                    <w:bottom w:w="28" w:type="dxa"/>
                    <w:right w:w="28" w:type="dxa"/>
                  </w:tcMar>
                  <w:vAlign w:val="center"/>
                </w:tcPr>
                <w:p w14:paraId="28191313">
                  <w:pPr>
                    <w:jc w:val="center"/>
                    <w:rPr>
                      <w:rFonts w:hint="default"/>
                      <w:color w:val="000000"/>
                      <w:sz w:val="21"/>
                      <w:szCs w:val="21"/>
                      <w:highlight w:val="none"/>
                      <w:lang w:val="en-US" w:eastAsia="zh-CN"/>
                    </w:rPr>
                  </w:pPr>
                  <w:r>
                    <w:rPr>
                      <w:rFonts w:hint="eastAsia"/>
                      <w:color w:val="000000"/>
                      <w:sz w:val="21"/>
                      <w:szCs w:val="21"/>
                      <w:highlight w:val="none"/>
                      <w:lang w:val="en-US" w:eastAsia="zh-CN"/>
                    </w:rPr>
                    <w:t>厂界西</w:t>
                  </w:r>
                </w:p>
              </w:tc>
              <w:tc>
                <w:tcPr>
                  <w:tcW w:w="943" w:type="pct"/>
                  <w:tcBorders>
                    <w:tl2br w:val="nil"/>
                    <w:tr2bl w:val="nil"/>
                  </w:tcBorders>
                  <w:noWrap w:val="0"/>
                  <w:tcMar>
                    <w:top w:w="28" w:type="dxa"/>
                    <w:left w:w="28" w:type="dxa"/>
                    <w:bottom w:w="28" w:type="dxa"/>
                    <w:right w:w="28" w:type="dxa"/>
                  </w:tcMar>
                  <w:vAlign w:val="center"/>
                </w:tcPr>
                <w:p w14:paraId="5A0D3C61">
                  <w:pPr>
                    <w:jc w:val="center"/>
                    <w:rPr>
                      <w:rFonts w:hint="eastAsia"/>
                      <w:color w:val="000000"/>
                      <w:sz w:val="21"/>
                      <w:szCs w:val="21"/>
                      <w:highlight w:val="none"/>
                      <w:lang w:val="en-US" w:eastAsia="zh-CN"/>
                    </w:rPr>
                  </w:pPr>
                  <w:r>
                    <w:rPr>
                      <w:rFonts w:hint="eastAsia"/>
                      <w:color w:val="000000"/>
                      <w:sz w:val="21"/>
                      <w:szCs w:val="21"/>
                      <w:highlight w:val="none"/>
                      <w:lang w:val="en-US" w:eastAsia="zh-CN"/>
                    </w:rPr>
                    <w:t>1.2米</w:t>
                  </w:r>
                </w:p>
              </w:tc>
              <w:tc>
                <w:tcPr>
                  <w:tcW w:w="788" w:type="pct"/>
                  <w:tcBorders>
                    <w:tl2br w:val="nil"/>
                    <w:tr2bl w:val="nil"/>
                  </w:tcBorders>
                  <w:noWrap w:val="0"/>
                  <w:tcMar>
                    <w:top w:w="28" w:type="dxa"/>
                    <w:left w:w="28" w:type="dxa"/>
                    <w:bottom w:w="28" w:type="dxa"/>
                    <w:right w:w="28" w:type="dxa"/>
                  </w:tcMar>
                  <w:vAlign w:val="center"/>
                </w:tcPr>
                <w:p w14:paraId="3DEB8A09">
                  <w:pPr>
                    <w:jc w:val="center"/>
                    <w:rPr>
                      <w:rFonts w:hint="default"/>
                      <w:color w:val="000000"/>
                      <w:sz w:val="21"/>
                      <w:szCs w:val="21"/>
                      <w:highlight w:val="none"/>
                      <w:lang w:val="en-US" w:eastAsia="zh-CN"/>
                    </w:rPr>
                  </w:pPr>
                  <w:r>
                    <w:rPr>
                      <w:rFonts w:hint="eastAsia"/>
                      <w:color w:val="000000"/>
                      <w:sz w:val="21"/>
                      <w:szCs w:val="21"/>
                      <w:highlight w:val="none"/>
                      <w:lang w:val="en-US" w:eastAsia="zh-CN"/>
                    </w:rPr>
                    <w:t>37.44</w:t>
                  </w:r>
                </w:p>
              </w:tc>
              <w:tc>
                <w:tcPr>
                  <w:tcW w:w="790" w:type="pct"/>
                  <w:tcBorders>
                    <w:tl2br w:val="nil"/>
                    <w:tr2bl w:val="nil"/>
                  </w:tcBorders>
                  <w:noWrap w:val="0"/>
                  <w:tcMar>
                    <w:top w:w="28" w:type="dxa"/>
                    <w:left w:w="28" w:type="dxa"/>
                    <w:bottom w:w="28" w:type="dxa"/>
                    <w:right w:w="28" w:type="dxa"/>
                  </w:tcMar>
                  <w:vAlign w:val="center"/>
                </w:tcPr>
                <w:p w14:paraId="703EC5C8">
                  <w:pPr>
                    <w:jc w:val="center"/>
                    <w:rPr>
                      <w:rFonts w:hint="default"/>
                      <w:color w:val="000000"/>
                      <w:sz w:val="21"/>
                      <w:szCs w:val="21"/>
                      <w:highlight w:val="none"/>
                      <w:lang w:val="en-US" w:eastAsia="zh-CN"/>
                    </w:rPr>
                  </w:pPr>
                  <w:r>
                    <w:rPr>
                      <w:rFonts w:hint="eastAsia"/>
                      <w:color w:val="000000"/>
                      <w:sz w:val="21"/>
                      <w:szCs w:val="21"/>
                      <w:highlight w:val="none"/>
                      <w:lang w:val="en-US" w:eastAsia="zh-CN"/>
                    </w:rPr>
                    <w:t>55.88</w:t>
                  </w:r>
                </w:p>
              </w:tc>
              <w:tc>
                <w:tcPr>
                  <w:tcW w:w="790" w:type="pct"/>
                  <w:tcBorders>
                    <w:tl2br w:val="nil"/>
                    <w:tr2bl w:val="nil"/>
                  </w:tcBorders>
                  <w:noWrap w:val="0"/>
                  <w:tcMar>
                    <w:top w:w="28" w:type="dxa"/>
                    <w:left w:w="28" w:type="dxa"/>
                    <w:bottom w:w="28" w:type="dxa"/>
                    <w:right w:w="28" w:type="dxa"/>
                  </w:tcMar>
                  <w:vAlign w:val="center"/>
                </w:tcPr>
                <w:p w14:paraId="00F0E5A3">
                  <w:pPr>
                    <w:jc w:val="center"/>
                    <w:rPr>
                      <w:rFonts w:hint="default"/>
                      <w:color w:val="000000"/>
                      <w:sz w:val="21"/>
                      <w:szCs w:val="21"/>
                      <w:highlight w:val="none"/>
                      <w:lang w:val="en-US" w:eastAsia="zh-CN"/>
                    </w:rPr>
                  </w:pPr>
                  <w:r>
                    <w:rPr>
                      <w:rFonts w:hint="eastAsia"/>
                      <w:color w:val="000000"/>
                      <w:sz w:val="21"/>
                      <w:szCs w:val="21"/>
                      <w:highlight w:val="none"/>
                      <w:lang w:val="en-US" w:eastAsia="zh-CN"/>
                    </w:rPr>
                    <w:t>55.82</w:t>
                  </w:r>
                </w:p>
              </w:tc>
              <w:tc>
                <w:tcPr>
                  <w:tcW w:w="790" w:type="pct"/>
                  <w:tcBorders>
                    <w:tl2br w:val="nil"/>
                    <w:tr2bl w:val="nil"/>
                  </w:tcBorders>
                  <w:noWrap w:val="0"/>
                  <w:tcMar>
                    <w:top w:w="28" w:type="dxa"/>
                    <w:left w:w="28" w:type="dxa"/>
                    <w:bottom w:w="28" w:type="dxa"/>
                    <w:right w:w="28" w:type="dxa"/>
                  </w:tcMar>
                  <w:vAlign w:val="center"/>
                </w:tcPr>
                <w:p w14:paraId="3B231379">
                  <w:pPr>
                    <w:jc w:val="center"/>
                    <w:rPr>
                      <w:rFonts w:hint="eastAsia"/>
                      <w:color w:val="000000"/>
                      <w:sz w:val="21"/>
                      <w:szCs w:val="21"/>
                      <w:highlight w:val="none"/>
                      <w:lang w:val="en-US" w:eastAsia="zh-CN"/>
                    </w:rPr>
                  </w:pPr>
                  <w:r>
                    <w:rPr>
                      <w:rFonts w:hint="eastAsia"/>
                      <w:color w:val="000000"/>
                      <w:sz w:val="21"/>
                      <w:szCs w:val="21"/>
                      <w:highlight w:val="none"/>
                      <w:lang w:val="en-US" w:eastAsia="zh-CN"/>
                    </w:rPr>
                    <w:t>达标</w:t>
                  </w:r>
                </w:p>
              </w:tc>
            </w:tr>
            <w:tr w14:paraId="33C2A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38" w:hRule="atLeast"/>
                <w:jc w:val="center"/>
              </w:trPr>
              <w:tc>
                <w:tcPr>
                  <w:tcW w:w="897" w:type="pct"/>
                  <w:tcBorders>
                    <w:tl2br w:val="nil"/>
                    <w:tr2bl w:val="nil"/>
                  </w:tcBorders>
                  <w:noWrap w:val="0"/>
                  <w:tcMar>
                    <w:top w:w="28" w:type="dxa"/>
                    <w:left w:w="28" w:type="dxa"/>
                    <w:bottom w:w="28" w:type="dxa"/>
                    <w:right w:w="28" w:type="dxa"/>
                  </w:tcMar>
                  <w:vAlign w:val="center"/>
                </w:tcPr>
                <w:p w14:paraId="78F8DBBE">
                  <w:pPr>
                    <w:jc w:val="center"/>
                    <w:rPr>
                      <w:rFonts w:hint="default"/>
                      <w:color w:val="000000"/>
                      <w:sz w:val="21"/>
                      <w:szCs w:val="21"/>
                      <w:highlight w:val="none"/>
                      <w:lang w:val="en-US" w:eastAsia="zh-CN"/>
                    </w:rPr>
                  </w:pPr>
                  <w:r>
                    <w:rPr>
                      <w:rFonts w:hint="eastAsia"/>
                      <w:color w:val="000000"/>
                      <w:sz w:val="21"/>
                      <w:szCs w:val="21"/>
                      <w:highlight w:val="none"/>
                      <w:lang w:val="en-US" w:eastAsia="zh-CN"/>
                    </w:rPr>
                    <w:t>厂界东</w:t>
                  </w:r>
                </w:p>
              </w:tc>
              <w:tc>
                <w:tcPr>
                  <w:tcW w:w="943" w:type="pct"/>
                  <w:tcBorders>
                    <w:tl2br w:val="nil"/>
                    <w:tr2bl w:val="nil"/>
                  </w:tcBorders>
                  <w:noWrap w:val="0"/>
                  <w:tcMar>
                    <w:top w:w="28" w:type="dxa"/>
                    <w:left w:w="28" w:type="dxa"/>
                    <w:bottom w:w="28" w:type="dxa"/>
                    <w:right w:w="28" w:type="dxa"/>
                  </w:tcMar>
                  <w:vAlign w:val="center"/>
                </w:tcPr>
                <w:p w14:paraId="3430E22F">
                  <w:pPr>
                    <w:jc w:val="center"/>
                    <w:rPr>
                      <w:rFonts w:hint="eastAsia"/>
                      <w:color w:val="000000"/>
                      <w:sz w:val="21"/>
                      <w:szCs w:val="21"/>
                      <w:highlight w:val="none"/>
                      <w:lang w:val="en-US" w:eastAsia="zh-CN"/>
                    </w:rPr>
                  </w:pPr>
                  <w:r>
                    <w:rPr>
                      <w:rFonts w:hint="eastAsia"/>
                      <w:color w:val="000000"/>
                      <w:sz w:val="21"/>
                      <w:szCs w:val="21"/>
                      <w:highlight w:val="none"/>
                      <w:lang w:val="en-US" w:eastAsia="zh-CN"/>
                    </w:rPr>
                    <w:t>1.2米</w:t>
                  </w:r>
                </w:p>
              </w:tc>
              <w:tc>
                <w:tcPr>
                  <w:tcW w:w="788" w:type="pct"/>
                  <w:tcBorders>
                    <w:tl2br w:val="nil"/>
                    <w:tr2bl w:val="nil"/>
                  </w:tcBorders>
                  <w:noWrap w:val="0"/>
                  <w:tcMar>
                    <w:top w:w="28" w:type="dxa"/>
                    <w:left w:w="28" w:type="dxa"/>
                    <w:bottom w:w="28" w:type="dxa"/>
                    <w:right w:w="28" w:type="dxa"/>
                  </w:tcMar>
                  <w:vAlign w:val="center"/>
                </w:tcPr>
                <w:p w14:paraId="6D116A6D">
                  <w:pPr>
                    <w:jc w:val="center"/>
                    <w:rPr>
                      <w:rFonts w:hint="default"/>
                      <w:color w:val="000000"/>
                      <w:sz w:val="21"/>
                      <w:szCs w:val="21"/>
                      <w:highlight w:val="none"/>
                      <w:lang w:val="en-US" w:eastAsia="zh-CN"/>
                    </w:rPr>
                  </w:pPr>
                  <w:r>
                    <w:rPr>
                      <w:rFonts w:hint="eastAsia"/>
                      <w:color w:val="000000"/>
                      <w:sz w:val="21"/>
                      <w:szCs w:val="21"/>
                      <w:highlight w:val="none"/>
                      <w:lang w:val="en-US" w:eastAsia="zh-CN"/>
                    </w:rPr>
                    <w:t>45.28</w:t>
                  </w:r>
                </w:p>
              </w:tc>
              <w:tc>
                <w:tcPr>
                  <w:tcW w:w="790" w:type="pct"/>
                  <w:tcBorders>
                    <w:tl2br w:val="nil"/>
                    <w:tr2bl w:val="nil"/>
                  </w:tcBorders>
                  <w:noWrap w:val="0"/>
                  <w:tcMar>
                    <w:top w:w="28" w:type="dxa"/>
                    <w:left w:w="28" w:type="dxa"/>
                    <w:bottom w:w="28" w:type="dxa"/>
                    <w:right w:w="28" w:type="dxa"/>
                  </w:tcMar>
                  <w:vAlign w:val="center"/>
                </w:tcPr>
                <w:p w14:paraId="15C616B7">
                  <w:pPr>
                    <w:jc w:val="center"/>
                    <w:rPr>
                      <w:rFonts w:hint="default"/>
                      <w:color w:val="000000"/>
                      <w:sz w:val="21"/>
                      <w:szCs w:val="21"/>
                      <w:highlight w:val="none"/>
                      <w:lang w:val="en-US" w:eastAsia="zh-CN"/>
                    </w:rPr>
                  </w:pPr>
                  <w:r>
                    <w:rPr>
                      <w:rFonts w:hint="eastAsia"/>
                      <w:color w:val="000000"/>
                      <w:sz w:val="21"/>
                      <w:szCs w:val="21"/>
                      <w:highlight w:val="none"/>
                      <w:lang w:val="en-US" w:eastAsia="zh-CN"/>
                    </w:rPr>
                    <w:t>52.29</w:t>
                  </w:r>
                </w:p>
              </w:tc>
              <w:tc>
                <w:tcPr>
                  <w:tcW w:w="790" w:type="pct"/>
                  <w:tcBorders>
                    <w:tl2br w:val="nil"/>
                    <w:tr2bl w:val="nil"/>
                  </w:tcBorders>
                  <w:noWrap w:val="0"/>
                  <w:tcMar>
                    <w:top w:w="28" w:type="dxa"/>
                    <w:left w:w="28" w:type="dxa"/>
                    <w:bottom w:w="28" w:type="dxa"/>
                    <w:right w:w="28" w:type="dxa"/>
                  </w:tcMar>
                  <w:vAlign w:val="center"/>
                </w:tcPr>
                <w:p w14:paraId="075F2B72">
                  <w:pPr>
                    <w:jc w:val="center"/>
                    <w:rPr>
                      <w:rFonts w:hint="default"/>
                      <w:color w:val="000000"/>
                      <w:sz w:val="21"/>
                      <w:szCs w:val="21"/>
                      <w:highlight w:val="none"/>
                      <w:lang w:val="en-US" w:eastAsia="zh-CN"/>
                    </w:rPr>
                  </w:pPr>
                  <w:r>
                    <w:rPr>
                      <w:rFonts w:hint="eastAsia"/>
                      <w:color w:val="000000"/>
                      <w:sz w:val="21"/>
                      <w:szCs w:val="21"/>
                      <w:highlight w:val="none"/>
                      <w:lang w:val="en-US" w:eastAsia="zh-CN"/>
                    </w:rPr>
                    <w:t>51.33</w:t>
                  </w:r>
                </w:p>
              </w:tc>
              <w:tc>
                <w:tcPr>
                  <w:tcW w:w="790" w:type="pct"/>
                  <w:tcBorders>
                    <w:tl2br w:val="nil"/>
                    <w:tr2bl w:val="nil"/>
                  </w:tcBorders>
                  <w:noWrap w:val="0"/>
                  <w:tcMar>
                    <w:top w:w="28" w:type="dxa"/>
                    <w:left w:w="28" w:type="dxa"/>
                    <w:bottom w:w="28" w:type="dxa"/>
                    <w:right w:w="28" w:type="dxa"/>
                  </w:tcMar>
                  <w:vAlign w:val="center"/>
                </w:tcPr>
                <w:p w14:paraId="51DC0691">
                  <w:pPr>
                    <w:jc w:val="center"/>
                    <w:rPr>
                      <w:rFonts w:hint="eastAsia"/>
                      <w:color w:val="000000"/>
                      <w:sz w:val="21"/>
                      <w:szCs w:val="21"/>
                      <w:highlight w:val="none"/>
                      <w:lang w:val="en-US" w:eastAsia="zh-CN"/>
                    </w:rPr>
                  </w:pPr>
                  <w:r>
                    <w:rPr>
                      <w:rFonts w:hint="eastAsia"/>
                      <w:color w:val="000000"/>
                      <w:sz w:val="21"/>
                      <w:szCs w:val="21"/>
                      <w:highlight w:val="none"/>
                      <w:lang w:val="en-US" w:eastAsia="zh-CN"/>
                    </w:rPr>
                    <w:t>达标</w:t>
                  </w:r>
                </w:p>
              </w:tc>
            </w:tr>
          </w:tbl>
          <w:p w14:paraId="0F45A8D0">
            <w:pPr>
              <w:widowControl w:val="0"/>
              <w:autoSpaceDE/>
              <w:autoSpaceDN/>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color w:val="000000"/>
                <w:sz w:val="24"/>
                <w:szCs w:val="24"/>
                <w:highlight w:val="none"/>
              </w:rPr>
              <w:t>从上表预测结果中可以看出，本项目各噪声源在采取措施情况下</w:t>
            </w:r>
            <w:r>
              <w:rPr>
                <w:rFonts w:hint="default" w:ascii="Times New Roman" w:hAnsi="Times New Roman" w:eastAsia="宋体" w:cs="Times New Roman"/>
                <w:color w:val="000000"/>
                <w:sz w:val="24"/>
                <w:szCs w:val="24"/>
                <w:highlight w:val="none"/>
                <w:lang w:val="en-US" w:eastAsia="zh-CN"/>
              </w:rPr>
              <w:t>转载点</w:t>
            </w:r>
            <w:r>
              <w:rPr>
                <w:rFonts w:hint="default" w:ascii="Times New Roman" w:hAnsi="Times New Roman" w:eastAsia="宋体" w:cs="Times New Roman"/>
                <w:color w:val="000000"/>
                <w:sz w:val="24"/>
                <w:szCs w:val="24"/>
                <w:highlight w:val="none"/>
              </w:rPr>
              <w:t>厂界昼</w:t>
            </w:r>
            <w:r>
              <w:rPr>
                <w:rFonts w:hint="default" w:ascii="Times New Roman" w:hAnsi="Times New Roman" w:eastAsia="宋体" w:cs="Times New Roman"/>
                <w:color w:val="000000"/>
                <w:sz w:val="24"/>
                <w:szCs w:val="24"/>
                <w:highlight w:val="none"/>
                <w:lang w:val="en-US" w:eastAsia="zh-CN"/>
              </w:rPr>
              <w:t>间、夜间</w:t>
            </w:r>
            <w:r>
              <w:rPr>
                <w:rFonts w:hint="default" w:ascii="Times New Roman" w:hAnsi="Times New Roman" w:eastAsia="宋体" w:cs="Times New Roman"/>
                <w:color w:val="000000"/>
                <w:sz w:val="24"/>
                <w:szCs w:val="24"/>
                <w:highlight w:val="none"/>
              </w:rPr>
              <w:t>噪声预测值满足《工业企业厂界环境噪声排放标准》（GB12348-2008）</w:t>
            </w:r>
            <w:r>
              <w:rPr>
                <w:rFonts w:hint="default" w:ascii="Times New Roman" w:hAnsi="Times New Roman" w:cs="Times New Roman"/>
                <w:color w:val="000000"/>
                <w:sz w:val="24"/>
                <w:szCs w:val="24"/>
                <w:highlight w:val="none"/>
                <w:lang w:val="en-US" w:eastAsia="zh-CN"/>
              </w:rPr>
              <w:t>3</w:t>
            </w:r>
            <w:r>
              <w:rPr>
                <w:rFonts w:hint="default" w:ascii="Times New Roman" w:hAnsi="Times New Roman" w:eastAsia="宋体" w:cs="Times New Roman"/>
                <w:color w:val="000000"/>
                <w:sz w:val="24"/>
                <w:szCs w:val="24"/>
                <w:highlight w:val="none"/>
              </w:rPr>
              <w:t>类标准</w:t>
            </w:r>
            <w:r>
              <w:rPr>
                <w:rFonts w:hint="default" w:ascii="Times New Roman" w:hAnsi="Times New Roman" w:eastAsia="宋体" w:cs="Times New Roman"/>
                <w:b w:val="0"/>
                <w:bCs w:val="0"/>
                <w:color w:val="000000"/>
                <w:kern w:val="0"/>
                <w:sz w:val="24"/>
                <w:szCs w:val="24"/>
                <w:highlight w:val="none"/>
                <w:lang w:val="en-US" w:eastAsia="zh-CN"/>
              </w:rPr>
              <w:t>。</w:t>
            </w:r>
          </w:p>
          <w:p w14:paraId="48151403">
            <w:pPr>
              <w:pStyle w:val="13"/>
              <w:spacing w:after="0" w:line="360" w:lineRule="auto"/>
              <w:ind w:left="0" w:leftChars="0"/>
              <w:rPr>
                <w:b/>
                <w:bCs/>
                <w:sz w:val="24"/>
                <w:szCs w:val="32"/>
                <w:highlight w:val="none"/>
                <w:lang w:val="en-US"/>
              </w:rPr>
            </w:pPr>
            <w:r>
              <w:rPr>
                <w:rFonts w:hint="eastAsia"/>
                <w:b/>
                <w:bCs/>
                <w:sz w:val="24"/>
                <w:szCs w:val="32"/>
                <w:highlight w:val="none"/>
                <w:lang w:val="en-US" w:eastAsia="zh-CN"/>
              </w:rPr>
              <w:t>5.生态环境</w:t>
            </w:r>
            <w:r>
              <w:rPr>
                <w:rFonts w:hint="eastAsia"/>
                <w:b/>
                <w:bCs/>
                <w:sz w:val="24"/>
                <w:szCs w:val="32"/>
                <w:highlight w:val="none"/>
                <w:lang w:val="en-US"/>
              </w:rPr>
              <w:t>影响分析</w:t>
            </w:r>
          </w:p>
          <w:p w14:paraId="0DB414D0">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after="157" w:afterLines="50" w:line="360" w:lineRule="auto"/>
              <w:ind w:firstLine="476" w:firstLineChars="200"/>
              <w:jc w:val="left"/>
              <w:textAlignment w:val="auto"/>
              <w:rPr>
                <w:rFonts w:hint="eastAsia" w:ascii="宋体" w:hAnsi="宋体" w:eastAsia="宋体" w:cs="宋体"/>
                <w:b/>
                <w:bCs/>
                <w:color w:val="000000"/>
                <w:kern w:val="0"/>
                <w:sz w:val="24"/>
                <w:szCs w:val="24"/>
                <w:highlight w:val="none"/>
                <w:lang w:val="en-US" w:eastAsia="zh-CN"/>
              </w:rPr>
            </w:pPr>
            <w:r>
              <w:rPr>
                <w:color w:val="000000"/>
                <w:spacing w:val="-1"/>
                <w:sz w:val="24"/>
                <w:szCs w:val="24"/>
                <w:highlight w:val="none"/>
              </w:rPr>
              <w:t>本项目为</w:t>
            </w:r>
            <w:r>
              <w:rPr>
                <w:rFonts w:hint="eastAsia"/>
                <w:color w:val="000000"/>
                <w:spacing w:val="-1"/>
                <w:sz w:val="24"/>
                <w:szCs w:val="24"/>
                <w:highlight w:val="none"/>
                <w:lang w:val="en-US" w:eastAsia="zh-CN"/>
              </w:rPr>
              <w:t>架空管线</w:t>
            </w:r>
            <w:r>
              <w:rPr>
                <w:color w:val="000000"/>
                <w:spacing w:val="-1"/>
                <w:sz w:val="24"/>
                <w:szCs w:val="24"/>
                <w:highlight w:val="none"/>
              </w:rPr>
              <w:t>项目，</w:t>
            </w:r>
            <w:r>
              <w:rPr>
                <w:rFonts w:hint="eastAsia" w:cs="Times New Roman"/>
                <w:bCs/>
                <w:sz w:val="24"/>
                <w:highlight w:val="none"/>
                <w:lang w:val="en-US" w:eastAsia="zh-CN"/>
              </w:rPr>
              <w:t>项目黄河水管道厂区外取水点已经预留接口，本项目建设直接接入接口，不涉及土方工程。本项目建设</w:t>
            </w:r>
            <w:r>
              <w:rPr>
                <w:rFonts w:hint="eastAsia" w:ascii="Times New Roman" w:hAnsi="Times New Roman" w:eastAsia="宋体" w:cs="Times New Roman"/>
                <w:bCs/>
                <w:sz w:val="24"/>
                <w:highlight w:val="none"/>
                <w:lang w:val="zh-CN" w:eastAsia="zh-CN"/>
              </w:rPr>
              <w:t>未涉及占用基本农田、生态公益林等保护目标，项目厂区内现状为</w:t>
            </w:r>
            <w:r>
              <w:rPr>
                <w:rFonts w:hint="eastAsia" w:cs="Times New Roman"/>
                <w:bCs/>
                <w:sz w:val="24"/>
                <w:highlight w:val="none"/>
                <w:lang w:val="en-US" w:eastAsia="zh-CN"/>
              </w:rPr>
              <w:t>碎石地面、硬化道路</w:t>
            </w:r>
            <w:r>
              <w:rPr>
                <w:rFonts w:hint="eastAsia" w:ascii="Times New Roman" w:hAnsi="Times New Roman" w:eastAsia="宋体" w:cs="Times New Roman"/>
                <w:bCs/>
                <w:sz w:val="24"/>
                <w:highlight w:val="none"/>
                <w:lang w:val="zh-CN" w:eastAsia="zh-CN"/>
              </w:rPr>
              <w:t>、空地、厂区外为裸露土壤，无保护植被</w:t>
            </w:r>
            <w:r>
              <w:rPr>
                <w:rFonts w:hint="eastAsia" w:cs="Times New Roman"/>
                <w:bCs/>
                <w:sz w:val="24"/>
                <w:highlight w:val="none"/>
                <w:lang w:val="zh-CN" w:eastAsia="zh-CN"/>
              </w:rPr>
              <w:t>。</w:t>
            </w:r>
            <w:r>
              <w:rPr>
                <w:rFonts w:hint="eastAsia" w:cs="Times New Roman"/>
                <w:bCs/>
                <w:sz w:val="24"/>
                <w:highlight w:val="none"/>
                <w:lang w:val="en-US" w:eastAsia="zh-CN"/>
              </w:rPr>
              <w:t>WRT甲烷气、清净废水管道位于厂界外，有绿化带存在，但由于管线单独设置墩柱，架空敷设直接接入鹏泰，因此项目运营期对生态环境的影响很小。</w:t>
            </w:r>
          </w:p>
          <w:p w14:paraId="732683D3">
            <w:pPr>
              <w:pStyle w:val="13"/>
              <w:spacing w:after="0" w:line="360" w:lineRule="auto"/>
              <w:ind w:left="0" w:leftChars="0"/>
              <w:rPr>
                <w:rFonts w:hint="default"/>
                <w:b/>
                <w:bCs/>
                <w:sz w:val="24"/>
                <w:szCs w:val="32"/>
                <w:highlight w:val="none"/>
                <w:lang w:val="en-US"/>
              </w:rPr>
            </w:pPr>
            <w:r>
              <w:rPr>
                <w:rFonts w:hint="eastAsia"/>
                <w:b/>
                <w:bCs/>
                <w:sz w:val="24"/>
                <w:szCs w:val="32"/>
                <w:highlight w:val="none"/>
                <w:lang w:val="en-US" w:eastAsia="zh-CN"/>
              </w:rPr>
              <w:t>6.环境风险分析</w:t>
            </w:r>
          </w:p>
          <w:p w14:paraId="27A5E9B2">
            <w:pPr>
              <w:spacing w:line="360" w:lineRule="auto"/>
              <w:ind w:firstLine="480" w:firstLineChars="200"/>
              <w:rPr>
                <w:rFonts w:hint="eastAsia"/>
                <w:sz w:val="24"/>
                <w:szCs w:val="32"/>
                <w:highlight w:val="none"/>
              </w:rPr>
            </w:pPr>
            <w:r>
              <w:rPr>
                <w:rFonts w:hint="eastAsia" w:ascii="Times New Roman" w:hAnsi="Times New Roman" w:eastAsia="宋体" w:cs="Times New Roman"/>
                <w:sz w:val="24"/>
                <w:szCs w:val="32"/>
                <w:highlight w:val="none"/>
                <w:lang w:val="en-US" w:eastAsia="zh-CN"/>
              </w:rPr>
              <w:t>根据</w:t>
            </w:r>
            <w:r>
              <w:rPr>
                <w:rFonts w:hint="eastAsia" w:cs="Times New Roman"/>
                <w:sz w:val="24"/>
                <w:szCs w:val="32"/>
                <w:highlight w:val="none"/>
                <w:lang w:val="en-US" w:eastAsia="zh-CN"/>
              </w:rPr>
              <w:t>环境风险专题，</w:t>
            </w:r>
            <w:r>
              <w:rPr>
                <w:rFonts w:hint="eastAsia" w:ascii="Times New Roman" w:hAnsi="Times New Roman" w:eastAsia="宋体" w:cs="Times New Roman"/>
                <w:sz w:val="24"/>
                <w:szCs w:val="32"/>
                <w:highlight w:val="none"/>
                <w:lang w:val="en-US" w:eastAsia="zh-CN"/>
              </w:rPr>
              <w:t>在落实本评价提出的各项环境风险防范措施后，</w:t>
            </w:r>
            <w:r>
              <w:rPr>
                <w:rFonts w:hint="eastAsia" w:cs="Times New Roman"/>
                <w:sz w:val="24"/>
                <w:szCs w:val="32"/>
                <w:highlight w:val="none"/>
                <w:lang w:val="en-US" w:eastAsia="zh-CN"/>
              </w:rPr>
              <w:t>项目的环境风险可防可控</w:t>
            </w:r>
            <w:r>
              <w:rPr>
                <w:rFonts w:hint="eastAsia" w:ascii="Times New Roman" w:hAnsi="Times New Roman" w:eastAsia="宋体" w:cs="Times New Roman"/>
                <w:sz w:val="24"/>
                <w:szCs w:val="32"/>
                <w:highlight w:val="none"/>
                <w:lang w:val="en-US" w:eastAsia="zh-CN"/>
              </w:rPr>
              <w:t>。</w:t>
            </w:r>
          </w:p>
        </w:tc>
      </w:tr>
      <w:tr w14:paraId="3A66EF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31" w:hRule="atLeast"/>
          <w:jc w:val="center"/>
        </w:trPr>
        <w:tc>
          <w:tcPr>
            <w:tcW w:w="456" w:type="dxa"/>
            <w:noWrap w:val="0"/>
            <w:vAlign w:val="center"/>
          </w:tcPr>
          <w:p w14:paraId="4FFA8304">
            <w:pPr>
              <w:pStyle w:val="18"/>
              <w:adjustRightInd w:val="0"/>
              <w:snapToGrid w:val="0"/>
              <w:spacing w:before="0" w:beforeAutospacing="0" w:after="0" w:afterAutospacing="0"/>
              <w:jc w:val="center"/>
              <w:rPr>
                <w:rFonts w:cs="宋体"/>
                <w:bCs/>
                <w:kern w:val="2"/>
                <w:sz w:val="21"/>
                <w:szCs w:val="21"/>
                <w:highlight w:val="none"/>
              </w:rPr>
            </w:pPr>
            <w:r>
              <w:rPr>
                <w:rFonts w:hint="eastAsia" w:cs="宋体"/>
                <w:bCs/>
                <w:kern w:val="2"/>
                <w:highlight w:val="none"/>
              </w:rPr>
              <w:t>选址选线环境合理性分析</w:t>
            </w:r>
          </w:p>
        </w:tc>
        <w:tc>
          <w:tcPr>
            <w:tcW w:w="8408" w:type="dxa"/>
            <w:noWrap w:val="0"/>
            <w:vAlign w:val="center"/>
          </w:tcPr>
          <w:p w14:paraId="3113FFAD">
            <w:pPr>
              <w:adjustRightInd w:val="0"/>
              <w:snapToGrid w:val="0"/>
              <w:spacing w:line="360" w:lineRule="auto"/>
              <w:ind w:firstLine="480" w:firstLineChars="200"/>
              <w:rPr>
                <w:rFonts w:hint="eastAsia"/>
                <w:color w:val="1900FF"/>
                <w:sz w:val="24"/>
                <w:szCs w:val="32"/>
                <w:highlight w:val="none"/>
              </w:rPr>
            </w:pPr>
            <w:r>
              <w:rPr>
                <w:rFonts w:hint="eastAsia"/>
                <w:sz w:val="24"/>
                <w:szCs w:val="32"/>
                <w:highlight w:val="none"/>
              </w:rPr>
              <w:t>本项目位于</w:t>
            </w:r>
            <w:r>
              <w:rPr>
                <w:rFonts w:hint="eastAsia" w:ascii="Times New Roman" w:hAnsi="Times New Roman" w:eastAsia="宋体" w:cs="Times New Roman"/>
                <w:bCs/>
                <w:sz w:val="24"/>
                <w:highlight w:val="none"/>
                <w:lang w:val="en-US" w:eastAsia="zh-CN"/>
              </w:rPr>
              <w:t>鄂尔多斯市杭锦旗独贵塔拉工业园区</w:t>
            </w:r>
            <w:r>
              <w:rPr>
                <w:rFonts w:hint="eastAsia" w:cs="Times New Roman"/>
                <w:bCs/>
                <w:sz w:val="24"/>
                <w:highlight w:val="none"/>
                <w:lang w:val="en-US" w:eastAsia="zh-CN"/>
              </w:rPr>
              <w:t>南项目区（又名</w:t>
            </w:r>
            <w:r>
              <w:rPr>
                <w:rFonts w:hint="eastAsia" w:ascii="Times New Roman" w:hAnsi="Times New Roman" w:eastAsia="宋体" w:cs="Times New Roman"/>
                <w:bCs/>
                <w:sz w:val="24"/>
                <w:highlight w:val="none"/>
                <w:lang w:val="en-US" w:eastAsia="zh-CN"/>
              </w:rPr>
              <w:t>锦泰精细化工园</w:t>
            </w:r>
            <w:r>
              <w:rPr>
                <w:rFonts w:hint="eastAsia" w:cs="Times New Roman"/>
                <w:bCs/>
                <w:sz w:val="24"/>
                <w:highlight w:val="none"/>
                <w:lang w:val="en-US" w:eastAsia="zh-CN"/>
              </w:rPr>
              <w:t>）</w:t>
            </w:r>
            <w:r>
              <w:rPr>
                <w:rFonts w:hint="eastAsia" w:ascii="Times New Roman" w:hAnsi="Times New Roman" w:eastAsia="宋体" w:cs="Times New Roman"/>
                <w:bCs/>
                <w:sz w:val="24"/>
                <w:highlight w:val="none"/>
                <w:lang w:val="en-US" w:eastAsia="zh-CN"/>
              </w:rPr>
              <w:t>内蒙古伊泰化工有限</w:t>
            </w:r>
            <w:r>
              <w:rPr>
                <w:rFonts w:hint="eastAsia" w:cs="Times New Roman"/>
                <w:bCs/>
                <w:sz w:val="24"/>
                <w:highlight w:val="none"/>
                <w:lang w:val="en-US" w:eastAsia="zh-CN"/>
              </w:rPr>
              <w:t>责任</w:t>
            </w:r>
            <w:r>
              <w:rPr>
                <w:rFonts w:hint="eastAsia" w:ascii="Times New Roman" w:hAnsi="Times New Roman" w:eastAsia="宋体" w:cs="Times New Roman"/>
                <w:bCs/>
                <w:sz w:val="24"/>
                <w:highlight w:val="none"/>
                <w:lang w:val="en-US" w:eastAsia="zh-CN"/>
              </w:rPr>
              <w:t>公司</w:t>
            </w:r>
            <w:r>
              <w:rPr>
                <w:rFonts w:hint="eastAsia"/>
                <w:sz w:val="24"/>
                <w:szCs w:val="32"/>
                <w:highlight w:val="none"/>
              </w:rPr>
              <w:t>，沿线不涉及自然遗迹、人文遗迹、自然保护区、风景名胜区、基本农田保护区、珍稀或濒危野生动植物生境、生态公益林用地等生态敏感目标。</w:t>
            </w:r>
          </w:p>
          <w:p w14:paraId="17BB5072">
            <w:pPr>
              <w:adjustRightInd w:val="0"/>
              <w:snapToGrid w:val="0"/>
              <w:spacing w:line="360" w:lineRule="auto"/>
              <w:ind w:firstLine="480" w:firstLineChars="200"/>
              <w:rPr>
                <w:rFonts w:hint="eastAsia" w:ascii="Times New Roman" w:hAnsi="Times New Roman" w:eastAsia="宋体" w:cs="Times New Roman"/>
                <w:sz w:val="24"/>
                <w:szCs w:val="32"/>
                <w:highlight w:val="none"/>
              </w:rPr>
            </w:pPr>
            <w:r>
              <w:rPr>
                <w:rFonts w:hint="eastAsia" w:ascii="Times New Roman" w:hAnsi="Times New Roman" w:eastAsia="宋体" w:cs="Times New Roman"/>
                <w:sz w:val="24"/>
                <w:szCs w:val="32"/>
                <w:highlight w:val="none"/>
              </w:rPr>
              <w:t>工程沿线均为工业用地或空地，项目沿线</w:t>
            </w:r>
            <w:r>
              <w:rPr>
                <w:rFonts w:hint="eastAsia" w:cs="Times New Roman"/>
                <w:sz w:val="24"/>
                <w:szCs w:val="32"/>
                <w:highlight w:val="none"/>
                <w:lang w:val="en-US" w:eastAsia="zh-CN"/>
              </w:rPr>
              <w:t>5</w:t>
            </w:r>
            <w:r>
              <w:rPr>
                <w:rFonts w:hint="eastAsia" w:ascii="Times New Roman" w:hAnsi="Times New Roman" w:eastAsia="宋体" w:cs="Times New Roman"/>
                <w:sz w:val="24"/>
                <w:szCs w:val="32"/>
                <w:highlight w:val="none"/>
              </w:rPr>
              <w:t>00m范围无敏感目标，项目建设不涉及环境敏感点，</w:t>
            </w:r>
            <w:r>
              <w:rPr>
                <w:rFonts w:hint="eastAsia" w:ascii="Times New Roman" w:hAnsi="Times New Roman" w:eastAsia="宋体" w:cs="Times New Roman"/>
                <w:sz w:val="24"/>
                <w:szCs w:val="32"/>
                <w:highlight w:val="none"/>
                <w:lang w:val="en-US" w:eastAsia="zh-CN"/>
              </w:rPr>
              <w:t>项目管道线路所经地属于工业园区规划区范围内，符合园区规划。选址位于伊泰化工厂区内</w:t>
            </w:r>
            <w:r>
              <w:rPr>
                <w:rFonts w:hint="eastAsia" w:cs="Times New Roman"/>
                <w:sz w:val="24"/>
                <w:szCs w:val="32"/>
                <w:highlight w:val="none"/>
                <w:lang w:val="en-US" w:eastAsia="zh-CN"/>
              </w:rPr>
              <w:t>及厂界外空地</w:t>
            </w:r>
            <w:r>
              <w:rPr>
                <w:rFonts w:hint="eastAsia" w:ascii="Times New Roman" w:hAnsi="Times New Roman" w:eastAsia="宋体" w:cs="Times New Roman"/>
                <w:sz w:val="24"/>
                <w:szCs w:val="32"/>
                <w:highlight w:val="none"/>
                <w:lang w:val="en-US" w:eastAsia="zh-CN"/>
              </w:rPr>
              <w:t>，紧挨鹏泰生物。方便两家公司的气体运输、施工和生产维护管理。</w:t>
            </w:r>
          </w:p>
          <w:p w14:paraId="3D85E52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管线均采取架空敷设的方式，</w:t>
            </w:r>
            <w:r>
              <w:rPr>
                <w:rFonts w:hint="eastAsia" w:cs="Times New Roman"/>
                <w:bCs/>
                <w:sz w:val="24"/>
                <w:highlight w:val="none"/>
                <w:lang w:val="en-US" w:eastAsia="zh-CN"/>
              </w:rPr>
              <w:t>黄河水管道厂区外取水点已经预留接口，本项目建设直接接入接口，不涉及土方工程，对周边环境影响较小。</w:t>
            </w:r>
            <w:r>
              <w:rPr>
                <w:rFonts w:hint="eastAsia" w:cs="Times New Roman"/>
                <w:sz w:val="24"/>
                <w:highlight w:val="none"/>
                <w:lang w:val="en-US" w:eastAsia="zh-CN"/>
              </w:rPr>
              <w:t>本项目WRT甲烷气、清净废水管道位于厂区外，部分管道跨越厂区之间天然牧草地。如果</w:t>
            </w:r>
            <w:r>
              <w:rPr>
                <w:rFonts w:ascii="Segoe UI" w:hAnsi="Segoe UI" w:eastAsia="Segoe UI" w:cs="Segoe UI"/>
                <w:i w:val="0"/>
                <w:iCs w:val="0"/>
                <w:caps w:val="0"/>
                <w:color w:val="0F1115"/>
                <w:spacing w:val="0"/>
                <w:sz w:val="24"/>
                <w:szCs w:val="24"/>
                <w:highlight w:val="none"/>
                <w:shd w:val="clear" w:fill="FFFFFF"/>
              </w:rPr>
              <w:t>施工过程中对牧草造成局部损伤，应在施工结束后及时采取植被恢复措施，必要时进行草籽补播，</w:t>
            </w:r>
            <w:r>
              <w:rPr>
                <w:rFonts w:hint="eastAsia" w:ascii="Segoe UI" w:hAnsi="Segoe UI" w:eastAsia="宋体" w:cs="Segoe UI"/>
                <w:i w:val="0"/>
                <w:iCs w:val="0"/>
                <w:caps w:val="0"/>
                <w:color w:val="0F1115"/>
                <w:spacing w:val="0"/>
                <w:sz w:val="24"/>
                <w:szCs w:val="24"/>
                <w:highlight w:val="none"/>
                <w:shd w:val="clear" w:fill="FFFFFF"/>
                <w:lang w:eastAsia="zh-CN"/>
              </w:rPr>
              <w:t>以</w:t>
            </w:r>
            <w:r>
              <w:rPr>
                <w:rFonts w:ascii="Segoe UI" w:hAnsi="Segoe UI" w:eastAsia="Segoe UI" w:cs="Segoe UI"/>
                <w:i w:val="0"/>
                <w:iCs w:val="0"/>
                <w:caps w:val="0"/>
                <w:color w:val="0F1115"/>
                <w:spacing w:val="0"/>
                <w:sz w:val="24"/>
                <w:szCs w:val="24"/>
                <w:highlight w:val="none"/>
                <w:shd w:val="clear" w:fill="FFFFFF"/>
              </w:rPr>
              <w:t>促进植被自然恢复</w:t>
            </w:r>
            <w:r>
              <w:rPr>
                <w:rFonts w:hint="eastAsia" w:ascii="Segoe UI" w:hAnsi="Segoe UI" w:eastAsia="宋体" w:cs="Segoe UI"/>
                <w:i w:val="0"/>
                <w:iCs w:val="0"/>
                <w:caps w:val="0"/>
                <w:color w:val="0F1115"/>
                <w:spacing w:val="0"/>
                <w:sz w:val="24"/>
                <w:szCs w:val="24"/>
                <w:highlight w:val="none"/>
                <w:shd w:val="clear" w:fill="FFFFFF"/>
                <w:lang w:eastAsia="zh-CN"/>
              </w:rPr>
              <w:t>。</w:t>
            </w:r>
            <w:r>
              <w:rPr>
                <w:rFonts w:hint="eastAsia" w:ascii="Segoe UI" w:hAnsi="Segoe UI" w:eastAsia="宋体" w:cs="Segoe UI"/>
                <w:i w:val="0"/>
                <w:iCs w:val="0"/>
                <w:caps w:val="0"/>
                <w:color w:val="0F1115"/>
                <w:spacing w:val="0"/>
                <w:sz w:val="24"/>
                <w:szCs w:val="24"/>
                <w:highlight w:val="none"/>
                <w:shd w:val="clear" w:fill="FFFFFF"/>
                <w:lang w:val="en-US" w:eastAsia="zh-CN"/>
              </w:rPr>
              <w:t>总体来看周边</w:t>
            </w:r>
            <w:r>
              <w:rPr>
                <w:rFonts w:hint="eastAsia" w:ascii="Times New Roman" w:hAnsi="Times New Roman" w:eastAsia="宋体" w:cs="Times New Roman"/>
                <w:bCs/>
                <w:sz w:val="24"/>
                <w:highlight w:val="none"/>
                <w:lang w:val="zh-CN" w:eastAsia="zh-CN"/>
              </w:rPr>
              <w:t>环境不敏感</w:t>
            </w:r>
            <w:r>
              <w:rPr>
                <w:rFonts w:hint="eastAsia" w:cs="Times New Roman"/>
                <w:bCs/>
                <w:sz w:val="24"/>
                <w:highlight w:val="none"/>
                <w:lang w:val="zh-CN" w:eastAsia="zh-CN"/>
              </w:rPr>
              <w:t>，</w:t>
            </w:r>
            <w:r>
              <w:rPr>
                <w:rFonts w:hint="eastAsia" w:cs="Times New Roman"/>
                <w:bCs/>
                <w:sz w:val="24"/>
                <w:highlight w:val="none"/>
                <w:lang w:val="en-US" w:eastAsia="zh-CN"/>
              </w:rPr>
              <w:t>因此</w:t>
            </w:r>
            <w:r>
              <w:rPr>
                <w:rFonts w:hint="eastAsia" w:ascii="Times New Roman" w:hAnsi="Times New Roman" w:eastAsia="宋体" w:cs="Times New Roman"/>
                <w:bCs/>
                <w:sz w:val="24"/>
                <w:highlight w:val="none"/>
                <w:lang w:val="zh-CN" w:eastAsia="zh-CN"/>
              </w:rPr>
              <w:t>占地及施工对区域生态环境的影响很小。</w:t>
            </w:r>
            <w:r>
              <w:rPr>
                <w:rFonts w:hint="eastAsia" w:ascii="Times New Roman" w:hAnsi="Times New Roman" w:eastAsia="宋体" w:cs="Times New Roman"/>
                <w:sz w:val="24"/>
                <w:szCs w:val="32"/>
                <w:highlight w:val="none"/>
                <w:lang w:val="en-US" w:eastAsia="zh-CN"/>
              </w:rPr>
              <w:t>项目施工期</w:t>
            </w:r>
            <w:r>
              <w:rPr>
                <w:rFonts w:hint="eastAsia" w:cs="Times New Roman"/>
                <w:sz w:val="24"/>
                <w:szCs w:val="32"/>
                <w:highlight w:val="none"/>
                <w:lang w:val="en-US" w:eastAsia="zh-CN"/>
              </w:rPr>
              <w:t>应</w:t>
            </w:r>
            <w:r>
              <w:rPr>
                <w:rFonts w:hint="eastAsia" w:ascii="Times New Roman" w:hAnsi="Times New Roman" w:eastAsia="宋体" w:cs="Times New Roman"/>
                <w:sz w:val="24"/>
                <w:szCs w:val="32"/>
                <w:highlight w:val="none"/>
                <w:lang w:val="en-US" w:eastAsia="zh-CN"/>
              </w:rPr>
              <w:t>严格管理，尽量避免对自然环境和生态平衡的破坏，防止水土流失，保护自然景观，使管线布设和自然景观</w:t>
            </w:r>
            <w:r>
              <w:rPr>
                <w:rFonts w:hint="eastAsia" w:cs="Times New Roman"/>
                <w:sz w:val="24"/>
                <w:szCs w:val="32"/>
                <w:highlight w:val="none"/>
                <w:lang w:val="en-US" w:eastAsia="zh-CN"/>
              </w:rPr>
              <w:t>与</w:t>
            </w:r>
            <w:r>
              <w:rPr>
                <w:rFonts w:hint="eastAsia" w:ascii="Times New Roman" w:hAnsi="Times New Roman" w:eastAsia="宋体" w:cs="Times New Roman"/>
                <w:sz w:val="24"/>
                <w:szCs w:val="32"/>
                <w:highlight w:val="none"/>
                <w:lang w:val="en-US" w:eastAsia="zh-CN"/>
              </w:rPr>
              <w:t>城市生态相协调，不会对当地生态系统产生严重的影响。</w:t>
            </w:r>
          </w:p>
          <w:p w14:paraId="03EB76F1">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sz w:val="24"/>
                <w:szCs w:val="32"/>
                <w:highlight w:val="none"/>
              </w:rPr>
            </w:pPr>
            <w:r>
              <w:rPr>
                <w:rFonts w:hint="eastAsia" w:ascii="Times New Roman" w:hAnsi="Times New Roman" w:eastAsia="宋体" w:cs="Times New Roman"/>
                <w:sz w:val="24"/>
                <w:szCs w:val="32"/>
                <w:highlight w:val="none"/>
                <w:lang w:val="en-US" w:eastAsia="zh-CN"/>
              </w:rPr>
              <w:t>本项目管线线路</w:t>
            </w:r>
            <w:r>
              <w:rPr>
                <w:sz w:val="24"/>
                <w:highlight w:val="none"/>
              </w:rPr>
              <w:t>已于202</w:t>
            </w:r>
            <w:r>
              <w:rPr>
                <w:rFonts w:hint="eastAsia"/>
                <w:sz w:val="24"/>
                <w:highlight w:val="none"/>
              </w:rPr>
              <w:t>5</w:t>
            </w:r>
            <w:r>
              <w:rPr>
                <w:sz w:val="24"/>
                <w:highlight w:val="none"/>
              </w:rPr>
              <w:t>年</w:t>
            </w:r>
            <w:r>
              <w:rPr>
                <w:rFonts w:hint="eastAsia"/>
                <w:sz w:val="24"/>
                <w:highlight w:val="none"/>
                <w:lang w:val="en-US" w:eastAsia="zh-CN"/>
              </w:rPr>
              <w:t>8</w:t>
            </w:r>
            <w:r>
              <w:rPr>
                <w:sz w:val="24"/>
                <w:highlight w:val="none"/>
              </w:rPr>
              <w:t>月</w:t>
            </w:r>
            <w:r>
              <w:rPr>
                <w:rFonts w:hint="eastAsia"/>
                <w:sz w:val="24"/>
                <w:highlight w:val="none"/>
                <w:lang w:val="en-US" w:eastAsia="zh-CN"/>
              </w:rPr>
              <w:t>21</w:t>
            </w:r>
            <w:r>
              <w:rPr>
                <w:sz w:val="24"/>
                <w:highlight w:val="none"/>
              </w:rPr>
              <w:t>日在</w:t>
            </w:r>
            <w:r>
              <w:rPr>
                <w:rFonts w:hint="eastAsia"/>
                <w:sz w:val="24"/>
                <w:highlight w:val="none"/>
                <w:lang w:val="en-US" w:eastAsia="zh-CN"/>
              </w:rPr>
              <w:t>杭锦旗工信和科技局</w:t>
            </w:r>
            <w:r>
              <w:rPr>
                <w:sz w:val="24"/>
                <w:highlight w:val="none"/>
              </w:rPr>
              <w:t>备案，项目代码</w:t>
            </w:r>
            <w:r>
              <w:rPr>
                <w:rFonts w:hint="eastAsia"/>
                <w:sz w:val="24"/>
                <w:highlight w:val="none"/>
              </w:rPr>
              <w:t>2508-150625-07-02-100656</w:t>
            </w:r>
            <w:r>
              <w:rPr>
                <w:sz w:val="24"/>
                <w:highlight w:val="none"/>
              </w:rPr>
              <w:t>（见附件</w:t>
            </w:r>
            <w:r>
              <w:rPr>
                <w:rFonts w:hint="eastAsia"/>
                <w:sz w:val="24"/>
                <w:highlight w:val="none"/>
                <w:lang w:val="en-US" w:eastAsia="zh-CN"/>
              </w:rPr>
              <w:t>三</w:t>
            </w:r>
            <w:r>
              <w:rPr>
                <w:sz w:val="24"/>
                <w:highlight w:val="none"/>
              </w:rPr>
              <w:t>）</w:t>
            </w:r>
            <w:r>
              <w:rPr>
                <w:rFonts w:hint="eastAsia" w:ascii="Times New Roman" w:hAnsi="Times New Roman" w:eastAsia="宋体" w:cs="Times New Roman"/>
                <w:sz w:val="24"/>
                <w:szCs w:val="32"/>
                <w:highlight w:val="none"/>
              </w:rPr>
              <w:t>。</w:t>
            </w:r>
          </w:p>
          <w:p w14:paraId="7FD0514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cs="Times New Roman"/>
                <w:sz w:val="24"/>
                <w:szCs w:val="32"/>
                <w:highlight w:val="none"/>
                <w:lang w:val="en-US" w:eastAsia="zh-CN"/>
              </w:rPr>
            </w:pPr>
            <w:r>
              <w:rPr>
                <w:rFonts w:hint="eastAsia" w:cs="Times New Roman"/>
                <w:sz w:val="24"/>
                <w:szCs w:val="32"/>
                <w:highlight w:val="none"/>
                <w:lang w:val="en-US" w:eastAsia="zh-CN"/>
              </w:rPr>
              <w:t>2025年8月已取得《鄂尔多斯杭锦旗经济开发区管理委员会关于同意伊泰化工与鹏泰生物厂区之间地带建设物料输送管线管廊的函》。具体内容见（附件五）。</w:t>
            </w:r>
          </w:p>
          <w:p w14:paraId="352478DD">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default" w:cs="Times New Roman"/>
                <w:sz w:val="24"/>
                <w:szCs w:val="32"/>
                <w:highlight w:val="none"/>
                <w:lang w:val="en-US" w:eastAsia="zh-CN"/>
              </w:rPr>
            </w:pPr>
            <w:r>
              <w:rPr>
                <w:rFonts w:hint="eastAsia" w:cs="Times New Roman"/>
                <w:sz w:val="24"/>
                <w:szCs w:val="32"/>
                <w:highlight w:val="none"/>
                <w:lang w:val="en-US" w:eastAsia="zh-CN"/>
              </w:rPr>
              <w:t>2021年12月22日内蒙古自治区文物考古研究院以内文考基字〔2021〕261号文出具了《鄂尔多斯杭锦旗经济开发区项目文物核查报告》，具体内容见（附件七）。</w:t>
            </w:r>
          </w:p>
          <w:p w14:paraId="445EC71D">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sz w:val="24"/>
                <w:szCs w:val="32"/>
                <w:highlight w:val="none"/>
              </w:rPr>
            </w:pPr>
            <w:r>
              <w:rPr>
                <w:rFonts w:hint="eastAsia" w:ascii="Times New Roman" w:hAnsi="Times New Roman" w:eastAsia="宋体" w:cs="Times New Roman"/>
                <w:sz w:val="24"/>
                <w:szCs w:val="32"/>
                <w:highlight w:val="none"/>
              </w:rPr>
              <w:t>本项目建设主要影响要素为环境风险</w:t>
            </w:r>
            <w:r>
              <w:rPr>
                <w:rFonts w:hint="eastAsia"/>
                <w:sz w:val="24"/>
                <w:szCs w:val="32"/>
                <w:highlight w:val="none"/>
              </w:rPr>
              <w:t>，在落实各项环境风险防控措施后，本项目环境风险可防可控。</w:t>
            </w:r>
          </w:p>
          <w:p w14:paraId="21959CA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ascii="宋体" w:hAnsi="宋体" w:cs="宋体"/>
                <w:bCs/>
                <w:color w:val="0000FF"/>
                <w:szCs w:val="21"/>
                <w:highlight w:val="none"/>
              </w:rPr>
            </w:pPr>
            <w:r>
              <w:rPr>
                <w:rFonts w:hint="eastAsia"/>
                <w:sz w:val="24"/>
                <w:szCs w:val="32"/>
                <w:highlight w:val="none"/>
              </w:rPr>
              <w:t>综上分析，从环境影响角度分析，项目选址</w:t>
            </w:r>
            <w:r>
              <w:rPr>
                <w:rFonts w:hint="eastAsia"/>
                <w:sz w:val="24"/>
                <w:szCs w:val="32"/>
                <w:highlight w:val="none"/>
                <w:lang w:eastAsia="zh-CN"/>
              </w:rPr>
              <w:t>和</w:t>
            </w:r>
            <w:r>
              <w:rPr>
                <w:rFonts w:hint="eastAsia"/>
                <w:sz w:val="24"/>
                <w:szCs w:val="32"/>
                <w:highlight w:val="none"/>
              </w:rPr>
              <w:t>选线合理可行。</w:t>
            </w:r>
          </w:p>
        </w:tc>
      </w:tr>
    </w:tbl>
    <w:p w14:paraId="481F0770">
      <w:pPr>
        <w:pStyle w:val="18"/>
        <w:jc w:val="center"/>
        <w:rPr>
          <w:rFonts w:ascii="黑体" w:hAnsi="黑体" w:eastAsia="黑体"/>
          <w:snapToGrid w:val="0"/>
          <w:sz w:val="36"/>
          <w:szCs w:val="36"/>
          <w:highlight w:val="none"/>
        </w:rPr>
        <w:sectPr>
          <w:pgSz w:w="11906" w:h="16838"/>
          <w:pgMar w:top="1701" w:right="1701" w:bottom="1701" w:left="1701" w:header="851" w:footer="1077" w:gutter="0"/>
          <w:pgNumType w:fmt="decimal"/>
          <w:cols w:space="720" w:num="1"/>
          <w:docGrid w:linePitch="312" w:charSpace="0"/>
        </w:sectPr>
      </w:pPr>
    </w:p>
    <w:p w14:paraId="0CBE1AB4">
      <w:pPr>
        <w:pStyle w:val="18"/>
        <w:jc w:val="center"/>
        <w:outlineLvl w:val="0"/>
        <w:rPr>
          <w:rFonts w:ascii="黑体" w:hAnsi="黑体" w:eastAsia="黑体"/>
          <w:snapToGrid w:val="0"/>
          <w:sz w:val="30"/>
          <w:szCs w:val="30"/>
          <w:highlight w:val="none"/>
        </w:rPr>
      </w:pPr>
      <w:r>
        <w:rPr>
          <w:rFonts w:hint="eastAsia" w:ascii="黑体" w:hAnsi="黑体" w:eastAsia="黑体"/>
          <w:snapToGrid w:val="0"/>
          <w:sz w:val="30"/>
          <w:szCs w:val="30"/>
          <w:highlight w:val="none"/>
        </w:rPr>
        <w:t>五、主要生态环境保护措施</w:t>
      </w:r>
    </w:p>
    <w:tbl>
      <w:tblPr>
        <w:tblStyle w:val="19"/>
        <w:tblW w:w="878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53"/>
        <w:gridCol w:w="8032"/>
      </w:tblGrid>
      <w:tr w14:paraId="4EDC5F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82" w:hRule="atLeast"/>
          <w:jc w:val="center"/>
        </w:trPr>
        <w:tc>
          <w:tcPr>
            <w:tcW w:w="753" w:type="dxa"/>
            <w:noWrap w:val="0"/>
            <w:tcMar>
              <w:left w:w="28" w:type="dxa"/>
              <w:right w:w="28" w:type="dxa"/>
            </w:tcMar>
            <w:vAlign w:val="center"/>
          </w:tcPr>
          <w:p w14:paraId="08BA6848">
            <w:pPr>
              <w:adjustRightInd w:val="0"/>
              <w:snapToGrid w:val="0"/>
              <w:jc w:val="center"/>
              <w:rPr>
                <w:rFonts w:ascii="宋体" w:hAnsi="宋体"/>
                <w:bCs/>
                <w:szCs w:val="21"/>
                <w:highlight w:val="none"/>
              </w:rPr>
            </w:pPr>
            <w:r>
              <w:rPr>
                <w:rFonts w:hint="eastAsia" w:ascii="宋体" w:hAnsi="宋体" w:cs="宋体"/>
                <w:bCs/>
                <w:spacing w:val="10"/>
                <w:sz w:val="24"/>
                <w:highlight w:val="none"/>
              </w:rPr>
              <w:t>施工期生态环境保护措施</w:t>
            </w:r>
          </w:p>
        </w:tc>
        <w:tc>
          <w:tcPr>
            <w:tcW w:w="8032" w:type="dxa"/>
            <w:noWrap w:val="0"/>
            <w:vAlign w:val="center"/>
          </w:tcPr>
          <w:p w14:paraId="24571F86">
            <w:pPr>
              <w:adjustRightInd/>
              <w:snapToGrid/>
              <w:spacing w:after="0" w:line="360" w:lineRule="auto"/>
              <w:ind w:left="0" w:leftChars="0" w:firstLine="482" w:firstLineChars="200"/>
              <w:rPr>
                <w:rFonts w:hint="default"/>
                <w:b/>
                <w:bCs/>
                <w:sz w:val="24"/>
                <w:szCs w:val="32"/>
                <w:highlight w:val="none"/>
                <w:lang w:val="en-US"/>
              </w:rPr>
            </w:pPr>
            <w:r>
              <w:rPr>
                <w:rFonts w:hint="eastAsia"/>
                <w:b/>
                <w:bCs/>
                <w:sz w:val="24"/>
                <w:szCs w:val="32"/>
                <w:highlight w:val="none"/>
                <w:lang w:val="en-US" w:eastAsia="zh-CN"/>
              </w:rPr>
              <w:t>1.施工期大气环境保护措施</w:t>
            </w:r>
          </w:p>
          <w:p w14:paraId="0A7AC44B">
            <w:pPr>
              <w:adjustRightInd w:val="0"/>
              <w:snapToGrid w:val="0"/>
              <w:spacing w:line="360" w:lineRule="auto"/>
              <w:ind w:firstLine="480" w:firstLineChars="200"/>
              <w:rPr>
                <w:rFonts w:hint="eastAsia" w:ascii="Times New Roman" w:hAnsi="Times New Roman" w:eastAsia="宋体" w:cs="Times New Roman"/>
                <w:sz w:val="24"/>
                <w:szCs w:val="32"/>
                <w:highlight w:val="none"/>
              </w:rPr>
            </w:pPr>
            <w:r>
              <w:rPr>
                <w:rFonts w:hint="eastAsia" w:ascii="Times New Roman" w:hAnsi="Times New Roman" w:eastAsia="宋体" w:cs="Times New Roman"/>
                <w:sz w:val="24"/>
                <w:szCs w:val="32"/>
                <w:highlight w:val="none"/>
                <w:lang w:val="en-US" w:eastAsia="zh-CN"/>
              </w:rPr>
              <w:t>①运输车辆的尾气</w:t>
            </w:r>
          </w:p>
          <w:p w14:paraId="51CAE6AB">
            <w:pPr>
              <w:keepNext w:val="0"/>
              <w:keepLines w:val="0"/>
              <w:pageBreakBefore w:val="0"/>
              <w:widowControl/>
              <w:numPr>
                <w:ilvl w:val="-1"/>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本项目施工机械和运输车辆排放的大气</w:t>
            </w:r>
            <w:r>
              <w:rPr>
                <w:rFonts w:hint="eastAsia" w:cs="Times New Roman"/>
                <w:color w:val="000000"/>
                <w:sz w:val="24"/>
                <w:szCs w:val="24"/>
                <w:highlight w:val="none"/>
                <w:lang w:val="en-US" w:eastAsia="zh-CN"/>
              </w:rPr>
              <w:t>污染物</w:t>
            </w:r>
            <w:r>
              <w:rPr>
                <w:rFonts w:hint="default" w:ascii="Times New Roman" w:hAnsi="Times New Roman" w:eastAsia="宋体" w:cs="Times New Roman"/>
                <w:color w:val="000000"/>
                <w:sz w:val="24"/>
                <w:szCs w:val="24"/>
                <w:highlight w:val="none"/>
                <w:lang w:val="en-US" w:eastAsia="zh-CN"/>
              </w:rPr>
              <w:t>相对较少，对周边</w:t>
            </w:r>
            <w:r>
              <w:rPr>
                <w:rFonts w:hint="eastAsia" w:cs="Times New Roman"/>
                <w:color w:val="000000"/>
                <w:sz w:val="24"/>
                <w:szCs w:val="24"/>
                <w:highlight w:val="none"/>
                <w:lang w:val="en-US" w:eastAsia="zh-CN"/>
              </w:rPr>
              <w:t>环境</w:t>
            </w:r>
            <w:r>
              <w:rPr>
                <w:rFonts w:hint="default" w:ascii="Times New Roman" w:hAnsi="Times New Roman" w:eastAsia="宋体" w:cs="Times New Roman"/>
                <w:color w:val="000000"/>
                <w:sz w:val="24"/>
                <w:szCs w:val="24"/>
                <w:highlight w:val="none"/>
                <w:lang w:val="en-US" w:eastAsia="zh-CN"/>
              </w:rPr>
              <w:t>影响程度及范围较小，通过采取限制</w:t>
            </w:r>
            <w:r>
              <w:rPr>
                <w:rFonts w:hint="eastAsia" w:cs="Times New Roman"/>
                <w:color w:val="000000"/>
                <w:sz w:val="24"/>
                <w:szCs w:val="24"/>
                <w:highlight w:val="none"/>
                <w:lang w:val="en-US" w:eastAsia="zh-CN"/>
              </w:rPr>
              <w:t>超载</w:t>
            </w:r>
            <w:r>
              <w:rPr>
                <w:rFonts w:hint="default" w:ascii="Times New Roman" w:hAnsi="Times New Roman" w:eastAsia="宋体" w:cs="Times New Roman"/>
                <w:color w:val="000000"/>
                <w:sz w:val="24"/>
                <w:szCs w:val="24"/>
                <w:highlight w:val="none"/>
                <w:lang w:val="en-US" w:eastAsia="zh-CN"/>
              </w:rPr>
              <w:t>、限制超速等措施，现场施工机械和人员活动范围严格限在作业带范围内，尽量减少施工破坏面</w:t>
            </w:r>
            <w:r>
              <w:rPr>
                <w:rFonts w:hint="eastAsia" w:cs="Times New Roman"/>
                <w:color w:val="000000"/>
                <w:sz w:val="24"/>
                <w:szCs w:val="24"/>
                <w:highlight w:val="none"/>
                <w:lang w:val="en-US" w:eastAsia="zh-CN"/>
              </w:rPr>
              <w:t>，避免大风天气作业，</w:t>
            </w:r>
            <w:r>
              <w:rPr>
                <w:rFonts w:hint="default" w:ascii="Times New Roman" w:hAnsi="Times New Roman" w:eastAsia="宋体" w:cs="Times New Roman"/>
                <w:color w:val="000000"/>
                <w:sz w:val="24"/>
                <w:szCs w:val="24"/>
                <w:highlight w:val="none"/>
                <w:lang w:val="en-US" w:eastAsia="zh-CN"/>
              </w:rPr>
              <w:t>可以大大降低运输车辆及施工机械尾气对周围环境的影响。</w:t>
            </w:r>
            <w:r>
              <w:rPr>
                <w:rFonts w:hint="eastAsia" w:ascii="Times New Roman" w:hAnsi="Times New Roman" w:eastAsia="宋体" w:cs="Times New Roman"/>
                <w:sz w:val="24"/>
                <w:szCs w:val="32"/>
                <w:highlight w:val="none"/>
                <w:lang w:val="en-US" w:eastAsia="zh-CN"/>
              </w:rPr>
              <w:t>车辆在开阔的地段运输，运输并不是连续运输，有利于车辆尾气的扩散，</w:t>
            </w:r>
            <w:r>
              <w:rPr>
                <w:rFonts w:hint="default" w:ascii="Times New Roman" w:hAnsi="Times New Roman" w:eastAsia="宋体" w:cs="Times New Roman"/>
                <w:color w:val="000000"/>
                <w:sz w:val="24"/>
                <w:szCs w:val="24"/>
                <w:highlight w:val="none"/>
                <w:lang w:val="en-US" w:eastAsia="zh-CN"/>
              </w:rPr>
              <w:t>因此运输车辆所排放的尾气对周围环境影响较小。</w:t>
            </w:r>
          </w:p>
          <w:p w14:paraId="317B5193">
            <w:pPr>
              <w:adjustRightInd w:val="0"/>
              <w:snapToGrid w:val="0"/>
              <w:spacing w:line="360" w:lineRule="auto"/>
              <w:ind w:firstLine="480" w:firstLineChars="2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②扬尘</w:t>
            </w:r>
          </w:p>
          <w:p w14:paraId="1055A19D">
            <w:pPr>
              <w:adjustRightInd w:val="0"/>
              <w:snapToGrid w:val="0"/>
              <w:spacing w:line="360" w:lineRule="auto"/>
              <w:ind w:firstLine="480" w:firstLineChars="200"/>
              <w:rPr>
                <w:rFonts w:hint="eastAsia" w:ascii="Times New Roman" w:hAnsi="Times New Roman" w:eastAsia="宋体" w:cs="Times New Roman"/>
                <w:sz w:val="24"/>
                <w:szCs w:val="32"/>
                <w:highlight w:val="none"/>
                <w:lang w:val="en-US" w:eastAsia="zh-CN"/>
              </w:rPr>
            </w:pPr>
            <w:r>
              <w:rPr>
                <w:rFonts w:hint="eastAsia" w:cs="Times New Roman"/>
                <w:sz w:val="24"/>
                <w:szCs w:val="32"/>
                <w:highlight w:val="none"/>
                <w:lang w:val="en-US" w:eastAsia="zh-CN"/>
              </w:rPr>
              <w:t>本项目在</w:t>
            </w:r>
            <w:r>
              <w:rPr>
                <w:rFonts w:hint="eastAsia" w:ascii="Times New Roman" w:hAnsi="Times New Roman" w:eastAsia="宋体" w:cs="Times New Roman"/>
                <w:sz w:val="24"/>
                <w:szCs w:val="32"/>
                <w:highlight w:val="none"/>
                <w:lang w:val="en-US" w:eastAsia="zh-CN"/>
              </w:rPr>
              <w:t>施工过程中扬尘量甚微，</w:t>
            </w:r>
            <w:r>
              <w:rPr>
                <w:rFonts w:hint="eastAsia" w:cs="Times New Roman"/>
                <w:sz w:val="24"/>
                <w:szCs w:val="32"/>
                <w:highlight w:val="none"/>
                <w:lang w:val="en-US" w:eastAsia="zh-CN"/>
              </w:rPr>
              <w:t>项目管线均为架空敷设，黄河水管线在厂区</w:t>
            </w:r>
            <w:r>
              <w:rPr>
                <w:rFonts w:hint="default" w:ascii="Times New Roman" w:hAnsi="Times New Roman" w:eastAsia="宋体" w:cs="Times New Roman"/>
                <w:bCs/>
                <w:sz w:val="24"/>
                <w:highlight w:val="none"/>
                <w:lang w:val="en-US" w:eastAsia="zh-CN"/>
              </w:rPr>
              <w:t>外埋地管线处</w:t>
            </w:r>
            <w:r>
              <w:rPr>
                <w:rFonts w:hint="eastAsia" w:cs="Times New Roman"/>
                <w:sz w:val="24"/>
                <w:szCs w:val="32"/>
                <w:highlight w:val="none"/>
                <w:lang w:val="en-US" w:eastAsia="zh-CN"/>
              </w:rPr>
              <w:t>已经预留接口，不涉及管沟开挖。外</w:t>
            </w:r>
            <w:r>
              <w:rPr>
                <w:rFonts w:hint="eastAsia" w:ascii="Times New Roman" w:hAnsi="Times New Roman" w:eastAsia="宋体" w:cs="Times New Roman"/>
                <w:sz w:val="24"/>
                <w:szCs w:val="32"/>
                <w:highlight w:val="none"/>
                <w:lang w:val="en-US" w:eastAsia="zh-CN"/>
              </w:rPr>
              <w:t>施工场地干燥时适当喷水加湿，在施工场地清理阶段，做到先</w:t>
            </w:r>
            <w:r>
              <w:rPr>
                <w:rFonts w:hint="eastAsia" w:cs="Times New Roman"/>
                <w:sz w:val="24"/>
                <w:szCs w:val="32"/>
                <w:highlight w:val="none"/>
                <w:lang w:val="en-US" w:eastAsia="zh-CN"/>
              </w:rPr>
              <w:t>洒水</w:t>
            </w:r>
            <w:r>
              <w:rPr>
                <w:rFonts w:hint="eastAsia" w:ascii="Times New Roman" w:hAnsi="Times New Roman" w:eastAsia="宋体" w:cs="Times New Roman"/>
                <w:sz w:val="24"/>
                <w:szCs w:val="32"/>
                <w:highlight w:val="none"/>
                <w:lang w:val="en-US" w:eastAsia="zh-CN"/>
              </w:rPr>
              <w:t>，后清扫，防止扬尘产生。</w:t>
            </w:r>
          </w:p>
          <w:p w14:paraId="2D83D676">
            <w:pPr>
              <w:adjustRightInd w:val="0"/>
              <w:snapToGrid w:val="0"/>
              <w:spacing w:line="360" w:lineRule="auto"/>
              <w:ind w:firstLine="480" w:firstLineChars="200"/>
              <w:rPr>
                <w:rFonts w:hint="eastAsia" w:ascii="Times New Roman" w:hAnsi="Times New Roman" w:eastAsia="宋体" w:cs="Times New Roman"/>
                <w:sz w:val="24"/>
                <w:szCs w:val="32"/>
                <w:highlight w:val="none"/>
              </w:rPr>
            </w:pPr>
            <w:r>
              <w:rPr>
                <w:rFonts w:hint="eastAsia" w:ascii="Times New Roman" w:hAnsi="Times New Roman" w:eastAsia="宋体" w:cs="Times New Roman"/>
                <w:sz w:val="24"/>
                <w:szCs w:val="32"/>
                <w:highlight w:val="none"/>
                <w:lang w:val="en-US" w:eastAsia="zh-CN"/>
              </w:rPr>
              <w:t>尽可能</w:t>
            </w:r>
            <w:r>
              <w:rPr>
                <w:rFonts w:hint="eastAsia" w:cs="Times New Roman"/>
                <w:sz w:val="24"/>
                <w:szCs w:val="32"/>
                <w:highlight w:val="none"/>
                <w:lang w:val="en-US" w:eastAsia="zh-CN"/>
              </w:rPr>
              <w:t>地</w:t>
            </w:r>
            <w:r>
              <w:rPr>
                <w:rFonts w:hint="eastAsia" w:ascii="Times New Roman" w:hAnsi="Times New Roman" w:eastAsia="宋体" w:cs="Times New Roman"/>
                <w:sz w:val="24"/>
                <w:szCs w:val="32"/>
                <w:highlight w:val="none"/>
                <w:lang w:val="en-US" w:eastAsia="zh-CN"/>
              </w:rPr>
              <w:t>加快施工进度安排。</w:t>
            </w:r>
          </w:p>
          <w:p w14:paraId="016FA512">
            <w:pPr>
              <w:adjustRightInd w:val="0"/>
              <w:snapToGrid w:val="0"/>
              <w:spacing w:line="360" w:lineRule="auto"/>
              <w:ind w:firstLine="480" w:firstLineChars="200"/>
              <w:rPr>
                <w:rFonts w:hint="eastAsia" w:ascii="Times New Roman" w:hAnsi="Times New Roman" w:eastAsia="宋体" w:cs="Times New Roman"/>
                <w:sz w:val="24"/>
                <w:szCs w:val="32"/>
                <w:highlight w:val="none"/>
              </w:rPr>
            </w:pPr>
            <w:r>
              <w:rPr>
                <w:rFonts w:hint="eastAsia" w:ascii="Times New Roman" w:hAnsi="Times New Roman" w:eastAsia="宋体" w:cs="Times New Roman"/>
                <w:sz w:val="24"/>
                <w:szCs w:val="32"/>
                <w:highlight w:val="none"/>
                <w:lang w:val="en-US" w:eastAsia="zh-CN"/>
              </w:rPr>
              <w:t>③焊接废气</w:t>
            </w:r>
          </w:p>
          <w:p w14:paraId="03EA4732">
            <w:pPr>
              <w:adjustRightInd w:val="0"/>
              <w:snapToGrid w:val="0"/>
              <w:spacing w:line="360" w:lineRule="auto"/>
              <w:ind w:firstLine="480" w:firstLineChars="200"/>
              <w:rPr>
                <w:rFonts w:hint="eastAsia" w:ascii="Times New Roman" w:hAnsi="Times New Roman" w:eastAsia="宋体" w:cs="Times New Roman"/>
                <w:sz w:val="24"/>
                <w:szCs w:val="32"/>
                <w:highlight w:val="none"/>
              </w:rPr>
            </w:pPr>
            <w:r>
              <w:rPr>
                <w:rFonts w:hint="eastAsia" w:ascii="Times New Roman" w:hAnsi="Times New Roman" w:eastAsia="宋体" w:cs="Times New Roman"/>
                <w:sz w:val="24"/>
                <w:szCs w:val="32"/>
                <w:highlight w:val="none"/>
                <w:lang w:val="en-US" w:eastAsia="zh-CN"/>
              </w:rPr>
              <w:t>由于焊接烟尘的排放具有分散、间断排放和排放量小的特点，且焊接均为户外作业，故焊接烟尘对周围环境空气质量影响较小。</w:t>
            </w:r>
          </w:p>
          <w:p w14:paraId="3DB21F5F">
            <w:pPr>
              <w:adjustRightInd w:val="0"/>
              <w:snapToGrid w:val="0"/>
              <w:spacing w:line="360" w:lineRule="auto"/>
              <w:ind w:firstLine="480" w:firstLineChars="200"/>
              <w:rPr>
                <w:rFonts w:hint="eastAsia" w:ascii="Times New Roman" w:hAnsi="Times New Roman" w:eastAsia="宋体" w:cs="Times New Roman"/>
                <w:sz w:val="24"/>
                <w:szCs w:val="32"/>
                <w:highlight w:val="none"/>
              </w:rPr>
            </w:pPr>
            <w:r>
              <w:rPr>
                <w:rFonts w:hint="eastAsia" w:ascii="Times New Roman" w:hAnsi="Times New Roman" w:eastAsia="宋体" w:cs="Times New Roman"/>
                <w:sz w:val="24"/>
                <w:szCs w:val="32"/>
                <w:highlight w:val="none"/>
                <w:lang w:val="en-US" w:eastAsia="zh-CN"/>
              </w:rPr>
              <w:t>④施工机械废气</w:t>
            </w:r>
          </w:p>
          <w:p w14:paraId="57E09A4D">
            <w:pPr>
              <w:adjustRightInd w:val="0"/>
              <w:snapToGrid w:val="0"/>
              <w:spacing w:line="360" w:lineRule="auto"/>
              <w:ind w:firstLine="480" w:firstLineChars="200"/>
              <w:rPr>
                <w:rFonts w:hint="eastAsia" w:ascii="Times New Roman" w:hAnsi="Times New Roman" w:eastAsia="宋体" w:cs="Times New Roman"/>
                <w:sz w:val="24"/>
                <w:szCs w:val="32"/>
                <w:highlight w:val="none"/>
              </w:rPr>
            </w:pPr>
            <w:r>
              <w:rPr>
                <w:rFonts w:hint="eastAsia" w:ascii="Times New Roman" w:hAnsi="Times New Roman" w:eastAsia="宋体" w:cs="Times New Roman"/>
                <w:sz w:val="24"/>
                <w:szCs w:val="32"/>
                <w:highlight w:val="none"/>
                <w:lang w:val="en-US" w:eastAsia="zh-CN"/>
              </w:rPr>
              <w:t>本项目施工期由于废气量较小，且施工现场均在户外，有利于空气的扩散。同时废气污染源具有间断</w:t>
            </w:r>
            <w:r>
              <w:rPr>
                <w:rFonts w:hint="eastAsia" w:cs="Times New Roman"/>
                <w:sz w:val="24"/>
                <w:szCs w:val="32"/>
                <w:highlight w:val="none"/>
                <w:lang w:val="en-US" w:eastAsia="zh-CN"/>
              </w:rPr>
              <w:t>性</w:t>
            </w:r>
            <w:r>
              <w:rPr>
                <w:rFonts w:hint="eastAsia" w:ascii="Times New Roman" w:hAnsi="Times New Roman" w:eastAsia="宋体" w:cs="Times New Roman"/>
                <w:sz w:val="24"/>
                <w:szCs w:val="32"/>
                <w:highlight w:val="none"/>
                <w:lang w:val="en-US" w:eastAsia="zh-CN"/>
              </w:rPr>
              <w:t>和流动性，因此对局部地区周围环境影响较小。施工废气产生量很少，加之当地大气扩散条件良好</w:t>
            </w:r>
            <w:r>
              <w:rPr>
                <w:rFonts w:hint="eastAsia" w:cs="Times New Roman"/>
                <w:sz w:val="24"/>
                <w:szCs w:val="32"/>
                <w:highlight w:val="none"/>
                <w:lang w:val="en-US" w:eastAsia="zh-CN"/>
              </w:rPr>
              <w:t>，</w:t>
            </w:r>
            <w:r>
              <w:rPr>
                <w:rFonts w:hint="eastAsia" w:ascii="Times New Roman" w:hAnsi="Times New Roman" w:eastAsia="宋体" w:cs="Times New Roman"/>
                <w:sz w:val="24"/>
                <w:szCs w:val="32"/>
                <w:highlight w:val="none"/>
                <w:lang w:val="en-US" w:eastAsia="zh-CN"/>
              </w:rPr>
              <w:t>但其对周边环境产生的影响客观存在，因此建议施工方应加强对机械设备的维修和管理，降低机械设备产生的施工废气对周边环境造成的影响。</w:t>
            </w:r>
          </w:p>
          <w:p w14:paraId="76B40F92">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采取以上措施后，施工扬尘排放能够满足</w:t>
            </w:r>
            <w:r>
              <w:rPr>
                <w:rFonts w:hint="default" w:ascii="Times New Roman" w:hAnsi="Times New Roman" w:eastAsia="宋体" w:cs="Times New Roman"/>
                <w:color w:val="000000"/>
                <w:sz w:val="24"/>
                <w:szCs w:val="24"/>
                <w:highlight w:val="none"/>
              </w:rPr>
              <w:t>《大气污染物综合排放标准》（GB16297-1996）中表2标准限值</w:t>
            </w:r>
            <w:r>
              <w:rPr>
                <w:rFonts w:hint="default" w:ascii="Times New Roman" w:hAnsi="Times New Roman" w:eastAsia="宋体" w:cs="Times New Roman"/>
                <w:color w:val="000000"/>
                <w:sz w:val="24"/>
                <w:szCs w:val="24"/>
                <w:highlight w:val="none"/>
                <w:lang w:val="en-US" w:eastAsia="zh-CN"/>
              </w:rPr>
              <w:t>。可使其对</w:t>
            </w:r>
            <w:r>
              <w:rPr>
                <w:rFonts w:hint="eastAsia" w:cs="Times New Roman"/>
                <w:color w:val="000000"/>
                <w:sz w:val="24"/>
                <w:szCs w:val="24"/>
                <w:highlight w:val="none"/>
                <w:lang w:val="en-US" w:eastAsia="zh-CN"/>
              </w:rPr>
              <w:t>周边</w:t>
            </w:r>
            <w:r>
              <w:rPr>
                <w:rFonts w:hint="default" w:ascii="Times New Roman" w:hAnsi="Times New Roman" w:eastAsia="宋体" w:cs="Times New Roman"/>
                <w:color w:val="000000"/>
                <w:sz w:val="24"/>
                <w:szCs w:val="24"/>
                <w:highlight w:val="none"/>
                <w:lang w:val="en-US" w:eastAsia="zh-CN"/>
              </w:rPr>
              <w:t>环境的影响降至最低。随着施工的完成，这些影响也将消失，因此不会对周围环境产生较大的不利影响。</w:t>
            </w:r>
          </w:p>
          <w:p w14:paraId="65F85EFE">
            <w:pPr>
              <w:adjustRightInd/>
              <w:snapToGrid/>
              <w:spacing w:after="0" w:line="360" w:lineRule="auto"/>
              <w:ind w:left="0" w:leftChars="0" w:firstLine="482" w:firstLineChars="200"/>
              <w:rPr>
                <w:rFonts w:hint="default"/>
                <w:b/>
                <w:bCs/>
                <w:sz w:val="24"/>
                <w:szCs w:val="32"/>
                <w:highlight w:val="none"/>
                <w:lang w:val="en-US"/>
              </w:rPr>
            </w:pPr>
            <w:r>
              <w:rPr>
                <w:rFonts w:hint="eastAsia"/>
                <w:b/>
                <w:bCs/>
                <w:sz w:val="24"/>
                <w:szCs w:val="32"/>
                <w:highlight w:val="none"/>
                <w:lang w:val="en-US" w:eastAsia="zh-CN"/>
              </w:rPr>
              <w:t>2.施工期声环境保护措施</w:t>
            </w:r>
          </w:p>
          <w:p w14:paraId="7C078CA9">
            <w:pPr>
              <w:adjustRightInd w:val="0"/>
              <w:snapToGrid w:val="0"/>
              <w:spacing w:line="360" w:lineRule="auto"/>
              <w:ind w:firstLine="480" w:firstLineChars="200"/>
              <w:rPr>
                <w:rFonts w:hint="default" w:ascii="Times New Roman" w:hAnsi="Times New Roman" w:eastAsia="宋体" w:cs="Times New Roman"/>
                <w:sz w:val="24"/>
                <w:szCs w:val="32"/>
                <w:highlight w:val="none"/>
              </w:rPr>
            </w:pPr>
            <w:r>
              <w:rPr>
                <w:rFonts w:hint="default" w:ascii="Times New Roman" w:hAnsi="Times New Roman" w:eastAsia="宋体" w:cs="Times New Roman"/>
                <w:sz w:val="24"/>
                <w:szCs w:val="32"/>
                <w:highlight w:val="none"/>
                <w:lang w:val="en-US" w:eastAsia="zh-CN"/>
              </w:rPr>
              <w:t>施工</w:t>
            </w:r>
            <w:r>
              <w:rPr>
                <w:rFonts w:hint="eastAsia" w:cs="Times New Roman"/>
                <w:sz w:val="24"/>
                <w:szCs w:val="32"/>
                <w:highlight w:val="none"/>
                <w:lang w:val="en-US" w:eastAsia="zh-CN"/>
              </w:rPr>
              <w:t>期间</w:t>
            </w:r>
            <w:r>
              <w:rPr>
                <w:rFonts w:hint="default" w:ascii="Times New Roman" w:hAnsi="Times New Roman" w:eastAsia="宋体" w:cs="Times New Roman"/>
                <w:sz w:val="24"/>
                <w:szCs w:val="32"/>
                <w:highlight w:val="none"/>
                <w:lang w:val="en-US" w:eastAsia="zh-CN"/>
              </w:rPr>
              <w:t>采取以下措施后，可有效降低施工期噪声对周围环境的影响：</w:t>
            </w:r>
          </w:p>
          <w:p w14:paraId="2D12A7A0">
            <w:pPr>
              <w:adjustRightInd w:val="0"/>
              <w:snapToGrid w:val="0"/>
              <w:spacing w:line="360" w:lineRule="auto"/>
              <w:ind w:firstLine="480" w:firstLineChars="200"/>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（1）施工单位合理安排施工时间。本项目不得在中午12：00-14：00和夜间22:00-次日6:00，从事打桩</w:t>
            </w:r>
            <w:r>
              <w:rPr>
                <w:rFonts w:hint="eastAsia" w:cs="Times New Roman"/>
                <w:color w:val="000000"/>
                <w:sz w:val="24"/>
                <w:szCs w:val="24"/>
                <w:highlight w:val="none"/>
                <w:lang w:eastAsia="zh-CN"/>
              </w:rPr>
              <w:t>、</w:t>
            </w:r>
            <w:r>
              <w:rPr>
                <w:rFonts w:hint="eastAsia" w:cs="Times New Roman"/>
                <w:color w:val="000000"/>
                <w:sz w:val="24"/>
                <w:szCs w:val="24"/>
                <w:highlight w:val="none"/>
                <w:lang w:val="en-US" w:eastAsia="zh-CN"/>
              </w:rPr>
              <w:t>切割</w:t>
            </w:r>
            <w:r>
              <w:rPr>
                <w:rFonts w:hint="default" w:ascii="Times New Roman" w:hAnsi="Times New Roman" w:eastAsia="宋体" w:cs="Times New Roman"/>
                <w:color w:val="000000"/>
                <w:sz w:val="24"/>
                <w:szCs w:val="24"/>
                <w:highlight w:val="none"/>
              </w:rPr>
              <w:t>等高噪声作业，</w:t>
            </w:r>
            <w:r>
              <w:rPr>
                <w:rFonts w:hint="default" w:ascii="Times New Roman" w:hAnsi="Times New Roman" w:eastAsia="宋体" w:cs="Times New Roman"/>
                <w:color w:val="000000"/>
                <w:spacing w:val="6"/>
                <w:sz w:val="24"/>
                <w:szCs w:val="24"/>
                <w:highlight w:val="none"/>
              </w:rPr>
              <w:t>夜间禁止使用高噪声设备。</w:t>
            </w:r>
          </w:p>
          <w:p w14:paraId="3CBD9CF4">
            <w:pPr>
              <w:adjustRightInd w:val="0"/>
              <w:snapToGrid w:val="0"/>
              <w:spacing w:line="360" w:lineRule="auto"/>
              <w:ind w:firstLine="480" w:firstLineChars="200"/>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（2）施工单位应尽量选用先进的低噪声设备，在高噪声设备周围设置屏障以减轻噪声对周围环境的影响，或者采用安装排气筒</w:t>
            </w:r>
            <w:r>
              <w:rPr>
                <w:rFonts w:hint="eastAsia"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rPr>
              <w:t>消音器和隔离发动机</w:t>
            </w:r>
            <w:r>
              <w:rPr>
                <w:rFonts w:hint="eastAsia" w:cs="Times New Roman"/>
                <w:color w:val="000000"/>
                <w:sz w:val="24"/>
                <w:szCs w:val="24"/>
                <w:highlight w:val="none"/>
                <w:lang w:eastAsia="zh-CN"/>
              </w:rPr>
              <w:t>启动</w:t>
            </w:r>
            <w:r>
              <w:rPr>
                <w:rFonts w:hint="default" w:ascii="Times New Roman" w:hAnsi="Times New Roman" w:eastAsia="宋体" w:cs="Times New Roman"/>
                <w:color w:val="000000"/>
                <w:sz w:val="24"/>
                <w:szCs w:val="24"/>
                <w:highlight w:val="none"/>
              </w:rPr>
              <w:t>部件的方法降低噪声。控制施工场界噪声不超过《建筑施工场界环境噪声排放标准》（GB12523-2011）的要求。</w:t>
            </w:r>
          </w:p>
          <w:p w14:paraId="31C6BB82">
            <w:pPr>
              <w:adjustRightInd w:val="0"/>
              <w:snapToGrid w:val="0"/>
              <w:spacing w:line="360" w:lineRule="auto"/>
              <w:ind w:firstLine="480" w:firstLineChars="200"/>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（3）施工单位采用先进的施工工艺，合理选用施工机械。对动力机械、设备等</w:t>
            </w:r>
            <w:r>
              <w:rPr>
                <w:rFonts w:hint="eastAsia" w:cs="Times New Roman"/>
                <w:color w:val="000000"/>
                <w:sz w:val="24"/>
                <w:szCs w:val="24"/>
                <w:highlight w:val="none"/>
                <w:lang w:eastAsia="zh-CN"/>
              </w:rPr>
              <w:t>进行</w:t>
            </w:r>
            <w:r>
              <w:rPr>
                <w:rFonts w:hint="default" w:ascii="Times New Roman" w:hAnsi="Times New Roman" w:eastAsia="宋体" w:cs="Times New Roman"/>
                <w:color w:val="000000"/>
                <w:sz w:val="24"/>
                <w:szCs w:val="24"/>
                <w:highlight w:val="none"/>
              </w:rPr>
              <w:t>定期检修、养护，保证施工机械处于低噪声、高效率的状态。</w:t>
            </w:r>
          </w:p>
          <w:p w14:paraId="2493FB1D">
            <w:pPr>
              <w:adjustRightInd w:val="0"/>
              <w:snapToGrid w:val="0"/>
              <w:spacing w:line="360" w:lineRule="auto"/>
              <w:ind w:firstLine="480" w:firstLineChars="200"/>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（4）</w:t>
            </w:r>
            <w:r>
              <w:rPr>
                <w:rFonts w:hint="default" w:ascii="Times New Roman" w:hAnsi="Times New Roman" w:eastAsia="宋体" w:cs="Times New Roman"/>
                <w:color w:val="000000"/>
                <w:spacing w:val="10"/>
                <w:sz w:val="24"/>
                <w:szCs w:val="24"/>
                <w:highlight w:val="none"/>
              </w:rPr>
              <w:t>施工现场合理布局，以避免局部声级过高，尽可能将施工阶段的噪声减至最小。</w:t>
            </w:r>
          </w:p>
          <w:p w14:paraId="11B96E7B">
            <w:pPr>
              <w:adjustRightInd w:val="0"/>
              <w:snapToGrid w:val="0"/>
              <w:spacing w:line="360" w:lineRule="auto"/>
              <w:ind w:firstLine="480" w:firstLineChars="200"/>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（5）采取有效的隔音、减振、消声</w:t>
            </w:r>
            <w:r>
              <w:rPr>
                <w:rFonts w:hint="eastAsia" w:cs="Times New Roman"/>
                <w:color w:val="000000"/>
                <w:sz w:val="24"/>
                <w:szCs w:val="24"/>
                <w:highlight w:val="none"/>
                <w:lang w:eastAsia="zh-CN"/>
              </w:rPr>
              <w:t>等</w:t>
            </w:r>
            <w:r>
              <w:rPr>
                <w:rFonts w:hint="default" w:ascii="Times New Roman" w:hAnsi="Times New Roman" w:eastAsia="宋体" w:cs="Times New Roman"/>
                <w:color w:val="000000"/>
                <w:sz w:val="24"/>
                <w:szCs w:val="24"/>
                <w:highlight w:val="none"/>
              </w:rPr>
              <w:t>措施，降低噪声</w:t>
            </w:r>
            <w:r>
              <w:rPr>
                <w:rFonts w:hint="eastAsia" w:cs="Times New Roman"/>
                <w:color w:val="000000"/>
                <w:sz w:val="24"/>
                <w:szCs w:val="24"/>
                <w:highlight w:val="none"/>
                <w:lang w:eastAsia="zh-CN"/>
              </w:rPr>
              <w:t>等级</w:t>
            </w:r>
            <w:r>
              <w:rPr>
                <w:rFonts w:hint="default" w:ascii="Times New Roman" w:hAnsi="Times New Roman" w:eastAsia="宋体" w:cs="Times New Roman"/>
                <w:color w:val="000000"/>
                <w:sz w:val="24"/>
                <w:szCs w:val="24"/>
                <w:highlight w:val="none"/>
              </w:rPr>
              <w:t>。对位置相对固定的施工机械，如切割机、电锯等，应将其设置在专门的工棚内，同时选用低噪声设备，并采取一定的吸音、隔声、降噪措施，控制施工机械噪声符合《建筑施工场界环境噪声排放标准》（GB12523-2011），做到施工场界噪声达标排放。</w:t>
            </w:r>
          </w:p>
          <w:p w14:paraId="30479F4E">
            <w:pPr>
              <w:adjustRightInd w:val="0"/>
              <w:snapToGrid w:val="0"/>
              <w:spacing w:line="360" w:lineRule="auto"/>
              <w:ind w:firstLine="480" w:firstLineChars="200"/>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（6）降低人为噪声，按规定操作机械设备，模板、支架装卸过程中尽量减少碰撞声音。</w:t>
            </w:r>
          </w:p>
          <w:p w14:paraId="435C209A">
            <w:pPr>
              <w:adjustRightInd w:val="0"/>
              <w:snapToGrid w:val="0"/>
              <w:spacing w:line="360" w:lineRule="auto"/>
              <w:ind w:firstLine="480" w:firstLineChars="200"/>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（7）建立临时</w:t>
            </w:r>
            <w:r>
              <w:rPr>
                <w:rFonts w:hint="eastAsia" w:cs="Times New Roman"/>
                <w:color w:val="000000"/>
                <w:sz w:val="24"/>
                <w:szCs w:val="24"/>
                <w:highlight w:val="none"/>
                <w:lang w:eastAsia="zh-CN"/>
              </w:rPr>
              <w:t>隔</w:t>
            </w:r>
            <w:r>
              <w:rPr>
                <w:rFonts w:hint="default" w:ascii="Times New Roman" w:hAnsi="Times New Roman" w:eastAsia="宋体" w:cs="Times New Roman"/>
                <w:color w:val="000000"/>
                <w:sz w:val="24"/>
                <w:szCs w:val="24"/>
                <w:highlight w:val="none"/>
              </w:rPr>
              <w:t>声屏障，对施工区域周围建立简易墙体或墙幕，阻隔噪声传播</w:t>
            </w:r>
            <w:r>
              <w:rPr>
                <w:rFonts w:hint="eastAsia"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rPr>
              <w:t>对位置固定的机械设备可适当设立</w:t>
            </w:r>
            <w:r>
              <w:rPr>
                <w:rFonts w:hint="eastAsia" w:cs="Times New Roman"/>
                <w:color w:val="000000"/>
                <w:sz w:val="24"/>
                <w:szCs w:val="24"/>
                <w:highlight w:val="none"/>
                <w:lang w:eastAsia="zh-CN"/>
              </w:rPr>
              <w:t>临时</w:t>
            </w:r>
            <w:r>
              <w:rPr>
                <w:rFonts w:hint="default" w:ascii="Times New Roman" w:hAnsi="Times New Roman" w:eastAsia="宋体" w:cs="Times New Roman"/>
                <w:color w:val="000000"/>
                <w:sz w:val="24"/>
                <w:szCs w:val="24"/>
                <w:highlight w:val="none"/>
              </w:rPr>
              <w:t>隔声屏障。</w:t>
            </w:r>
          </w:p>
          <w:p w14:paraId="145271A9">
            <w:pPr>
              <w:adjustRightInd w:val="0"/>
              <w:snapToGrid w:val="0"/>
              <w:spacing w:line="360" w:lineRule="auto"/>
              <w:ind w:firstLine="480" w:firstLineChars="200"/>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（8）控制汽车鸣笛、施工鸣哨</w:t>
            </w:r>
            <w:r>
              <w:rPr>
                <w:rFonts w:hint="eastAsia" w:cs="Times New Roman"/>
                <w:color w:val="000000"/>
                <w:sz w:val="24"/>
                <w:szCs w:val="24"/>
                <w:highlight w:val="none"/>
                <w:lang w:eastAsia="zh-CN"/>
              </w:rPr>
              <w:t>等</w:t>
            </w:r>
            <w:r>
              <w:rPr>
                <w:rFonts w:hint="default" w:ascii="Times New Roman" w:hAnsi="Times New Roman" w:eastAsia="宋体" w:cs="Times New Roman"/>
                <w:color w:val="000000"/>
                <w:sz w:val="24"/>
                <w:szCs w:val="24"/>
                <w:highlight w:val="none"/>
              </w:rPr>
              <w:t>指挥。</w:t>
            </w:r>
          </w:p>
          <w:p w14:paraId="557571CE">
            <w:pPr>
              <w:adjustRightInd w:val="0"/>
              <w:snapToGrid w:val="0"/>
              <w:spacing w:line="360" w:lineRule="auto"/>
              <w:ind w:firstLine="480" w:firstLineChars="200"/>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（9）严格控制施工车辆运输路线，控制车速，减少对周围</w:t>
            </w:r>
            <w:r>
              <w:rPr>
                <w:rFonts w:hint="eastAsia" w:ascii="Times New Roman" w:hAnsi="Times New Roman" w:cs="Times New Roman"/>
                <w:color w:val="000000"/>
                <w:sz w:val="24"/>
                <w:szCs w:val="24"/>
                <w:highlight w:val="none"/>
                <w:lang w:val="en-US" w:eastAsia="zh-CN"/>
              </w:rPr>
              <w:t>环境</w:t>
            </w:r>
            <w:r>
              <w:rPr>
                <w:rFonts w:hint="default" w:ascii="Times New Roman" w:hAnsi="Times New Roman" w:eastAsia="宋体" w:cs="Times New Roman"/>
                <w:color w:val="000000"/>
                <w:sz w:val="24"/>
                <w:szCs w:val="24"/>
                <w:highlight w:val="none"/>
              </w:rPr>
              <w:t>的影响。</w:t>
            </w:r>
          </w:p>
          <w:p w14:paraId="0DD3A85B">
            <w:pPr>
              <w:adjustRightInd/>
              <w:snapToGrid/>
              <w:spacing w:line="360" w:lineRule="auto"/>
              <w:ind w:firstLine="520" w:firstLineChars="200"/>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pacing w:val="10"/>
                <w:sz w:val="24"/>
                <w:szCs w:val="24"/>
                <w:highlight w:val="none"/>
              </w:rPr>
              <w:t>（10）现场施工人员要严加管理，文明施工。</w:t>
            </w:r>
          </w:p>
          <w:p w14:paraId="4B615253">
            <w:pPr>
              <w:adjustRightInd w:val="0"/>
              <w:snapToGrid w:val="0"/>
              <w:spacing w:line="360" w:lineRule="auto"/>
              <w:ind w:firstLine="480" w:firstLineChars="200"/>
              <w:rPr>
                <w:rFonts w:hint="eastAsia" w:ascii="Times New Roman" w:hAnsi="Times New Roman" w:eastAsia="宋体" w:cs="Times New Roman"/>
                <w:sz w:val="24"/>
                <w:szCs w:val="32"/>
                <w:highlight w:val="none"/>
              </w:rPr>
            </w:pPr>
            <w:r>
              <w:rPr>
                <w:rFonts w:hint="default" w:ascii="Times New Roman" w:hAnsi="Times New Roman" w:eastAsia="宋体" w:cs="Times New Roman"/>
                <w:color w:val="000000"/>
                <w:sz w:val="24"/>
                <w:szCs w:val="24"/>
                <w:highlight w:val="none"/>
                <w:lang w:val="en-US" w:eastAsia="zh-CN"/>
              </w:rPr>
              <w:t>通过以上控制措施，建筑施工过程中场界环境噪声不得超过《建筑施工场界环境噪声排放标准》</w:t>
            </w:r>
            <w:r>
              <w:rPr>
                <w:rFonts w:hint="eastAsia"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lang w:val="en-US" w:eastAsia="zh-CN"/>
              </w:rPr>
              <w:t>GB125</w:t>
            </w:r>
            <w:r>
              <w:rPr>
                <w:rFonts w:hint="eastAsia" w:cs="Times New Roman"/>
                <w:color w:val="000000"/>
                <w:sz w:val="24"/>
                <w:szCs w:val="24"/>
                <w:highlight w:val="none"/>
                <w:lang w:val="en-US" w:eastAsia="zh-CN"/>
              </w:rPr>
              <w:t>23</w:t>
            </w:r>
            <w:r>
              <w:rPr>
                <w:rFonts w:hint="default" w:ascii="Times New Roman" w:hAnsi="Times New Roman" w:eastAsia="宋体" w:cs="Times New Roman"/>
                <w:color w:val="000000"/>
                <w:sz w:val="24"/>
                <w:szCs w:val="24"/>
                <w:highlight w:val="none"/>
                <w:lang w:val="en-US" w:eastAsia="zh-CN"/>
              </w:rPr>
              <w:t>-2011</w:t>
            </w:r>
            <w:r>
              <w:rPr>
                <w:rFonts w:hint="eastAsia"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lang w:val="en-US" w:eastAsia="zh-CN"/>
              </w:rPr>
              <w:t>中的标准要求。</w:t>
            </w:r>
          </w:p>
          <w:p w14:paraId="7BB758EC">
            <w:pPr>
              <w:adjustRightInd/>
              <w:snapToGrid/>
              <w:spacing w:after="0" w:line="360" w:lineRule="auto"/>
              <w:ind w:left="0" w:leftChars="0" w:firstLine="482" w:firstLineChars="200"/>
              <w:rPr>
                <w:rFonts w:hint="default"/>
                <w:b/>
                <w:bCs/>
                <w:sz w:val="24"/>
                <w:szCs w:val="32"/>
                <w:highlight w:val="none"/>
                <w:lang w:val="en-US"/>
              </w:rPr>
            </w:pPr>
            <w:r>
              <w:rPr>
                <w:rFonts w:hint="eastAsia"/>
                <w:b/>
                <w:bCs/>
                <w:sz w:val="24"/>
                <w:szCs w:val="32"/>
                <w:highlight w:val="none"/>
                <w:lang w:val="en-US" w:eastAsia="zh-CN"/>
              </w:rPr>
              <w:t>3.施工期水环境保护措施</w:t>
            </w:r>
          </w:p>
          <w:p w14:paraId="4FD2BAF9">
            <w:pPr>
              <w:spacing w:line="360" w:lineRule="auto"/>
              <w:ind w:firstLine="480" w:firstLineChars="2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本项目施工期废水主要来自施工人员在施工作业中产生的生活污水以及试压废水。</w:t>
            </w:r>
          </w:p>
          <w:p w14:paraId="177A8645">
            <w:pPr>
              <w:spacing w:line="360" w:lineRule="auto"/>
              <w:ind w:firstLine="480" w:firstLineChars="200"/>
              <w:rPr>
                <w:rFonts w:hint="eastAsia" w:cs="宋体"/>
                <w:color w:val="1900FF"/>
                <w:sz w:val="24"/>
                <w:highlight w:val="none"/>
              </w:rPr>
            </w:pPr>
            <w:r>
              <w:rPr>
                <w:rFonts w:hint="eastAsia" w:cs="宋体"/>
                <w:sz w:val="24"/>
                <w:highlight w:val="none"/>
              </w:rPr>
              <w:t>本项目施工</w:t>
            </w:r>
            <w:r>
              <w:rPr>
                <w:rFonts w:hint="eastAsia" w:cs="宋体"/>
                <w:sz w:val="24"/>
                <w:highlight w:val="none"/>
                <w:lang w:eastAsia="zh-CN"/>
              </w:rPr>
              <w:t>期间</w:t>
            </w:r>
            <w:r>
              <w:rPr>
                <w:rFonts w:hint="eastAsia" w:cs="宋体"/>
                <w:sz w:val="24"/>
                <w:highlight w:val="none"/>
              </w:rPr>
              <w:t>人员</w:t>
            </w:r>
            <w:r>
              <w:rPr>
                <w:rFonts w:hint="eastAsia" w:cs="宋体"/>
                <w:sz w:val="24"/>
                <w:highlight w:val="none"/>
                <w:lang w:val="en-US" w:eastAsia="zh-CN"/>
              </w:rPr>
              <w:t>依托内蒙古伊泰化工有限责任公司现有工作人员，生活污水</w:t>
            </w:r>
            <w:r>
              <w:rPr>
                <w:rFonts w:hint="eastAsia" w:cs="宋体"/>
                <w:sz w:val="24"/>
                <w:highlight w:val="none"/>
              </w:rPr>
              <w:t>依托现有公共卫生间集中收集</w:t>
            </w:r>
            <w:r>
              <w:rPr>
                <w:rFonts w:hint="eastAsia" w:cs="宋体"/>
                <w:sz w:val="24"/>
                <w:highlight w:val="none"/>
                <w:lang w:val="en-US" w:eastAsia="zh-CN"/>
              </w:rPr>
              <w:t>，最终排向厂区污水处理站</w:t>
            </w:r>
            <w:r>
              <w:rPr>
                <w:rFonts w:hint="eastAsia" w:cs="宋体"/>
                <w:sz w:val="24"/>
                <w:highlight w:val="none"/>
              </w:rPr>
              <w:t>。</w:t>
            </w:r>
          </w:p>
          <w:p w14:paraId="703F04B3">
            <w:pPr>
              <w:spacing w:line="360" w:lineRule="auto"/>
              <w:ind w:firstLine="480" w:firstLineChars="200"/>
              <w:rPr>
                <w:rFonts w:hint="default" w:ascii="Times New Roman" w:hAnsi="Times New Roman" w:cs="Times New Roman"/>
                <w:sz w:val="24"/>
                <w:szCs w:val="24"/>
                <w:highlight w:val="none"/>
                <w:lang w:val="en-US" w:eastAsia="zh-CN"/>
              </w:rPr>
            </w:pPr>
            <w:r>
              <w:rPr>
                <w:rFonts w:hint="default" w:ascii="Times New Roman" w:hAnsi="Times New Roman" w:cs="Times New Roman"/>
                <w:sz w:val="24"/>
                <w:highlight w:val="none"/>
              </w:rPr>
              <w:t>管道试压采用</w:t>
            </w:r>
            <w:r>
              <w:rPr>
                <w:rFonts w:hint="eastAsia" w:ascii="Times New Roman" w:hAnsi="Times New Roman" w:cs="Times New Roman"/>
                <w:sz w:val="24"/>
                <w:highlight w:val="none"/>
                <w:lang w:val="en-US" w:eastAsia="zh-CN"/>
              </w:rPr>
              <w:t>现有管网提供的新鲜水</w:t>
            </w:r>
            <w:r>
              <w:rPr>
                <w:rFonts w:hint="default" w:ascii="Times New Roman" w:hAnsi="Times New Roman" w:cs="Times New Roman"/>
                <w:sz w:val="24"/>
                <w:highlight w:val="none"/>
              </w:rPr>
              <w:t>，试压后需把水排尽，产生试压</w:t>
            </w:r>
            <w:r>
              <w:rPr>
                <w:rFonts w:hint="default" w:ascii="Times New Roman" w:hAnsi="Times New Roman" w:eastAsia="宋体" w:cs="Times New Roman"/>
                <w:kern w:val="2"/>
                <w:sz w:val="24"/>
                <w:szCs w:val="32"/>
                <w:highlight w:val="none"/>
                <w:lang w:val="en-US" w:eastAsia="zh-CN" w:bidi="ar-SA"/>
              </w:rPr>
              <w:t>废水</w:t>
            </w:r>
            <w:r>
              <w:rPr>
                <w:rFonts w:hint="eastAsia" w:ascii="Times New Roman" w:hAnsi="Times New Roman" w:eastAsia="宋体" w:cs="Times New Roman"/>
                <w:kern w:val="2"/>
                <w:sz w:val="24"/>
                <w:szCs w:val="32"/>
                <w:highlight w:val="none"/>
                <w:lang w:val="en-US" w:eastAsia="zh-CN" w:bidi="ar-SA"/>
              </w:rPr>
              <w:t>水质较简单</w:t>
            </w:r>
            <w:r>
              <w:rPr>
                <w:rFonts w:hint="default" w:ascii="Times New Roman" w:hAnsi="Times New Roman" w:eastAsia="宋体" w:cs="Times New Roman"/>
                <w:kern w:val="2"/>
                <w:sz w:val="24"/>
                <w:szCs w:val="32"/>
                <w:highlight w:val="none"/>
                <w:lang w:val="en-US" w:eastAsia="zh-CN" w:bidi="ar-SA"/>
              </w:rPr>
              <w:t>，废水中含有少量SS，</w:t>
            </w:r>
            <w:r>
              <w:rPr>
                <w:rFonts w:hint="eastAsia" w:ascii="Times New Roman" w:hAnsi="Times New Roman" w:eastAsia="宋体" w:cs="Times New Roman"/>
                <w:kern w:val="2"/>
                <w:sz w:val="24"/>
                <w:szCs w:val="32"/>
                <w:highlight w:val="none"/>
                <w:lang w:val="en-US" w:eastAsia="zh-CN" w:bidi="ar-SA"/>
              </w:rPr>
              <w:t>浓度低于50mg/L。</w:t>
            </w:r>
            <w:r>
              <w:rPr>
                <w:rFonts w:hint="default" w:ascii="Times New Roman" w:hAnsi="Times New Roman" w:eastAsia="宋体" w:cs="Times New Roman"/>
                <w:kern w:val="2"/>
                <w:sz w:val="24"/>
                <w:szCs w:val="32"/>
                <w:highlight w:val="none"/>
                <w:lang w:val="en-US" w:eastAsia="zh-CN" w:bidi="ar-SA"/>
              </w:rPr>
              <w:t>污染物来源为管道内部</w:t>
            </w:r>
            <w:r>
              <w:rPr>
                <w:rFonts w:hint="default" w:ascii="Times New Roman" w:hAnsi="Times New Roman" w:cs="Times New Roman"/>
                <w:sz w:val="24"/>
                <w:highlight w:val="none"/>
              </w:rPr>
              <w:t>灰尘和杂质，</w:t>
            </w:r>
            <w:r>
              <w:rPr>
                <w:rFonts w:hint="eastAsia" w:ascii="Times New Roman" w:hAnsi="Times New Roman" w:eastAsia="宋体" w:cs="宋体"/>
                <w:kern w:val="2"/>
                <w:sz w:val="24"/>
                <w:szCs w:val="24"/>
                <w:highlight w:val="none"/>
              </w:rPr>
              <w:t>废水</w:t>
            </w:r>
            <w:r>
              <w:rPr>
                <w:rFonts w:hint="eastAsia" w:cs="宋体"/>
                <w:kern w:val="2"/>
                <w:sz w:val="24"/>
                <w:szCs w:val="24"/>
                <w:highlight w:val="none"/>
                <w:lang w:val="en-US" w:eastAsia="zh-CN"/>
              </w:rPr>
              <w:t>产生后通过罐车运输至伊泰化工</w:t>
            </w:r>
            <w:r>
              <w:rPr>
                <w:rFonts w:hint="eastAsia" w:ascii="Times New Roman" w:hAnsi="Times New Roman" w:eastAsia="宋体" w:cs="宋体"/>
                <w:kern w:val="2"/>
                <w:sz w:val="24"/>
                <w:szCs w:val="24"/>
                <w:highlight w:val="none"/>
              </w:rPr>
              <w:t>厂区内现有</w:t>
            </w:r>
            <w:r>
              <w:rPr>
                <w:rFonts w:hint="eastAsia" w:cs="宋体"/>
                <w:sz w:val="24"/>
                <w:highlight w:val="none"/>
              </w:rPr>
              <w:t>污水处理站废水处理及回用清净废水处理单元</w:t>
            </w:r>
            <w:r>
              <w:rPr>
                <w:rFonts w:hint="eastAsia" w:ascii="Times New Roman" w:hAnsi="Times New Roman" w:eastAsia="宋体" w:cs="宋体"/>
                <w:kern w:val="2"/>
                <w:sz w:val="24"/>
                <w:szCs w:val="24"/>
                <w:highlight w:val="none"/>
              </w:rPr>
              <w:t>，处理后回用，不外排。</w:t>
            </w:r>
            <w:r>
              <w:rPr>
                <w:rFonts w:hint="default" w:ascii="Times New Roman" w:hAnsi="Times New Roman" w:cs="Times New Roman"/>
                <w:sz w:val="24"/>
                <w:szCs w:val="24"/>
                <w:highlight w:val="none"/>
                <w:lang w:val="en-US" w:eastAsia="zh-CN"/>
              </w:rPr>
              <w:t>清净废水处理单元处理规模为600m</w:t>
            </w:r>
            <w:r>
              <w:rPr>
                <w:rFonts w:hint="default" w:ascii="Times New Roman" w:hAnsi="Times New Roman" w:cs="Times New Roman"/>
                <w:sz w:val="24"/>
                <w:szCs w:val="24"/>
                <w:highlight w:val="none"/>
                <w:vertAlign w:val="superscript"/>
                <w:lang w:val="en-US" w:eastAsia="zh-CN"/>
              </w:rPr>
              <w:t>3</w:t>
            </w:r>
            <w:r>
              <w:rPr>
                <w:rFonts w:hint="default" w:ascii="Times New Roman" w:hAnsi="Times New Roman" w:cs="Times New Roman"/>
                <w:sz w:val="24"/>
                <w:szCs w:val="24"/>
                <w:highlight w:val="none"/>
                <w:lang w:val="en-US" w:eastAsia="zh-CN"/>
              </w:rPr>
              <w:t>/h，采用</w:t>
            </w:r>
            <w:r>
              <w:rPr>
                <w:rFonts w:hint="default" w:ascii="Times New Roman" w:hAnsi="Times New Roman" w:cs="Times New Roman"/>
                <w:sz w:val="24"/>
                <w:szCs w:val="24"/>
                <w:highlight w:val="none"/>
              </w:rPr>
              <w:t>高密度沉淀池</w:t>
            </w:r>
            <w:r>
              <w:rPr>
                <w:rFonts w:hint="default" w:ascii="Times New Roman" w:hAnsi="Times New Roman" w:eastAsia="Times New Roman" w:cs="Times New Roman"/>
                <w:sz w:val="24"/>
                <w:szCs w:val="24"/>
                <w:highlight w:val="none"/>
              </w:rPr>
              <w:t>+</w:t>
            </w:r>
            <w:r>
              <w:rPr>
                <w:rFonts w:hint="default" w:ascii="Times New Roman" w:hAnsi="Times New Roman" w:cs="Times New Roman"/>
                <w:sz w:val="24"/>
                <w:szCs w:val="24"/>
                <w:highlight w:val="none"/>
              </w:rPr>
              <w:t>多介质过滤器</w:t>
            </w:r>
            <w:r>
              <w:rPr>
                <w:rFonts w:hint="default" w:ascii="Times New Roman" w:hAnsi="Times New Roman" w:eastAsia="Times New Roman" w:cs="Times New Roman"/>
                <w:sz w:val="24"/>
                <w:szCs w:val="24"/>
                <w:highlight w:val="none"/>
              </w:rPr>
              <w:t>+</w:t>
            </w:r>
            <w:r>
              <w:rPr>
                <w:rFonts w:hint="default" w:ascii="Times New Roman" w:hAnsi="Times New Roman" w:cs="Times New Roman"/>
                <w:sz w:val="24"/>
                <w:szCs w:val="24"/>
                <w:highlight w:val="none"/>
              </w:rPr>
              <w:t>自清洗过滤器</w:t>
            </w:r>
            <w:r>
              <w:rPr>
                <w:rFonts w:hint="default" w:ascii="Times New Roman" w:hAnsi="Times New Roman" w:eastAsia="Times New Roman" w:cs="Times New Roman"/>
                <w:sz w:val="24"/>
                <w:szCs w:val="24"/>
                <w:highlight w:val="none"/>
              </w:rPr>
              <w:t>+</w:t>
            </w:r>
            <w:r>
              <w:rPr>
                <w:rFonts w:hint="default" w:ascii="Times New Roman" w:hAnsi="Times New Roman" w:cs="Times New Roman"/>
                <w:sz w:val="24"/>
                <w:szCs w:val="24"/>
                <w:highlight w:val="none"/>
              </w:rPr>
              <w:t>外压式</w:t>
            </w:r>
            <w:r>
              <w:rPr>
                <w:rFonts w:hint="default" w:ascii="Times New Roman" w:hAnsi="Times New Roman" w:eastAsia="Times New Roman" w:cs="Times New Roman"/>
                <w:sz w:val="24"/>
                <w:szCs w:val="24"/>
                <w:highlight w:val="none"/>
              </w:rPr>
              <w:t>UF+RO</w:t>
            </w:r>
            <w:r>
              <w:rPr>
                <w:rFonts w:hint="default" w:ascii="Times New Roman" w:hAnsi="Times New Roman" w:eastAsia="宋体" w:cs="Times New Roman"/>
                <w:sz w:val="24"/>
                <w:szCs w:val="24"/>
                <w:highlight w:val="none"/>
                <w:lang w:eastAsia="zh-CN"/>
              </w:rPr>
              <w:t>，</w:t>
            </w:r>
            <w:r>
              <w:rPr>
                <w:rFonts w:hint="default" w:ascii="Times New Roman" w:hAnsi="Times New Roman" w:cs="Times New Roman"/>
                <w:color w:val="000000"/>
                <w:sz w:val="24"/>
                <w:highlight w:val="none"/>
              </w:rPr>
              <w:t>内蒙古伊泰化工有限责任公司120万吨/年精细化学品示范项目</w:t>
            </w:r>
            <w:r>
              <w:rPr>
                <w:rFonts w:hint="default" w:ascii="Times New Roman" w:hAnsi="Times New Roman" w:cs="Times New Roman"/>
                <w:color w:val="000000"/>
                <w:sz w:val="24"/>
                <w:highlight w:val="none"/>
                <w:lang w:val="en-US" w:eastAsia="zh-CN"/>
              </w:rPr>
              <w:t>清净废水</w:t>
            </w:r>
            <w:r>
              <w:rPr>
                <w:rFonts w:hint="eastAsia" w:ascii="Times New Roman" w:hAnsi="Times New Roman" w:cs="Times New Roman"/>
                <w:color w:val="000000"/>
                <w:sz w:val="24"/>
                <w:highlight w:val="none"/>
                <w:lang w:val="en-US" w:eastAsia="zh-CN"/>
              </w:rPr>
              <w:t>冬季</w:t>
            </w:r>
            <w:r>
              <w:rPr>
                <w:rFonts w:hint="default" w:ascii="Times New Roman" w:hAnsi="Times New Roman" w:cs="Times New Roman"/>
                <w:color w:val="000000"/>
                <w:sz w:val="24"/>
                <w:highlight w:val="none"/>
                <w:lang w:val="en-US" w:eastAsia="zh-CN"/>
              </w:rPr>
              <w:t>排水量为37.8</w:t>
            </w:r>
            <w:r>
              <w:rPr>
                <w:rFonts w:hint="default" w:ascii="Times New Roman" w:hAnsi="Times New Roman" w:cs="Times New Roman"/>
                <w:sz w:val="24"/>
                <w:szCs w:val="24"/>
                <w:highlight w:val="none"/>
                <w:lang w:val="en-US" w:eastAsia="zh-CN"/>
              </w:rPr>
              <w:t>m</w:t>
            </w:r>
            <w:r>
              <w:rPr>
                <w:rFonts w:hint="default" w:ascii="Times New Roman" w:hAnsi="Times New Roman" w:cs="Times New Roman"/>
                <w:sz w:val="24"/>
                <w:szCs w:val="24"/>
                <w:highlight w:val="none"/>
                <w:vertAlign w:val="superscript"/>
                <w:lang w:val="en-US" w:eastAsia="zh-CN"/>
              </w:rPr>
              <w:t>3</w:t>
            </w:r>
            <w:r>
              <w:rPr>
                <w:rFonts w:hint="default" w:ascii="Times New Roman" w:hAnsi="Times New Roman" w:cs="Times New Roman"/>
                <w:sz w:val="24"/>
                <w:szCs w:val="24"/>
                <w:highlight w:val="none"/>
                <w:lang w:val="en-US" w:eastAsia="zh-CN"/>
              </w:rPr>
              <w:t>/h、剩余562.2m</w:t>
            </w:r>
            <w:r>
              <w:rPr>
                <w:rFonts w:hint="default" w:ascii="Times New Roman" w:hAnsi="Times New Roman" w:cs="Times New Roman"/>
                <w:sz w:val="24"/>
                <w:szCs w:val="24"/>
                <w:highlight w:val="none"/>
                <w:vertAlign w:val="superscript"/>
                <w:lang w:val="en-US" w:eastAsia="zh-CN"/>
              </w:rPr>
              <w:t>3</w:t>
            </w:r>
            <w:r>
              <w:rPr>
                <w:rFonts w:hint="default" w:ascii="Times New Roman" w:hAnsi="Times New Roman" w:cs="Times New Roman"/>
                <w:sz w:val="24"/>
                <w:szCs w:val="24"/>
                <w:highlight w:val="none"/>
                <w:lang w:val="en-US" w:eastAsia="zh-CN"/>
              </w:rPr>
              <w:t>/h。综上，本项目生产废水</w:t>
            </w:r>
            <w:r>
              <w:rPr>
                <w:rFonts w:hint="eastAsia" w:ascii="Times New Roman" w:hAnsi="Times New Roman" w:cs="Times New Roman"/>
                <w:sz w:val="24"/>
                <w:szCs w:val="24"/>
                <w:highlight w:val="none"/>
                <w:lang w:val="en-US" w:eastAsia="zh-CN"/>
              </w:rPr>
              <w:t>200m</w:t>
            </w:r>
            <w:r>
              <w:rPr>
                <w:rFonts w:hint="eastAsia" w:ascii="Times New Roman" w:hAnsi="Times New Roman" w:cs="Times New Roman"/>
                <w:sz w:val="24"/>
                <w:szCs w:val="24"/>
                <w:highlight w:val="none"/>
                <w:vertAlign w:val="superscript"/>
                <w:lang w:val="en-US" w:eastAsia="zh-CN"/>
              </w:rPr>
              <w:t>3</w:t>
            </w:r>
            <w:r>
              <w:rPr>
                <w:rFonts w:hint="eastAsia" w:ascii="Times New Roman" w:hAnsi="Times New Roman" w:cs="Times New Roman"/>
                <w:sz w:val="24"/>
                <w:szCs w:val="24"/>
                <w:highlight w:val="none"/>
                <w:lang w:val="en-US" w:eastAsia="zh-CN"/>
              </w:rPr>
              <w:t>/a</w:t>
            </w:r>
            <w:r>
              <w:rPr>
                <w:rFonts w:hint="default" w:ascii="Times New Roman" w:hAnsi="Times New Roman" w:cs="Times New Roman"/>
                <w:sz w:val="24"/>
                <w:szCs w:val="24"/>
                <w:highlight w:val="none"/>
                <w:lang w:val="en-US" w:eastAsia="zh-CN"/>
              </w:rPr>
              <w:t>可依托</w:t>
            </w:r>
            <w:r>
              <w:rPr>
                <w:rFonts w:hint="eastAsia" w:ascii="Times New Roman" w:hAnsi="Times New Roman" w:cs="Times New Roman"/>
                <w:sz w:val="24"/>
                <w:szCs w:val="24"/>
                <w:highlight w:val="none"/>
                <w:lang w:val="en-US" w:eastAsia="zh-CN"/>
              </w:rPr>
              <w:t>伊泰化工</w:t>
            </w:r>
            <w:r>
              <w:rPr>
                <w:rFonts w:hint="eastAsia" w:ascii="Times New Roman" w:hAnsi="Times New Roman" w:eastAsia="宋体" w:cs="宋体"/>
                <w:kern w:val="2"/>
                <w:sz w:val="24"/>
                <w:szCs w:val="24"/>
                <w:highlight w:val="none"/>
              </w:rPr>
              <w:t>现有</w:t>
            </w:r>
            <w:r>
              <w:rPr>
                <w:rFonts w:hint="eastAsia" w:cs="宋体"/>
                <w:sz w:val="24"/>
                <w:highlight w:val="none"/>
              </w:rPr>
              <w:t>污水处理站废水处理及回用清净废水处理</w:t>
            </w:r>
            <w:r>
              <w:rPr>
                <w:rFonts w:hint="eastAsia" w:cs="宋体"/>
                <w:sz w:val="24"/>
                <w:highlight w:val="none"/>
                <w:lang w:val="en-US" w:eastAsia="zh-CN"/>
              </w:rPr>
              <w:t>单元</w:t>
            </w:r>
            <w:r>
              <w:rPr>
                <w:rFonts w:hint="default" w:ascii="Times New Roman" w:hAnsi="Times New Roman" w:cs="Times New Roman"/>
                <w:sz w:val="24"/>
                <w:szCs w:val="24"/>
                <w:highlight w:val="none"/>
                <w:lang w:val="en-US" w:eastAsia="zh-CN"/>
              </w:rPr>
              <w:t>。</w:t>
            </w:r>
          </w:p>
          <w:p w14:paraId="7316ECF5">
            <w:pPr>
              <w:spacing w:line="360" w:lineRule="auto"/>
              <w:ind w:firstLine="480" w:firstLineChars="200"/>
              <w:rPr>
                <w:rFonts w:hint="default" w:ascii="Times New Roman" w:hAnsi="Times New Roman" w:eastAsia="宋体" w:cs="Times New Roman"/>
                <w:sz w:val="24"/>
                <w:szCs w:val="24"/>
                <w:highlight w:val="none"/>
                <w:lang w:val="en-US" w:eastAsia="zh-CN"/>
              </w:rPr>
            </w:pPr>
            <w:r>
              <w:rPr>
                <w:rFonts w:hint="eastAsia" w:cs="Times New Roman" w:eastAsiaTheme="minorEastAsia"/>
                <w:sz w:val="24"/>
                <w:szCs w:val="24"/>
                <w:highlight w:val="none"/>
                <w:lang w:val="en-US" w:eastAsia="zh-CN"/>
              </w:rPr>
              <w:t>此外，</w:t>
            </w:r>
            <w:r>
              <w:rPr>
                <w:rFonts w:hint="default" w:ascii="Times New Roman" w:hAnsi="Times New Roman" w:eastAsia="宋体" w:cs="Times New Roman"/>
                <w:sz w:val="24"/>
                <w:highlight w:val="none"/>
                <w:lang w:val="en-US" w:eastAsia="zh-CN"/>
              </w:rPr>
              <w:t>本项目</w:t>
            </w:r>
            <w:r>
              <w:rPr>
                <w:rFonts w:hint="default"/>
                <w:sz w:val="24"/>
                <w:szCs w:val="24"/>
                <w:highlight w:val="none"/>
                <w:lang w:val="en-US" w:eastAsia="zh-CN"/>
              </w:rPr>
              <w:t>管线末端设置手动切断阀组。在物料输出端和接收端设置中控系统和紧急切断阀，阀门和仪表的控制信号接入伊泰化工公司DCS系统</w:t>
            </w:r>
            <w:r>
              <w:rPr>
                <w:rFonts w:hint="default" w:eastAsia="宋体" w:cs="Times New Roman"/>
                <w:sz w:val="24"/>
                <w:szCs w:val="24"/>
                <w:highlight w:val="none"/>
                <w:lang w:val="en-US" w:eastAsia="zh-CN"/>
              </w:rPr>
              <w:t>项目</w:t>
            </w:r>
            <w:r>
              <w:rPr>
                <w:rFonts w:hint="eastAsia" w:cs="Times New Roman"/>
                <w:sz w:val="24"/>
                <w:szCs w:val="24"/>
                <w:highlight w:val="none"/>
                <w:lang w:val="en-US" w:eastAsia="zh-CN"/>
              </w:rPr>
              <w:t>管线</w:t>
            </w:r>
            <w:r>
              <w:rPr>
                <w:rFonts w:hint="default" w:eastAsia="宋体" w:cs="Times New Roman"/>
                <w:sz w:val="24"/>
                <w:szCs w:val="24"/>
                <w:highlight w:val="none"/>
                <w:lang w:val="en-US" w:eastAsia="zh-CN"/>
              </w:rPr>
              <w:t>所有阀门、法兰安装全部在装置区内，不涉及装置区以外占地。厂区外WRT甲烷气管道、清净废水管道安装完成后进行探伤检测。正常状况下不会发生泄漏。</w:t>
            </w:r>
          </w:p>
          <w:p w14:paraId="1D1550F7">
            <w:pPr>
              <w:widowControl/>
              <w:adjustRightInd/>
              <w:snapToGrid/>
              <w:spacing w:line="360" w:lineRule="auto"/>
              <w:ind w:firstLine="0" w:firstLineChars="0"/>
              <w:jc w:val="center"/>
              <w:outlineLvl w:val="9"/>
              <w:rPr>
                <w:rFonts w:hint="eastAsia" w:ascii="Times New Roman" w:hAnsi="Times New Roman" w:eastAsia="宋体" w:cs="Times New Roman"/>
                <w:b/>
                <w:bCs/>
                <w:kern w:val="2"/>
                <w:sz w:val="21"/>
                <w:szCs w:val="21"/>
                <w:highlight w:val="none"/>
              </w:rPr>
            </w:pPr>
            <w:r>
              <w:rPr>
                <w:rFonts w:hint="eastAsia" w:ascii="Times New Roman" w:hAnsi="Times New Roman" w:eastAsia="宋体" w:cs="Times New Roman"/>
                <w:b/>
                <w:bCs/>
                <w:kern w:val="2"/>
                <w:sz w:val="21"/>
                <w:szCs w:val="21"/>
                <w:highlight w:val="none"/>
                <w:lang w:val="en-US" w:eastAsia="zh-CN"/>
              </w:rPr>
              <w:t>表</w:t>
            </w:r>
            <w:r>
              <w:rPr>
                <w:rFonts w:hint="eastAsia" w:cs="Times New Roman"/>
                <w:b/>
                <w:bCs/>
                <w:kern w:val="2"/>
                <w:sz w:val="21"/>
                <w:szCs w:val="21"/>
                <w:highlight w:val="none"/>
                <w:lang w:val="en-US" w:eastAsia="zh-CN"/>
              </w:rPr>
              <w:t>5-1</w:t>
            </w:r>
            <w:r>
              <w:rPr>
                <w:rFonts w:hint="eastAsia" w:ascii="Times New Roman" w:hAnsi="Times New Roman" w:eastAsia="宋体" w:cs="Times New Roman"/>
                <w:b/>
                <w:bCs/>
                <w:kern w:val="2"/>
                <w:sz w:val="21"/>
                <w:szCs w:val="21"/>
                <w:highlight w:val="none"/>
                <w:lang w:val="en-US" w:eastAsia="zh-CN"/>
              </w:rPr>
              <w:t xml:space="preserve">   </w:t>
            </w:r>
            <w:r>
              <w:rPr>
                <w:rFonts w:hint="eastAsia" w:cs="Times New Roman"/>
                <w:b/>
                <w:bCs/>
                <w:kern w:val="2"/>
                <w:sz w:val="21"/>
                <w:szCs w:val="21"/>
                <w:highlight w:val="none"/>
                <w:lang w:val="en-US" w:eastAsia="zh-CN"/>
              </w:rPr>
              <w:t>回用水</w:t>
            </w:r>
            <w:r>
              <w:rPr>
                <w:rFonts w:hint="eastAsia" w:ascii="Times New Roman" w:hAnsi="Times New Roman" w:eastAsia="宋体" w:cs="Times New Roman"/>
                <w:b/>
                <w:bCs/>
                <w:kern w:val="2"/>
                <w:sz w:val="21"/>
                <w:szCs w:val="21"/>
                <w:highlight w:val="none"/>
              </w:rPr>
              <w:t>进水水质要求</w:t>
            </w:r>
          </w:p>
          <w:tbl>
            <w:tblPr>
              <w:tblStyle w:val="19"/>
              <w:tblW w:w="77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1"/>
              <w:gridCol w:w="3502"/>
              <w:gridCol w:w="837"/>
              <w:gridCol w:w="713"/>
              <w:gridCol w:w="2015"/>
            </w:tblGrid>
            <w:tr w14:paraId="681E8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4" w:hRule="atLeast"/>
                <w:jc w:val="center"/>
              </w:trPr>
              <w:tc>
                <w:tcPr>
                  <w:tcW w:w="651" w:type="dxa"/>
                  <w:vAlign w:val="center"/>
                </w:tcPr>
                <w:p w14:paraId="36678240">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序号</w:t>
                  </w:r>
                </w:p>
              </w:tc>
              <w:tc>
                <w:tcPr>
                  <w:tcW w:w="3502" w:type="dxa"/>
                  <w:vAlign w:val="center"/>
                </w:tcPr>
                <w:p w14:paraId="27FF8C2C">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检验项目</w:t>
                  </w:r>
                </w:p>
              </w:tc>
              <w:tc>
                <w:tcPr>
                  <w:tcW w:w="837" w:type="dxa"/>
                  <w:vAlign w:val="center"/>
                </w:tcPr>
                <w:p w14:paraId="2867AC66">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数值</w:t>
                  </w:r>
                </w:p>
              </w:tc>
              <w:tc>
                <w:tcPr>
                  <w:tcW w:w="713" w:type="dxa"/>
                  <w:vAlign w:val="center"/>
                </w:tcPr>
                <w:p w14:paraId="24F1FCFD">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单位</w:t>
                  </w:r>
                </w:p>
              </w:tc>
              <w:tc>
                <w:tcPr>
                  <w:tcW w:w="2015" w:type="dxa"/>
                  <w:vAlign w:val="center"/>
                </w:tcPr>
                <w:p w14:paraId="35F82C12">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备注</w:t>
                  </w:r>
                </w:p>
              </w:tc>
            </w:tr>
            <w:tr w14:paraId="2C952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3" w:hRule="atLeast"/>
                <w:jc w:val="center"/>
              </w:trPr>
              <w:tc>
                <w:tcPr>
                  <w:tcW w:w="651" w:type="dxa"/>
                  <w:vAlign w:val="center"/>
                </w:tcPr>
                <w:p w14:paraId="0DE617F7">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1</w:t>
                  </w:r>
                </w:p>
              </w:tc>
              <w:tc>
                <w:tcPr>
                  <w:tcW w:w="3502" w:type="dxa"/>
                  <w:vAlign w:val="center"/>
                </w:tcPr>
                <w:p w14:paraId="6E12F8D4">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化学需氧量COD</w:t>
                  </w:r>
                  <w:r>
                    <w:rPr>
                      <w:rFonts w:hint="default" w:ascii="Times New Roman" w:hAnsi="Times New Roman" w:eastAsia="宋体" w:cs="Times New Roman"/>
                      <w:b w:val="0"/>
                      <w:bCs w:val="0"/>
                      <w:highlight w:val="none"/>
                      <w:vertAlign w:val="subscript"/>
                      <w:lang w:val="en-US" w:eastAsia="zh-CN"/>
                    </w:rPr>
                    <w:t>cr</w:t>
                  </w:r>
                </w:p>
              </w:tc>
              <w:tc>
                <w:tcPr>
                  <w:tcW w:w="837" w:type="dxa"/>
                  <w:vAlign w:val="center"/>
                </w:tcPr>
                <w:p w14:paraId="45B93BB0">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≤50</w:t>
                  </w:r>
                </w:p>
              </w:tc>
              <w:tc>
                <w:tcPr>
                  <w:tcW w:w="713" w:type="dxa"/>
                  <w:vAlign w:val="center"/>
                </w:tcPr>
                <w:p w14:paraId="455FFCA9">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2015" w:type="dxa"/>
                  <w:vAlign w:val="center"/>
                </w:tcPr>
                <w:p w14:paraId="3A79EE44">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447FA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9" w:hRule="atLeast"/>
                <w:jc w:val="center"/>
              </w:trPr>
              <w:tc>
                <w:tcPr>
                  <w:tcW w:w="651" w:type="dxa"/>
                  <w:vAlign w:val="center"/>
                </w:tcPr>
                <w:p w14:paraId="7A7C1A0D">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2</w:t>
                  </w:r>
                </w:p>
              </w:tc>
              <w:tc>
                <w:tcPr>
                  <w:tcW w:w="3502" w:type="dxa"/>
                  <w:vAlign w:val="center"/>
                </w:tcPr>
                <w:p w14:paraId="25473B07">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生化需氧量BOD</w:t>
                  </w:r>
                  <w:r>
                    <w:rPr>
                      <w:rFonts w:hint="default" w:ascii="Times New Roman" w:hAnsi="Times New Roman" w:eastAsia="宋体" w:cs="Times New Roman"/>
                      <w:b w:val="0"/>
                      <w:bCs w:val="0"/>
                      <w:highlight w:val="none"/>
                      <w:vertAlign w:val="subscript"/>
                      <w:lang w:val="en-US" w:eastAsia="zh-CN"/>
                    </w:rPr>
                    <w:t>5</w:t>
                  </w:r>
                </w:p>
              </w:tc>
              <w:tc>
                <w:tcPr>
                  <w:tcW w:w="837" w:type="dxa"/>
                  <w:vAlign w:val="center"/>
                </w:tcPr>
                <w:p w14:paraId="6A1747B7">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≤5</w:t>
                  </w:r>
                </w:p>
              </w:tc>
              <w:tc>
                <w:tcPr>
                  <w:tcW w:w="713" w:type="dxa"/>
                  <w:vAlign w:val="center"/>
                </w:tcPr>
                <w:p w14:paraId="057647D8">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2015" w:type="dxa"/>
                  <w:vAlign w:val="center"/>
                </w:tcPr>
                <w:p w14:paraId="38D50109">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42874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3" w:hRule="atLeast"/>
                <w:jc w:val="center"/>
              </w:trPr>
              <w:tc>
                <w:tcPr>
                  <w:tcW w:w="651" w:type="dxa"/>
                  <w:vAlign w:val="center"/>
                </w:tcPr>
                <w:p w14:paraId="11DD9B13">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3</w:t>
                  </w:r>
                </w:p>
              </w:tc>
              <w:tc>
                <w:tcPr>
                  <w:tcW w:w="3502" w:type="dxa"/>
                  <w:vAlign w:val="center"/>
                </w:tcPr>
                <w:p w14:paraId="7F939C2A">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氨氮NH</w:t>
                  </w:r>
                  <w:r>
                    <w:rPr>
                      <w:rFonts w:hint="default" w:ascii="Times New Roman" w:hAnsi="Times New Roman" w:eastAsia="宋体" w:cs="Times New Roman"/>
                      <w:b w:val="0"/>
                      <w:bCs w:val="0"/>
                      <w:highlight w:val="none"/>
                      <w:vertAlign w:val="subscript"/>
                      <w:lang w:val="en-US" w:eastAsia="zh-CN"/>
                    </w:rPr>
                    <w:t>3</w:t>
                  </w:r>
                  <w:r>
                    <w:rPr>
                      <w:rFonts w:hint="default" w:ascii="Times New Roman" w:hAnsi="Times New Roman" w:eastAsia="宋体" w:cs="Times New Roman"/>
                      <w:b w:val="0"/>
                      <w:bCs w:val="0"/>
                      <w:highlight w:val="none"/>
                      <w:lang w:val="en-US" w:eastAsia="zh-CN"/>
                    </w:rPr>
                    <w:t>-N</w:t>
                  </w:r>
                </w:p>
              </w:tc>
              <w:tc>
                <w:tcPr>
                  <w:tcW w:w="837" w:type="dxa"/>
                  <w:vAlign w:val="center"/>
                </w:tcPr>
                <w:p w14:paraId="628ABB95">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≤5</w:t>
                  </w:r>
                </w:p>
              </w:tc>
              <w:tc>
                <w:tcPr>
                  <w:tcW w:w="713" w:type="dxa"/>
                  <w:vAlign w:val="center"/>
                </w:tcPr>
                <w:p w14:paraId="6E84047F">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2015" w:type="dxa"/>
                  <w:vAlign w:val="center"/>
                </w:tcPr>
                <w:p w14:paraId="231E8F7A">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4A23B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0" w:hRule="atLeast"/>
                <w:jc w:val="center"/>
              </w:trPr>
              <w:tc>
                <w:tcPr>
                  <w:tcW w:w="651" w:type="dxa"/>
                  <w:vAlign w:val="center"/>
                </w:tcPr>
                <w:p w14:paraId="3EA5866B">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4</w:t>
                  </w:r>
                </w:p>
              </w:tc>
              <w:tc>
                <w:tcPr>
                  <w:tcW w:w="3502" w:type="dxa"/>
                  <w:vAlign w:val="center"/>
                </w:tcPr>
                <w:p w14:paraId="7B7FD6EE">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总氮TN</w:t>
                  </w:r>
                </w:p>
              </w:tc>
              <w:tc>
                <w:tcPr>
                  <w:tcW w:w="837" w:type="dxa"/>
                  <w:vAlign w:val="center"/>
                </w:tcPr>
                <w:p w14:paraId="3FBB4EC6">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w:t>
                  </w:r>
                </w:p>
              </w:tc>
              <w:tc>
                <w:tcPr>
                  <w:tcW w:w="713" w:type="dxa"/>
                  <w:vAlign w:val="center"/>
                </w:tcPr>
                <w:p w14:paraId="32034825">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2015" w:type="dxa"/>
                  <w:vAlign w:val="center"/>
                </w:tcPr>
                <w:p w14:paraId="0A5EA33A">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4C172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9" w:hRule="atLeast"/>
                <w:jc w:val="center"/>
              </w:trPr>
              <w:tc>
                <w:tcPr>
                  <w:tcW w:w="651" w:type="dxa"/>
                  <w:vAlign w:val="center"/>
                </w:tcPr>
                <w:p w14:paraId="6EB322F0">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5</w:t>
                  </w:r>
                </w:p>
              </w:tc>
              <w:tc>
                <w:tcPr>
                  <w:tcW w:w="3502" w:type="dxa"/>
                  <w:vAlign w:val="center"/>
                </w:tcPr>
                <w:p w14:paraId="63924ED2">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油</w:t>
                  </w:r>
                </w:p>
              </w:tc>
              <w:tc>
                <w:tcPr>
                  <w:tcW w:w="837" w:type="dxa"/>
                  <w:vAlign w:val="center"/>
                </w:tcPr>
                <w:p w14:paraId="3CB163CC">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≤5</w:t>
                  </w:r>
                </w:p>
              </w:tc>
              <w:tc>
                <w:tcPr>
                  <w:tcW w:w="713" w:type="dxa"/>
                  <w:vAlign w:val="center"/>
                </w:tcPr>
                <w:p w14:paraId="73B7385C">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2015" w:type="dxa"/>
                  <w:vAlign w:val="center"/>
                </w:tcPr>
                <w:p w14:paraId="0829A5EA">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48A70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 w:hRule="atLeast"/>
                <w:jc w:val="center"/>
              </w:trPr>
              <w:tc>
                <w:tcPr>
                  <w:tcW w:w="651" w:type="dxa"/>
                  <w:vAlign w:val="center"/>
                </w:tcPr>
                <w:p w14:paraId="6D303090">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6</w:t>
                  </w:r>
                </w:p>
              </w:tc>
              <w:tc>
                <w:tcPr>
                  <w:tcW w:w="3502" w:type="dxa"/>
                  <w:vAlign w:val="center"/>
                </w:tcPr>
                <w:p w14:paraId="42B591B6">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pH</w:t>
                  </w:r>
                </w:p>
              </w:tc>
              <w:tc>
                <w:tcPr>
                  <w:tcW w:w="837" w:type="dxa"/>
                  <w:vAlign w:val="center"/>
                </w:tcPr>
                <w:p w14:paraId="703263CA">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7~9</w:t>
                  </w:r>
                </w:p>
              </w:tc>
              <w:tc>
                <w:tcPr>
                  <w:tcW w:w="713" w:type="dxa"/>
                  <w:vAlign w:val="center"/>
                </w:tcPr>
                <w:p w14:paraId="3A496600">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c>
                <w:tcPr>
                  <w:tcW w:w="2015" w:type="dxa"/>
                  <w:vAlign w:val="center"/>
                </w:tcPr>
                <w:p w14:paraId="1F596ED2">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27753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6" w:hRule="atLeast"/>
                <w:jc w:val="center"/>
              </w:trPr>
              <w:tc>
                <w:tcPr>
                  <w:tcW w:w="651" w:type="dxa"/>
                  <w:vAlign w:val="center"/>
                </w:tcPr>
                <w:p w14:paraId="53E98BD9">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7</w:t>
                  </w:r>
                </w:p>
              </w:tc>
              <w:tc>
                <w:tcPr>
                  <w:tcW w:w="3502" w:type="dxa"/>
                  <w:vAlign w:val="center"/>
                </w:tcPr>
                <w:p w14:paraId="4C1ADB50">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SS</w:t>
                  </w:r>
                </w:p>
              </w:tc>
              <w:tc>
                <w:tcPr>
                  <w:tcW w:w="837" w:type="dxa"/>
                  <w:vAlign w:val="center"/>
                </w:tcPr>
                <w:p w14:paraId="64375D16">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≤50</w:t>
                  </w:r>
                </w:p>
              </w:tc>
              <w:tc>
                <w:tcPr>
                  <w:tcW w:w="713" w:type="dxa"/>
                  <w:vAlign w:val="center"/>
                </w:tcPr>
                <w:p w14:paraId="192FE747">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2015" w:type="dxa"/>
                  <w:vAlign w:val="center"/>
                </w:tcPr>
                <w:p w14:paraId="1965592B">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46169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1" w:hRule="atLeast"/>
                <w:jc w:val="center"/>
              </w:trPr>
              <w:tc>
                <w:tcPr>
                  <w:tcW w:w="651" w:type="dxa"/>
                  <w:vAlign w:val="center"/>
                </w:tcPr>
                <w:p w14:paraId="73227531">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8</w:t>
                  </w:r>
                </w:p>
              </w:tc>
              <w:tc>
                <w:tcPr>
                  <w:tcW w:w="3502" w:type="dxa"/>
                  <w:vAlign w:val="center"/>
                </w:tcPr>
                <w:p w14:paraId="5A65CDE5">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TDS</w:t>
                  </w:r>
                </w:p>
              </w:tc>
              <w:tc>
                <w:tcPr>
                  <w:tcW w:w="837" w:type="dxa"/>
                  <w:vAlign w:val="center"/>
                </w:tcPr>
                <w:p w14:paraId="7781EE4A">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≤3500</w:t>
                  </w:r>
                </w:p>
              </w:tc>
              <w:tc>
                <w:tcPr>
                  <w:tcW w:w="713" w:type="dxa"/>
                  <w:vAlign w:val="center"/>
                </w:tcPr>
                <w:p w14:paraId="42D88A7C">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2015" w:type="dxa"/>
                  <w:vAlign w:val="center"/>
                </w:tcPr>
                <w:p w14:paraId="54A8DC30">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03CE2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6" w:hRule="atLeast"/>
                <w:jc w:val="center"/>
              </w:trPr>
              <w:tc>
                <w:tcPr>
                  <w:tcW w:w="651" w:type="dxa"/>
                  <w:vAlign w:val="center"/>
                </w:tcPr>
                <w:p w14:paraId="2E8A8F6C">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9</w:t>
                  </w:r>
                </w:p>
              </w:tc>
              <w:tc>
                <w:tcPr>
                  <w:tcW w:w="3502" w:type="dxa"/>
                  <w:vAlign w:val="center"/>
                </w:tcPr>
                <w:p w14:paraId="72964A04">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Na</w:t>
                  </w:r>
                  <w:r>
                    <w:rPr>
                      <w:rFonts w:hint="default" w:ascii="Times New Roman" w:hAnsi="Times New Roman" w:eastAsia="宋体" w:cs="Times New Roman"/>
                      <w:b w:val="0"/>
                      <w:bCs w:val="0"/>
                      <w:highlight w:val="none"/>
                      <w:vertAlign w:val="superscript"/>
                      <w:lang w:val="en-US" w:eastAsia="zh-CN"/>
                    </w:rPr>
                    <w:t>+</w:t>
                  </w:r>
                </w:p>
              </w:tc>
              <w:tc>
                <w:tcPr>
                  <w:tcW w:w="837" w:type="dxa"/>
                  <w:vAlign w:val="center"/>
                </w:tcPr>
                <w:p w14:paraId="290DAC1F">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≤556</w:t>
                  </w:r>
                </w:p>
              </w:tc>
              <w:tc>
                <w:tcPr>
                  <w:tcW w:w="713" w:type="dxa"/>
                  <w:vAlign w:val="center"/>
                </w:tcPr>
                <w:p w14:paraId="709CE161">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2015" w:type="dxa"/>
                  <w:vAlign w:val="center"/>
                </w:tcPr>
                <w:p w14:paraId="3E085286">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426D9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8" w:hRule="atLeast"/>
                <w:jc w:val="center"/>
              </w:trPr>
              <w:tc>
                <w:tcPr>
                  <w:tcW w:w="651" w:type="dxa"/>
                  <w:vAlign w:val="center"/>
                </w:tcPr>
                <w:p w14:paraId="5DC239A2">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10</w:t>
                  </w:r>
                </w:p>
              </w:tc>
              <w:tc>
                <w:tcPr>
                  <w:tcW w:w="3502" w:type="dxa"/>
                  <w:vAlign w:val="center"/>
                </w:tcPr>
                <w:p w14:paraId="4639CD16">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K</w:t>
                  </w:r>
                  <w:r>
                    <w:rPr>
                      <w:rFonts w:hint="default" w:ascii="Times New Roman" w:hAnsi="Times New Roman" w:eastAsia="宋体" w:cs="Times New Roman"/>
                      <w:b w:val="0"/>
                      <w:bCs w:val="0"/>
                      <w:highlight w:val="none"/>
                      <w:vertAlign w:val="superscript"/>
                      <w:lang w:val="en-US" w:eastAsia="zh-CN"/>
                    </w:rPr>
                    <w:t>+</w:t>
                  </w:r>
                </w:p>
              </w:tc>
              <w:tc>
                <w:tcPr>
                  <w:tcW w:w="837" w:type="dxa"/>
                  <w:vAlign w:val="center"/>
                </w:tcPr>
                <w:p w14:paraId="7A8D4547">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≤22</w:t>
                  </w:r>
                </w:p>
              </w:tc>
              <w:tc>
                <w:tcPr>
                  <w:tcW w:w="713" w:type="dxa"/>
                  <w:vAlign w:val="center"/>
                </w:tcPr>
                <w:p w14:paraId="723A79D0">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2015" w:type="dxa"/>
                  <w:vAlign w:val="center"/>
                </w:tcPr>
                <w:p w14:paraId="46BC9C2C">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24AEC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6" w:hRule="atLeast"/>
                <w:jc w:val="center"/>
              </w:trPr>
              <w:tc>
                <w:tcPr>
                  <w:tcW w:w="651" w:type="dxa"/>
                  <w:vAlign w:val="center"/>
                </w:tcPr>
                <w:p w14:paraId="41803EA2">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11</w:t>
                  </w:r>
                </w:p>
              </w:tc>
              <w:tc>
                <w:tcPr>
                  <w:tcW w:w="3502" w:type="dxa"/>
                  <w:vAlign w:val="center"/>
                </w:tcPr>
                <w:p w14:paraId="09EF65B2">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Ca</w:t>
                  </w:r>
                  <w:r>
                    <w:rPr>
                      <w:rFonts w:hint="default" w:ascii="Times New Roman" w:hAnsi="Times New Roman" w:eastAsia="宋体" w:cs="Times New Roman"/>
                      <w:b w:val="0"/>
                      <w:bCs w:val="0"/>
                      <w:highlight w:val="none"/>
                      <w:vertAlign w:val="superscript"/>
                      <w:lang w:val="en-US" w:eastAsia="zh-CN"/>
                    </w:rPr>
                    <w:t>2+</w:t>
                  </w:r>
                </w:p>
              </w:tc>
              <w:tc>
                <w:tcPr>
                  <w:tcW w:w="837" w:type="dxa"/>
                  <w:vAlign w:val="center"/>
                </w:tcPr>
                <w:p w14:paraId="4AB6C54D">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≤304</w:t>
                  </w:r>
                </w:p>
              </w:tc>
              <w:tc>
                <w:tcPr>
                  <w:tcW w:w="713" w:type="dxa"/>
                  <w:vAlign w:val="center"/>
                </w:tcPr>
                <w:p w14:paraId="1AB8DE58">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2015" w:type="dxa"/>
                  <w:vAlign w:val="center"/>
                </w:tcPr>
                <w:p w14:paraId="0A1E4046">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2A13F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8" w:hRule="atLeast"/>
                <w:jc w:val="center"/>
              </w:trPr>
              <w:tc>
                <w:tcPr>
                  <w:tcW w:w="651" w:type="dxa"/>
                  <w:vAlign w:val="center"/>
                </w:tcPr>
                <w:p w14:paraId="25FA3397">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12</w:t>
                  </w:r>
                </w:p>
              </w:tc>
              <w:tc>
                <w:tcPr>
                  <w:tcW w:w="3502" w:type="dxa"/>
                  <w:vAlign w:val="center"/>
                </w:tcPr>
                <w:p w14:paraId="6FAC13B1">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w:t>
                  </w:r>
                  <w:r>
                    <w:rPr>
                      <w:rFonts w:hint="default" w:ascii="Times New Roman" w:hAnsi="Times New Roman" w:eastAsia="宋体" w:cs="Times New Roman"/>
                      <w:b w:val="0"/>
                      <w:bCs w:val="0"/>
                      <w:highlight w:val="none"/>
                      <w:vertAlign w:val="superscript"/>
                      <w:lang w:val="en-US" w:eastAsia="zh-CN"/>
                    </w:rPr>
                    <w:t>2+</w:t>
                  </w:r>
                </w:p>
              </w:tc>
              <w:tc>
                <w:tcPr>
                  <w:tcW w:w="837" w:type="dxa"/>
                  <w:vAlign w:val="center"/>
                </w:tcPr>
                <w:p w14:paraId="13E31BBB">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≤187</w:t>
                  </w:r>
                </w:p>
              </w:tc>
              <w:tc>
                <w:tcPr>
                  <w:tcW w:w="713" w:type="dxa"/>
                  <w:vAlign w:val="center"/>
                </w:tcPr>
                <w:p w14:paraId="129C1349">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2015" w:type="dxa"/>
                  <w:vAlign w:val="center"/>
                </w:tcPr>
                <w:p w14:paraId="0D9759D5">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67F5E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8" w:hRule="atLeast"/>
                <w:jc w:val="center"/>
              </w:trPr>
              <w:tc>
                <w:tcPr>
                  <w:tcW w:w="651" w:type="dxa"/>
                  <w:vAlign w:val="center"/>
                </w:tcPr>
                <w:p w14:paraId="5BD1CA47">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13</w:t>
                  </w:r>
                </w:p>
              </w:tc>
              <w:tc>
                <w:tcPr>
                  <w:tcW w:w="3502" w:type="dxa"/>
                  <w:vAlign w:val="center"/>
                </w:tcPr>
                <w:p w14:paraId="7E261CFA">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Fe</w:t>
                  </w:r>
                  <w:r>
                    <w:rPr>
                      <w:rFonts w:hint="default" w:ascii="Times New Roman" w:hAnsi="Times New Roman" w:eastAsia="宋体" w:cs="Times New Roman"/>
                      <w:b w:val="0"/>
                      <w:bCs w:val="0"/>
                      <w:highlight w:val="none"/>
                      <w:vertAlign w:val="superscript"/>
                      <w:lang w:val="en-US" w:eastAsia="zh-CN"/>
                    </w:rPr>
                    <w:t>3+</w:t>
                  </w:r>
                </w:p>
              </w:tc>
              <w:tc>
                <w:tcPr>
                  <w:tcW w:w="837" w:type="dxa"/>
                  <w:vAlign w:val="center"/>
                </w:tcPr>
                <w:p w14:paraId="5270E2FA">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w:t>
                  </w:r>
                </w:p>
              </w:tc>
              <w:tc>
                <w:tcPr>
                  <w:tcW w:w="713" w:type="dxa"/>
                  <w:vAlign w:val="center"/>
                </w:tcPr>
                <w:p w14:paraId="53C84C66">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2015" w:type="dxa"/>
                  <w:vAlign w:val="center"/>
                </w:tcPr>
                <w:p w14:paraId="4F4E4609">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31423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8" w:hRule="atLeast"/>
                <w:jc w:val="center"/>
              </w:trPr>
              <w:tc>
                <w:tcPr>
                  <w:tcW w:w="651" w:type="dxa"/>
                  <w:vAlign w:val="center"/>
                </w:tcPr>
                <w:p w14:paraId="02F7D3BB">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14</w:t>
                  </w:r>
                </w:p>
              </w:tc>
              <w:tc>
                <w:tcPr>
                  <w:tcW w:w="3502" w:type="dxa"/>
                  <w:vAlign w:val="center"/>
                </w:tcPr>
                <w:p w14:paraId="6291F5A7">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Al</w:t>
                  </w:r>
                  <w:r>
                    <w:rPr>
                      <w:rFonts w:hint="default" w:ascii="Times New Roman" w:hAnsi="Times New Roman" w:eastAsia="宋体" w:cs="Times New Roman"/>
                      <w:b w:val="0"/>
                      <w:bCs w:val="0"/>
                      <w:highlight w:val="none"/>
                      <w:vertAlign w:val="superscript"/>
                      <w:lang w:val="en-US" w:eastAsia="zh-CN"/>
                    </w:rPr>
                    <w:t>3+</w:t>
                  </w:r>
                </w:p>
              </w:tc>
              <w:tc>
                <w:tcPr>
                  <w:tcW w:w="837" w:type="dxa"/>
                  <w:vAlign w:val="center"/>
                </w:tcPr>
                <w:p w14:paraId="14073C05">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w:t>
                  </w:r>
                </w:p>
              </w:tc>
              <w:tc>
                <w:tcPr>
                  <w:tcW w:w="713" w:type="dxa"/>
                  <w:vAlign w:val="center"/>
                </w:tcPr>
                <w:p w14:paraId="41DD4C20">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2015" w:type="dxa"/>
                  <w:vAlign w:val="center"/>
                </w:tcPr>
                <w:p w14:paraId="1C985114">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18C01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6" w:hRule="atLeast"/>
                <w:jc w:val="center"/>
              </w:trPr>
              <w:tc>
                <w:tcPr>
                  <w:tcW w:w="651" w:type="dxa"/>
                  <w:vAlign w:val="center"/>
                </w:tcPr>
                <w:p w14:paraId="71725AE8">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15</w:t>
                  </w:r>
                </w:p>
              </w:tc>
              <w:tc>
                <w:tcPr>
                  <w:tcW w:w="3502" w:type="dxa"/>
                  <w:vAlign w:val="center"/>
                </w:tcPr>
                <w:p w14:paraId="4B57BCC1">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NH</w:t>
                  </w:r>
                  <w:r>
                    <w:rPr>
                      <w:rFonts w:hint="default" w:ascii="Times New Roman" w:hAnsi="Times New Roman" w:eastAsia="宋体" w:cs="Times New Roman"/>
                      <w:b w:val="0"/>
                      <w:bCs w:val="0"/>
                      <w:highlight w:val="none"/>
                      <w:vertAlign w:val="superscript"/>
                      <w:lang w:val="en-US" w:eastAsia="zh-CN"/>
                    </w:rPr>
                    <w:t>4</w:t>
                  </w:r>
                  <w:r>
                    <w:rPr>
                      <w:rFonts w:hint="eastAsia" w:ascii="Times New Roman" w:hAnsi="Times New Roman" w:eastAsia="宋体" w:cs="Times New Roman"/>
                      <w:b w:val="0"/>
                      <w:bCs w:val="0"/>
                      <w:highlight w:val="none"/>
                      <w:vertAlign w:val="superscript"/>
                      <w:lang w:val="en-US" w:eastAsia="zh-CN"/>
                    </w:rPr>
                    <w:t>+</w:t>
                  </w:r>
                </w:p>
              </w:tc>
              <w:tc>
                <w:tcPr>
                  <w:tcW w:w="837" w:type="dxa"/>
                  <w:vAlign w:val="center"/>
                </w:tcPr>
                <w:p w14:paraId="4AB74A97">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≤5</w:t>
                  </w:r>
                </w:p>
              </w:tc>
              <w:tc>
                <w:tcPr>
                  <w:tcW w:w="713" w:type="dxa"/>
                  <w:vAlign w:val="center"/>
                </w:tcPr>
                <w:p w14:paraId="7A7B0BF8">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2015" w:type="dxa"/>
                  <w:vAlign w:val="center"/>
                </w:tcPr>
                <w:p w14:paraId="2C22C8E9">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74EF9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8" w:hRule="atLeast"/>
                <w:jc w:val="center"/>
              </w:trPr>
              <w:tc>
                <w:tcPr>
                  <w:tcW w:w="651" w:type="dxa"/>
                  <w:vAlign w:val="center"/>
                </w:tcPr>
                <w:p w14:paraId="161307A6">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16</w:t>
                  </w:r>
                </w:p>
              </w:tc>
              <w:tc>
                <w:tcPr>
                  <w:tcW w:w="3502" w:type="dxa"/>
                  <w:vAlign w:val="center"/>
                </w:tcPr>
                <w:p w14:paraId="6BD870FA">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Ba</w:t>
                  </w:r>
                  <w:r>
                    <w:rPr>
                      <w:rFonts w:hint="default" w:ascii="Times New Roman" w:hAnsi="Times New Roman" w:eastAsia="宋体" w:cs="Times New Roman"/>
                      <w:b w:val="0"/>
                      <w:bCs w:val="0"/>
                      <w:highlight w:val="none"/>
                      <w:vertAlign w:val="superscript"/>
                      <w:lang w:val="en-US" w:eastAsia="zh-CN"/>
                    </w:rPr>
                    <w:t>2+</w:t>
                  </w:r>
                </w:p>
              </w:tc>
              <w:tc>
                <w:tcPr>
                  <w:tcW w:w="837" w:type="dxa"/>
                  <w:vAlign w:val="center"/>
                </w:tcPr>
                <w:p w14:paraId="0273AAF9">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≤0.52</w:t>
                  </w:r>
                </w:p>
              </w:tc>
              <w:tc>
                <w:tcPr>
                  <w:tcW w:w="713" w:type="dxa"/>
                  <w:vAlign w:val="center"/>
                </w:tcPr>
                <w:p w14:paraId="34F467D3">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2015" w:type="dxa"/>
                  <w:vAlign w:val="center"/>
                </w:tcPr>
                <w:p w14:paraId="16C52CB6">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6EB5B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8" w:hRule="atLeast"/>
                <w:jc w:val="center"/>
              </w:trPr>
              <w:tc>
                <w:tcPr>
                  <w:tcW w:w="651" w:type="dxa"/>
                  <w:vAlign w:val="center"/>
                </w:tcPr>
                <w:p w14:paraId="520F480F">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17</w:t>
                  </w:r>
                </w:p>
              </w:tc>
              <w:tc>
                <w:tcPr>
                  <w:tcW w:w="3502" w:type="dxa"/>
                  <w:vAlign w:val="center"/>
                </w:tcPr>
                <w:p w14:paraId="66C40FE6">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Sr</w:t>
                  </w:r>
                  <w:r>
                    <w:rPr>
                      <w:rFonts w:hint="default" w:ascii="Times New Roman" w:hAnsi="Times New Roman" w:eastAsia="宋体" w:cs="Times New Roman"/>
                      <w:b w:val="0"/>
                      <w:bCs w:val="0"/>
                      <w:highlight w:val="none"/>
                      <w:vertAlign w:val="superscript"/>
                      <w:lang w:val="en-US" w:eastAsia="zh-CN"/>
                    </w:rPr>
                    <w:t>2+</w:t>
                  </w:r>
                </w:p>
              </w:tc>
              <w:tc>
                <w:tcPr>
                  <w:tcW w:w="837" w:type="dxa"/>
                  <w:vAlign w:val="center"/>
                </w:tcPr>
                <w:p w14:paraId="1CEF10AC">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≤5.24</w:t>
                  </w:r>
                </w:p>
              </w:tc>
              <w:tc>
                <w:tcPr>
                  <w:tcW w:w="713" w:type="dxa"/>
                  <w:vAlign w:val="center"/>
                </w:tcPr>
                <w:p w14:paraId="4C4DC905">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2015" w:type="dxa"/>
                  <w:vAlign w:val="center"/>
                </w:tcPr>
                <w:p w14:paraId="65E01FED">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44829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8" w:hRule="atLeast"/>
                <w:jc w:val="center"/>
              </w:trPr>
              <w:tc>
                <w:tcPr>
                  <w:tcW w:w="651" w:type="dxa"/>
                  <w:vAlign w:val="center"/>
                </w:tcPr>
                <w:p w14:paraId="43602914">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18</w:t>
                  </w:r>
                </w:p>
              </w:tc>
              <w:tc>
                <w:tcPr>
                  <w:tcW w:w="3502" w:type="dxa"/>
                  <w:vAlign w:val="center"/>
                </w:tcPr>
                <w:p w14:paraId="6E55900D">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Mn</w:t>
                  </w:r>
                  <w:r>
                    <w:rPr>
                      <w:rFonts w:hint="default" w:ascii="Times New Roman" w:hAnsi="Times New Roman" w:eastAsia="宋体" w:cs="Times New Roman"/>
                      <w:b w:val="0"/>
                      <w:bCs w:val="0"/>
                      <w:highlight w:val="none"/>
                      <w:vertAlign w:val="superscript"/>
                      <w:lang w:val="en-US" w:eastAsia="zh-CN"/>
                    </w:rPr>
                    <w:t>2+</w:t>
                  </w:r>
                </w:p>
              </w:tc>
              <w:tc>
                <w:tcPr>
                  <w:tcW w:w="837" w:type="dxa"/>
                  <w:vAlign w:val="center"/>
                </w:tcPr>
                <w:p w14:paraId="628FB6CF">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w:t>
                  </w:r>
                </w:p>
              </w:tc>
              <w:tc>
                <w:tcPr>
                  <w:tcW w:w="713" w:type="dxa"/>
                  <w:vAlign w:val="center"/>
                </w:tcPr>
                <w:p w14:paraId="1F248C53">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2015" w:type="dxa"/>
                  <w:vAlign w:val="center"/>
                </w:tcPr>
                <w:p w14:paraId="7EBC94F0">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6B86F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8" w:hRule="atLeast"/>
                <w:jc w:val="center"/>
              </w:trPr>
              <w:tc>
                <w:tcPr>
                  <w:tcW w:w="651" w:type="dxa"/>
                  <w:vAlign w:val="center"/>
                </w:tcPr>
                <w:p w14:paraId="63167719">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19</w:t>
                  </w:r>
                </w:p>
              </w:tc>
              <w:tc>
                <w:tcPr>
                  <w:tcW w:w="3502" w:type="dxa"/>
                  <w:vAlign w:val="center"/>
                </w:tcPr>
                <w:p w14:paraId="22730328">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Cu</w:t>
                  </w:r>
                  <w:r>
                    <w:rPr>
                      <w:rFonts w:hint="default" w:ascii="Times New Roman" w:hAnsi="Times New Roman" w:eastAsia="宋体" w:cs="Times New Roman"/>
                      <w:b w:val="0"/>
                      <w:bCs w:val="0"/>
                      <w:highlight w:val="none"/>
                      <w:vertAlign w:val="superscript"/>
                      <w:lang w:val="en-US" w:eastAsia="zh-CN"/>
                    </w:rPr>
                    <w:t>2+</w:t>
                  </w:r>
                </w:p>
              </w:tc>
              <w:tc>
                <w:tcPr>
                  <w:tcW w:w="837" w:type="dxa"/>
                  <w:vAlign w:val="center"/>
                </w:tcPr>
                <w:p w14:paraId="098F2982">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w:t>
                  </w:r>
                </w:p>
              </w:tc>
              <w:tc>
                <w:tcPr>
                  <w:tcW w:w="713" w:type="dxa"/>
                  <w:vAlign w:val="center"/>
                </w:tcPr>
                <w:p w14:paraId="7479CDC6">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2015" w:type="dxa"/>
                  <w:vAlign w:val="center"/>
                </w:tcPr>
                <w:p w14:paraId="7BCC1980">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5CBEB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6" w:hRule="atLeast"/>
                <w:jc w:val="center"/>
              </w:trPr>
              <w:tc>
                <w:tcPr>
                  <w:tcW w:w="651" w:type="dxa"/>
                  <w:vAlign w:val="center"/>
                </w:tcPr>
                <w:p w14:paraId="0837ADAD">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20</w:t>
                  </w:r>
                </w:p>
              </w:tc>
              <w:tc>
                <w:tcPr>
                  <w:tcW w:w="3502" w:type="dxa"/>
                  <w:vAlign w:val="center"/>
                </w:tcPr>
                <w:p w14:paraId="46B3E745">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Zn</w:t>
                  </w:r>
                  <w:r>
                    <w:rPr>
                      <w:rFonts w:hint="default" w:ascii="Times New Roman" w:hAnsi="Times New Roman" w:eastAsia="宋体" w:cs="Times New Roman"/>
                      <w:b w:val="0"/>
                      <w:bCs w:val="0"/>
                      <w:highlight w:val="none"/>
                      <w:vertAlign w:val="superscript"/>
                      <w:lang w:val="en-US" w:eastAsia="zh-CN"/>
                    </w:rPr>
                    <w:t>2+</w:t>
                  </w:r>
                </w:p>
              </w:tc>
              <w:tc>
                <w:tcPr>
                  <w:tcW w:w="837" w:type="dxa"/>
                  <w:vAlign w:val="center"/>
                </w:tcPr>
                <w:p w14:paraId="0D19BA0F">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w:t>
                  </w:r>
                </w:p>
              </w:tc>
              <w:tc>
                <w:tcPr>
                  <w:tcW w:w="713" w:type="dxa"/>
                  <w:vAlign w:val="center"/>
                </w:tcPr>
                <w:p w14:paraId="44FCD0CE">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2015" w:type="dxa"/>
                  <w:vAlign w:val="center"/>
                </w:tcPr>
                <w:p w14:paraId="0F8FE68E">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43CA9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 w:hRule="atLeast"/>
                <w:jc w:val="center"/>
              </w:trPr>
              <w:tc>
                <w:tcPr>
                  <w:tcW w:w="651" w:type="dxa"/>
                  <w:vAlign w:val="center"/>
                </w:tcPr>
                <w:p w14:paraId="025C3E5C">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21</w:t>
                  </w:r>
                </w:p>
              </w:tc>
              <w:tc>
                <w:tcPr>
                  <w:tcW w:w="3502" w:type="dxa"/>
                  <w:vAlign w:val="center"/>
                </w:tcPr>
                <w:p w14:paraId="57EEBD36">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Cl</w:t>
                  </w:r>
                  <w:r>
                    <w:rPr>
                      <w:rFonts w:hint="default" w:ascii="Times New Roman" w:hAnsi="Times New Roman" w:eastAsia="宋体" w:cs="Times New Roman"/>
                      <w:b w:val="0"/>
                      <w:bCs w:val="0"/>
                      <w:highlight w:val="none"/>
                      <w:vertAlign w:val="superscript"/>
                      <w:lang w:val="en-US" w:eastAsia="zh-CN"/>
                    </w:rPr>
                    <w:t>-</w:t>
                  </w:r>
                </w:p>
              </w:tc>
              <w:tc>
                <w:tcPr>
                  <w:tcW w:w="837" w:type="dxa"/>
                  <w:vAlign w:val="center"/>
                </w:tcPr>
                <w:p w14:paraId="78860143">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≤577</w:t>
                  </w:r>
                </w:p>
              </w:tc>
              <w:tc>
                <w:tcPr>
                  <w:tcW w:w="713" w:type="dxa"/>
                  <w:vAlign w:val="center"/>
                </w:tcPr>
                <w:p w14:paraId="141F7204">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2015" w:type="dxa"/>
                  <w:vAlign w:val="center"/>
                </w:tcPr>
                <w:p w14:paraId="0BD27BBD">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13DAA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6" w:hRule="atLeast"/>
                <w:jc w:val="center"/>
              </w:trPr>
              <w:tc>
                <w:tcPr>
                  <w:tcW w:w="651" w:type="dxa"/>
                  <w:vAlign w:val="center"/>
                </w:tcPr>
                <w:p w14:paraId="28DDD531">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22</w:t>
                  </w:r>
                </w:p>
              </w:tc>
              <w:tc>
                <w:tcPr>
                  <w:tcW w:w="3502" w:type="dxa"/>
                  <w:vAlign w:val="center"/>
                </w:tcPr>
                <w:p w14:paraId="54659763">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SO</w:t>
                  </w:r>
                  <w:r>
                    <w:rPr>
                      <w:rFonts w:hint="default" w:ascii="Times New Roman" w:hAnsi="Times New Roman" w:eastAsia="宋体" w:cs="Times New Roman"/>
                      <w:b w:val="0"/>
                      <w:bCs w:val="0"/>
                      <w:highlight w:val="none"/>
                      <w:vertAlign w:val="subscript"/>
                      <w:lang w:val="en-US" w:eastAsia="zh-CN"/>
                    </w:rPr>
                    <w:t>4</w:t>
                  </w:r>
                  <w:r>
                    <w:rPr>
                      <w:rFonts w:hint="default" w:ascii="Times New Roman" w:hAnsi="Times New Roman" w:eastAsia="宋体" w:cs="Times New Roman"/>
                      <w:b w:val="0"/>
                      <w:bCs w:val="0"/>
                      <w:highlight w:val="none"/>
                      <w:vertAlign w:val="superscript"/>
                      <w:lang w:val="en-US" w:eastAsia="zh-CN"/>
                    </w:rPr>
                    <w:t>2-</w:t>
                  </w:r>
                </w:p>
              </w:tc>
              <w:tc>
                <w:tcPr>
                  <w:tcW w:w="837" w:type="dxa"/>
                  <w:vAlign w:val="center"/>
                </w:tcPr>
                <w:p w14:paraId="51110FE9">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≤790</w:t>
                  </w:r>
                </w:p>
              </w:tc>
              <w:tc>
                <w:tcPr>
                  <w:tcW w:w="713" w:type="dxa"/>
                  <w:vAlign w:val="center"/>
                </w:tcPr>
                <w:p w14:paraId="48B948D6">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2015" w:type="dxa"/>
                  <w:vAlign w:val="center"/>
                </w:tcPr>
                <w:p w14:paraId="5DA1D016">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16441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1" w:hRule="atLeast"/>
                <w:jc w:val="center"/>
              </w:trPr>
              <w:tc>
                <w:tcPr>
                  <w:tcW w:w="651" w:type="dxa"/>
                  <w:vAlign w:val="center"/>
                </w:tcPr>
                <w:p w14:paraId="57815BEC">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23</w:t>
                  </w:r>
                </w:p>
              </w:tc>
              <w:tc>
                <w:tcPr>
                  <w:tcW w:w="3502" w:type="dxa"/>
                  <w:vAlign w:val="center"/>
                </w:tcPr>
                <w:p w14:paraId="6ACAB9B4">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HCO</w:t>
                  </w:r>
                  <w:r>
                    <w:rPr>
                      <w:rFonts w:hint="default" w:ascii="Times New Roman" w:hAnsi="Times New Roman" w:eastAsia="宋体" w:cs="Times New Roman"/>
                      <w:b w:val="0"/>
                      <w:bCs w:val="0"/>
                      <w:highlight w:val="none"/>
                      <w:vertAlign w:val="subscript"/>
                      <w:lang w:val="en-US" w:eastAsia="zh-CN"/>
                    </w:rPr>
                    <w:t>3</w:t>
                  </w:r>
                  <w:r>
                    <w:rPr>
                      <w:rFonts w:hint="eastAsia" w:ascii="Times New Roman" w:hAnsi="Times New Roman" w:eastAsia="宋体" w:cs="Times New Roman"/>
                      <w:b w:val="0"/>
                      <w:bCs w:val="0"/>
                      <w:highlight w:val="none"/>
                      <w:vertAlign w:val="superscript"/>
                      <w:lang w:val="en-US" w:eastAsia="zh-CN"/>
                    </w:rPr>
                    <w:t>-</w:t>
                  </w:r>
                </w:p>
              </w:tc>
              <w:tc>
                <w:tcPr>
                  <w:tcW w:w="837" w:type="dxa"/>
                  <w:vAlign w:val="center"/>
                </w:tcPr>
                <w:p w14:paraId="6C5F803E">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≤1282</w:t>
                  </w:r>
                </w:p>
              </w:tc>
              <w:tc>
                <w:tcPr>
                  <w:tcW w:w="713" w:type="dxa"/>
                  <w:vAlign w:val="center"/>
                </w:tcPr>
                <w:p w14:paraId="552E6648">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2015" w:type="dxa"/>
                  <w:vAlign w:val="center"/>
                </w:tcPr>
                <w:p w14:paraId="4C4947C6">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7C637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51" w:type="dxa"/>
                  <w:vAlign w:val="center"/>
                </w:tcPr>
                <w:p w14:paraId="7AEA972F">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24</w:t>
                  </w:r>
                </w:p>
              </w:tc>
              <w:tc>
                <w:tcPr>
                  <w:tcW w:w="3502" w:type="dxa"/>
                  <w:vAlign w:val="center"/>
                </w:tcPr>
                <w:p w14:paraId="06C97FC1">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CO</w:t>
                  </w:r>
                  <w:r>
                    <w:rPr>
                      <w:rFonts w:hint="default" w:ascii="Times New Roman" w:hAnsi="Times New Roman" w:eastAsia="宋体" w:cs="Times New Roman"/>
                      <w:b w:val="0"/>
                      <w:bCs w:val="0"/>
                      <w:highlight w:val="none"/>
                      <w:vertAlign w:val="subscript"/>
                      <w:lang w:val="en-US" w:eastAsia="zh-CN"/>
                    </w:rPr>
                    <w:t>3</w:t>
                  </w:r>
                  <w:r>
                    <w:rPr>
                      <w:rFonts w:hint="default" w:ascii="Times New Roman" w:hAnsi="Times New Roman" w:eastAsia="宋体" w:cs="Times New Roman"/>
                      <w:b w:val="0"/>
                      <w:bCs w:val="0"/>
                      <w:highlight w:val="none"/>
                      <w:vertAlign w:val="superscript"/>
                      <w:lang w:val="en-US" w:eastAsia="zh-CN"/>
                    </w:rPr>
                    <w:t>2-</w:t>
                  </w:r>
                </w:p>
              </w:tc>
              <w:tc>
                <w:tcPr>
                  <w:tcW w:w="837" w:type="dxa"/>
                  <w:vAlign w:val="center"/>
                </w:tcPr>
                <w:p w14:paraId="0132049C">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≤41</w:t>
                  </w:r>
                </w:p>
              </w:tc>
              <w:tc>
                <w:tcPr>
                  <w:tcW w:w="713" w:type="dxa"/>
                  <w:vAlign w:val="center"/>
                </w:tcPr>
                <w:p w14:paraId="0B6264E1">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2015" w:type="dxa"/>
                  <w:vAlign w:val="center"/>
                </w:tcPr>
                <w:p w14:paraId="2B90BB11">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24602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6" w:hRule="atLeast"/>
                <w:jc w:val="center"/>
              </w:trPr>
              <w:tc>
                <w:tcPr>
                  <w:tcW w:w="651" w:type="dxa"/>
                  <w:vAlign w:val="center"/>
                </w:tcPr>
                <w:p w14:paraId="46559EA5">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25</w:t>
                  </w:r>
                </w:p>
              </w:tc>
              <w:tc>
                <w:tcPr>
                  <w:tcW w:w="3502" w:type="dxa"/>
                  <w:vAlign w:val="center"/>
                </w:tcPr>
                <w:p w14:paraId="631EE055">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NO</w:t>
                  </w:r>
                  <w:r>
                    <w:rPr>
                      <w:rFonts w:hint="default" w:ascii="Times New Roman" w:hAnsi="Times New Roman" w:eastAsia="宋体" w:cs="Times New Roman"/>
                      <w:b w:val="0"/>
                      <w:bCs w:val="0"/>
                      <w:highlight w:val="none"/>
                      <w:vertAlign w:val="subscript"/>
                      <w:lang w:val="en-US" w:eastAsia="zh-CN"/>
                    </w:rPr>
                    <w:t>3</w:t>
                  </w:r>
                  <w:r>
                    <w:rPr>
                      <w:rFonts w:hint="eastAsia" w:ascii="Times New Roman" w:hAnsi="Times New Roman" w:eastAsia="宋体" w:cs="Times New Roman"/>
                      <w:b w:val="0"/>
                      <w:bCs w:val="0"/>
                      <w:highlight w:val="none"/>
                      <w:vertAlign w:val="superscript"/>
                      <w:lang w:val="en-US" w:eastAsia="zh-CN"/>
                    </w:rPr>
                    <w:t>-</w:t>
                  </w:r>
                </w:p>
              </w:tc>
              <w:tc>
                <w:tcPr>
                  <w:tcW w:w="837" w:type="dxa"/>
                  <w:vAlign w:val="center"/>
                </w:tcPr>
                <w:p w14:paraId="08985042">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≤12</w:t>
                  </w:r>
                </w:p>
              </w:tc>
              <w:tc>
                <w:tcPr>
                  <w:tcW w:w="713" w:type="dxa"/>
                  <w:vAlign w:val="center"/>
                </w:tcPr>
                <w:p w14:paraId="3DBF8536">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2015" w:type="dxa"/>
                  <w:vAlign w:val="center"/>
                </w:tcPr>
                <w:p w14:paraId="50E1765B">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78D73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 w:hRule="atLeast"/>
                <w:jc w:val="center"/>
              </w:trPr>
              <w:tc>
                <w:tcPr>
                  <w:tcW w:w="651" w:type="dxa"/>
                  <w:vAlign w:val="center"/>
                </w:tcPr>
                <w:p w14:paraId="4BCADA29">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26</w:t>
                  </w:r>
                </w:p>
              </w:tc>
              <w:tc>
                <w:tcPr>
                  <w:tcW w:w="3502" w:type="dxa"/>
                  <w:vAlign w:val="center"/>
                </w:tcPr>
                <w:p w14:paraId="42B7238B">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NO</w:t>
                  </w:r>
                  <w:r>
                    <w:rPr>
                      <w:rFonts w:hint="default" w:ascii="Times New Roman" w:hAnsi="Times New Roman" w:eastAsia="宋体" w:cs="Times New Roman"/>
                      <w:b w:val="0"/>
                      <w:bCs w:val="0"/>
                      <w:highlight w:val="none"/>
                      <w:vertAlign w:val="subscript"/>
                      <w:lang w:val="en-US" w:eastAsia="zh-CN"/>
                    </w:rPr>
                    <w:t>3</w:t>
                  </w:r>
                  <w:r>
                    <w:rPr>
                      <w:rFonts w:hint="eastAsia" w:ascii="Times New Roman" w:hAnsi="Times New Roman" w:eastAsia="宋体" w:cs="Times New Roman"/>
                      <w:b w:val="0"/>
                      <w:bCs w:val="0"/>
                      <w:highlight w:val="none"/>
                      <w:vertAlign w:val="superscript"/>
                      <w:lang w:val="en-US" w:eastAsia="zh-CN"/>
                    </w:rPr>
                    <w:t>-</w:t>
                  </w:r>
                </w:p>
              </w:tc>
              <w:tc>
                <w:tcPr>
                  <w:tcW w:w="837" w:type="dxa"/>
                  <w:vAlign w:val="center"/>
                </w:tcPr>
                <w:p w14:paraId="7C9EC236">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w:t>
                  </w:r>
                </w:p>
              </w:tc>
              <w:tc>
                <w:tcPr>
                  <w:tcW w:w="713" w:type="dxa"/>
                  <w:vAlign w:val="center"/>
                </w:tcPr>
                <w:p w14:paraId="0C0999C0">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2015" w:type="dxa"/>
                  <w:vAlign w:val="center"/>
                </w:tcPr>
                <w:p w14:paraId="3F130423">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71229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 w:hRule="atLeast"/>
                <w:jc w:val="center"/>
              </w:trPr>
              <w:tc>
                <w:tcPr>
                  <w:tcW w:w="651" w:type="dxa"/>
                  <w:vAlign w:val="center"/>
                </w:tcPr>
                <w:p w14:paraId="517F0FC0">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27</w:t>
                  </w:r>
                </w:p>
              </w:tc>
              <w:tc>
                <w:tcPr>
                  <w:tcW w:w="3502" w:type="dxa"/>
                  <w:vAlign w:val="center"/>
                </w:tcPr>
                <w:p w14:paraId="10D08915">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OH-</w:t>
                  </w:r>
                </w:p>
              </w:tc>
              <w:tc>
                <w:tcPr>
                  <w:tcW w:w="837" w:type="dxa"/>
                  <w:vAlign w:val="center"/>
                </w:tcPr>
                <w:p w14:paraId="602CFE48">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w:t>
                  </w:r>
                </w:p>
              </w:tc>
              <w:tc>
                <w:tcPr>
                  <w:tcW w:w="713" w:type="dxa"/>
                  <w:vAlign w:val="center"/>
                </w:tcPr>
                <w:p w14:paraId="4E3E2D34">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2015" w:type="dxa"/>
                  <w:vAlign w:val="center"/>
                </w:tcPr>
                <w:p w14:paraId="7EB40691">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0EA18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 w:hRule="atLeast"/>
                <w:jc w:val="center"/>
              </w:trPr>
              <w:tc>
                <w:tcPr>
                  <w:tcW w:w="651" w:type="dxa"/>
                  <w:vAlign w:val="center"/>
                </w:tcPr>
                <w:p w14:paraId="096F6D2D">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28</w:t>
                  </w:r>
                </w:p>
              </w:tc>
              <w:tc>
                <w:tcPr>
                  <w:tcW w:w="3502" w:type="dxa"/>
                  <w:vAlign w:val="center"/>
                </w:tcPr>
                <w:p w14:paraId="34884788">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HSiO</w:t>
                  </w:r>
                  <w:r>
                    <w:rPr>
                      <w:rFonts w:hint="default" w:ascii="Times New Roman" w:hAnsi="Times New Roman" w:eastAsia="宋体" w:cs="Times New Roman"/>
                      <w:b w:val="0"/>
                      <w:bCs w:val="0"/>
                      <w:highlight w:val="none"/>
                      <w:vertAlign w:val="subscript"/>
                      <w:lang w:val="en-US" w:eastAsia="zh-CN"/>
                    </w:rPr>
                    <w:t>3</w:t>
                  </w:r>
                  <w:r>
                    <w:rPr>
                      <w:rFonts w:hint="eastAsia" w:ascii="Times New Roman" w:hAnsi="Times New Roman" w:eastAsia="宋体" w:cs="Times New Roman"/>
                      <w:b w:val="0"/>
                      <w:bCs w:val="0"/>
                      <w:highlight w:val="none"/>
                      <w:vertAlign w:val="superscript"/>
                      <w:lang w:val="en-US" w:eastAsia="zh-CN"/>
                    </w:rPr>
                    <w:t>-</w:t>
                  </w:r>
                </w:p>
              </w:tc>
              <w:tc>
                <w:tcPr>
                  <w:tcW w:w="837" w:type="dxa"/>
                  <w:vAlign w:val="center"/>
                </w:tcPr>
                <w:p w14:paraId="053274CF">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w:t>
                  </w:r>
                </w:p>
              </w:tc>
              <w:tc>
                <w:tcPr>
                  <w:tcW w:w="713" w:type="dxa"/>
                  <w:vAlign w:val="center"/>
                </w:tcPr>
                <w:p w14:paraId="07423EDB">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2015" w:type="dxa"/>
                  <w:vAlign w:val="center"/>
                </w:tcPr>
                <w:p w14:paraId="41E71318">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00F13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6" w:hRule="atLeast"/>
                <w:jc w:val="center"/>
              </w:trPr>
              <w:tc>
                <w:tcPr>
                  <w:tcW w:w="651" w:type="dxa"/>
                  <w:vAlign w:val="center"/>
                </w:tcPr>
                <w:p w14:paraId="487EF480">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29</w:t>
                  </w:r>
                </w:p>
              </w:tc>
              <w:tc>
                <w:tcPr>
                  <w:tcW w:w="3502" w:type="dxa"/>
                  <w:vAlign w:val="center"/>
                </w:tcPr>
                <w:p w14:paraId="6D45AECC">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F</w:t>
                  </w:r>
                  <w:r>
                    <w:rPr>
                      <w:rFonts w:hint="default" w:ascii="Times New Roman" w:hAnsi="Times New Roman" w:eastAsia="宋体" w:cs="Times New Roman"/>
                      <w:b w:val="0"/>
                      <w:bCs w:val="0"/>
                      <w:highlight w:val="none"/>
                      <w:vertAlign w:val="superscript"/>
                      <w:lang w:val="en-US" w:eastAsia="zh-CN"/>
                    </w:rPr>
                    <w:t>-</w:t>
                  </w:r>
                </w:p>
              </w:tc>
              <w:tc>
                <w:tcPr>
                  <w:tcW w:w="837" w:type="dxa"/>
                  <w:vAlign w:val="center"/>
                </w:tcPr>
                <w:p w14:paraId="1DD4EE9A">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≤3</w:t>
                  </w:r>
                </w:p>
              </w:tc>
              <w:tc>
                <w:tcPr>
                  <w:tcW w:w="713" w:type="dxa"/>
                  <w:vAlign w:val="center"/>
                </w:tcPr>
                <w:p w14:paraId="26159DC8">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2015" w:type="dxa"/>
                  <w:vAlign w:val="center"/>
                </w:tcPr>
                <w:p w14:paraId="301282B3">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57BCE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6" w:hRule="atLeast"/>
                <w:jc w:val="center"/>
              </w:trPr>
              <w:tc>
                <w:tcPr>
                  <w:tcW w:w="651" w:type="dxa"/>
                  <w:vAlign w:val="center"/>
                </w:tcPr>
                <w:p w14:paraId="5C1962FC">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30</w:t>
                  </w:r>
                </w:p>
              </w:tc>
              <w:tc>
                <w:tcPr>
                  <w:tcW w:w="3502" w:type="dxa"/>
                  <w:vAlign w:val="center"/>
                </w:tcPr>
                <w:p w14:paraId="5BD5F57E">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PO</w:t>
                  </w:r>
                  <w:r>
                    <w:rPr>
                      <w:rFonts w:hint="default" w:ascii="Times New Roman" w:hAnsi="Times New Roman" w:eastAsia="宋体" w:cs="Times New Roman"/>
                      <w:b w:val="0"/>
                      <w:bCs w:val="0"/>
                      <w:highlight w:val="none"/>
                      <w:vertAlign w:val="subscript"/>
                      <w:lang w:val="en-US" w:eastAsia="zh-CN"/>
                    </w:rPr>
                    <w:t>4</w:t>
                  </w:r>
                  <w:r>
                    <w:rPr>
                      <w:rFonts w:hint="default" w:ascii="Times New Roman" w:hAnsi="Times New Roman" w:eastAsia="宋体" w:cs="Times New Roman"/>
                      <w:b w:val="0"/>
                      <w:bCs w:val="0"/>
                      <w:highlight w:val="none"/>
                      <w:vertAlign w:val="superscript"/>
                      <w:lang w:val="en-US" w:eastAsia="zh-CN"/>
                    </w:rPr>
                    <w:t>3-</w:t>
                  </w:r>
                </w:p>
              </w:tc>
              <w:tc>
                <w:tcPr>
                  <w:tcW w:w="837" w:type="dxa"/>
                  <w:vAlign w:val="center"/>
                </w:tcPr>
                <w:p w14:paraId="078E46F0">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w:t>
                  </w:r>
                </w:p>
              </w:tc>
              <w:tc>
                <w:tcPr>
                  <w:tcW w:w="713" w:type="dxa"/>
                  <w:vAlign w:val="center"/>
                </w:tcPr>
                <w:p w14:paraId="3DA99357">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2015" w:type="dxa"/>
                  <w:vAlign w:val="center"/>
                </w:tcPr>
                <w:p w14:paraId="28E2B9CC">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30328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2" w:hRule="atLeast"/>
                <w:jc w:val="center"/>
              </w:trPr>
              <w:tc>
                <w:tcPr>
                  <w:tcW w:w="651" w:type="dxa"/>
                  <w:vAlign w:val="center"/>
                </w:tcPr>
                <w:p w14:paraId="291CBB60">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31</w:t>
                  </w:r>
                </w:p>
              </w:tc>
              <w:tc>
                <w:tcPr>
                  <w:tcW w:w="3502" w:type="dxa"/>
                  <w:vAlign w:val="center"/>
                </w:tcPr>
                <w:p w14:paraId="2F55AC18">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S</w:t>
                  </w:r>
                  <w:r>
                    <w:rPr>
                      <w:rFonts w:hint="default" w:ascii="Times New Roman" w:hAnsi="Times New Roman" w:eastAsia="宋体" w:cs="Times New Roman"/>
                      <w:b w:val="0"/>
                      <w:bCs w:val="0"/>
                      <w:highlight w:val="none"/>
                      <w:vertAlign w:val="superscript"/>
                      <w:lang w:val="en-US" w:eastAsia="zh-CN"/>
                    </w:rPr>
                    <w:t>2-</w:t>
                  </w:r>
                </w:p>
              </w:tc>
              <w:tc>
                <w:tcPr>
                  <w:tcW w:w="837" w:type="dxa"/>
                  <w:vAlign w:val="center"/>
                </w:tcPr>
                <w:p w14:paraId="39C1A85A">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w:t>
                  </w:r>
                </w:p>
              </w:tc>
              <w:tc>
                <w:tcPr>
                  <w:tcW w:w="713" w:type="dxa"/>
                  <w:vAlign w:val="center"/>
                </w:tcPr>
                <w:p w14:paraId="21C51C1B">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2015" w:type="dxa"/>
                  <w:vAlign w:val="center"/>
                </w:tcPr>
                <w:p w14:paraId="029F57FF">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最大&lt;30mg/L</w:t>
                  </w:r>
                </w:p>
              </w:tc>
            </w:tr>
            <w:tr w14:paraId="70023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 w:hRule="atLeast"/>
                <w:jc w:val="center"/>
              </w:trPr>
              <w:tc>
                <w:tcPr>
                  <w:tcW w:w="651" w:type="dxa"/>
                  <w:vAlign w:val="center"/>
                </w:tcPr>
                <w:p w14:paraId="3F0CEA9E">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32</w:t>
                  </w:r>
                </w:p>
              </w:tc>
              <w:tc>
                <w:tcPr>
                  <w:tcW w:w="3502" w:type="dxa"/>
                  <w:vAlign w:val="center"/>
                </w:tcPr>
                <w:p w14:paraId="6AD6897C">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HCOO</w:t>
                  </w:r>
                  <w:r>
                    <w:rPr>
                      <w:rFonts w:hint="default" w:ascii="Times New Roman" w:hAnsi="Times New Roman" w:eastAsia="宋体" w:cs="Times New Roman"/>
                      <w:b w:val="0"/>
                      <w:bCs w:val="0"/>
                      <w:highlight w:val="none"/>
                      <w:vertAlign w:val="superscript"/>
                      <w:lang w:val="en-US" w:eastAsia="zh-CN"/>
                    </w:rPr>
                    <w:t>-</w:t>
                  </w:r>
                </w:p>
              </w:tc>
              <w:tc>
                <w:tcPr>
                  <w:tcW w:w="837" w:type="dxa"/>
                  <w:vAlign w:val="center"/>
                </w:tcPr>
                <w:p w14:paraId="0E36D23A">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w:t>
                  </w:r>
                </w:p>
              </w:tc>
              <w:tc>
                <w:tcPr>
                  <w:tcW w:w="713" w:type="dxa"/>
                  <w:vAlign w:val="center"/>
                </w:tcPr>
                <w:p w14:paraId="412A326D">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2015" w:type="dxa"/>
                  <w:vAlign w:val="center"/>
                </w:tcPr>
                <w:p w14:paraId="3A05673A">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2BBB7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6" w:hRule="atLeast"/>
                <w:jc w:val="center"/>
              </w:trPr>
              <w:tc>
                <w:tcPr>
                  <w:tcW w:w="651" w:type="dxa"/>
                  <w:vAlign w:val="center"/>
                </w:tcPr>
                <w:p w14:paraId="6661CB7B">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33</w:t>
                  </w:r>
                </w:p>
              </w:tc>
              <w:tc>
                <w:tcPr>
                  <w:tcW w:w="3502" w:type="dxa"/>
                  <w:vAlign w:val="center"/>
                </w:tcPr>
                <w:p w14:paraId="2677ACFD">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CN</w:t>
                  </w:r>
                  <w:r>
                    <w:rPr>
                      <w:rFonts w:hint="default" w:ascii="Times New Roman" w:hAnsi="Times New Roman" w:eastAsia="宋体" w:cs="Times New Roman"/>
                      <w:b w:val="0"/>
                      <w:bCs w:val="0"/>
                      <w:highlight w:val="none"/>
                      <w:vertAlign w:val="superscript"/>
                      <w:lang w:val="en-US" w:eastAsia="zh-CN"/>
                    </w:rPr>
                    <w:t>-</w:t>
                  </w:r>
                </w:p>
              </w:tc>
              <w:tc>
                <w:tcPr>
                  <w:tcW w:w="837" w:type="dxa"/>
                  <w:vAlign w:val="center"/>
                </w:tcPr>
                <w:p w14:paraId="753E6474">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w:t>
                  </w:r>
                </w:p>
              </w:tc>
              <w:tc>
                <w:tcPr>
                  <w:tcW w:w="713" w:type="dxa"/>
                  <w:vAlign w:val="center"/>
                </w:tcPr>
                <w:p w14:paraId="5C50BEAC">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2015" w:type="dxa"/>
                  <w:vAlign w:val="center"/>
                </w:tcPr>
                <w:p w14:paraId="4BC7ED08">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05486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9" w:hRule="atLeast"/>
                <w:jc w:val="center"/>
              </w:trPr>
              <w:tc>
                <w:tcPr>
                  <w:tcW w:w="651" w:type="dxa"/>
                  <w:vAlign w:val="center"/>
                </w:tcPr>
                <w:p w14:paraId="38B3E74A">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34</w:t>
                  </w:r>
                </w:p>
              </w:tc>
              <w:tc>
                <w:tcPr>
                  <w:tcW w:w="3502" w:type="dxa"/>
                  <w:vAlign w:val="center"/>
                </w:tcPr>
                <w:p w14:paraId="35E48EF8">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总硬度（以CaCO</w:t>
                  </w:r>
                  <w:r>
                    <w:rPr>
                      <w:rFonts w:hint="default" w:ascii="Times New Roman" w:hAnsi="Times New Roman" w:eastAsia="宋体" w:cs="Times New Roman"/>
                      <w:b w:val="0"/>
                      <w:bCs w:val="0"/>
                      <w:highlight w:val="none"/>
                      <w:vertAlign w:val="subscript"/>
                      <w:lang w:val="en-US" w:eastAsia="zh-CN"/>
                    </w:rPr>
                    <w:t>3</w:t>
                  </w:r>
                  <w:r>
                    <w:rPr>
                      <w:rFonts w:hint="default" w:ascii="Times New Roman" w:hAnsi="Times New Roman" w:eastAsia="宋体" w:cs="Times New Roman"/>
                      <w:b w:val="0"/>
                      <w:bCs w:val="0"/>
                      <w:highlight w:val="none"/>
                      <w:lang w:val="en-US" w:eastAsia="zh-CN"/>
                    </w:rPr>
                    <w:t>计）</w:t>
                  </w:r>
                </w:p>
              </w:tc>
              <w:tc>
                <w:tcPr>
                  <w:tcW w:w="837" w:type="dxa"/>
                  <w:vAlign w:val="center"/>
                </w:tcPr>
                <w:p w14:paraId="5F0994D0">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≤1500</w:t>
                  </w:r>
                </w:p>
              </w:tc>
              <w:tc>
                <w:tcPr>
                  <w:tcW w:w="713" w:type="dxa"/>
                  <w:vAlign w:val="center"/>
                </w:tcPr>
                <w:p w14:paraId="2ACB995A">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2015" w:type="dxa"/>
                  <w:vAlign w:val="center"/>
                </w:tcPr>
                <w:p w14:paraId="5004C231">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r w14:paraId="58BFA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7" w:hRule="atLeast"/>
                <w:jc w:val="center"/>
              </w:trPr>
              <w:tc>
                <w:tcPr>
                  <w:tcW w:w="651" w:type="dxa"/>
                  <w:vAlign w:val="center"/>
                </w:tcPr>
                <w:p w14:paraId="3BC42456">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35</w:t>
                  </w:r>
                </w:p>
              </w:tc>
              <w:tc>
                <w:tcPr>
                  <w:tcW w:w="3502" w:type="dxa"/>
                  <w:vAlign w:val="center"/>
                </w:tcPr>
                <w:p w14:paraId="0E3B7B41">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全硅</w:t>
                  </w:r>
                </w:p>
              </w:tc>
              <w:tc>
                <w:tcPr>
                  <w:tcW w:w="837" w:type="dxa"/>
                  <w:vAlign w:val="center"/>
                </w:tcPr>
                <w:p w14:paraId="79BAFFF3">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≤45</w:t>
                  </w:r>
                </w:p>
              </w:tc>
              <w:tc>
                <w:tcPr>
                  <w:tcW w:w="713" w:type="dxa"/>
                  <w:vAlign w:val="center"/>
                </w:tcPr>
                <w:p w14:paraId="53BA8267">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mg/L</w:t>
                  </w:r>
                </w:p>
              </w:tc>
              <w:tc>
                <w:tcPr>
                  <w:tcW w:w="2015" w:type="dxa"/>
                  <w:vAlign w:val="center"/>
                </w:tcPr>
                <w:p w14:paraId="77A8A89A">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highlight w:val="none"/>
                      <w:lang w:val="en-US" w:eastAsia="zh-CN"/>
                    </w:rPr>
                  </w:pPr>
                  <w:r>
                    <w:rPr>
                      <w:rFonts w:hint="eastAsia" w:cs="Times New Roman"/>
                      <w:b w:val="0"/>
                      <w:bCs w:val="0"/>
                      <w:highlight w:val="none"/>
                      <w:lang w:val="en-US" w:eastAsia="zh-CN"/>
                    </w:rPr>
                    <w:t>/</w:t>
                  </w:r>
                </w:p>
              </w:tc>
            </w:tr>
          </w:tbl>
          <w:p w14:paraId="760A0C65">
            <w:pPr>
              <w:adjustRightInd/>
              <w:snapToGrid/>
              <w:spacing w:after="0" w:line="360" w:lineRule="auto"/>
              <w:ind w:left="0" w:leftChars="0" w:firstLine="482" w:firstLineChars="200"/>
              <w:rPr>
                <w:rFonts w:hint="default" w:ascii="Times New Roman" w:hAnsi="Times New Roman" w:eastAsia="宋体" w:cs="Times New Roman"/>
                <w:b/>
                <w:bCs/>
                <w:sz w:val="24"/>
                <w:szCs w:val="32"/>
                <w:highlight w:val="none"/>
                <w:lang w:val="en-US" w:eastAsia="zh-CN"/>
              </w:rPr>
            </w:pPr>
            <w:r>
              <w:rPr>
                <w:rFonts w:hint="eastAsia" w:ascii="Times New Roman" w:hAnsi="Times New Roman" w:eastAsia="宋体" w:cs="Times New Roman"/>
                <w:b/>
                <w:bCs/>
                <w:sz w:val="24"/>
                <w:szCs w:val="32"/>
                <w:highlight w:val="none"/>
                <w:lang w:val="en-US" w:eastAsia="zh-CN"/>
              </w:rPr>
              <w:t>4</w:t>
            </w:r>
            <w:r>
              <w:rPr>
                <w:rFonts w:hint="eastAsia" w:cs="Times New Roman"/>
                <w:b/>
                <w:bCs/>
                <w:sz w:val="24"/>
                <w:szCs w:val="32"/>
                <w:highlight w:val="none"/>
                <w:lang w:val="en-US" w:eastAsia="zh-CN"/>
              </w:rPr>
              <w:t>.</w:t>
            </w:r>
            <w:r>
              <w:rPr>
                <w:rFonts w:hint="eastAsia" w:ascii="Times New Roman" w:hAnsi="Times New Roman" w:eastAsia="宋体" w:cs="Times New Roman"/>
                <w:b/>
                <w:bCs/>
                <w:sz w:val="24"/>
                <w:szCs w:val="32"/>
                <w:highlight w:val="none"/>
                <w:lang w:val="en-US" w:eastAsia="zh-CN"/>
              </w:rPr>
              <w:t>施工期固体废物保护措施</w:t>
            </w:r>
          </w:p>
          <w:p w14:paraId="69F831E7">
            <w:pPr>
              <w:spacing w:line="360" w:lineRule="auto"/>
              <w:ind w:firstLine="480" w:firstLineChars="200"/>
              <w:rPr>
                <w:rFonts w:hint="eastAsia"/>
                <w:sz w:val="24"/>
                <w:highlight w:val="none"/>
                <w:lang w:val="zh-CN"/>
              </w:rPr>
            </w:pPr>
            <w:r>
              <w:rPr>
                <w:rFonts w:hint="eastAsia"/>
                <w:sz w:val="24"/>
                <w:highlight w:val="none"/>
                <w:lang w:val="zh-CN"/>
              </w:rPr>
              <w:t>施工期产生的固体废物主要为施工废料、废油漆桶及生活垃圾。</w:t>
            </w:r>
          </w:p>
          <w:p w14:paraId="7ED4AADE">
            <w:pPr>
              <w:spacing w:line="360" w:lineRule="auto"/>
              <w:ind w:firstLine="480" w:firstLineChars="200"/>
              <w:rPr>
                <w:rFonts w:hint="eastAsia"/>
                <w:sz w:val="24"/>
                <w:highlight w:val="none"/>
                <w:lang w:val="zh-CN"/>
              </w:rPr>
            </w:pPr>
            <w:r>
              <w:rPr>
                <w:rFonts w:hint="eastAsia"/>
                <w:sz w:val="24"/>
                <w:highlight w:val="none"/>
                <w:lang w:val="zh-CN"/>
              </w:rPr>
              <w:t>①施工废料</w:t>
            </w:r>
          </w:p>
          <w:p w14:paraId="531A1206">
            <w:pPr>
              <w:spacing w:line="360" w:lineRule="auto"/>
              <w:ind w:firstLine="480" w:firstLineChars="200"/>
              <w:rPr>
                <w:bCs/>
                <w:sz w:val="24"/>
                <w:highlight w:val="none"/>
              </w:rPr>
            </w:pPr>
            <w:r>
              <w:rPr>
                <w:rFonts w:hint="eastAsia"/>
                <w:sz w:val="24"/>
                <w:highlight w:val="none"/>
                <w:lang w:val="zh-CN"/>
              </w:rPr>
              <w:t>施工废料主要包括管道焊接作业中产生的废焊条、焊渣、防腐材料、保温作业中产生的废防腐材料、废保温材料等。本项目施工过程产生的施工废料量约为</w:t>
            </w:r>
            <w:r>
              <w:rPr>
                <w:rFonts w:hint="eastAsia"/>
                <w:sz w:val="24"/>
                <w:highlight w:val="none"/>
                <w:lang w:val="en-US" w:eastAsia="zh-CN"/>
              </w:rPr>
              <w:t>0.5</w:t>
            </w:r>
            <w:r>
              <w:rPr>
                <w:rFonts w:hint="eastAsia"/>
                <w:sz w:val="24"/>
                <w:highlight w:val="none"/>
                <w:lang w:val="zh-CN"/>
              </w:rPr>
              <w:t>t。</w:t>
            </w:r>
            <w:r>
              <w:rPr>
                <w:bCs/>
                <w:sz w:val="24"/>
                <w:highlight w:val="none"/>
              </w:rPr>
              <w:t>收集后</w:t>
            </w:r>
            <w:r>
              <w:rPr>
                <w:rFonts w:hint="eastAsia"/>
                <w:bCs/>
                <w:sz w:val="24"/>
                <w:highlight w:val="none"/>
              </w:rPr>
              <w:t>由施工单位清运，可以进行回收利用的外售</w:t>
            </w:r>
            <w:r>
              <w:rPr>
                <w:rFonts w:hint="eastAsia"/>
                <w:bCs/>
                <w:sz w:val="24"/>
                <w:highlight w:val="none"/>
                <w:lang w:eastAsia="zh-CN"/>
              </w:rPr>
              <w:t>并</w:t>
            </w:r>
            <w:r>
              <w:rPr>
                <w:rFonts w:hint="eastAsia"/>
                <w:bCs/>
                <w:sz w:val="24"/>
                <w:highlight w:val="none"/>
              </w:rPr>
              <w:t>综合利用</w:t>
            </w:r>
            <w:r>
              <w:rPr>
                <w:rFonts w:hint="eastAsia"/>
                <w:bCs/>
                <w:sz w:val="24"/>
                <w:highlight w:val="none"/>
                <w:lang w:eastAsia="zh-CN"/>
              </w:rPr>
              <w:t>。</w:t>
            </w:r>
            <w:r>
              <w:rPr>
                <w:rFonts w:hint="eastAsia"/>
                <w:bCs/>
                <w:sz w:val="24"/>
                <w:highlight w:val="none"/>
              </w:rPr>
              <w:t>对不能回收利用的</w:t>
            </w:r>
            <w:r>
              <w:rPr>
                <w:rFonts w:hint="eastAsia"/>
                <w:bCs/>
                <w:sz w:val="24"/>
                <w:highlight w:val="none"/>
                <w:lang w:eastAsia="zh-CN"/>
              </w:rPr>
              <w:t>垃圾</w:t>
            </w:r>
            <w:r>
              <w:rPr>
                <w:rFonts w:hint="eastAsia"/>
                <w:bCs/>
                <w:sz w:val="24"/>
                <w:highlight w:val="none"/>
              </w:rPr>
              <w:t>运送至就近的建筑垃圾处理厂</w:t>
            </w:r>
            <w:r>
              <w:rPr>
                <w:rFonts w:hint="eastAsia"/>
                <w:bCs/>
                <w:sz w:val="24"/>
                <w:highlight w:val="none"/>
                <w:lang w:eastAsia="zh-CN"/>
              </w:rPr>
              <w:t>进行</w:t>
            </w:r>
            <w:r>
              <w:rPr>
                <w:rFonts w:hint="eastAsia"/>
                <w:bCs/>
                <w:sz w:val="24"/>
                <w:highlight w:val="none"/>
              </w:rPr>
              <w:t>统一处理</w:t>
            </w:r>
            <w:r>
              <w:rPr>
                <w:bCs/>
                <w:sz w:val="24"/>
                <w:highlight w:val="none"/>
              </w:rPr>
              <w:t>。</w:t>
            </w:r>
          </w:p>
          <w:p w14:paraId="3F28D459">
            <w:pPr>
              <w:spacing w:line="360" w:lineRule="auto"/>
              <w:ind w:firstLine="480" w:firstLineChars="200"/>
              <w:rPr>
                <w:rFonts w:hint="eastAsia"/>
                <w:sz w:val="24"/>
                <w:highlight w:val="none"/>
                <w:lang w:val="zh-CN"/>
              </w:rPr>
            </w:pPr>
            <w:r>
              <w:rPr>
                <w:rFonts w:hint="eastAsia"/>
                <w:sz w:val="24"/>
                <w:highlight w:val="none"/>
                <w:lang w:val="zh-CN"/>
              </w:rPr>
              <w:t>②废油漆桶</w:t>
            </w:r>
          </w:p>
          <w:p w14:paraId="6BD715A4">
            <w:pPr>
              <w:adjustRightInd w:val="0"/>
              <w:snapToGrid w:val="0"/>
              <w:spacing w:line="360" w:lineRule="auto"/>
              <w:ind w:firstLine="480" w:firstLineChars="200"/>
              <w:rPr>
                <w:rFonts w:hint="default" w:eastAsia="宋体"/>
                <w:sz w:val="24"/>
                <w:highlight w:val="none"/>
                <w:lang w:val="en-US" w:eastAsia="zh-CN"/>
              </w:rPr>
            </w:pPr>
            <w:r>
              <w:rPr>
                <w:rFonts w:hint="eastAsia"/>
                <w:sz w:val="24"/>
                <w:highlight w:val="none"/>
              </w:rPr>
              <w:t>本项目</w:t>
            </w:r>
            <w:r>
              <w:rPr>
                <w:rFonts w:hint="eastAsia"/>
                <w:sz w:val="24"/>
                <w:highlight w:val="none"/>
                <w:lang w:val="en-US" w:eastAsia="zh-CN"/>
              </w:rPr>
              <w:t>产生废油桶共计5kg，</w:t>
            </w:r>
            <w:r>
              <w:rPr>
                <w:rFonts w:hint="eastAsia"/>
                <w:sz w:val="24"/>
                <w:highlight w:val="none"/>
              </w:rPr>
              <w:t>依托内蒙古伊泰化工有限责任公司</w:t>
            </w:r>
            <w:r>
              <w:rPr>
                <w:rFonts w:hint="eastAsia"/>
                <w:sz w:val="24"/>
                <w:highlight w:val="none"/>
                <w:lang w:val="en-US" w:eastAsia="zh-CN"/>
              </w:rPr>
              <w:t>现有</w:t>
            </w:r>
            <w:r>
              <w:rPr>
                <w:rFonts w:hint="eastAsia"/>
                <w:sz w:val="24"/>
                <w:highlight w:val="none"/>
              </w:rPr>
              <w:t>危险废物暂存库，</w:t>
            </w:r>
            <w:r>
              <w:rPr>
                <w:rFonts w:hint="eastAsia"/>
                <w:sz w:val="24"/>
                <w:highlight w:val="none"/>
                <w:lang w:val="en-US" w:eastAsia="zh-CN"/>
              </w:rPr>
              <w:t>2021年4月，《内蒙古伊泰化工有限责任公司危险废物储存仓库建设项目环境影响报告表》取得鄂尔多斯市生态环境局批复（鄂环</w:t>
            </w:r>
            <w:r>
              <w:rPr>
                <w:rFonts w:hint="eastAsia" w:ascii="Times New Roman" w:hAnsi="Times New Roman" w:eastAsia="宋体" w:cs="Times New Roman"/>
                <w:sz w:val="24"/>
                <w:highlight w:val="none"/>
                <w:lang w:val="en-US" w:eastAsia="zh-CN"/>
              </w:rPr>
              <w:t>审〔2021〕349</w:t>
            </w:r>
            <w:r>
              <w:rPr>
                <w:rFonts w:hint="eastAsia"/>
                <w:sz w:val="24"/>
                <w:highlight w:val="none"/>
                <w:lang w:val="en-US" w:eastAsia="zh-CN"/>
              </w:rPr>
              <w:t>号），2022年3月通过自主验收。</w:t>
            </w:r>
          </w:p>
          <w:p w14:paraId="0673E301">
            <w:pPr>
              <w:spacing w:line="360" w:lineRule="auto"/>
              <w:ind w:firstLine="480" w:firstLineChars="200"/>
              <w:rPr>
                <w:highlight w:val="none"/>
              </w:rPr>
            </w:pPr>
            <w:r>
              <w:rPr>
                <w:rFonts w:hint="eastAsia"/>
                <w:sz w:val="24"/>
                <w:highlight w:val="none"/>
              </w:rPr>
              <w:t>利用现有1座危废暂存库，占地面积</w:t>
            </w:r>
            <w:r>
              <w:rPr>
                <w:rFonts w:hint="eastAsia"/>
                <w:sz w:val="24"/>
                <w:highlight w:val="none"/>
                <w:lang w:val="en-US" w:eastAsia="zh-CN"/>
              </w:rPr>
              <w:t>417.28</w:t>
            </w:r>
            <w:r>
              <w:rPr>
                <w:sz w:val="24"/>
                <w:highlight w:val="none"/>
              </w:rPr>
              <w:t>m</w:t>
            </w:r>
            <w:r>
              <w:rPr>
                <w:sz w:val="24"/>
                <w:highlight w:val="none"/>
                <w:vertAlign w:val="superscript"/>
              </w:rPr>
              <w:t>2</w:t>
            </w:r>
            <w:r>
              <w:rPr>
                <w:rFonts w:hint="eastAsia"/>
                <w:sz w:val="24"/>
                <w:highlight w:val="none"/>
              </w:rPr>
              <w:t>。危废暂存库地面及裙脚、导流渠、集液池防渗措施自下而上依次为：基础防渗层+2mm厚HDPE防渗膜+30cm抗渗C30混凝土结构+环氧树脂涂层防腐，防渗系数≤1.0×10</w:t>
            </w:r>
            <w:r>
              <w:rPr>
                <w:rFonts w:hint="eastAsia"/>
                <w:sz w:val="24"/>
                <w:highlight w:val="none"/>
                <w:vertAlign w:val="superscript"/>
              </w:rPr>
              <w:t>-10</w:t>
            </w:r>
            <w:r>
              <w:rPr>
                <w:rFonts w:hint="eastAsia"/>
                <w:sz w:val="24"/>
                <w:highlight w:val="none"/>
              </w:rPr>
              <w:t>cm/s；配备消防沙箱；库房内外均设有视频监控设施，设有危险废物标识牌、防爆灯及应急照明装置；管理制度完善，危废暂存库采取双人双锁管理。</w:t>
            </w:r>
            <w:r>
              <w:rPr>
                <w:rFonts w:hint="eastAsia"/>
                <w:sz w:val="24"/>
                <w:highlight w:val="none"/>
                <w:lang w:val="en-US" w:eastAsia="zh-CN"/>
              </w:rPr>
              <w:t>本项目</w:t>
            </w:r>
            <w:r>
              <w:rPr>
                <w:rFonts w:hint="eastAsia"/>
                <w:sz w:val="24"/>
                <w:highlight w:val="none"/>
                <w:lang w:val="zh-CN"/>
              </w:rPr>
              <w:t>废油漆桶属于《国家危险废物名录》（2025年版）中HW49其他废物，废物代码为900-041-49“含有或沾染毒性、感染性危险废物的废弃包装物、容器、过滤吸附介质”，应分类收集，</w:t>
            </w:r>
            <w:r>
              <w:rPr>
                <w:rFonts w:hint="eastAsia"/>
                <w:sz w:val="24"/>
                <w:highlight w:val="none"/>
              </w:rPr>
              <w:t>可满足本项目需求</w:t>
            </w:r>
            <w:r>
              <w:rPr>
                <w:rFonts w:hint="eastAsia"/>
                <w:sz w:val="24"/>
                <w:highlight w:val="none"/>
                <w:lang w:eastAsia="zh-CN"/>
              </w:rPr>
              <w:t>。</w:t>
            </w:r>
          </w:p>
          <w:p w14:paraId="1B0E6FCB">
            <w:pPr>
              <w:spacing w:line="360" w:lineRule="auto"/>
              <w:ind w:firstLine="480" w:firstLineChars="200"/>
              <w:rPr>
                <w:rFonts w:hint="eastAsia"/>
                <w:sz w:val="24"/>
                <w:highlight w:val="none"/>
                <w:lang w:val="zh-CN"/>
              </w:rPr>
            </w:pPr>
            <w:r>
              <w:rPr>
                <w:rFonts w:hint="eastAsia"/>
                <w:sz w:val="24"/>
                <w:highlight w:val="none"/>
                <w:lang w:val="zh-CN"/>
              </w:rPr>
              <w:t>③生活垃圾</w:t>
            </w:r>
          </w:p>
          <w:p w14:paraId="76346195">
            <w:pPr>
              <w:spacing w:line="360" w:lineRule="auto"/>
              <w:ind w:firstLine="480" w:firstLineChars="200"/>
              <w:rPr>
                <w:rFonts w:hint="eastAsia"/>
                <w:sz w:val="24"/>
                <w:highlight w:val="none"/>
                <w:lang w:val="zh-CN"/>
              </w:rPr>
            </w:pPr>
            <w:r>
              <w:rPr>
                <w:rFonts w:hint="eastAsia"/>
                <w:b w:val="0"/>
                <w:bCs/>
                <w:sz w:val="24"/>
                <w:szCs w:val="32"/>
                <w:highlight w:val="none"/>
                <w:lang w:val="en-US" w:eastAsia="zh-CN"/>
              </w:rPr>
              <w:t>施工</w:t>
            </w:r>
            <w:r>
              <w:rPr>
                <w:rFonts w:hint="eastAsia"/>
                <w:b w:val="0"/>
                <w:bCs/>
                <w:sz w:val="24"/>
                <w:szCs w:val="32"/>
                <w:highlight w:val="none"/>
              </w:rPr>
              <w:t>人员</w:t>
            </w:r>
            <w:r>
              <w:rPr>
                <w:rFonts w:hint="eastAsia"/>
                <w:b w:val="0"/>
                <w:bCs/>
                <w:sz w:val="24"/>
                <w:szCs w:val="32"/>
                <w:highlight w:val="none"/>
                <w:lang w:val="en-US" w:eastAsia="zh-CN"/>
              </w:rPr>
              <w:t>依托内蒙古伊泰化工有限责任公司现有设施，本次工程不新增生活垃圾</w:t>
            </w:r>
            <w:r>
              <w:rPr>
                <w:rFonts w:hint="eastAsia"/>
                <w:sz w:val="24"/>
                <w:highlight w:val="none"/>
                <w:lang w:val="zh-CN"/>
              </w:rPr>
              <w:t>。</w:t>
            </w:r>
            <w:r>
              <w:rPr>
                <w:bCs/>
                <w:sz w:val="24"/>
                <w:highlight w:val="none"/>
              </w:rPr>
              <w:t>生活垃圾经</w:t>
            </w:r>
            <w:r>
              <w:rPr>
                <w:rFonts w:hint="eastAsia"/>
                <w:bCs/>
                <w:sz w:val="24"/>
                <w:highlight w:val="none"/>
                <w:lang w:val="en-US" w:eastAsia="zh-CN"/>
              </w:rPr>
              <w:t>厂区垃圾桶</w:t>
            </w:r>
            <w:r>
              <w:rPr>
                <w:bCs/>
                <w:sz w:val="24"/>
                <w:highlight w:val="none"/>
              </w:rPr>
              <w:t>收集后</w:t>
            </w:r>
            <w:r>
              <w:rPr>
                <w:rFonts w:hint="eastAsia"/>
                <w:bCs/>
                <w:sz w:val="24"/>
                <w:highlight w:val="none"/>
                <w:lang w:val="en-US" w:eastAsia="zh-CN"/>
              </w:rPr>
              <w:t>统一由环卫部门处置</w:t>
            </w:r>
            <w:r>
              <w:rPr>
                <w:bCs/>
                <w:sz w:val="24"/>
                <w:highlight w:val="none"/>
              </w:rPr>
              <w:t>。</w:t>
            </w:r>
          </w:p>
          <w:p w14:paraId="609752C3">
            <w:pPr>
              <w:adjustRightInd/>
              <w:snapToGrid/>
              <w:spacing w:after="0" w:line="360" w:lineRule="auto"/>
              <w:ind w:left="0" w:leftChars="0" w:firstLine="482" w:firstLineChars="200"/>
              <w:rPr>
                <w:rFonts w:hint="default" w:ascii="Times New Roman" w:hAnsi="Times New Roman" w:eastAsia="宋体" w:cs="Times New Roman"/>
                <w:b/>
                <w:bCs/>
                <w:sz w:val="24"/>
                <w:szCs w:val="32"/>
                <w:highlight w:val="none"/>
                <w:lang w:val="en-US" w:eastAsia="zh-CN"/>
              </w:rPr>
            </w:pPr>
            <w:r>
              <w:rPr>
                <w:rFonts w:hint="eastAsia" w:ascii="Times New Roman" w:hAnsi="Times New Roman" w:eastAsia="宋体" w:cs="Times New Roman"/>
                <w:b/>
                <w:bCs/>
                <w:sz w:val="24"/>
                <w:szCs w:val="32"/>
                <w:highlight w:val="none"/>
                <w:lang w:val="en-US" w:eastAsia="zh-CN"/>
              </w:rPr>
              <w:t>5</w:t>
            </w:r>
            <w:r>
              <w:rPr>
                <w:rFonts w:hint="eastAsia" w:cs="Times New Roman"/>
                <w:b/>
                <w:bCs/>
                <w:sz w:val="24"/>
                <w:szCs w:val="32"/>
                <w:highlight w:val="none"/>
                <w:lang w:val="en-US" w:eastAsia="zh-CN"/>
              </w:rPr>
              <w:t>.</w:t>
            </w:r>
            <w:r>
              <w:rPr>
                <w:rFonts w:hint="eastAsia" w:ascii="Times New Roman" w:hAnsi="Times New Roman" w:eastAsia="宋体" w:cs="Times New Roman"/>
                <w:b/>
                <w:bCs/>
                <w:sz w:val="24"/>
                <w:szCs w:val="32"/>
                <w:highlight w:val="none"/>
                <w:lang w:val="en-US" w:eastAsia="zh-CN"/>
              </w:rPr>
              <w:t>施工期生态环境保护措施</w:t>
            </w:r>
          </w:p>
          <w:p w14:paraId="617434EA">
            <w:pPr>
              <w:spacing w:line="360" w:lineRule="auto"/>
              <w:ind w:firstLine="480" w:firstLineChars="200"/>
              <w:rPr>
                <w:rFonts w:hint="eastAsia" w:ascii="Times New Roman" w:hAnsi="Times New Roman" w:eastAsia="宋体" w:cs="Times New Roman"/>
                <w:sz w:val="24"/>
                <w:highlight w:val="none"/>
                <w:lang w:val="en-US" w:eastAsia="zh-CN"/>
              </w:rPr>
            </w:pPr>
            <w:r>
              <w:rPr>
                <w:rFonts w:hint="eastAsia" w:ascii="Times New Roman" w:hAnsi="Times New Roman" w:eastAsia="宋体" w:cs="Times New Roman"/>
                <w:sz w:val="24"/>
                <w:highlight w:val="none"/>
                <w:lang w:val="en-US" w:eastAsia="zh-CN"/>
              </w:rPr>
              <w:t>本项目</w:t>
            </w:r>
            <w:r>
              <w:rPr>
                <w:rFonts w:hint="eastAsia" w:cs="Times New Roman"/>
                <w:sz w:val="24"/>
                <w:highlight w:val="none"/>
                <w:lang w:val="en-US" w:eastAsia="zh-CN"/>
              </w:rPr>
              <w:t>厂区内</w:t>
            </w:r>
            <w:r>
              <w:rPr>
                <w:rFonts w:hint="eastAsia" w:ascii="Times New Roman" w:hAnsi="Times New Roman" w:eastAsia="宋体" w:cs="Times New Roman"/>
                <w:sz w:val="24"/>
                <w:highlight w:val="none"/>
                <w:lang w:val="en-US" w:eastAsia="zh-CN"/>
              </w:rPr>
              <w:t>用地性质为工业用地</w:t>
            </w:r>
            <w:r>
              <w:rPr>
                <w:rFonts w:hint="eastAsia" w:cs="Times New Roman"/>
                <w:sz w:val="24"/>
                <w:highlight w:val="none"/>
                <w:lang w:val="en-US" w:eastAsia="zh-CN"/>
              </w:rPr>
              <w:t>，厂区外部分用地为天然牧草地</w:t>
            </w:r>
            <w:r>
              <w:rPr>
                <w:rFonts w:hint="eastAsia" w:ascii="Times New Roman" w:hAnsi="Times New Roman" w:eastAsia="宋体" w:cs="Times New Roman"/>
                <w:sz w:val="24"/>
                <w:highlight w:val="none"/>
                <w:lang w:val="en-US" w:eastAsia="zh-CN"/>
              </w:rPr>
              <w:t>，新建支架地段为</w:t>
            </w:r>
            <w:r>
              <w:rPr>
                <w:rFonts w:hint="eastAsia" w:ascii="Times New Roman" w:hAnsi="Times New Roman" w:eastAsia="宋体" w:cs="Times New Roman"/>
                <w:sz w:val="24"/>
                <w:highlight w:val="none"/>
                <w:lang w:val="zh-CN"/>
              </w:rPr>
              <w:t>伊泰化工在原有联博管廊的基础上通过加固、加层的方式</w:t>
            </w:r>
            <w:r>
              <w:rPr>
                <w:rFonts w:hint="eastAsia" w:ascii="Times New Roman" w:hAnsi="Times New Roman" w:eastAsia="宋体" w:cs="Times New Roman"/>
                <w:sz w:val="24"/>
                <w:highlight w:val="none"/>
                <w:lang w:val="en-US" w:eastAsia="zh-CN"/>
              </w:rPr>
              <w:t>，无植被与野生动物。</w:t>
            </w:r>
            <w:r>
              <w:rPr>
                <w:rFonts w:hint="eastAsia" w:cs="Times New Roman"/>
                <w:sz w:val="24"/>
                <w:highlight w:val="none"/>
                <w:lang w:val="en-US" w:eastAsia="zh-CN"/>
              </w:rPr>
              <w:t>本项目WRT甲烷气、清净废水管道位于厂区外部分管道跨越厂区之间天然牧草地，均采取架空铺设，对地表植被和土壤结构的直接破坏较小</w:t>
            </w:r>
            <w:r>
              <w:rPr>
                <w:rFonts w:hint="eastAsia" w:ascii="Times New Roman" w:hAnsi="Times New Roman" w:eastAsia="宋体" w:cs="Times New Roman"/>
                <w:sz w:val="24"/>
                <w:highlight w:val="none"/>
                <w:lang w:val="en-US" w:eastAsia="zh-CN"/>
              </w:rPr>
              <w:t>。</w:t>
            </w:r>
          </w:p>
          <w:p w14:paraId="3E57A54E">
            <w:pPr>
              <w:spacing w:line="360" w:lineRule="auto"/>
              <w:ind w:firstLine="480" w:firstLineChars="200"/>
              <w:rPr>
                <w:rFonts w:hint="default" w:ascii="Times New Roman" w:hAnsi="Times New Roman" w:eastAsia="宋体" w:cs="Times New Roman"/>
                <w:sz w:val="24"/>
                <w:highlight w:val="none"/>
                <w:lang w:val="en-US"/>
              </w:rPr>
            </w:pPr>
            <w:r>
              <w:rPr>
                <w:rFonts w:hint="eastAsia" w:ascii="Times New Roman" w:hAnsi="Times New Roman" w:eastAsia="宋体" w:cs="Times New Roman"/>
                <w:sz w:val="24"/>
                <w:highlight w:val="none"/>
                <w:lang w:val="en-US" w:eastAsia="zh-CN"/>
              </w:rPr>
              <w:t>施工过程中主要防护措施有以下内容：</w:t>
            </w:r>
          </w:p>
          <w:p w14:paraId="68E617A1">
            <w:pPr>
              <w:spacing w:line="360" w:lineRule="auto"/>
              <w:ind w:firstLine="480" w:firstLineChars="200"/>
              <w:rPr>
                <w:rFonts w:hint="eastAsia"/>
                <w:sz w:val="24"/>
                <w:highlight w:val="none"/>
              </w:rPr>
            </w:pPr>
            <w:r>
              <w:rPr>
                <w:rFonts w:hint="eastAsia"/>
                <w:sz w:val="24"/>
                <w:highlight w:val="none"/>
                <w:lang w:val="zh-CN"/>
              </w:rPr>
              <w:t>①</w:t>
            </w:r>
            <w:r>
              <w:rPr>
                <w:rFonts w:hint="eastAsia"/>
                <w:sz w:val="24"/>
                <w:highlight w:val="none"/>
              </w:rPr>
              <w:t>划定施工作业范围，减少施工扰动范围</w:t>
            </w:r>
            <w:r>
              <w:rPr>
                <w:rFonts w:hint="eastAsia"/>
                <w:sz w:val="24"/>
                <w:highlight w:val="none"/>
                <w:lang w:eastAsia="zh-CN"/>
              </w:rPr>
              <w:t>、</w:t>
            </w:r>
            <w:r>
              <w:rPr>
                <w:rFonts w:hint="eastAsia"/>
                <w:sz w:val="24"/>
                <w:highlight w:val="none"/>
                <w:lang w:val="en-US" w:eastAsia="zh-CN"/>
              </w:rPr>
              <w:t>避免大风天气作业</w:t>
            </w:r>
            <w:r>
              <w:rPr>
                <w:rFonts w:hint="eastAsia"/>
                <w:sz w:val="24"/>
                <w:highlight w:val="none"/>
              </w:rPr>
              <w:t>。</w:t>
            </w:r>
          </w:p>
          <w:p w14:paraId="1EEA3FDB">
            <w:pPr>
              <w:spacing w:line="360" w:lineRule="auto"/>
              <w:ind w:firstLine="480" w:firstLineChars="200"/>
              <w:rPr>
                <w:rFonts w:hint="eastAsia" w:ascii="Times New Roman" w:hAnsi="Times New Roman" w:eastAsia="宋体" w:cs="宋体"/>
                <w:kern w:val="2"/>
                <w:sz w:val="24"/>
                <w:szCs w:val="24"/>
                <w:highlight w:val="none"/>
              </w:rPr>
            </w:pPr>
            <w:r>
              <w:rPr>
                <w:rFonts w:hint="eastAsia"/>
                <w:sz w:val="24"/>
                <w:highlight w:val="none"/>
                <w:lang w:val="zh-CN"/>
              </w:rPr>
              <w:t>②</w:t>
            </w:r>
            <w:r>
              <w:rPr>
                <w:rFonts w:hint="eastAsia" w:ascii="Times New Roman" w:hAnsi="Times New Roman" w:eastAsia="宋体" w:cs="宋体"/>
                <w:kern w:val="2"/>
                <w:sz w:val="24"/>
                <w:szCs w:val="24"/>
                <w:highlight w:val="none"/>
              </w:rPr>
              <w:t>施工期</w:t>
            </w:r>
            <w:r>
              <w:rPr>
                <w:rFonts w:hint="eastAsia" w:cs="宋体"/>
                <w:kern w:val="2"/>
                <w:sz w:val="24"/>
                <w:szCs w:val="24"/>
                <w:highlight w:val="none"/>
                <w:lang w:val="en-US" w:eastAsia="zh-CN"/>
              </w:rPr>
              <w:t>试压</w:t>
            </w:r>
            <w:r>
              <w:rPr>
                <w:rFonts w:hint="eastAsia" w:ascii="Times New Roman" w:hAnsi="Times New Roman" w:eastAsia="宋体" w:cs="宋体"/>
                <w:kern w:val="2"/>
                <w:sz w:val="24"/>
                <w:szCs w:val="24"/>
                <w:highlight w:val="none"/>
              </w:rPr>
              <w:t>废水</w:t>
            </w:r>
            <w:r>
              <w:rPr>
                <w:rFonts w:hint="eastAsia" w:cs="宋体"/>
                <w:kern w:val="2"/>
                <w:sz w:val="24"/>
                <w:szCs w:val="24"/>
                <w:highlight w:val="none"/>
                <w:lang w:val="en-US" w:eastAsia="zh-CN"/>
              </w:rPr>
              <w:t>产生后通过罐车运输至伊泰化工</w:t>
            </w:r>
            <w:r>
              <w:rPr>
                <w:rFonts w:hint="eastAsia" w:ascii="Times New Roman" w:hAnsi="Times New Roman" w:eastAsia="宋体" w:cs="宋体"/>
                <w:kern w:val="2"/>
                <w:sz w:val="24"/>
                <w:szCs w:val="24"/>
                <w:highlight w:val="none"/>
              </w:rPr>
              <w:t>厂区内现有</w:t>
            </w:r>
            <w:r>
              <w:rPr>
                <w:rFonts w:hint="eastAsia" w:cs="宋体"/>
                <w:sz w:val="24"/>
                <w:highlight w:val="none"/>
              </w:rPr>
              <w:t>污水处理站废水处理及回用清净废水处理单元</w:t>
            </w:r>
            <w:r>
              <w:rPr>
                <w:rFonts w:hint="eastAsia" w:ascii="Times New Roman" w:hAnsi="Times New Roman" w:eastAsia="宋体" w:cs="宋体"/>
                <w:kern w:val="2"/>
                <w:sz w:val="24"/>
                <w:szCs w:val="24"/>
                <w:highlight w:val="none"/>
              </w:rPr>
              <w:t>，处理后回用，不外排。</w:t>
            </w:r>
          </w:p>
          <w:p w14:paraId="57C5167F">
            <w:pPr>
              <w:spacing w:line="360" w:lineRule="auto"/>
              <w:ind w:firstLine="480" w:firstLineChars="200"/>
              <w:rPr>
                <w:rFonts w:hint="default" w:ascii="Times New Roman" w:hAnsi="Times New Roman" w:eastAsia="宋体" w:cs="宋体"/>
                <w:kern w:val="2"/>
                <w:sz w:val="24"/>
                <w:szCs w:val="24"/>
                <w:highlight w:val="none"/>
                <w:lang w:val="en-US" w:eastAsia="zh-CN"/>
              </w:rPr>
            </w:pPr>
            <w:r>
              <w:rPr>
                <w:rFonts w:hint="eastAsia" w:cs="宋体"/>
                <w:kern w:val="2"/>
                <w:sz w:val="24"/>
                <w:szCs w:val="24"/>
                <w:highlight w:val="none"/>
                <w:lang w:val="en-US" w:eastAsia="zh-CN"/>
              </w:rPr>
              <w:t>厂区外</w:t>
            </w:r>
            <w:r>
              <w:rPr>
                <w:rFonts w:hint="default" w:eastAsia="宋体" w:cs="Times New Roman"/>
                <w:sz w:val="24"/>
                <w:szCs w:val="24"/>
                <w:highlight w:val="none"/>
                <w:lang w:val="en-US" w:eastAsia="zh-CN"/>
              </w:rPr>
              <w:t>WRT甲烷气管道、清净废水管道安装完成后进行探伤检测。正常状况下不会发生泄漏。</w:t>
            </w:r>
            <w:r>
              <w:rPr>
                <w:rFonts w:hint="eastAsia" w:cs="宋体"/>
                <w:kern w:val="2"/>
                <w:sz w:val="24"/>
                <w:szCs w:val="24"/>
                <w:highlight w:val="none"/>
                <w:lang w:val="en-US" w:eastAsia="zh-CN"/>
              </w:rPr>
              <w:t>对周边牧草地影响较小。</w:t>
            </w:r>
          </w:p>
          <w:p w14:paraId="0E2FC909">
            <w:pPr>
              <w:spacing w:line="360" w:lineRule="auto"/>
              <w:ind w:firstLine="480" w:firstLineChars="200"/>
              <w:rPr>
                <w:rFonts w:hint="eastAsia"/>
                <w:sz w:val="24"/>
                <w:highlight w:val="none"/>
              </w:rPr>
            </w:pPr>
            <w:r>
              <w:rPr>
                <w:rFonts w:hint="eastAsia"/>
                <w:sz w:val="24"/>
                <w:highlight w:val="none"/>
                <w:lang w:val="zh-CN"/>
              </w:rPr>
              <w:t>③</w:t>
            </w:r>
            <w:r>
              <w:rPr>
                <w:rFonts w:hint="eastAsia"/>
                <w:sz w:val="24"/>
                <w:highlight w:val="none"/>
              </w:rPr>
              <w:t>加强施工设备的维护保养，避免不正常高噪声排放。</w:t>
            </w:r>
          </w:p>
          <w:p w14:paraId="05CCB3A0">
            <w:pPr>
              <w:spacing w:line="360" w:lineRule="auto"/>
              <w:ind w:firstLine="480" w:firstLineChars="200"/>
              <w:rPr>
                <w:rFonts w:hint="eastAsia"/>
                <w:sz w:val="24"/>
                <w:highlight w:val="none"/>
              </w:rPr>
            </w:pPr>
            <w:r>
              <w:rPr>
                <w:rFonts w:hint="eastAsia" w:ascii="Times New Roman" w:hAnsi="Times New Roman" w:eastAsia="宋体" w:cs="Times New Roman"/>
                <w:sz w:val="24"/>
                <w:szCs w:val="32"/>
                <w:highlight w:val="none"/>
                <w:lang w:val="en-US" w:eastAsia="zh-CN"/>
              </w:rPr>
              <w:t>④</w:t>
            </w:r>
            <w:r>
              <w:rPr>
                <w:rFonts w:hint="eastAsia"/>
                <w:sz w:val="24"/>
                <w:highlight w:val="none"/>
              </w:rPr>
              <w:t>加强施工固废管理，及时交付有关单位回收利用</w:t>
            </w:r>
            <w:r>
              <w:rPr>
                <w:rFonts w:hint="eastAsia"/>
                <w:sz w:val="24"/>
                <w:highlight w:val="none"/>
                <w:lang w:eastAsia="zh-CN"/>
              </w:rPr>
              <w:t>，</w:t>
            </w:r>
            <w:r>
              <w:rPr>
                <w:rFonts w:hint="eastAsia"/>
                <w:sz w:val="24"/>
                <w:highlight w:val="none"/>
              </w:rPr>
              <w:t>施工垃圾</w:t>
            </w:r>
            <w:r>
              <w:rPr>
                <w:rFonts w:hint="eastAsia"/>
                <w:sz w:val="24"/>
                <w:highlight w:val="none"/>
                <w:lang w:eastAsia="zh-CN"/>
              </w:rPr>
              <w:t>应</w:t>
            </w:r>
            <w:r>
              <w:rPr>
                <w:rFonts w:hint="eastAsia"/>
                <w:sz w:val="24"/>
                <w:highlight w:val="none"/>
              </w:rPr>
              <w:t>及时收集</w:t>
            </w:r>
            <w:r>
              <w:rPr>
                <w:rFonts w:hint="eastAsia"/>
                <w:sz w:val="24"/>
                <w:highlight w:val="none"/>
                <w:lang w:eastAsia="zh-CN"/>
              </w:rPr>
              <w:t>并</w:t>
            </w:r>
            <w:r>
              <w:rPr>
                <w:rFonts w:hint="eastAsia"/>
                <w:sz w:val="24"/>
                <w:highlight w:val="none"/>
              </w:rPr>
              <w:t>妥善处置。</w:t>
            </w:r>
          </w:p>
          <w:p w14:paraId="7AA8FB81">
            <w:pPr>
              <w:spacing w:line="360" w:lineRule="auto"/>
              <w:ind w:firstLine="480" w:firstLineChars="200"/>
              <w:rPr>
                <w:rFonts w:hint="eastAsia"/>
                <w:sz w:val="24"/>
                <w:highlight w:val="none"/>
                <w:lang w:val="en-US" w:eastAsia="zh-CN"/>
              </w:rPr>
            </w:pPr>
            <w:r>
              <w:rPr>
                <w:rFonts w:hint="eastAsia"/>
                <w:sz w:val="24"/>
                <w:highlight w:val="none"/>
                <w:lang w:val="en-US" w:eastAsia="zh-CN"/>
              </w:rPr>
              <w:t>⑤植被保护与恢复</w:t>
            </w:r>
            <w:r>
              <w:rPr>
                <w:rFonts w:hint="default"/>
                <w:sz w:val="24"/>
                <w:highlight w:val="none"/>
                <w:lang w:val="en-US" w:eastAsia="zh-CN"/>
              </w:rPr>
              <w:t>：施工过程中如对</w:t>
            </w:r>
            <w:r>
              <w:rPr>
                <w:rFonts w:hint="eastAsia"/>
                <w:sz w:val="24"/>
                <w:highlight w:val="none"/>
                <w:lang w:val="en-US" w:eastAsia="zh-CN"/>
              </w:rPr>
              <w:t>草地</w:t>
            </w:r>
            <w:r>
              <w:rPr>
                <w:rFonts w:hint="default"/>
                <w:sz w:val="24"/>
                <w:highlight w:val="none"/>
                <w:lang w:val="en-US" w:eastAsia="zh-CN"/>
              </w:rPr>
              <w:t>造成局部损伤，应在施工结束后及时采取植被恢复措施，必要时进行草籽补播，促进植被自然恢复。</w:t>
            </w:r>
          </w:p>
          <w:p w14:paraId="7286D77C">
            <w:pPr>
              <w:spacing w:line="360" w:lineRule="auto"/>
              <w:ind w:firstLine="480" w:firstLineChars="200"/>
              <w:rPr>
                <w:rFonts w:hint="eastAsia"/>
                <w:sz w:val="24"/>
                <w:highlight w:val="none"/>
                <w:lang w:val="en-US" w:eastAsia="zh-CN"/>
              </w:rPr>
            </w:pPr>
            <w:r>
              <w:rPr>
                <w:rFonts w:hint="eastAsia"/>
                <w:sz w:val="24"/>
                <w:highlight w:val="none"/>
                <w:lang w:val="en-US" w:eastAsia="zh-CN"/>
              </w:rPr>
              <w:t>⑥</w:t>
            </w:r>
            <w:r>
              <w:rPr>
                <w:rFonts w:hint="default"/>
                <w:sz w:val="24"/>
                <w:highlight w:val="none"/>
                <w:lang w:val="en-US" w:eastAsia="zh-CN"/>
              </w:rPr>
              <w:t>野生动物保护：加强施工人员教育，规范施工行为，避免干扰周边野生动物栖息环境。施工期间设置警示标识，减少</w:t>
            </w:r>
            <w:r>
              <w:rPr>
                <w:rFonts w:hint="eastAsia"/>
                <w:sz w:val="24"/>
                <w:highlight w:val="none"/>
                <w:lang w:val="en-US" w:eastAsia="zh-CN"/>
              </w:rPr>
              <w:t>噪声</w:t>
            </w:r>
            <w:r>
              <w:rPr>
                <w:rFonts w:hint="default"/>
                <w:sz w:val="24"/>
                <w:highlight w:val="none"/>
                <w:lang w:val="en-US" w:eastAsia="zh-CN"/>
              </w:rPr>
              <w:t>、灯光等对野生动物的影响。</w:t>
            </w:r>
          </w:p>
          <w:p w14:paraId="549E4D5A">
            <w:pPr>
              <w:spacing w:line="360" w:lineRule="auto"/>
              <w:ind w:firstLine="480" w:firstLineChars="200"/>
              <w:rPr>
                <w:rFonts w:hint="default"/>
                <w:sz w:val="24"/>
                <w:highlight w:val="none"/>
                <w:lang w:val="en-US" w:eastAsia="zh-CN"/>
              </w:rPr>
            </w:pPr>
            <w:r>
              <w:rPr>
                <w:rFonts w:hint="eastAsia"/>
                <w:sz w:val="24"/>
                <w:highlight w:val="none"/>
                <w:lang w:val="en-US" w:eastAsia="zh-CN"/>
              </w:rPr>
              <w:t>⑦</w:t>
            </w:r>
            <w:r>
              <w:rPr>
                <w:rFonts w:hint="default"/>
                <w:sz w:val="24"/>
                <w:highlight w:val="none"/>
                <w:lang w:val="en-US" w:eastAsia="zh-CN"/>
              </w:rPr>
              <w:t>施工后场地清理：施工结束后及时清除各类建筑垃圾、废弃材料，恢复场地原貌，确保牧草地生态功能不受长期影响。</w:t>
            </w:r>
          </w:p>
        </w:tc>
      </w:tr>
      <w:tr w14:paraId="412FD9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57" w:hRule="atLeast"/>
          <w:jc w:val="center"/>
        </w:trPr>
        <w:tc>
          <w:tcPr>
            <w:tcW w:w="753" w:type="dxa"/>
            <w:noWrap w:val="0"/>
            <w:tcMar>
              <w:left w:w="28" w:type="dxa"/>
              <w:right w:w="28" w:type="dxa"/>
            </w:tcMar>
            <w:vAlign w:val="center"/>
          </w:tcPr>
          <w:p w14:paraId="733952C1">
            <w:pPr>
              <w:adjustRightInd w:val="0"/>
              <w:snapToGrid w:val="0"/>
              <w:jc w:val="center"/>
              <w:rPr>
                <w:rFonts w:ascii="宋体" w:hAnsi="宋体" w:cs="宋体"/>
                <w:bCs/>
                <w:spacing w:val="10"/>
                <w:szCs w:val="21"/>
                <w:highlight w:val="none"/>
              </w:rPr>
            </w:pPr>
            <w:r>
              <w:rPr>
                <w:rFonts w:hint="eastAsia" w:ascii="宋体" w:hAnsi="宋体" w:cs="宋体"/>
                <w:bCs/>
                <w:spacing w:val="10"/>
                <w:sz w:val="24"/>
                <w:highlight w:val="none"/>
              </w:rPr>
              <w:t>运营期生态环境保护措施</w:t>
            </w:r>
          </w:p>
        </w:tc>
        <w:tc>
          <w:tcPr>
            <w:tcW w:w="8032" w:type="dxa"/>
            <w:noWrap w:val="0"/>
            <w:vAlign w:val="center"/>
          </w:tcPr>
          <w:p w14:paraId="216FF7BA">
            <w:pPr>
              <w:spacing w:line="360" w:lineRule="auto"/>
              <w:ind w:firstLine="476" w:firstLineChars="200"/>
              <w:rPr>
                <w:rFonts w:hint="default" w:ascii="Times New Roman" w:hAnsi="Times New Roman" w:eastAsia="宋体" w:cs="Times New Roman"/>
                <w:color w:val="000000"/>
                <w:spacing w:val="-1"/>
                <w:sz w:val="24"/>
                <w:szCs w:val="24"/>
                <w:highlight w:val="none"/>
                <w:lang w:val="en-US" w:eastAsia="zh-CN"/>
              </w:rPr>
            </w:pPr>
            <w:r>
              <w:rPr>
                <w:rFonts w:hint="eastAsia" w:ascii="Times New Roman" w:hAnsi="Times New Roman" w:eastAsia="宋体" w:cs="Times New Roman"/>
                <w:color w:val="000000"/>
                <w:spacing w:val="-1"/>
                <w:sz w:val="24"/>
                <w:szCs w:val="24"/>
                <w:highlight w:val="none"/>
                <w:lang w:val="en-US" w:eastAsia="zh-CN"/>
              </w:rPr>
              <w:t>本项目运营期正常情况下不产生废气、固废，不对生态环境产生不利影响。</w:t>
            </w:r>
          </w:p>
          <w:p w14:paraId="76A36D69">
            <w:pPr>
              <w:pStyle w:val="13"/>
              <w:spacing w:after="0" w:line="360" w:lineRule="auto"/>
              <w:ind w:left="0" w:leftChars="0" w:firstLine="482" w:firstLineChars="200"/>
              <w:rPr>
                <w:rFonts w:hint="eastAsia" w:eastAsia="宋体"/>
                <w:b/>
                <w:bCs/>
                <w:sz w:val="24"/>
                <w:szCs w:val="32"/>
                <w:highlight w:val="none"/>
                <w:lang w:val="en-US" w:eastAsia="zh-CN"/>
              </w:rPr>
            </w:pPr>
            <w:r>
              <w:rPr>
                <w:rFonts w:hint="eastAsia"/>
                <w:b/>
                <w:bCs/>
                <w:sz w:val="24"/>
                <w:szCs w:val="32"/>
                <w:highlight w:val="none"/>
                <w:lang w:val="en-US" w:eastAsia="zh-CN"/>
              </w:rPr>
              <w:t>1.运营期水环境保护措施</w:t>
            </w:r>
          </w:p>
          <w:p w14:paraId="2F947009">
            <w:pPr>
              <w:spacing w:line="360" w:lineRule="auto"/>
              <w:ind w:firstLine="476" w:firstLineChars="200"/>
              <w:rPr>
                <w:rFonts w:hint="eastAsia"/>
                <w:color w:val="000000"/>
                <w:spacing w:val="-1"/>
                <w:sz w:val="24"/>
                <w:szCs w:val="24"/>
                <w:highlight w:val="none"/>
                <w:lang w:val="en-US" w:eastAsia="zh-CN"/>
              </w:rPr>
            </w:pPr>
            <w:r>
              <w:rPr>
                <w:color w:val="000000"/>
                <w:spacing w:val="-1"/>
                <w:sz w:val="24"/>
                <w:szCs w:val="24"/>
                <w:highlight w:val="none"/>
              </w:rPr>
              <w:t>本项目为</w:t>
            </w:r>
            <w:r>
              <w:rPr>
                <w:rFonts w:hint="eastAsia"/>
                <w:color w:val="000000"/>
                <w:spacing w:val="-1"/>
                <w:sz w:val="24"/>
                <w:szCs w:val="24"/>
                <w:highlight w:val="none"/>
                <w:lang w:val="en-US" w:eastAsia="zh-CN"/>
              </w:rPr>
              <w:t>架空管线</w:t>
            </w:r>
            <w:r>
              <w:rPr>
                <w:color w:val="000000"/>
                <w:spacing w:val="-1"/>
                <w:sz w:val="24"/>
                <w:szCs w:val="24"/>
                <w:highlight w:val="none"/>
              </w:rPr>
              <w:t>项目，</w:t>
            </w:r>
            <w:r>
              <w:rPr>
                <w:rFonts w:hint="eastAsia"/>
                <w:color w:val="000000"/>
                <w:spacing w:val="-1"/>
                <w:sz w:val="24"/>
                <w:szCs w:val="24"/>
                <w:highlight w:val="none"/>
                <w:lang w:val="en-US" w:eastAsia="zh-CN"/>
              </w:rPr>
              <w:t>架空管线工程本身主体结构不直接接触地下水，且本项目管线不涉及管线支架、塔基基础建设，均在原有基础上直接建设，本次建设内容均为空中管线，不涉及地面工程，管线支撑结构（如杆塔基础、支架底座）检修、维护均不属于本次评价内容，均依托现有工程。</w:t>
            </w:r>
          </w:p>
          <w:p w14:paraId="500EA557">
            <w:pPr>
              <w:spacing w:line="360" w:lineRule="auto"/>
              <w:ind w:firstLine="476" w:firstLineChars="200"/>
              <w:rPr>
                <w:rFonts w:hint="default"/>
                <w:color w:val="000000"/>
                <w:spacing w:val="-1"/>
                <w:sz w:val="24"/>
                <w:szCs w:val="24"/>
                <w:highlight w:val="none"/>
                <w:lang w:val="en-US" w:eastAsia="zh-CN"/>
              </w:rPr>
            </w:pPr>
            <w:r>
              <w:rPr>
                <w:rFonts w:hint="eastAsia"/>
                <w:color w:val="000000"/>
                <w:spacing w:val="-1"/>
                <w:sz w:val="24"/>
                <w:szCs w:val="24"/>
                <w:highlight w:val="none"/>
                <w:lang w:val="en-US" w:eastAsia="zh-CN"/>
              </w:rPr>
              <w:t>架空管线地下水污染防治以“预防为主”，通过严格源头控制减少泄漏风险，结合基础防渗和地面管理阻断迁移途径，重点依托现有下游监测井网络+定期监测+动态预警及时发现潜在污染，最终实现“早发现、早处置、少影响”的目标。本项目不开展地下水评价，不单独设置地下水监测计划。</w:t>
            </w:r>
          </w:p>
          <w:p w14:paraId="2A8C301C">
            <w:pPr>
              <w:pStyle w:val="13"/>
              <w:spacing w:after="0" w:line="360" w:lineRule="auto"/>
              <w:ind w:left="0" w:leftChars="0" w:firstLine="482" w:firstLineChars="200"/>
              <w:rPr>
                <w:rFonts w:hint="eastAsia" w:eastAsia="宋体"/>
                <w:b/>
                <w:bCs/>
                <w:sz w:val="24"/>
                <w:szCs w:val="32"/>
                <w:highlight w:val="none"/>
                <w:lang w:val="en-US" w:eastAsia="zh-CN"/>
              </w:rPr>
            </w:pPr>
            <w:r>
              <w:rPr>
                <w:rFonts w:hint="eastAsia"/>
                <w:b/>
                <w:bCs/>
                <w:sz w:val="24"/>
                <w:szCs w:val="32"/>
                <w:highlight w:val="none"/>
                <w:lang w:val="en-US" w:eastAsia="zh-CN"/>
              </w:rPr>
              <w:t>2.运营期声环境保护措施</w:t>
            </w:r>
          </w:p>
          <w:p w14:paraId="1E91D8FD">
            <w:pPr>
              <w:spacing w:line="360" w:lineRule="auto"/>
              <w:ind w:firstLine="480" w:firstLineChars="200"/>
              <w:rPr>
                <w:rFonts w:hint="default" w:ascii="Times New Roman" w:hAnsi="Times New Roman" w:eastAsia="宋体" w:cs="Times New Roman"/>
                <w:color w:val="000000"/>
                <w:sz w:val="24"/>
                <w:szCs w:val="24"/>
                <w:highlight w:val="none"/>
                <w:lang w:val="en-US"/>
              </w:rPr>
            </w:pPr>
            <w:r>
              <w:rPr>
                <w:rFonts w:hint="default" w:ascii="Times New Roman" w:hAnsi="Times New Roman" w:eastAsia="宋体" w:cs="Times New Roman"/>
                <w:color w:val="000000"/>
                <w:sz w:val="24"/>
                <w:szCs w:val="24"/>
                <w:highlight w:val="none"/>
              </w:rPr>
              <w:t>本项目运营期噪声</w:t>
            </w:r>
            <w:r>
              <w:rPr>
                <w:rFonts w:hint="eastAsia" w:ascii="Times New Roman" w:hAnsi="Times New Roman" w:cs="Times New Roman"/>
                <w:color w:val="000000"/>
                <w:sz w:val="24"/>
                <w:szCs w:val="24"/>
                <w:highlight w:val="none"/>
                <w:lang w:val="en-US" w:eastAsia="zh-CN"/>
              </w:rPr>
              <w:t>为新增压缩机</w:t>
            </w:r>
            <w:r>
              <w:rPr>
                <w:rFonts w:hint="eastAsia" w:cs="Times New Roman"/>
                <w:color w:val="000000"/>
                <w:sz w:val="24"/>
                <w:szCs w:val="24"/>
                <w:highlight w:val="none"/>
                <w:lang w:val="en-US" w:eastAsia="zh-CN"/>
              </w:rPr>
              <w:t>噪声</w:t>
            </w:r>
            <w:r>
              <w:rPr>
                <w:rFonts w:hint="default" w:ascii="Times New Roman" w:hAnsi="Times New Roman" w:eastAsia="宋体" w:cs="Times New Roman"/>
                <w:b w:val="0"/>
                <w:bCs w:val="0"/>
                <w:color w:val="000000"/>
                <w:kern w:val="0"/>
                <w:sz w:val="24"/>
                <w:szCs w:val="24"/>
                <w:highlight w:val="none"/>
                <w:lang w:val="en-US" w:eastAsia="zh-CN" w:bidi="ar-SA"/>
              </w:rPr>
              <w:t>。噪声防治措施包括：</w:t>
            </w:r>
          </w:p>
          <w:p w14:paraId="6D2E1EA2">
            <w:pPr>
              <w:spacing w:line="360" w:lineRule="auto"/>
              <w:ind w:firstLine="480" w:firstLineChars="200"/>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（1）本项目从厂区平面布置上合理减少噪声的影响。</w:t>
            </w:r>
          </w:p>
          <w:p w14:paraId="119E8A82">
            <w:pPr>
              <w:spacing w:line="360" w:lineRule="auto"/>
              <w:ind w:firstLine="480" w:firstLineChars="200"/>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（2）设备设置有减振基础</w:t>
            </w:r>
            <w:r>
              <w:rPr>
                <w:rFonts w:hint="default" w:ascii="Times New Roman" w:hAnsi="Times New Roman" w:eastAsia="宋体"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rPr>
              <w:t>采用室内布置。</w:t>
            </w:r>
          </w:p>
          <w:p w14:paraId="115D42E3">
            <w:pPr>
              <w:spacing w:line="360" w:lineRule="auto"/>
              <w:ind w:firstLine="480" w:firstLineChars="200"/>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（3）加强绿化。</w:t>
            </w:r>
          </w:p>
          <w:p w14:paraId="476D8083">
            <w:pPr>
              <w:keepNext w:val="0"/>
              <w:keepLines w:val="0"/>
              <w:pageBreakBefore w:val="0"/>
              <w:widowControl w:val="0"/>
              <w:kinsoku/>
              <w:wordWrap/>
              <w:overflowPunct/>
              <w:topLinePunct w:val="0"/>
              <w:autoSpaceDE/>
              <w:autoSpaceDN/>
              <w:bidi w:val="0"/>
              <w:adjustRightInd/>
              <w:snapToGrid/>
              <w:spacing w:line="360" w:lineRule="auto"/>
              <w:ind w:firstLine="532" w:firstLineChars="222"/>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采取以上措施后，</w:t>
            </w:r>
            <w:r>
              <w:rPr>
                <w:rFonts w:hint="eastAsia" w:ascii="Times New Roman" w:hAnsi="Times New Roman" w:cs="Times New Roman"/>
                <w:color w:val="000000"/>
                <w:sz w:val="24"/>
                <w:szCs w:val="24"/>
                <w:highlight w:val="none"/>
                <w:lang w:val="en-US" w:eastAsia="zh-CN"/>
              </w:rPr>
              <w:t>厂界噪声</w:t>
            </w:r>
            <w:r>
              <w:rPr>
                <w:rFonts w:hint="default" w:ascii="Times New Roman" w:hAnsi="Times New Roman" w:eastAsia="宋体" w:cs="Times New Roman"/>
                <w:color w:val="000000"/>
                <w:sz w:val="24"/>
                <w:szCs w:val="24"/>
                <w:highlight w:val="none"/>
                <w:lang w:val="en-US" w:eastAsia="zh-CN"/>
              </w:rPr>
              <w:t>可</w:t>
            </w:r>
            <w:r>
              <w:rPr>
                <w:rFonts w:hint="default" w:ascii="Times New Roman" w:hAnsi="Times New Roman" w:eastAsia="宋体" w:cs="Times New Roman"/>
                <w:color w:val="000000"/>
                <w:sz w:val="24"/>
                <w:szCs w:val="24"/>
                <w:highlight w:val="none"/>
              </w:rPr>
              <w:t>满足《工业企业厂界环境噪声排放标准》（GB12348-2008）中</w:t>
            </w:r>
            <w:r>
              <w:rPr>
                <w:rFonts w:hint="eastAsia" w:ascii="Times New Roman" w:hAnsi="Times New Roman" w:cs="Times New Roman"/>
                <w:color w:val="000000"/>
                <w:sz w:val="24"/>
                <w:szCs w:val="24"/>
                <w:highlight w:val="none"/>
                <w:lang w:val="en-US" w:eastAsia="zh-CN"/>
              </w:rPr>
              <w:t>3</w:t>
            </w:r>
            <w:r>
              <w:rPr>
                <w:rFonts w:hint="default" w:ascii="Times New Roman" w:hAnsi="Times New Roman" w:eastAsia="宋体" w:cs="Times New Roman"/>
                <w:color w:val="000000"/>
                <w:sz w:val="24"/>
                <w:szCs w:val="24"/>
                <w:highlight w:val="none"/>
              </w:rPr>
              <w:t>类标准要求</w:t>
            </w:r>
            <w:r>
              <w:rPr>
                <w:rFonts w:hint="default" w:ascii="Times New Roman" w:hAnsi="Times New Roman" w:eastAsia="宋体" w:cs="Times New Roman"/>
                <w:color w:val="000000"/>
                <w:sz w:val="24"/>
                <w:szCs w:val="24"/>
                <w:highlight w:val="none"/>
                <w:lang w:val="en-US" w:eastAsia="zh-CN"/>
              </w:rPr>
              <w:t>。</w:t>
            </w:r>
          </w:p>
          <w:p w14:paraId="39E5FA80">
            <w:pPr>
              <w:keepNext w:val="0"/>
              <w:keepLines w:val="0"/>
              <w:pageBreakBefore w:val="0"/>
              <w:widowControl w:val="0"/>
              <w:kinsoku/>
              <w:wordWrap/>
              <w:overflowPunct/>
              <w:topLinePunct w:val="0"/>
              <w:autoSpaceDE/>
              <w:autoSpaceDN/>
              <w:bidi w:val="0"/>
              <w:adjustRightInd/>
              <w:snapToGrid/>
              <w:spacing w:line="360" w:lineRule="auto"/>
              <w:ind w:firstLine="532" w:firstLineChars="222"/>
              <w:textAlignment w:val="auto"/>
              <w:rPr>
                <w:rFonts w:hint="eastAsia" w:ascii="Times New Roman" w:hAnsi="Times New Roman" w:cs="Times New Roman"/>
                <w:color w:val="000000"/>
                <w:sz w:val="24"/>
                <w:szCs w:val="24"/>
                <w:highlight w:val="none"/>
                <w:lang w:val="en-US" w:eastAsia="zh-CN"/>
              </w:rPr>
            </w:pPr>
            <w:r>
              <w:rPr>
                <w:rFonts w:hint="eastAsia" w:ascii="Times New Roman" w:hAnsi="Times New Roman" w:cs="Times New Roman"/>
                <w:color w:val="000000"/>
                <w:sz w:val="24"/>
                <w:szCs w:val="24"/>
                <w:highlight w:val="none"/>
                <w:lang w:val="en-US" w:eastAsia="zh-CN"/>
              </w:rPr>
              <w:t>本项目厂外工程运营期不产生噪声影响，厂内工程不单独设置噪声监测计划</w:t>
            </w:r>
            <w:r>
              <w:rPr>
                <w:rFonts w:hint="eastAsia" w:cs="Times New Roman"/>
                <w:color w:val="000000"/>
                <w:sz w:val="24"/>
                <w:szCs w:val="24"/>
                <w:highlight w:val="none"/>
                <w:lang w:val="en-US" w:eastAsia="zh-CN"/>
              </w:rPr>
              <w:t>，纳入</w:t>
            </w:r>
            <w:r>
              <w:rPr>
                <w:rFonts w:hint="eastAsia" w:ascii="Times New Roman" w:hAnsi="Times New Roman" w:cs="Times New Roman"/>
                <w:color w:val="000000"/>
                <w:sz w:val="24"/>
                <w:szCs w:val="24"/>
                <w:highlight w:val="none"/>
                <w:lang w:val="en-US" w:eastAsia="zh-CN"/>
              </w:rPr>
              <w:t>现有声环境监测计划。</w:t>
            </w:r>
          </w:p>
          <w:p w14:paraId="08C1D45D">
            <w:pPr>
              <w:widowControl/>
              <w:adjustRightInd w:val="0"/>
              <w:snapToGrid w:val="0"/>
              <w:spacing w:line="360" w:lineRule="auto"/>
              <w:ind w:firstLine="0" w:firstLineChars="0"/>
              <w:jc w:val="center"/>
              <w:outlineLvl w:val="9"/>
              <w:rPr>
                <w:rFonts w:hint="eastAsia" w:ascii="Times New Roman" w:hAnsi="Times New Roman" w:eastAsia="宋体" w:cs="Times New Roman"/>
                <w:b/>
                <w:bCs/>
                <w:kern w:val="2"/>
                <w:sz w:val="21"/>
                <w:szCs w:val="21"/>
                <w:highlight w:val="none"/>
                <w:lang w:val="en-US" w:eastAsia="zh-CN"/>
              </w:rPr>
            </w:pPr>
            <w:r>
              <w:rPr>
                <w:rFonts w:hint="eastAsia" w:ascii="Times New Roman" w:hAnsi="Times New Roman" w:eastAsia="宋体" w:cs="Times New Roman"/>
                <w:b/>
                <w:bCs/>
                <w:kern w:val="2"/>
                <w:sz w:val="21"/>
                <w:szCs w:val="21"/>
                <w:highlight w:val="none"/>
                <w:lang w:val="en-US" w:eastAsia="zh-CN"/>
              </w:rPr>
              <w:t>表5-2   噪声监测计划一览表</w:t>
            </w:r>
          </w:p>
          <w:tbl>
            <w:tblPr>
              <w:tblStyle w:val="19"/>
              <w:tblW w:w="78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
              <w:gridCol w:w="856"/>
              <w:gridCol w:w="1004"/>
              <w:gridCol w:w="782"/>
              <w:gridCol w:w="2308"/>
              <w:gridCol w:w="2080"/>
            </w:tblGrid>
            <w:tr w14:paraId="34AA3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537" w:type="pct"/>
                  <w:noWrap w:val="0"/>
                  <w:vAlign w:val="center"/>
                </w:tcPr>
                <w:p w14:paraId="4CC69117">
                  <w:pPr>
                    <w:pStyle w:val="51"/>
                    <w:rPr>
                      <w:color w:val="000000"/>
                      <w:sz w:val="21"/>
                      <w:szCs w:val="21"/>
                      <w:highlight w:val="none"/>
                    </w:rPr>
                  </w:pPr>
                  <w:r>
                    <w:rPr>
                      <w:color w:val="000000"/>
                      <w:sz w:val="21"/>
                      <w:szCs w:val="21"/>
                      <w:highlight w:val="none"/>
                    </w:rPr>
                    <w:t>类别</w:t>
                  </w:r>
                </w:p>
              </w:tc>
              <w:tc>
                <w:tcPr>
                  <w:tcW w:w="543" w:type="pct"/>
                  <w:noWrap w:val="0"/>
                  <w:vAlign w:val="center"/>
                </w:tcPr>
                <w:p w14:paraId="04EB38D5">
                  <w:pPr>
                    <w:pStyle w:val="51"/>
                    <w:rPr>
                      <w:color w:val="000000"/>
                      <w:sz w:val="21"/>
                      <w:szCs w:val="21"/>
                      <w:highlight w:val="none"/>
                    </w:rPr>
                  </w:pPr>
                  <w:r>
                    <w:rPr>
                      <w:color w:val="000000"/>
                      <w:sz w:val="21"/>
                      <w:szCs w:val="21"/>
                      <w:highlight w:val="none"/>
                    </w:rPr>
                    <w:t>监测项目</w:t>
                  </w:r>
                </w:p>
              </w:tc>
              <w:tc>
                <w:tcPr>
                  <w:tcW w:w="637" w:type="pct"/>
                  <w:noWrap w:val="0"/>
                  <w:vAlign w:val="center"/>
                </w:tcPr>
                <w:p w14:paraId="7E0336AC">
                  <w:pPr>
                    <w:pStyle w:val="51"/>
                    <w:rPr>
                      <w:color w:val="000000"/>
                      <w:sz w:val="21"/>
                      <w:szCs w:val="21"/>
                      <w:highlight w:val="none"/>
                    </w:rPr>
                  </w:pPr>
                  <w:r>
                    <w:rPr>
                      <w:color w:val="000000"/>
                      <w:sz w:val="21"/>
                      <w:szCs w:val="21"/>
                      <w:highlight w:val="none"/>
                    </w:rPr>
                    <w:t>监测点位置</w:t>
                  </w:r>
                </w:p>
              </w:tc>
              <w:tc>
                <w:tcPr>
                  <w:tcW w:w="496" w:type="pct"/>
                  <w:noWrap w:val="0"/>
                  <w:vAlign w:val="center"/>
                </w:tcPr>
                <w:p w14:paraId="3C1F831E">
                  <w:pPr>
                    <w:pStyle w:val="51"/>
                    <w:rPr>
                      <w:color w:val="000000"/>
                      <w:sz w:val="21"/>
                      <w:szCs w:val="21"/>
                      <w:highlight w:val="none"/>
                    </w:rPr>
                  </w:pPr>
                  <w:r>
                    <w:rPr>
                      <w:color w:val="000000"/>
                      <w:sz w:val="21"/>
                      <w:szCs w:val="21"/>
                      <w:highlight w:val="none"/>
                    </w:rPr>
                    <w:t>监测频次</w:t>
                  </w:r>
                </w:p>
              </w:tc>
              <w:tc>
                <w:tcPr>
                  <w:tcW w:w="1465" w:type="pct"/>
                  <w:noWrap w:val="0"/>
                  <w:vAlign w:val="center"/>
                </w:tcPr>
                <w:p w14:paraId="3AF9B9A6">
                  <w:pPr>
                    <w:pStyle w:val="51"/>
                    <w:rPr>
                      <w:color w:val="000000"/>
                      <w:sz w:val="21"/>
                      <w:szCs w:val="21"/>
                      <w:highlight w:val="none"/>
                    </w:rPr>
                  </w:pPr>
                  <w:r>
                    <w:rPr>
                      <w:color w:val="000000"/>
                      <w:sz w:val="21"/>
                      <w:szCs w:val="21"/>
                      <w:highlight w:val="none"/>
                    </w:rPr>
                    <w:t>执行标准</w:t>
                  </w:r>
                </w:p>
              </w:tc>
              <w:tc>
                <w:tcPr>
                  <w:tcW w:w="1320" w:type="pct"/>
                  <w:noWrap w:val="0"/>
                  <w:vAlign w:val="center"/>
                </w:tcPr>
                <w:p w14:paraId="72E227E3">
                  <w:pPr>
                    <w:pStyle w:val="51"/>
                    <w:rPr>
                      <w:rFonts w:hint="eastAsia" w:eastAsia="宋体"/>
                      <w:color w:val="000000"/>
                      <w:sz w:val="21"/>
                      <w:szCs w:val="21"/>
                      <w:highlight w:val="none"/>
                      <w:lang w:val="en-US" w:eastAsia="zh-CN"/>
                    </w:rPr>
                  </w:pPr>
                  <w:r>
                    <w:rPr>
                      <w:rFonts w:hint="eastAsia"/>
                      <w:color w:val="000000"/>
                      <w:sz w:val="21"/>
                      <w:szCs w:val="21"/>
                      <w:highlight w:val="none"/>
                      <w:lang w:val="en-US" w:eastAsia="zh-CN"/>
                    </w:rPr>
                    <w:t>备注</w:t>
                  </w:r>
                </w:p>
              </w:tc>
            </w:tr>
            <w:tr w14:paraId="62CC6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537" w:type="pct"/>
                  <w:noWrap w:val="0"/>
                  <w:vAlign w:val="center"/>
                </w:tcPr>
                <w:p w14:paraId="19807907">
                  <w:pPr>
                    <w:pStyle w:val="51"/>
                    <w:rPr>
                      <w:color w:val="000000"/>
                      <w:sz w:val="21"/>
                      <w:szCs w:val="21"/>
                      <w:highlight w:val="none"/>
                    </w:rPr>
                  </w:pPr>
                  <w:r>
                    <w:rPr>
                      <w:color w:val="000000"/>
                      <w:sz w:val="21"/>
                      <w:szCs w:val="21"/>
                      <w:highlight w:val="none"/>
                    </w:rPr>
                    <w:t>噪声</w:t>
                  </w:r>
                </w:p>
              </w:tc>
              <w:tc>
                <w:tcPr>
                  <w:tcW w:w="543" w:type="pct"/>
                  <w:noWrap w:val="0"/>
                  <w:vAlign w:val="center"/>
                </w:tcPr>
                <w:p w14:paraId="7022FD55">
                  <w:pPr>
                    <w:pStyle w:val="51"/>
                    <w:rPr>
                      <w:color w:val="000000"/>
                      <w:sz w:val="21"/>
                      <w:szCs w:val="21"/>
                      <w:highlight w:val="none"/>
                    </w:rPr>
                  </w:pPr>
                  <w:r>
                    <w:rPr>
                      <w:color w:val="000000"/>
                      <w:sz w:val="21"/>
                      <w:szCs w:val="21"/>
                      <w:highlight w:val="none"/>
                    </w:rPr>
                    <w:t>Leq（A）</w:t>
                  </w:r>
                </w:p>
              </w:tc>
              <w:tc>
                <w:tcPr>
                  <w:tcW w:w="637" w:type="pct"/>
                  <w:noWrap w:val="0"/>
                  <w:vAlign w:val="center"/>
                </w:tcPr>
                <w:p w14:paraId="66DE067D">
                  <w:pPr>
                    <w:pStyle w:val="51"/>
                    <w:rPr>
                      <w:color w:val="000000"/>
                      <w:sz w:val="21"/>
                      <w:szCs w:val="21"/>
                      <w:highlight w:val="none"/>
                    </w:rPr>
                  </w:pPr>
                  <w:r>
                    <w:rPr>
                      <w:color w:val="000000"/>
                      <w:sz w:val="21"/>
                      <w:szCs w:val="21"/>
                      <w:highlight w:val="none"/>
                    </w:rPr>
                    <w:t>厂界四周</w:t>
                  </w:r>
                </w:p>
              </w:tc>
              <w:tc>
                <w:tcPr>
                  <w:tcW w:w="496" w:type="pct"/>
                  <w:noWrap w:val="0"/>
                  <w:vAlign w:val="center"/>
                </w:tcPr>
                <w:p w14:paraId="33D769C6">
                  <w:pPr>
                    <w:pStyle w:val="51"/>
                    <w:rPr>
                      <w:rFonts w:hint="eastAsia"/>
                      <w:color w:val="000000"/>
                      <w:sz w:val="21"/>
                      <w:szCs w:val="21"/>
                      <w:highlight w:val="none"/>
                    </w:rPr>
                  </w:pPr>
                  <w:r>
                    <w:rPr>
                      <w:color w:val="000000"/>
                      <w:sz w:val="21"/>
                      <w:szCs w:val="21"/>
                      <w:highlight w:val="none"/>
                    </w:rPr>
                    <w:t>1次/</w:t>
                  </w:r>
                  <w:r>
                    <w:rPr>
                      <w:rFonts w:hint="eastAsia"/>
                      <w:color w:val="000000"/>
                      <w:sz w:val="21"/>
                      <w:szCs w:val="21"/>
                      <w:highlight w:val="none"/>
                    </w:rPr>
                    <w:t>季</w:t>
                  </w:r>
                </w:p>
              </w:tc>
              <w:tc>
                <w:tcPr>
                  <w:tcW w:w="1465" w:type="pct"/>
                  <w:noWrap w:val="0"/>
                  <w:vAlign w:val="center"/>
                </w:tcPr>
                <w:p w14:paraId="5A522AFF">
                  <w:pPr>
                    <w:pStyle w:val="51"/>
                    <w:rPr>
                      <w:rFonts w:hint="eastAsia" w:eastAsia="宋体"/>
                      <w:color w:val="000000"/>
                      <w:sz w:val="21"/>
                      <w:szCs w:val="21"/>
                      <w:highlight w:val="none"/>
                      <w:lang w:eastAsia="zh-CN"/>
                    </w:rPr>
                  </w:pPr>
                  <w:r>
                    <w:rPr>
                      <w:color w:val="000000"/>
                      <w:sz w:val="21"/>
                      <w:szCs w:val="21"/>
                      <w:highlight w:val="none"/>
                    </w:rPr>
                    <w:t>《工业企业厂界环境噪声排放标准》</w:t>
                  </w:r>
                  <w:r>
                    <w:rPr>
                      <w:rFonts w:hint="eastAsia"/>
                      <w:color w:val="000000"/>
                      <w:sz w:val="21"/>
                      <w:szCs w:val="21"/>
                      <w:highlight w:val="none"/>
                      <w:lang w:val="en-US" w:eastAsia="zh-CN"/>
                    </w:rPr>
                    <w:t>3</w:t>
                  </w:r>
                  <w:r>
                    <w:rPr>
                      <w:color w:val="000000"/>
                      <w:sz w:val="21"/>
                      <w:szCs w:val="21"/>
                      <w:highlight w:val="none"/>
                    </w:rPr>
                    <w:t>类标准</w:t>
                  </w:r>
                  <w:r>
                    <w:rPr>
                      <w:rFonts w:hint="eastAsia"/>
                      <w:color w:val="000000"/>
                      <w:sz w:val="21"/>
                      <w:szCs w:val="21"/>
                      <w:highlight w:val="none"/>
                      <w:lang w:eastAsia="zh-CN"/>
                    </w:rPr>
                    <w:t>。</w:t>
                  </w:r>
                </w:p>
              </w:tc>
              <w:tc>
                <w:tcPr>
                  <w:tcW w:w="1320" w:type="pct"/>
                  <w:noWrap w:val="0"/>
                  <w:vAlign w:val="center"/>
                </w:tcPr>
                <w:p w14:paraId="4B9F3CBF">
                  <w:pPr>
                    <w:pStyle w:val="51"/>
                    <w:rPr>
                      <w:rFonts w:hint="default" w:eastAsia="宋体"/>
                      <w:color w:val="000000"/>
                      <w:sz w:val="21"/>
                      <w:szCs w:val="21"/>
                      <w:highlight w:val="none"/>
                      <w:lang w:val="en-US" w:eastAsia="zh-CN"/>
                    </w:rPr>
                  </w:pPr>
                  <w:r>
                    <w:rPr>
                      <w:rFonts w:hint="eastAsia"/>
                      <w:color w:val="000000"/>
                      <w:sz w:val="21"/>
                      <w:szCs w:val="21"/>
                      <w:highlight w:val="none"/>
                      <w:lang w:val="en-US" w:eastAsia="zh-CN"/>
                    </w:rPr>
                    <w:t>纳入现有监测计划。</w:t>
                  </w:r>
                </w:p>
              </w:tc>
            </w:tr>
          </w:tbl>
          <w:p w14:paraId="55E9EC4C">
            <w:pPr>
              <w:pStyle w:val="13"/>
              <w:spacing w:after="0" w:line="360" w:lineRule="auto"/>
              <w:ind w:left="0" w:leftChars="0" w:firstLine="482" w:firstLineChars="200"/>
              <w:rPr>
                <w:rFonts w:hint="default" w:ascii="Times New Roman" w:hAnsi="Times New Roman" w:eastAsia="宋体" w:cs="Times New Roman"/>
                <w:b/>
                <w:bCs/>
                <w:sz w:val="24"/>
                <w:szCs w:val="32"/>
                <w:highlight w:val="none"/>
                <w:lang w:val="en-US" w:eastAsia="zh-CN"/>
              </w:rPr>
            </w:pPr>
            <w:r>
              <w:rPr>
                <w:rFonts w:hint="eastAsia" w:ascii="Times New Roman" w:hAnsi="Times New Roman" w:eastAsia="宋体" w:cs="Times New Roman"/>
                <w:b/>
                <w:bCs/>
                <w:sz w:val="24"/>
                <w:szCs w:val="32"/>
                <w:highlight w:val="none"/>
                <w:lang w:val="en-US" w:eastAsia="zh-CN"/>
              </w:rPr>
              <w:t>3</w:t>
            </w:r>
            <w:r>
              <w:rPr>
                <w:rFonts w:hint="eastAsia" w:cs="Times New Roman"/>
                <w:b/>
                <w:bCs/>
                <w:sz w:val="24"/>
                <w:szCs w:val="32"/>
                <w:highlight w:val="none"/>
                <w:lang w:val="en-US" w:eastAsia="zh-CN"/>
              </w:rPr>
              <w:t>.</w:t>
            </w:r>
            <w:r>
              <w:rPr>
                <w:rFonts w:hint="eastAsia" w:ascii="Times New Roman" w:hAnsi="Times New Roman" w:eastAsia="宋体" w:cs="Times New Roman"/>
                <w:b/>
                <w:bCs/>
                <w:sz w:val="24"/>
                <w:szCs w:val="32"/>
                <w:highlight w:val="none"/>
                <w:lang w:val="en-US" w:eastAsia="zh-CN"/>
              </w:rPr>
              <w:t>环境风险防范措施</w:t>
            </w:r>
          </w:p>
          <w:p w14:paraId="78760473">
            <w:pPr>
              <w:adjustRightInd w:val="0"/>
              <w:snapToGrid w:val="0"/>
              <w:spacing w:line="360" w:lineRule="auto"/>
              <w:ind w:firstLine="480" w:firstLineChars="200"/>
              <w:rPr>
                <w:rFonts w:hint="eastAsia"/>
                <w:sz w:val="24"/>
                <w:szCs w:val="32"/>
                <w:highlight w:val="none"/>
              </w:rPr>
            </w:pPr>
            <w:r>
              <w:rPr>
                <w:rFonts w:hint="eastAsia"/>
                <w:sz w:val="24"/>
                <w:szCs w:val="32"/>
                <w:highlight w:val="none"/>
              </w:rPr>
              <w:t>（1）本项目管道采用优质钢管材质，壁厚选取考虑腐蚀裕量，管外防腐采用特加强级处理，可有效防范管道破损泄漏污染地下水和土壤环境。</w:t>
            </w:r>
          </w:p>
          <w:p w14:paraId="3BD9B444">
            <w:pPr>
              <w:adjustRightInd w:val="0"/>
              <w:snapToGrid w:val="0"/>
              <w:spacing w:line="360" w:lineRule="auto"/>
              <w:ind w:firstLine="480" w:firstLineChars="200"/>
              <w:rPr>
                <w:rFonts w:hint="eastAsia"/>
                <w:sz w:val="24"/>
                <w:szCs w:val="32"/>
                <w:highlight w:val="none"/>
              </w:rPr>
            </w:pPr>
            <w:r>
              <w:rPr>
                <w:rFonts w:hint="eastAsia"/>
                <w:sz w:val="24"/>
                <w:szCs w:val="32"/>
                <w:highlight w:val="none"/>
              </w:rPr>
              <w:t>（2）环境风险防范与应急措施：</w:t>
            </w:r>
          </w:p>
          <w:p w14:paraId="61998706">
            <w:pPr>
              <w:snapToGrid w:val="0"/>
              <w:spacing w:line="360" w:lineRule="auto"/>
              <w:ind w:firstLine="480" w:firstLineChars="200"/>
              <w:rPr>
                <w:rFonts w:hint="eastAsia"/>
                <w:sz w:val="24"/>
                <w:szCs w:val="32"/>
                <w:highlight w:val="none"/>
              </w:rPr>
            </w:pPr>
            <w:r>
              <w:rPr>
                <w:rFonts w:hint="eastAsia"/>
                <w:sz w:val="24"/>
                <w:szCs w:val="32"/>
                <w:highlight w:val="none"/>
              </w:rPr>
              <w:t>①本项目具有潜在的风险物质泄漏危险性以及火灾危险性，因此，建设项目的管道设计、施工和运营等必须进行科学规划、合理布置、严格执行国家的安全设计规范，特别是管道防腐，应保证施工质量，避免或减少事故的发生。</w:t>
            </w:r>
          </w:p>
          <w:p w14:paraId="7077A90A">
            <w:pPr>
              <w:snapToGrid w:val="0"/>
              <w:spacing w:line="360" w:lineRule="auto"/>
              <w:ind w:firstLine="480" w:firstLineChars="200"/>
              <w:rPr>
                <w:rFonts w:hint="eastAsia"/>
                <w:sz w:val="24"/>
                <w:szCs w:val="32"/>
                <w:highlight w:val="none"/>
              </w:rPr>
            </w:pPr>
            <w:r>
              <w:rPr>
                <w:rFonts w:hint="eastAsia"/>
                <w:sz w:val="24"/>
                <w:szCs w:val="32"/>
                <w:highlight w:val="none"/>
              </w:rPr>
              <w:t>②在管道附近</w:t>
            </w:r>
            <w:r>
              <w:rPr>
                <w:rFonts w:hint="eastAsia"/>
                <w:sz w:val="24"/>
                <w:szCs w:val="32"/>
                <w:highlight w:val="none"/>
                <w:lang w:eastAsia="zh-CN"/>
              </w:rPr>
              <w:t>设置</w:t>
            </w:r>
            <w:r>
              <w:rPr>
                <w:rFonts w:hint="eastAsia"/>
                <w:sz w:val="24"/>
                <w:szCs w:val="32"/>
                <w:highlight w:val="none"/>
              </w:rPr>
              <w:t>安全标识，防止人为破坏等。</w:t>
            </w:r>
          </w:p>
          <w:p w14:paraId="31C44191">
            <w:pPr>
              <w:snapToGrid w:val="0"/>
              <w:spacing w:line="360" w:lineRule="auto"/>
              <w:ind w:firstLine="480" w:firstLineChars="200"/>
              <w:rPr>
                <w:rFonts w:hint="eastAsia"/>
                <w:sz w:val="24"/>
                <w:szCs w:val="32"/>
                <w:highlight w:val="none"/>
              </w:rPr>
            </w:pPr>
            <w:r>
              <w:rPr>
                <w:rFonts w:hint="eastAsia"/>
                <w:sz w:val="24"/>
                <w:szCs w:val="32"/>
                <w:highlight w:val="none"/>
              </w:rPr>
              <w:t>③运营期间及时对管道进行</w:t>
            </w:r>
            <w:r>
              <w:rPr>
                <w:rFonts w:hint="eastAsia"/>
                <w:sz w:val="24"/>
                <w:szCs w:val="32"/>
                <w:highlight w:val="none"/>
                <w:lang w:val="en-US" w:eastAsia="zh-CN"/>
              </w:rPr>
              <w:t>泄漏</w:t>
            </w:r>
            <w:r>
              <w:rPr>
                <w:rFonts w:hint="eastAsia"/>
                <w:sz w:val="24"/>
                <w:szCs w:val="32"/>
                <w:highlight w:val="none"/>
              </w:rPr>
              <w:t>性检查，若发现</w:t>
            </w:r>
            <w:r>
              <w:rPr>
                <w:rFonts w:hint="eastAsia"/>
                <w:sz w:val="24"/>
                <w:szCs w:val="32"/>
                <w:highlight w:val="none"/>
                <w:lang w:val="en-US" w:eastAsia="zh-CN"/>
              </w:rPr>
              <w:t>泄漏</w:t>
            </w:r>
            <w:r>
              <w:rPr>
                <w:rFonts w:hint="eastAsia"/>
                <w:sz w:val="24"/>
                <w:szCs w:val="32"/>
                <w:highlight w:val="none"/>
              </w:rPr>
              <w:t>及时修复，建立完善的泄漏检查制度。</w:t>
            </w:r>
          </w:p>
          <w:p w14:paraId="0604D75F">
            <w:pPr>
              <w:snapToGrid w:val="0"/>
              <w:spacing w:line="360" w:lineRule="auto"/>
              <w:ind w:firstLine="480" w:firstLineChars="200"/>
              <w:rPr>
                <w:rFonts w:hint="eastAsia"/>
                <w:sz w:val="24"/>
                <w:szCs w:val="32"/>
                <w:highlight w:val="none"/>
              </w:rPr>
            </w:pPr>
            <w:r>
              <w:rPr>
                <w:rFonts w:hint="eastAsia"/>
                <w:sz w:val="24"/>
                <w:szCs w:val="32"/>
                <w:highlight w:val="none"/>
              </w:rPr>
              <w:t>④如突发火灾，应迅速按应急预案紧急处理。</w:t>
            </w:r>
          </w:p>
          <w:p w14:paraId="22C4FF97">
            <w:pPr>
              <w:adjustRightInd w:val="0"/>
              <w:snapToGrid w:val="0"/>
              <w:spacing w:line="360" w:lineRule="auto"/>
              <w:ind w:firstLine="480" w:firstLineChars="200"/>
              <w:rPr>
                <w:rFonts w:hint="eastAsia"/>
                <w:sz w:val="24"/>
                <w:szCs w:val="32"/>
                <w:highlight w:val="none"/>
              </w:rPr>
            </w:pPr>
            <w:r>
              <w:rPr>
                <w:rFonts w:hint="eastAsia"/>
                <w:sz w:val="24"/>
                <w:szCs w:val="32"/>
                <w:highlight w:val="none"/>
              </w:rPr>
              <w:t>⑤制定严格的消防管理制度，在厂区内配备泡沫炮、灭火栓、干粉灭火器</w:t>
            </w:r>
            <w:r>
              <w:rPr>
                <w:rFonts w:hint="eastAsia"/>
                <w:sz w:val="24"/>
                <w:szCs w:val="32"/>
                <w:highlight w:val="none"/>
                <w:lang w:eastAsia="zh-CN"/>
              </w:rPr>
              <w:t>和</w:t>
            </w:r>
            <w:r>
              <w:rPr>
                <w:rFonts w:hint="eastAsia"/>
                <w:sz w:val="24"/>
                <w:szCs w:val="32"/>
                <w:highlight w:val="none"/>
              </w:rPr>
              <w:t>灭火沙箱等消防器材，定期组织消防演练。</w:t>
            </w:r>
          </w:p>
          <w:p w14:paraId="4934B907">
            <w:pPr>
              <w:adjustRightInd w:val="0"/>
              <w:snapToGrid w:val="0"/>
              <w:spacing w:line="360" w:lineRule="auto"/>
              <w:ind w:firstLine="480" w:firstLineChars="200"/>
              <w:rPr>
                <w:rFonts w:hint="eastAsia"/>
                <w:sz w:val="24"/>
                <w:szCs w:val="32"/>
                <w:highlight w:val="none"/>
              </w:rPr>
            </w:pPr>
            <w:r>
              <w:rPr>
                <w:rFonts w:hint="eastAsia"/>
                <w:sz w:val="24"/>
                <w:szCs w:val="32"/>
                <w:highlight w:val="none"/>
              </w:rPr>
              <w:t>（3）依托的风险防控措施</w:t>
            </w:r>
          </w:p>
          <w:p w14:paraId="6833A818">
            <w:pPr>
              <w:adjustRightInd w:val="0"/>
              <w:snapToGrid w:val="0"/>
              <w:spacing w:line="360" w:lineRule="auto"/>
              <w:ind w:firstLine="480" w:firstLineChars="200"/>
              <w:jc w:val="left"/>
              <w:rPr>
                <w:rFonts w:hint="eastAsia" w:ascii="Times New Roman" w:hAnsi="Times New Roman" w:eastAsia="宋体" w:cs="Times New Roman"/>
                <w:sz w:val="24"/>
                <w:szCs w:val="32"/>
                <w:highlight w:val="none"/>
                <w:lang w:val="en-US" w:eastAsia="zh-CN"/>
              </w:rPr>
            </w:pPr>
            <w:r>
              <w:rPr>
                <w:rFonts w:hint="eastAsia" w:cs="Times New Roman"/>
                <w:sz w:val="24"/>
                <w:szCs w:val="32"/>
                <w:highlight w:val="none"/>
                <w:lang w:val="en-US" w:eastAsia="zh-CN"/>
              </w:rPr>
              <w:t>设置了</w:t>
            </w:r>
            <w:r>
              <w:rPr>
                <w:rFonts w:hint="eastAsia" w:ascii="Times New Roman" w:hAnsi="Times New Roman" w:eastAsia="宋体" w:cs="Times New Roman"/>
                <w:sz w:val="24"/>
                <w:szCs w:val="32"/>
                <w:highlight w:val="none"/>
                <w:lang w:val="en-US" w:eastAsia="zh-CN"/>
              </w:rPr>
              <w:t>手动切断阀组。在物料输出端和接收端设置中控系统和紧急切断阀，阀门和仪表的控制信号接入伊泰化工公司DCS系统</w:t>
            </w:r>
            <w:r>
              <w:rPr>
                <w:rFonts w:hint="eastAsia" w:cs="Times New Roman"/>
                <w:sz w:val="24"/>
                <w:szCs w:val="32"/>
                <w:highlight w:val="none"/>
                <w:lang w:val="en-US" w:eastAsia="zh-CN"/>
              </w:rPr>
              <w:t>。</w:t>
            </w:r>
            <w:r>
              <w:rPr>
                <w:rFonts w:hint="eastAsia" w:ascii="Times New Roman" w:hAnsi="Times New Roman" w:eastAsia="宋体" w:cs="Times New Roman"/>
                <w:sz w:val="24"/>
                <w:szCs w:val="32"/>
                <w:highlight w:val="none"/>
                <w:lang w:val="en-US" w:eastAsia="zh-CN"/>
              </w:rPr>
              <w:t>项目所有阀门、法兰安装全部在装置区内，不涉及装置区以外占地。厂区外WRT甲烷气管道、清净废水管道安装完成后进行探伤检测。</w:t>
            </w:r>
          </w:p>
          <w:p w14:paraId="54B1278A">
            <w:pPr>
              <w:adjustRightInd w:val="0"/>
              <w:snapToGrid w:val="0"/>
              <w:spacing w:line="360" w:lineRule="auto"/>
              <w:ind w:firstLine="480" w:firstLineChars="200"/>
              <w:rPr>
                <w:rFonts w:hint="eastAsia"/>
                <w:sz w:val="24"/>
                <w:szCs w:val="32"/>
                <w:highlight w:val="none"/>
              </w:rPr>
            </w:pPr>
            <w:r>
              <w:rPr>
                <w:rFonts w:hint="eastAsia"/>
                <w:sz w:val="24"/>
                <w:szCs w:val="32"/>
                <w:highlight w:val="none"/>
                <w:lang w:val="en-US" w:eastAsia="zh-CN"/>
              </w:rPr>
              <w:t>完善内蒙古伊泰化工有限责任公司</w:t>
            </w:r>
            <w:r>
              <w:rPr>
                <w:rFonts w:hint="eastAsia"/>
                <w:sz w:val="24"/>
                <w:szCs w:val="32"/>
                <w:highlight w:val="none"/>
              </w:rPr>
              <w:t>已</w:t>
            </w:r>
            <w:r>
              <w:rPr>
                <w:rFonts w:hint="eastAsia"/>
                <w:sz w:val="24"/>
                <w:szCs w:val="32"/>
                <w:highlight w:val="none"/>
                <w:lang w:eastAsia="zh-CN"/>
              </w:rPr>
              <w:t>建立</w:t>
            </w:r>
            <w:r>
              <w:rPr>
                <w:rFonts w:hint="eastAsia"/>
                <w:sz w:val="24"/>
                <w:szCs w:val="32"/>
                <w:highlight w:val="none"/>
              </w:rPr>
              <w:t>的环境风险防控体系；制定完整的安全管理机构和严格的安全管理制度。装置和班组设有专职或兼职的安全员，负责日常的安全生产管理监督工作。</w:t>
            </w:r>
          </w:p>
          <w:p w14:paraId="35F281A1">
            <w:pPr>
              <w:adjustRightInd w:val="0"/>
              <w:snapToGrid w:val="0"/>
              <w:spacing w:line="360" w:lineRule="auto"/>
              <w:ind w:firstLine="480" w:firstLineChars="200"/>
              <w:rPr>
                <w:rFonts w:hint="eastAsia"/>
                <w:sz w:val="24"/>
                <w:szCs w:val="32"/>
                <w:highlight w:val="none"/>
              </w:rPr>
            </w:pPr>
            <w:r>
              <w:rPr>
                <w:rFonts w:hint="eastAsia"/>
                <w:sz w:val="24"/>
                <w:szCs w:val="32"/>
                <w:highlight w:val="none"/>
              </w:rPr>
              <w:t>依托</w:t>
            </w:r>
            <w:r>
              <w:rPr>
                <w:rFonts w:hint="eastAsia"/>
                <w:sz w:val="24"/>
                <w:szCs w:val="32"/>
                <w:highlight w:val="none"/>
                <w:lang w:val="en-US" w:eastAsia="zh-CN"/>
              </w:rPr>
              <w:t>内蒙古伊泰化工有限责任公司</w:t>
            </w:r>
            <w:r>
              <w:rPr>
                <w:rFonts w:hint="eastAsia"/>
                <w:sz w:val="24"/>
                <w:szCs w:val="32"/>
                <w:highlight w:val="none"/>
              </w:rPr>
              <w:t>配备的应急物资，同时与工业区及地方</w:t>
            </w:r>
            <w:r>
              <w:rPr>
                <w:rFonts w:hint="eastAsia"/>
                <w:sz w:val="24"/>
                <w:szCs w:val="32"/>
                <w:highlight w:val="none"/>
                <w:lang w:eastAsia="zh-CN"/>
              </w:rPr>
              <w:t>政府</w:t>
            </w:r>
            <w:r>
              <w:rPr>
                <w:rFonts w:hint="eastAsia"/>
                <w:sz w:val="24"/>
                <w:szCs w:val="32"/>
                <w:highlight w:val="none"/>
              </w:rPr>
              <w:t>成立突发环境事件应急预案指挥与协调领导小组。与邻近企业签订应急救援合作协议，建立定期交流机制，充分发挥信息互通、资源共享的区域联防优势，提高应急响应效率，有效控制环境事件的扩大。</w:t>
            </w:r>
          </w:p>
          <w:p w14:paraId="3B1CF5E9">
            <w:pPr>
              <w:adjustRightInd w:val="0"/>
              <w:snapToGrid w:val="0"/>
              <w:spacing w:line="360" w:lineRule="auto"/>
              <w:ind w:firstLine="480" w:firstLineChars="200"/>
              <w:rPr>
                <w:rFonts w:ascii="宋体" w:hAnsi="宋体" w:cs="宋体"/>
                <w:bCs/>
                <w:color w:val="0000FF"/>
                <w:spacing w:val="10"/>
                <w:szCs w:val="21"/>
                <w:highlight w:val="none"/>
              </w:rPr>
            </w:pPr>
            <w:r>
              <w:rPr>
                <w:rFonts w:hint="default" w:ascii="Times New Roman" w:hAnsi="Times New Roman" w:cs="Times New Roman"/>
                <w:color w:val="000000"/>
                <w:sz w:val="24"/>
                <w:highlight w:val="none"/>
              </w:rPr>
              <w:t>本项目不新建消防站，依托</w:t>
            </w:r>
            <w:r>
              <w:rPr>
                <w:rFonts w:hint="eastAsia" w:cs="Times New Roman"/>
                <w:color w:val="000000"/>
                <w:sz w:val="24"/>
                <w:highlight w:val="none"/>
                <w:lang w:eastAsia="zh-CN"/>
              </w:rPr>
              <w:t>“</w:t>
            </w:r>
            <w:r>
              <w:rPr>
                <w:rFonts w:hint="default" w:ascii="Times New Roman" w:hAnsi="Times New Roman" w:cs="Times New Roman"/>
                <w:color w:val="000000"/>
                <w:sz w:val="24"/>
                <w:highlight w:val="none"/>
              </w:rPr>
              <w:t>内蒙古伊泰化工有限责任公司120万吨/年精细化学品示范项目</w:t>
            </w:r>
            <w:r>
              <w:rPr>
                <w:rFonts w:hint="eastAsia" w:cs="Times New Roman"/>
                <w:color w:val="000000"/>
                <w:sz w:val="24"/>
                <w:highlight w:val="none"/>
                <w:lang w:eastAsia="zh-CN"/>
              </w:rPr>
              <w:t>”</w:t>
            </w:r>
            <w:r>
              <w:rPr>
                <w:rFonts w:hint="default" w:ascii="Times New Roman" w:hAnsi="Times New Roman" w:cs="Times New Roman"/>
                <w:color w:val="000000"/>
                <w:sz w:val="24"/>
                <w:highlight w:val="none"/>
              </w:rPr>
              <w:t>厂区内建设的一座消防站作为机动消防力量</w:t>
            </w:r>
            <w:r>
              <w:rPr>
                <w:rFonts w:hint="eastAsia"/>
                <w:color w:val="000000"/>
                <w:sz w:val="24"/>
                <w:highlight w:val="none"/>
              </w:rPr>
              <w:t>。</w:t>
            </w:r>
          </w:p>
        </w:tc>
      </w:tr>
      <w:tr w14:paraId="167A1D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3" w:type="dxa"/>
            <w:noWrap w:val="0"/>
            <w:vAlign w:val="center"/>
          </w:tcPr>
          <w:p w14:paraId="21420D4A">
            <w:pPr>
              <w:adjustRightInd w:val="0"/>
              <w:snapToGrid w:val="0"/>
              <w:jc w:val="center"/>
              <w:rPr>
                <w:rFonts w:ascii="宋体" w:hAnsi="宋体" w:cs="宋体"/>
                <w:bCs/>
                <w:spacing w:val="10"/>
                <w:szCs w:val="21"/>
                <w:highlight w:val="none"/>
              </w:rPr>
            </w:pPr>
            <w:r>
              <w:rPr>
                <w:rFonts w:hint="eastAsia" w:ascii="宋体" w:hAnsi="宋体"/>
                <w:bCs/>
                <w:sz w:val="24"/>
                <w:highlight w:val="none"/>
              </w:rPr>
              <w:t>其他</w:t>
            </w:r>
          </w:p>
        </w:tc>
        <w:tc>
          <w:tcPr>
            <w:tcW w:w="8032" w:type="dxa"/>
            <w:noWrap w:val="0"/>
            <w:vAlign w:val="center"/>
          </w:tcPr>
          <w:p w14:paraId="37981325">
            <w:pPr>
              <w:adjustRightInd w:val="0"/>
              <w:snapToGrid w:val="0"/>
              <w:jc w:val="center"/>
              <w:rPr>
                <w:rFonts w:ascii="宋体" w:hAnsi="宋体" w:cs="宋体"/>
                <w:bCs/>
                <w:spacing w:val="10"/>
                <w:szCs w:val="21"/>
                <w:highlight w:val="none"/>
              </w:rPr>
            </w:pPr>
            <w:r>
              <w:rPr>
                <w:rFonts w:hint="eastAsia" w:cs="宋体"/>
                <w:sz w:val="24"/>
                <w:highlight w:val="none"/>
              </w:rPr>
              <w:t>无</w:t>
            </w:r>
            <w:r>
              <w:rPr>
                <w:rFonts w:hint="eastAsia" w:ascii="宋体" w:hAnsi="宋体" w:cs="宋体"/>
                <w:bCs/>
                <w:spacing w:val="10"/>
                <w:sz w:val="24"/>
                <w:highlight w:val="none"/>
              </w:rPr>
              <w:t>。</w:t>
            </w:r>
          </w:p>
        </w:tc>
      </w:tr>
      <w:tr w14:paraId="46FFE8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753" w:type="dxa"/>
            <w:noWrap w:val="0"/>
            <w:vAlign w:val="center"/>
          </w:tcPr>
          <w:p w14:paraId="237A94EE">
            <w:pPr>
              <w:adjustRightInd w:val="0"/>
              <w:snapToGrid w:val="0"/>
              <w:jc w:val="center"/>
              <w:rPr>
                <w:rFonts w:ascii="宋体" w:hAnsi="宋体" w:cs="宋体"/>
                <w:bCs/>
                <w:spacing w:val="10"/>
                <w:szCs w:val="21"/>
                <w:highlight w:val="none"/>
              </w:rPr>
            </w:pPr>
            <w:r>
              <w:rPr>
                <w:rFonts w:hint="eastAsia" w:ascii="宋体" w:hAnsi="宋体"/>
                <w:bCs/>
                <w:sz w:val="24"/>
                <w:highlight w:val="none"/>
              </w:rPr>
              <w:t>环保投资</w:t>
            </w:r>
          </w:p>
        </w:tc>
        <w:tc>
          <w:tcPr>
            <w:tcW w:w="8032" w:type="dxa"/>
            <w:noWrap w:val="0"/>
            <w:vAlign w:val="center"/>
          </w:tcPr>
          <w:p w14:paraId="480E2066">
            <w:pPr>
              <w:widowControl/>
              <w:topLinePunct/>
              <w:snapToGrid w:val="0"/>
              <w:spacing w:line="360" w:lineRule="auto"/>
              <w:ind w:firstLine="480" w:firstLineChars="200"/>
              <w:rPr>
                <w:rFonts w:hint="eastAsia"/>
                <w:sz w:val="24"/>
                <w:szCs w:val="32"/>
                <w:highlight w:val="none"/>
              </w:rPr>
            </w:pPr>
            <w:r>
              <w:rPr>
                <w:rFonts w:hint="eastAsia"/>
                <w:sz w:val="24"/>
                <w:szCs w:val="32"/>
                <w:highlight w:val="none"/>
              </w:rPr>
              <w:t>本项目总投资概算</w:t>
            </w:r>
            <w:r>
              <w:rPr>
                <w:rFonts w:hint="eastAsia"/>
                <w:sz w:val="24"/>
                <w:szCs w:val="32"/>
                <w:highlight w:val="none"/>
                <w:lang w:val="en-US" w:eastAsia="zh-CN"/>
              </w:rPr>
              <w:t>4191.02</w:t>
            </w:r>
            <w:r>
              <w:rPr>
                <w:rFonts w:hint="eastAsia"/>
                <w:sz w:val="24"/>
                <w:szCs w:val="32"/>
                <w:highlight w:val="none"/>
              </w:rPr>
              <w:t>万元，其中环保投资</w:t>
            </w:r>
            <w:r>
              <w:rPr>
                <w:rFonts w:hint="eastAsia"/>
                <w:sz w:val="24"/>
                <w:szCs w:val="32"/>
                <w:highlight w:val="none"/>
                <w:lang w:val="en-US" w:eastAsia="zh-CN"/>
              </w:rPr>
              <w:t>50</w:t>
            </w:r>
            <w:r>
              <w:rPr>
                <w:rFonts w:hint="eastAsia"/>
                <w:sz w:val="24"/>
                <w:szCs w:val="32"/>
                <w:highlight w:val="none"/>
              </w:rPr>
              <w:t>万元，占总投资比例的</w:t>
            </w:r>
            <w:r>
              <w:rPr>
                <w:rFonts w:hint="eastAsia"/>
                <w:sz w:val="24"/>
                <w:szCs w:val="32"/>
                <w:highlight w:val="none"/>
                <w:lang w:val="en-US" w:eastAsia="zh-CN"/>
              </w:rPr>
              <w:t>1.19</w:t>
            </w:r>
            <w:r>
              <w:rPr>
                <w:rFonts w:hint="eastAsia"/>
                <w:sz w:val="24"/>
                <w:szCs w:val="32"/>
                <w:highlight w:val="none"/>
              </w:rPr>
              <w:t>%。环保投资分为施工期和运营期投资，环保投资情况见表5-</w:t>
            </w:r>
            <w:r>
              <w:rPr>
                <w:rFonts w:hint="eastAsia"/>
                <w:sz w:val="24"/>
                <w:szCs w:val="32"/>
                <w:highlight w:val="none"/>
                <w:lang w:val="en-US" w:eastAsia="zh-CN"/>
              </w:rPr>
              <w:t>3</w:t>
            </w:r>
            <w:r>
              <w:rPr>
                <w:rFonts w:hint="eastAsia"/>
                <w:sz w:val="24"/>
                <w:szCs w:val="32"/>
                <w:highlight w:val="none"/>
              </w:rPr>
              <w:t>。</w:t>
            </w:r>
          </w:p>
          <w:p w14:paraId="698B8619">
            <w:pPr>
              <w:adjustRightInd w:val="0"/>
              <w:spacing w:line="360" w:lineRule="auto"/>
              <w:jc w:val="center"/>
              <w:outlineLvl w:val="9"/>
              <w:rPr>
                <w:rFonts w:hint="eastAsia" w:ascii="Times New Roman" w:hAnsi="Times New Roman" w:eastAsia="宋体" w:cs="Times New Roman"/>
                <w:b/>
                <w:bCs/>
                <w:kern w:val="2"/>
                <w:sz w:val="21"/>
                <w:szCs w:val="21"/>
                <w:highlight w:val="none"/>
                <w:lang w:eastAsia="zh-CN"/>
              </w:rPr>
            </w:pPr>
            <w:r>
              <w:rPr>
                <w:rFonts w:hint="eastAsia" w:ascii="Times New Roman" w:hAnsi="Times New Roman" w:eastAsia="宋体" w:cs="Times New Roman"/>
                <w:b/>
                <w:bCs/>
                <w:kern w:val="2"/>
                <w:sz w:val="21"/>
                <w:szCs w:val="21"/>
                <w:highlight w:val="none"/>
              </w:rPr>
              <w:t>表5-</w:t>
            </w:r>
            <w:r>
              <w:rPr>
                <w:rFonts w:hint="eastAsia" w:cs="Times New Roman"/>
                <w:b/>
                <w:bCs/>
                <w:kern w:val="2"/>
                <w:sz w:val="21"/>
                <w:szCs w:val="21"/>
                <w:highlight w:val="none"/>
                <w:lang w:val="en-US" w:eastAsia="zh-CN"/>
              </w:rPr>
              <w:t>3</w:t>
            </w:r>
            <w:r>
              <w:rPr>
                <w:rFonts w:hint="eastAsia" w:ascii="Times New Roman" w:hAnsi="Times New Roman" w:eastAsia="宋体" w:cs="Times New Roman"/>
                <w:b/>
                <w:bCs/>
                <w:kern w:val="2"/>
                <w:sz w:val="21"/>
                <w:szCs w:val="21"/>
                <w:highlight w:val="none"/>
              </w:rPr>
              <w:t xml:space="preserve">   环保投资一览表   单位：</w:t>
            </w:r>
            <w:r>
              <w:rPr>
                <w:rFonts w:hint="eastAsia" w:cs="Times New Roman"/>
                <w:b/>
                <w:bCs/>
                <w:sz w:val="21"/>
                <w:szCs w:val="21"/>
                <w:highlight w:val="none"/>
                <w:lang w:eastAsia="zh-CN"/>
              </w:rPr>
              <w:t>（</w:t>
            </w:r>
            <w:r>
              <w:rPr>
                <w:rFonts w:hint="eastAsia" w:ascii="Times New Roman" w:hAnsi="Times New Roman" w:eastAsia="宋体" w:cs="Times New Roman"/>
                <w:b/>
                <w:bCs/>
                <w:sz w:val="21"/>
                <w:szCs w:val="21"/>
                <w:highlight w:val="none"/>
              </w:rPr>
              <w:t>万元</w:t>
            </w:r>
            <w:r>
              <w:rPr>
                <w:rFonts w:hint="eastAsia" w:cs="Times New Roman"/>
                <w:b/>
                <w:bCs/>
                <w:sz w:val="21"/>
                <w:szCs w:val="21"/>
                <w:highlight w:val="none"/>
                <w:lang w:eastAsia="zh-CN"/>
              </w:rPr>
              <w:t>）</w:t>
            </w:r>
          </w:p>
          <w:tbl>
            <w:tblPr>
              <w:tblStyle w:val="1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0"/>
              <w:gridCol w:w="616"/>
              <w:gridCol w:w="1018"/>
              <w:gridCol w:w="4736"/>
              <w:gridCol w:w="1093"/>
            </w:tblGrid>
            <w:tr w14:paraId="5FBDD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2" w:type="pct"/>
                  <w:gridSpan w:val="2"/>
                  <w:noWrap w:val="0"/>
                  <w:vAlign w:val="center"/>
                </w:tcPr>
                <w:p w14:paraId="6D490958">
                  <w:pPr>
                    <w:pStyle w:val="11"/>
                    <w:spacing w:before="0" w:after="0" w:line="240" w:lineRule="auto"/>
                    <w:ind w:right="0"/>
                    <w:jc w:val="center"/>
                    <w:rPr>
                      <w:rFonts w:hint="default" w:ascii="Times New Roman" w:hAnsi="Times New Roman" w:cs="Times New Roman" w:eastAsiaTheme="minorEastAsia"/>
                      <w:b w:val="0"/>
                      <w:bCs w:val="0"/>
                      <w:sz w:val="21"/>
                      <w:szCs w:val="21"/>
                      <w:highlight w:val="none"/>
                    </w:rPr>
                  </w:pPr>
                  <w:r>
                    <w:rPr>
                      <w:rFonts w:hint="default" w:ascii="Times New Roman" w:hAnsi="Times New Roman" w:cs="Times New Roman" w:eastAsiaTheme="minorEastAsia"/>
                      <w:b w:val="0"/>
                      <w:bCs w:val="0"/>
                      <w:sz w:val="21"/>
                      <w:szCs w:val="21"/>
                      <w:highlight w:val="none"/>
                    </w:rPr>
                    <w:t>类别</w:t>
                  </w:r>
                </w:p>
              </w:tc>
              <w:tc>
                <w:tcPr>
                  <w:tcW w:w="651" w:type="pct"/>
                  <w:noWrap w:val="0"/>
                  <w:vAlign w:val="center"/>
                </w:tcPr>
                <w:p w14:paraId="325C9790">
                  <w:pPr>
                    <w:pStyle w:val="11"/>
                    <w:spacing w:before="0" w:after="0" w:line="240" w:lineRule="auto"/>
                    <w:ind w:right="0"/>
                    <w:jc w:val="center"/>
                    <w:rPr>
                      <w:rFonts w:hint="default" w:ascii="Times New Roman" w:hAnsi="Times New Roman" w:cs="Times New Roman" w:eastAsiaTheme="minorEastAsia"/>
                      <w:b w:val="0"/>
                      <w:bCs w:val="0"/>
                      <w:sz w:val="21"/>
                      <w:szCs w:val="21"/>
                      <w:highlight w:val="none"/>
                    </w:rPr>
                  </w:pPr>
                  <w:r>
                    <w:rPr>
                      <w:rFonts w:hint="default" w:ascii="Times New Roman" w:hAnsi="Times New Roman" w:cs="Times New Roman" w:eastAsiaTheme="minorEastAsia"/>
                      <w:b w:val="0"/>
                      <w:bCs w:val="0"/>
                      <w:sz w:val="21"/>
                      <w:szCs w:val="21"/>
                      <w:highlight w:val="none"/>
                    </w:rPr>
                    <w:t>污染源</w:t>
                  </w:r>
                </w:p>
              </w:tc>
              <w:tc>
                <w:tcPr>
                  <w:tcW w:w="3035" w:type="pct"/>
                  <w:noWrap w:val="0"/>
                  <w:vAlign w:val="center"/>
                </w:tcPr>
                <w:p w14:paraId="72E30D2A">
                  <w:pPr>
                    <w:pStyle w:val="11"/>
                    <w:spacing w:before="0" w:after="0" w:line="240" w:lineRule="auto"/>
                    <w:ind w:right="0"/>
                    <w:jc w:val="center"/>
                    <w:rPr>
                      <w:rFonts w:hint="default" w:ascii="Times New Roman" w:hAnsi="Times New Roman" w:cs="Times New Roman" w:eastAsiaTheme="minorEastAsia"/>
                      <w:b w:val="0"/>
                      <w:bCs w:val="0"/>
                      <w:sz w:val="21"/>
                      <w:szCs w:val="21"/>
                      <w:highlight w:val="none"/>
                    </w:rPr>
                  </w:pPr>
                  <w:r>
                    <w:rPr>
                      <w:rFonts w:hint="default" w:ascii="Times New Roman" w:hAnsi="Times New Roman" w:cs="Times New Roman" w:eastAsiaTheme="minorEastAsia"/>
                      <w:b w:val="0"/>
                      <w:bCs w:val="0"/>
                      <w:sz w:val="21"/>
                      <w:szCs w:val="21"/>
                      <w:highlight w:val="none"/>
                    </w:rPr>
                    <w:t>环保措施</w:t>
                  </w:r>
                </w:p>
              </w:tc>
              <w:tc>
                <w:tcPr>
                  <w:tcW w:w="699" w:type="pct"/>
                  <w:noWrap w:val="0"/>
                  <w:vAlign w:val="center"/>
                </w:tcPr>
                <w:p w14:paraId="7A11D3CA">
                  <w:pPr>
                    <w:pStyle w:val="11"/>
                    <w:spacing w:before="0" w:after="0" w:line="240" w:lineRule="auto"/>
                    <w:ind w:right="0"/>
                    <w:jc w:val="center"/>
                    <w:rPr>
                      <w:rFonts w:hint="default" w:ascii="Times New Roman" w:hAnsi="Times New Roman" w:cs="Times New Roman" w:eastAsiaTheme="minorEastAsia"/>
                      <w:b w:val="0"/>
                      <w:bCs w:val="0"/>
                      <w:sz w:val="21"/>
                      <w:szCs w:val="21"/>
                      <w:highlight w:val="none"/>
                    </w:rPr>
                  </w:pPr>
                  <w:r>
                    <w:rPr>
                      <w:rFonts w:hint="default" w:ascii="Times New Roman" w:hAnsi="Times New Roman" w:cs="Times New Roman" w:eastAsiaTheme="minorEastAsia"/>
                      <w:b w:val="0"/>
                      <w:bCs w:val="0"/>
                      <w:sz w:val="21"/>
                      <w:szCs w:val="21"/>
                      <w:highlight w:val="none"/>
                    </w:rPr>
                    <w:t>环保投资</w:t>
                  </w:r>
                </w:p>
              </w:tc>
            </w:tr>
            <w:tr w14:paraId="57DA1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7" w:type="pct"/>
                  <w:vMerge w:val="restart"/>
                  <w:noWrap w:val="0"/>
                  <w:vAlign w:val="center"/>
                </w:tcPr>
                <w:p w14:paraId="1558CB69">
                  <w:pPr>
                    <w:pStyle w:val="11"/>
                    <w:spacing w:before="0" w:after="0" w:line="240" w:lineRule="auto"/>
                    <w:ind w:right="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施</w:t>
                  </w:r>
                </w:p>
                <w:p w14:paraId="4A61D4D2">
                  <w:pPr>
                    <w:pStyle w:val="11"/>
                    <w:spacing w:before="0" w:after="0" w:line="240" w:lineRule="auto"/>
                    <w:ind w:right="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工</w:t>
                  </w:r>
                </w:p>
                <w:p w14:paraId="7CE1A27A">
                  <w:pPr>
                    <w:pStyle w:val="11"/>
                    <w:spacing w:before="0" w:after="0" w:line="240" w:lineRule="auto"/>
                    <w:ind w:right="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期</w:t>
                  </w:r>
                </w:p>
              </w:tc>
              <w:tc>
                <w:tcPr>
                  <w:tcW w:w="395" w:type="pct"/>
                  <w:noWrap w:val="0"/>
                  <w:vAlign w:val="center"/>
                </w:tcPr>
                <w:p w14:paraId="53D91308">
                  <w:pPr>
                    <w:pStyle w:val="11"/>
                    <w:spacing w:before="0" w:after="0" w:line="240" w:lineRule="auto"/>
                    <w:ind w:right="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废气</w:t>
                  </w:r>
                </w:p>
              </w:tc>
              <w:tc>
                <w:tcPr>
                  <w:tcW w:w="651" w:type="pct"/>
                  <w:noWrap w:val="0"/>
                  <w:vAlign w:val="center"/>
                </w:tcPr>
                <w:p w14:paraId="5A59AEDA">
                  <w:pPr>
                    <w:pStyle w:val="11"/>
                    <w:spacing w:before="0" w:after="0" w:line="240" w:lineRule="auto"/>
                    <w:ind w:right="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施工扬尘</w:t>
                  </w:r>
                </w:p>
              </w:tc>
              <w:tc>
                <w:tcPr>
                  <w:tcW w:w="3035" w:type="pct"/>
                  <w:noWrap w:val="0"/>
                  <w:vAlign w:val="center"/>
                </w:tcPr>
                <w:p w14:paraId="124316F5">
                  <w:pPr>
                    <w:pStyle w:val="11"/>
                    <w:spacing w:before="0" w:after="0" w:line="240" w:lineRule="auto"/>
                    <w:ind w:right="0"/>
                    <w:jc w:val="center"/>
                    <w:rPr>
                      <w:rFonts w:hint="default" w:ascii="Times New Roman" w:hAnsi="Times New Roman" w:cs="Times New Roman" w:eastAsiaTheme="minorEastAsia"/>
                      <w:sz w:val="21"/>
                      <w:szCs w:val="21"/>
                      <w:highlight w:val="none"/>
                    </w:rPr>
                  </w:pPr>
                  <w:r>
                    <w:rPr>
                      <w:rFonts w:hint="eastAsia" w:ascii="Times New Roman" w:hAnsi="Times New Roman" w:cs="Times New Roman" w:eastAsiaTheme="minorEastAsia"/>
                      <w:sz w:val="21"/>
                      <w:szCs w:val="21"/>
                      <w:highlight w:val="none"/>
                      <w:lang w:val="en-US" w:eastAsia="zh-CN"/>
                    </w:rPr>
                    <w:t>依托厂区现有</w:t>
                  </w:r>
                  <w:r>
                    <w:rPr>
                      <w:rFonts w:hint="default" w:ascii="Times New Roman" w:hAnsi="Times New Roman" w:cs="Times New Roman" w:eastAsiaTheme="minorEastAsia"/>
                      <w:sz w:val="21"/>
                      <w:szCs w:val="21"/>
                      <w:highlight w:val="none"/>
                    </w:rPr>
                    <w:t>洒水</w:t>
                  </w:r>
                  <w:r>
                    <w:rPr>
                      <w:rFonts w:hint="eastAsia" w:ascii="Times New Roman" w:hAnsi="Times New Roman" w:cs="Times New Roman" w:eastAsiaTheme="minorEastAsia"/>
                      <w:sz w:val="21"/>
                      <w:szCs w:val="21"/>
                      <w:highlight w:val="none"/>
                      <w:lang w:val="en-US" w:eastAsia="zh-CN"/>
                    </w:rPr>
                    <w:t>车</w:t>
                  </w:r>
                  <w:r>
                    <w:rPr>
                      <w:rFonts w:hint="default" w:ascii="Times New Roman" w:hAnsi="Times New Roman" w:cs="Times New Roman" w:eastAsiaTheme="minorEastAsia"/>
                      <w:sz w:val="21"/>
                      <w:szCs w:val="21"/>
                      <w:highlight w:val="none"/>
                    </w:rPr>
                    <w:t>、车辆减速慢行。</w:t>
                  </w:r>
                </w:p>
              </w:tc>
              <w:tc>
                <w:tcPr>
                  <w:tcW w:w="699" w:type="pct"/>
                  <w:noWrap w:val="0"/>
                  <w:vAlign w:val="center"/>
                </w:tcPr>
                <w:p w14:paraId="7CC264C1">
                  <w:pPr>
                    <w:pStyle w:val="11"/>
                    <w:spacing w:before="0" w:after="0" w:line="240" w:lineRule="auto"/>
                    <w:ind w:right="0"/>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w:t>
                  </w:r>
                </w:p>
              </w:tc>
            </w:tr>
            <w:tr w14:paraId="7D076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jc w:val="center"/>
              </w:trPr>
              <w:tc>
                <w:tcPr>
                  <w:tcW w:w="217" w:type="pct"/>
                  <w:vMerge w:val="continue"/>
                  <w:noWrap w:val="0"/>
                  <w:vAlign w:val="center"/>
                </w:tcPr>
                <w:p w14:paraId="5E81F2D0">
                  <w:pPr>
                    <w:pStyle w:val="11"/>
                    <w:spacing w:before="0" w:after="0" w:line="240" w:lineRule="auto"/>
                    <w:ind w:right="0"/>
                    <w:jc w:val="center"/>
                    <w:rPr>
                      <w:rFonts w:hint="default" w:ascii="Times New Roman" w:hAnsi="Times New Roman" w:cs="Times New Roman" w:eastAsiaTheme="minorEastAsia"/>
                      <w:color w:val="1900FF"/>
                      <w:sz w:val="21"/>
                      <w:szCs w:val="21"/>
                      <w:highlight w:val="none"/>
                    </w:rPr>
                  </w:pPr>
                </w:p>
              </w:tc>
              <w:tc>
                <w:tcPr>
                  <w:tcW w:w="395" w:type="pct"/>
                  <w:vMerge w:val="restart"/>
                  <w:noWrap w:val="0"/>
                  <w:vAlign w:val="center"/>
                </w:tcPr>
                <w:p w14:paraId="414C7A14">
                  <w:pPr>
                    <w:pStyle w:val="11"/>
                    <w:spacing w:before="0" w:after="0" w:line="240" w:lineRule="auto"/>
                    <w:ind w:right="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废水</w:t>
                  </w:r>
                </w:p>
              </w:tc>
              <w:tc>
                <w:tcPr>
                  <w:tcW w:w="651" w:type="pct"/>
                  <w:noWrap w:val="0"/>
                  <w:vAlign w:val="center"/>
                </w:tcPr>
                <w:p w14:paraId="5148D602">
                  <w:pPr>
                    <w:pStyle w:val="11"/>
                    <w:spacing w:before="0" w:after="0" w:line="240" w:lineRule="auto"/>
                    <w:ind w:right="0"/>
                    <w:jc w:val="center"/>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Change w:id="13" w:author="马马虎虎" w:date="2025-12-22T18:32:49Z">
                        <w:rPr>
                          <w:rFonts w:hint="eastAsia" w:ascii="Times New Roman" w:hAnsi="Times New Roman" w:cs="Times New Roman" w:eastAsiaTheme="minorEastAsia"/>
                          <w:sz w:val="21"/>
                          <w:szCs w:val="21"/>
                          <w:highlight w:val="none"/>
                          <w:lang w:val="en-US" w:eastAsia="zh-CN"/>
                        </w:rPr>
                      </w:rPrChange>
                    </w:rPr>
                    <w:t>试压</w:t>
                  </w:r>
                </w:p>
              </w:tc>
              <w:tc>
                <w:tcPr>
                  <w:tcW w:w="3035" w:type="pct"/>
                  <w:noWrap w:val="0"/>
                  <w:vAlign w:val="center"/>
                </w:tcPr>
                <w:p w14:paraId="0F26A67D">
                  <w:pPr>
                    <w:pStyle w:val="11"/>
                    <w:spacing w:before="0" w:after="0" w:line="240" w:lineRule="auto"/>
                    <w:ind w:right="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kern w:val="2"/>
                      <w:sz w:val="21"/>
                      <w:szCs w:val="21"/>
                      <w:highlight w:val="none"/>
                      <w:lang w:val="en-US" w:eastAsia="zh-CN"/>
                    </w:rPr>
                    <w:t>试压</w:t>
                  </w:r>
                  <w:r>
                    <w:rPr>
                      <w:rFonts w:hint="default" w:ascii="Times New Roman" w:hAnsi="Times New Roman" w:cs="Times New Roman" w:eastAsiaTheme="minorEastAsia"/>
                      <w:kern w:val="2"/>
                      <w:sz w:val="21"/>
                      <w:szCs w:val="21"/>
                      <w:highlight w:val="none"/>
                    </w:rPr>
                    <w:t>废水</w:t>
                  </w:r>
                  <w:r>
                    <w:rPr>
                      <w:rFonts w:hint="default" w:ascii="Times New Roman" w:hAnsi="Times New Roman" w:cs="Times New Roman" w:eastAsiaTheme="minorEastAsia"/>
                      <w:kern w:val="2"/>
                      <w:sz w:val="21"/>
                      <w:szCs w:val="21"/>
                      <w:highlight w:val="none"/>
                      <w:lang w:val="en-US" w:eastAsia="zh-CN"/>
                    </w:rPr>
                    <w:t>产生后通过罐车运输至伊泰化工</w:t>
                  </w:r>
                  <w:r>
                    <w:rPr>
                      <w:rFonts w:hint="default" w:ascii="Times New Roman" w:hAnsi="Times New Roman" w:cs="Times New Roman" w:eastAsiaTheme="minorEastAsia"/>
                      <w:kern w:val="2"/>
                      <w:sz w:val="21"/>
                      <w:szCs w:val="21"/>
                      <w:highlight w:val="none"/>
                    </w:rPr>
                    <w:t>厂区内现有</w:t>
                  </w:r>
                  <w:r>
                    <w:rPr>
                      <w:rFonts w:hint="default" w:ascii="Times New Roman" w:hAnsi="Times New Roman" w:cs="Times New Roman" w:eastAsiaTheme="minorEastAsia"/>
                      <w:sz w:val="21"/>
                      <w:szCs w:val="21"/>
                      <w:highlight w:val="none"/>
                    </w:rPr>
                    <w:t>污水处理站废水处理及回用清净废水处理单元</w:t>
                  </w:r>
                  <w:r>
                    <w:rPr>
                      <w:rFonts w:hint="default" w:ascii="Times New Roman" w:hAnsi="Times New Roman" w:cs="Times New Roman" w:eastAsiaTheme="minorEastAsia"/>
                      <w:kern w:val="2"/>
                      <w:sz w:val="21"/>
                      <w:szCs w:val="21"/>
                      <w:highlight w:val="none"/>
                    </w:rPr>
                    <w:t>，处理后回用，不外排。</w:t>
                  </w:r>
                </w:p>
              </w:tc>
              <w:tc>
                <w:tcPr>
                  <w:tcW w:w="699" w:type="pct"/>
                  <w:noWrap w:val="0"/>
                  <w:vAlign w:val="center"/>
                </w:tcPr>
                <w:p w14:paraId="569C7269">
                  <w:pPr>
                    <w:pStyle w:val="11"/>
                    <w:spacing w:before="0" w:after="0" w:line="240" w:lineRule="auto"/>
                    <w:ind w:right="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w:t>
                  </w:r>
                </w:p>
              </w:tc>
            </w:tr>
            <w:tr w14:paraId="2B0B8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7" w:type="pct"/>
                  <w:vMerge w:val="continue"/>
                  <w:noWrap w:val="0"/>
                  <w:vAlign w:val="center"/>
                </w:tcPr>
                <w:p w14:paraId="27F05CA7">
                  <w:pPr>
                    <w:pStyle w:val="11"/>
                    <w:spacing w:before="0" w:after="0" w:line="240" w:lineRule="auto"/>
                    <w:ind w:right="0"/>
                    <w:jc w:val="center"/>
                    <w:rPr>
                      <w:rFonts w:hint="default" w:ascii="Times New Roman" w:hAnsi="Times New Roman" w:cs="Times New Roman" w:eastAsiaTheme="minorEastAsia"/>
                      <w:color w:val="1900FF"/>
                      <w:sz w:val="21"/>
                      <w:szCs w:val="21"/>
                      <w:highlight w:val="none"/>
                    </w:rPr>
                  </w:pPr>
                </w:p>
              </w:tc>
              <w:tc>
                <w:tcPr>
                  <w:tcW w:w="395" w:type="pct"/>
                  <w:vMerge w:val="continue"/>
                  <w:noWrap w:val="0"/>
                  <w:vAlign w:val="center"/>
                </w:tcPr>
                <w:p w14:paraId="208927CE">
                  <w:pPr>
                    <w:pStyle w:val="11"/>
                    <w:spacing w:before="0" w:after="0" w:line="240" w:lineRule="auto"/>
                    <w:ind w:right="0"/>
                    <w:jc w:val="center"/>
                    <w:rPr>
                      <w:rFonts w:hint="default" w:ascii="Times New Roman" w:hAnsi="Times New Roman" w:cs="Times New Roman" w:eastAsiaTheme="minorEastAsia"/>
                      <w:sz w:val="21"/>
                      <w:szCs w:val="21"/>
                      <w:highlight w:val="none"/>
                    </w:rPr>
                  </w:pPr>
                </w:p>
              </w:tc>
              <w:tc>
                <w:tcPr>
                  <w:tcW w:w="651" w:type="pct"/>
                  <w:noWrap w:val="0"/>
                  <w:vAlign w:val="center"/>
                </w:tcPr>
                <w:p w14:paraId="61C8F2AA">
                  <w:pPr>
                    <w:pStyle w:val="11"/>
                    <w:spacing w:before="0" w:after="0" w:line="240" w:lineRule="auto"/>
                    <w:ind w:right="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生活污水</w:t>
                  </w:r>
                </w:p>
              </w:tc>
              <w:tc>
                <w:tcPr>
                  <w:tcW w:w="3035" w:type="pct"/>
                  <w:noWrap w:val="0"/>
                  <w:vAlign w:val="center"/>
                </w:tcPr>
                <w:p w14:paraId="6F628091">
                  <w:pPr>
                    <w:pStyle w:val="11"/>
                    <w:spacing w:before="0" w:after="0" w:line="240" w:lineRule="auto"/>
                    <w:ind w:right="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依托现有生活污水处理设施处理。</w:t>
                  </w:r>
                </w:p>
              </w:tc>
              <w:tc>
                <w:tcPr>
                  <w:tcW w:w="699" w:type="pct"/>
                  <w:noWrap w:val="0"/>
                  <w:vAlign w:val="center"/>
                </w:tcPr>
                <w:p w14:paraId="3F23AD11">
                  <w:pPr>
                    <w:pStyle w:val="11"/>
                    <w:spacing w:before="0" w:after="0" w:line="240" w:lineRule="auto"/>
                    <w:ind w:right="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w:t>
                  </w:r>
                </w:p>
              </w:tc>
            </w:tr>
            <w:tr w14:paraId="306A6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7" w:type="pct"/>
                  <w:vMerge w:val="continue"/>
                  <w:noWrap w:val="0"/>
                  <w:vAlign w:val="center"/>
                </w:tcPr>
                <w:p w14:paraId="6906133A">
                  <w:pPr>
                    <w:pStyle w:val="11"/>
                    <w:spacing w:before="0" w:after="0" w:line="240" w:lineRule="auto"/>
                    <w:ind w:right="0"/>
                    <w:jc w:val="center"/>
                    <w:rPr>
                      <w:rFonts w:hint="default" w:ascii="Times New Roman" w:hAnsi="Times New Roman" w:cs="Times New Roman" w:eastAsiaTheme="minorEastAsia"/>
                      <w:color w:val="1900FF"/>
                      <w:sz w:val="21"/>
                      <w:szCs w:val="21"/>
                      <w:highlight w:val="none"/>
                    </w:rPr>
                  </w:pPr>
                </w:p>
              </w:tc>
              <w:tc>
                <w:tcPr>
                  <w:tcW w:w="395" w:type="pct"/>
                  <w:noWrap w:val="0"/>
                  <w:vAlign w:val="center"/>
                </w:tcPr>
                <w:p w14:paraId="3D37FA37">
                  <w:pPr>
                    <w:pStyle w:val="11"/>
                    <w:spacing w:before="0" w:after="0" w:line="240" w:lineRule="auto"/>
                    <w:ind w:right="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噪声</w:t>
                  </w:r>
                </w:p>
              </w:tc>
              <w:tc>
                <w:tcPr>
                  <w:tcW w:w="651" w:type="pct"/>
                  <w:noWrap w:val="0"/>
                  <w:vAlign w:val="center"/>
                </w:tcPr>
                <w:p w14:paraId="272E2136">
                  <w:pPr>
                    <w:pStyle w:val="11"/>
                    <w:spacing w:before="0" w:after="0" w:line="240" w:lineRule="auto"/>
                    <w:ind w:right="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施工设备</w:t>
                  </w:r>
                </w:p>
              </w:tc>
              <w:tc>
                <w:tcPr>
                  <w:tcW w:w="3035" w:type="pct"/>
                  <w:noWrap w:val="0"/>
                  <w:vAlign w:val="center"/>
                </w:tcPr>
                <w:p w14:paraId="4DE64F01">
                  <w:pPr>
                    <w:pStyle w:val="11"/>
                    <w:spacing w:before="0" w:after="0" w:line="240" w:lineRule="auto"/>
                    <w:ind w:right="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施工车辆减速慢行，加强施工设备的维护</w:t>
                  </w:r>
                  <w:r>
                    <w:rPr>
                      <w:rFonts w:hint="eastAsia" w:ascii="Times New Roman" w:hAnsi="Times New Roman" w:cs="Times New Roman" w:eastAsiaTheme="minorEastAsia"/>
                      <w:sz w:val="21"/>
                      <w:szCs w:val="21"/>
                      <w:highlight w:val="none"/>
                      <w:lang w:eastAsia="zh-CN"/>
                    </w:rPr>
                    <w:t>，</w:t>
                  </w:r>
                  <w:r>
                    <w:rPr>
                      <w:rFonts w:hint="default" w:ascii="Times New Roman" w:hAnsi="Times New Roman" w:cs="Times New Roman" w:eastAsiaTheme="minorEastAsia"/>
                      <w:sz w:val="21"/>
                      <w:szCs w:val="21"/>
                      <w:highlight w:val="none"/>
                    </w:rPr>
                    <w:t>避免异常噪声排放。</w:t>
                  </w:r>
                </w:p>
              </w:tc>
              <w:tc>
                <w:tcPr>
                  <w:tcW w:w="699" w:type="pct"/>
                  <w:noWrap w:val="0"/>
                  <w:vAlign w:val="center"/>
                </w:tcPr>
                <w:p w14:paraId="2D549617">
                  <w:pPr>
                    <w:pStyle w:val="11"/>
                    <w:spacing w:before="0" w:after="0" w:line="240" w:lineRule="auto"/>
                    <w:ind w:right="0"/>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10</w:t>
                  </w:r>
                </w:p>
              </w:tc>
            </w:tr>
            <w:tr w14:paraId="23CF9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7" w:type="pct"/>
                  <w:vMerge w:val="continue"/>
                  <w:noWrap w:val="0"/>
                  <w:vAlign w:val="center"/>
                </w:tcPr>
                <w:p w14:paraId="1E4EB91E">
                  <w:pPr>
                    <w:pStyle w:val="11"/>
                    <w:spacing w:before="0" w:after="0" w:line="240" w:lineRule="auto"/>
                    <w:ind w:right="0"/>
                    <w:jc w:val="center"/>
                    <w:rPr>
                      <w:rFonts w:hint="default" w:ascii="Times New Roman" w:hAnsi="Times New Roman" w:cs="Times New Roman" w:eastAsiaTheme="minorEastAsia"/>
                      <w:color w:val="1900FF"/>
                      <w:sz w:val="21"/>
                      <w:szCs w:val="21"/>
                      <w:highlight w:val="none"/>
                    </w:rPr>
                  </w:pPr>
                </w:p>
              </w:tc>
              <w:tc>
                <w:tcPr>
                  <w:tcW w:w="395" w:type="pct"/>
                  <w:vMerge w:val="restart"/>
                  <w:noWrap w:val="0"/>
                  <w:vAlign w:val="center"/>
                </w:tcPr>
                <w:p w14:paraId="131CEC13">
                  <w:pPr>
                    <w:pStyle w:val="11"/>
                    <w:spacing w:before="0" w:after="0" w:line="240" w:lineRule="auto"/>
                    <w:ind w:right="0"/>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固废</w:t>
                  </w:r>
                </w:p>
              </w:tc>
              <w:tc>
                <w:tcPr>
                  <w:tcW w:w="651" w:type="pct"/>
                  <w:noWrap w:val="0"/>
                  <w:vAlign w:val="center"/>
                </w:tcPr>
                <w:p w14:paraId="0AEC5ED2">
                  <w:pPr>
                    <w:pStyle w:val="11"/>
                    <w:spacing w:before="0" w:after="0" w:line="240" w:lineRule="auto"/>
                    <w:ind w:right="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建筑垃圾</w:t>
                  </w:r>
                </w:p>
              </w:tc>
              <w:tc>
                <w:tcPr>
                  <w:tcW w:w="3035" w:type="pct"/>
                  <w:noWrap w:val="0"/>
                  <w:vAlign w:val="center"/>
                </w:tcPr>
                <w:p w14:paraId="57D5F8F2">
                  <w:pPr>
                    <w:pStyle w:val="11"/>
                    <w:spacing w:before="0" w:after="0" w:line="240" w:lineRule="auto"/>
                    <w:ind w:right="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交由附近建筑垃圾处理厂处置。</w:t>
                  </w:r>
                </w:p>
              </w:tc>
              <w:tc>
                <w:tcPr>
                  <w:tcW w:w="699" w:type="pct"/>
                  <w:noWrap w:val="0"/>
                  <w:vAlign w:val="center"/>
                </w:tcPr>
                <w:p w14:paraId="1C999889">
                  <w:pPr>
                    <w:pStyle w:val="11"/>
                    <w:spacing w:before="0" w:after="0" w:line="240" w:lineRule="auto"/>
                    <w:ind w:right="0"/>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10</w:t>
                  </w:r>
                </w:p>
              </w:tc>
            </w:tr>
            <w:tr w14:paraId="7BF7D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7" w:type="pct"/>
                  <w:vMerge w:val="continue"/>
                  <w:noWrap w:val="0"/>
                  <w:vAlign w:val="center"/>
                </w:tcPr>
                <w:p w14:paraId="360DC358">
                  <w:pPr>
                    <w:pStyle w:val="11"/>
                    <w:spacing w:before="0" w:after="0" w:line="240" w:lineRule="auto"/>
                    <w:ind w:right="0"/>
                    <w:jc w:val="center"/>
                    <w:rPr>
                      <w:rFonts w:hint="default" w:ascii="Times New Roman" w:hAnsi="Times New Roman" w:cs="Times New Roman" w:eastAsiaTheme="minorEastAsia"/>
                      <w:color w:val="1900FF"/>
                      <w:sz w:val="21"/>
                      <w:szCs w:val="21"/>
                      <w:highlight w:val="none"/>
                    </w:rPr>
                  </w:pPr>
                </w:p>
              </w:tc>
              <w:tc>
                <w:tcPr>
                  <w:tcW w:w="395" w:type="pct"/>
                  <w:vMerge w:val="continue"/>
                  <w:noWrap w:val="0"/>
                  <w:vAlign w:val="center"/>
                </w:tcPr>
                <w:p w14:paraId="5522ABC6">
                  <w:pPr>
                    <w:pStyle w:val="11"/>
                    <w:spacing w:before="0" w:after="0" w:line="240" w:lineRule="auto"/>
                    <w:ind w:right="0"/>
                    <w:jc w:val="center"/>
                    <w:rPr>
                      <w:rFonts w:hint="default" w:ascii="Times New Roman" w:hAnsi="Times New Roman" w:cs="Times New Roman" w:eastAsiaTheme="minorEastAsia"/>
                      <w:sz w:val="21"/>
                      <w:szCs w:val="21"/>
                      <w:highlight w:val="none"/>
                    </w:rPr>
                  </w:pPr>
                </w:p>
              </w:tc>
              <w:tc>
                <w:tcPr>
                  <w:tcW w:w="651" w:type="pct"/>
                  <w:noWrap w:val="0"/>
                  <w:vAlign w:val="center"/>
                </w:tcPr>
                <w:p w14:paraId="7B4C19F2">
                  <w:pPr>
                    <w:pStyle w:val="11"/>
                    <w:spacing w:before="0" w:after="0" w:line="240" w:lineRule="auto"/>
                    <w:ind w:right="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废油漆桶</w:t>
                  </w:r>
                </w:p>
              </w:tc>
              <w:tc>
                <w:tcPr>
                  <w:tcW w:w="3035" w:type="pct"/>
                  <w:noWrap w:val="0"/>
                  <w:vAlign w:val="center"/>
                </w:tcPr>
                <w:p w14:paraId="3F7CFD0D">
                  <w:pPr>
                    <w:pStyle w:val="11"/>
                    <w:spacing w:before="0" w:after="0" w:line="240" w:lineRule="auto"/>
                    <w:ind w:right="0"/>
                    <w:jc w:val="center"/>
                    <w:rPr>
                      <w:rFonts w:hint="default" w:ascii="Times New Roman" w:hAnsi="Times New Roman" w:cs="Times New Roman" w:eastAsiaTheme="minorEastAsia"/>
                      <w:sz w:val="21"/>
                      <w:szCs w:val="21"/>
                      <w:highlight w:val="none"/>
                    </w:rPr>
                  </w:pPr>
                  <w:r>
                    <w:rPr>
                      <w:rFonts w:hint="eastAsia" w:ascii="Times New Roman" w:hAnsi="Times New Roman" w:cs="Times New Roman" w:eastAsiaTheme="minorEastAsia"/>
                      <w:sz w:val="21"/>
                      <w:szCs w:val="21"/>
                      <w:highlight w:val="none"/>
                      <w:lang w:val="en-US" w:eastAsia="zh-CN"/>
                    </w:rPr>
                    <w:t>依托伊泰化工现有</w:t>
                  </w:r>
                  <w:r>
                    <w:rPr>
                      <w:rFonts w:hint="default" w:ascii="Times New Roman" w:hAnsi="Times New Roman" w:cs="Times New Roman" w:eastAsiaTheme="minorEastAsia"/>
                      <w:sz w:val="21"/>
                      <w:szCs w:val="21"/>
                      <w:highlight w:val="none"/>
                    </w:rPr>
                    <w:t>暂存危废间，交由有资质的单位处理。</w:t>
                  </w:r>
                </w:p>
              </w:tc>
              <w:tc>
                <w:tcPr>
                  <w:tcW w:w="699" w:type="pct"/>
                  <w:noWrap w:val="0"/>
                  <w:vAlign w:val="center"/>
                </w:tcPr>
                <w:p w14:paraId="4D8D62D8">
                  <w:pPr>
                    <w:pStyle w:val="11"/>
                    <w:spacing w:before="0" w:after="0" w:line="240" w:lineRule="auto"/>
                    <w:ind w:right="0"/>
                    <w:jc w:val="center"/>
                    <w:rPr>
                      <w:rFonts w:hint="eastAsia" w:ascii="Times New Roman" w:hAnsi="Times New Roman" w:cs="Times New Roman" w:eastAsiaTheme="minorEastAsia"/>
                      <w:sz w:val="21"/>
                      <w:szCs w:val="21"/>
                      <w:highlight w:val="none"/>
                      <w:lang w:eastAsia="zh-CN"/>
                    </w:rPr>
                  </w:pPr>
                  <w:r>
                    <w:rPr>
                      <w:rFonts w:hint="eastAsia" w:ascii="Times New Roman" w:hAnsi="Times New Roman" w:cs="Times New Roman" w:eastAsiaTheme="minorEastAsia"/>
                      <w:sz w:val="21"/>
                      <w:szCs w:val="21"/>
                      <w:highlight w:val="none"/>
                      <w:lang w:val="en-US" w:eastAsia="zh-CN"/>
                    </w:rPr>
                    <w:t>/</w:t>
                  </w:r>
                </w:p>
              </w:tc>
            </w:tr>
            <w:tr w14:paraId="19042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7" w:type="pct"/>
                  <w:vMerge w:val="continue"/>
                  <w:noWrap w:val="0"/>
                  <w:vAlign w:val="center"/>
                </w:tcPr>
                <w:p w14:paraId="5464D92C">
                  <w:pPr>
                    <w:pStyle w:val="11"/>
                    <w:spacing w:before="0" w:after="0" w:line="240" w:lineRule="auto"/>
                    <w:ind w:right="0"/>
                    <w:jc w:val="center"/>
                    <w:rPr>
                      <w:rFonts w:hint="default" w:ascii="Times New Roman" w:hAnsi="Times New Roman" w:cs="Times New Roman" w:eastAsiaTheme="minorEastAsia"/>
                      <w:color w:val="1900FF"/>
                      <w:sz w:val="21"/>
                      <w:szCs w:val="21"/>
                      <w:highlight w:val="none"/>
                    </w:rPr>
                  </w:pPr>
                </w:p>
              </w:tc>
              <w:tc>
                <w:tcPr>
                  <w:tcW w:w="395" w:type="pct"/>
                  <w:vMerge w:val="continue"/>
                  <w:noWrap w:val="0"/>
                  <w:vAlign w:val="center"/>
                </w:tcPr>
                <w:p w14:paraId="308090F0">
                  <w:pPr>
                    <w:pStyle w:val="11"/>
                    <w:spacing w:before="0" w:after="0" w:line="240" w:lineRule="auto"/>
                    <w:ind w:right="0"/>
                    <w:jc w:val="center"/>
                    <w:rPr>
                      <w:rFonts w:hint="default" w:ascii="Times New Roman" w:hAnsi="Times New Roman" w:cs="Times New Roman" w:eastAsiaTheme="minorEastAsia"/>
                      <w:sz w:val="21"/>
                      <w:szCs w:val="21"/>
                      <w:highlight w:val="none"/>
                    </w:rPr>
                  </w:pPr>
                </w:p>
              </w:tc>
              <w:tc>
                <w:tcPr>
                  <w:tcW w:w="651" w:type="pct"/>
                  <w:noWrap w:val="0"/>
                  <w:vAlign w:val="center"/>
                </w:tcPr>
                <w:p w14:paraId="046BBCDB">
                  <w:pPr>
                    <w:pStyle w:val="11"/>
                    <w:spacing w:before="0" w:after="0" w:line="240" w:lineRule="auto"/>
                    <w:ind w:right="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生活垃圾</w:t>
                  </w:r>
                </w:p>
              </w:tc>
              <w:tc>
                <w:tcPr>
                  <w:tcW w:w="3035" w:type="pct"/>
                  <w:noWrap w:val="0"/>
                  <w:vAlign w:val="center"/>
                </w:tcPr>
                <w:p w14:paraId="5C6F6910">
                  <w:pPr>
                    <w:pStyle w:val="11"/>
                    <w:spacing w:before="0" w:after="0" w:line="240" w:lineRule="auto"/>
                    <w:ind w:right="0"/>
                    <w:jc w:val="center"/>
                    <w:rPr>
                      <w:rFonts w:hint="eastAsia" w:ascii="Times New Roman" w:hAnsi="Times New Roman" w:cs="Times New Roman" w:eastAsiaTheme="minorEastAsia"/>
                      <w:sz w:val="21"/>
                      <w:szCs w:val="21"/>
                      <w:highlight w:val="none"/>
                      <w:lang w:eastAsia="zh-CN"/>
                    </w:rPr>
                  </w:pPr>
                  <w:r>
                    <w:rPr>
                      <w:rFonts w:hint="default" w:ascii="Times New Roman" w:hAnsi="Times New Roman" w:cs="Times New Roman" w:eastAsiaTheme="minorEastAsia"/>
                      <w:sz w:val="21"/>
                      <w:szCs w:val="21"/>
                      <w:highlight w:val="none"/>
                    </w:rPr>
                    <w:t>依托现有垃圾收集设施，交由环卫部门统一清运处理</w:t>
                  </w:r>
                  <w:r>
                    <w:rPr>
                      <w:rFonts w:hint="eastAsia" w:ascii="Times New Roman" w:hAnsi="Times New Roman" w:cs="Times New Roman" w:eastAsiaTheme="minorEastAsia"/>
                      <w:sz w:val="21"/>
                      <w:szCs w:val="21"/>
                      <w:highlight w:val="none"/>
                      <w:lang w:eastAsia="zh-CN"/>
                    </w:rPr>
                    <w:t>。</w:t>
                  </w:r>
                </w:p>
              </w:tc>
              <w:tc>
                <w:tcPr>
                  <w:tcW w:w="699" w:type="pct"/>
                  <w:noWrap w:val="0"/>
                  <w:vAlign w:val="center"/>
                </w:tcPr>
                <w:p w14:paraId="36466BB4">
                  <w:pPr>
                    <w:pStyle w:val="11"/>
                    <w:spacing w:before="0" w:after="0" w:line="240" w:lineRule="auto"/>
                    <w:ind w:right="0"/>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w:t>
                  </w:r>
                </w:p>
              </w:tc>
            </w:tr>
            <w:tr w14:paraId="0BA32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7" w:type="pct"/>
                  <w:noWrap w:val="0"/>
                  <w:vAlign w:val="center"/>
                </w:tcPr>
                <w:p w14:paraId="147C4069">
                  <w:pPr>
                    <w:pStyle w:val="11"/>
                    <w:spacing w:before="0" w:after="0" w:line="240" w:lineRule="auto"/>
                    <w:ind w:right="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运营期</w:t>
                  </w:r>
                </w:p>
              </w:tc>
              <w:tc>
                <w:tcPr>
                  <w:tcW w:w="1046" w:type="pct"/>
                  <w:gridSpan w:val="2"/>
                  <w:noWrap w:val="0"/>
                  <w:vAlign w:val="center"/>
                </w:tcPr>
                <w:p w14:paraId="5A45FE21">
                  <w:pPr>
                    <w:pStyle w:val="11"/>
                    <w:spacing w:before="0" w:after="0" w:line="240" w:lineRule="auto"/>
                    <w:ind w:right="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环境风险</w:t>
                  </w:r>
                </w:p>
              </w:tc>
              <w:tc>
                <w:tcPr>
                  <w:tcW w:w="3035" w:type="pct"/>
                  <w:noWrap w:val="0"/>
                  <w:vAlign w:val="center"/>
                </w:tcPr>
                <w:p w14:paraId="6190615F">
                  <w:pPr>
                    <w:pStyle w:val="11"/>
                    <w:spacing w:before="0" w:after="0" w:line="240" w:lineRule="auto"/>
                    <w:ind w:right="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管道附近</w:t>
                  </w:r>
                  <w:r>
                    <w:rPr>
                      <w:rFonts w:hint="eastAsia" w:ascii="Times New Roman" w:hAnsi="Times New Roman" w:cs="Times New Roman" w:eastAsiaTheme="minorEastAsia"/>
                      <w:sz w:val="21"/>
                      <w:szCs w:val="21"/>
                      <w:highlight w:val="none"/>
                      <w:lang w:eastAsia="zh-CN"/>
                    </w:rPr>
                    <w:t>设置</w:t>
                  </w:r>
                  <w:r>
                    <w:rPr>
                      <w:rFonts w:hint="default" w:ascii="Times New Roman" w:hAnsi="Times New Roman" w:cs="Times New Roman" w:eastAsiaTheme="minorEastAsia"/>
                      <w:sz w:val="21"/>
                      <w:szCs w:val="21"/>
                      <w:highlight w:val="none"/>
                    </w:rPr>
                    <w:t>安全标识，配置消防器材，接入中控系统。</w:t>
                  </w:r>
                </w:p>
              </w:tc>
              <w:tc>
                <w:tcPr>
                  <w:tcW w:w="699" w:type="pct"/>
                  <w:noWrap w:val="0"/>
                  <w:vAlign w:val="center"/>
                </w:tcPr>
                <w:p w14:paraId="63DB2ED3">
                  <w:pPr>
                    <w:pStyle w:val="11"/>
                    <w:spacing w:before="0" w:after="0" w:line="240" w:lineRule="auto"/>
                    <w:ind w:right="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30</w:t>
                  </w:r>
                </w:p>
              </w:tc>
            </w:tr>
            <w:tr w14:paraId="32ECE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00" w:type="pct"/>
                  <w:gridSpan w:val="4"/>
                  <w:noWrap w:val="0"/>
                  <w:vAlign w:val="center"/>
                </w:tcPr>
                <w:p w14:paraId="751997FA">
                  <w:pPr>
                    <w:pStyle w:val="11"/>
                    <w:spacing w:before="0" w:after="0" w:line="240" w:lineRule="auto"/>
                    <w:ind w:right="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合计</w:t>
                  </w:r>
                </w:p>
              </w:tc>
              <w:tc>
                <w:tcPr>
                  <w:tcW w:w="699" w:type="pct"/>
                  <w:noWrap w:val="0"/>
                  <w:vAlign w:val="center"/>
                </w:tcPr>
                <w:p w14:paraId="6E7BD1FF">
                  <w:pPr>
                    <w:pStyle w:val="11"/>
                    <w:spacing w:before="0" w:after="0" w:line="240" w:lineRule="auto"/>
                    <w:ind w:right="0"/>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50</w:t>
                  </w:r>
                </w:p>
              </w:tc>
            </w:tr>
          </w:tbl>
          <w:p w14:paraId="498B990F">
            <w:pPr>
              <w:adjustRightInd w:val="0"/>
              <w:snapToGrid w:val="0"/>
              <w:rPr>
                <w:rFonts w:hint="eastAsia" w:ascii="宋体" w:hAnsi="宋体" w:cs="宋体"/>
                <w:bCs/>
                <w:color w:val="0000FF"/>
                <w:spacing w:val="10"/>
                <w:szCs w:val="21"/>
                <w:highlight w:val="none"/>
              </w:rPr>
            </w:pPr>
          </w:p>
        </w:tc>
      </w:tr>
    </w:tbl>
    <w:p w14:paraId="1D611E99">
      <w:pPr>
        <w:rPr>
          <w:highlight w:val="none"/>
        </w:rPr>
        <w:sectPr>
          <w:pgSz w:w="11907" w:h="16840"/>
          <w:pgMar w:top="1701" w:right="1701" w:bottom="1701" w:left="1701" w:header="851" w:footer="1077" w:gutter="0"/>
          <w:pgNumType w:fmt="decimal"/>
          <w:cols w:space="720" w:num="1"/>
          <w:docGrid w:linePitch="312" w:charSpace="0"/>
        </w:sectPr>
      </w:pPr>
    </w:p>
    <w:p w14:paraId="3C5F2254">
      <w:pPr>
        <w:pStyle w:val="18"/>
        <w:jc w:val="center"/>
        <w:outlineLvl w:val="0"/>
        <w:rPr>
          <w:rFonts w:ascii="黑体" w:hAnsi="黑体" w:eastAsia="黑体"/>
          <w:snapToGrid w:val="0"/>
          <w:sz w:val="30"/>
          <w:szCs w:val="30"/>
          <w:highlight w:val="none"/>
        </w:rPr>
      </w:pPr>
      <w:r>
        <w:rPr>
          <w:rFonts w:hint="eastAsia" w:ascii="黑体" w:hAnsi="黑体" w:eastAsia="黑体"/>
          <w:snapToGrid w:val="0"/>
          <w:sz w:val="30"/>
          <w:szCs w:val="30"/>
          <w:highlight w:val="none"/>
        </w:rPr>
        <w:t>六、生态环境保护措施监督检查清单</w:t>
      </w:r>
    </w:p>
    <w:tbl>
      <w:tblPr>
        <w:tblStyle w:val="19"/>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04"/>
        <w:gridCol w:w="2039"/>
        <w:gridCol w:w="2040"/>
        <w:gridCol w:w="1665"/>
        <w:gridCol w:w="1472"/>
      </w:tblGrid>
      <w:tr w14:paraId="7FB672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62" w:type="pct"/>
            <w:vMerge w:val="restart"/>
            <w:tcBorders>
              <w:tl2br w:val="single" w:color="auto" w:sz="4" w:space="0"/>
            </w:tcBorders>
            <w:noWrap w:val="0"/>
            <w:vAlign w:val="center"/>
          </w:tcPr>
          <w:p w14:paraId="3D58340D">
            <w:pPr>
              <w:pStyle w:val="18"/>
              <w:adjustRightInd w:val="0"/>
              <w:snapToGrid w:val="0"/>
              <w:spacing w:before="93" w:beforeLines="30" w:beforeAutospacing="0" w:after="0" w:afterAutospacing="0"/>
              <w:jc w:val="right"/>
              <w:outlineLvl w:val="0"/>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内容</w:t>
            </w:r>
          </w:p>
          <w:p w14:paraId="7C77915E">
            <w:pPr>
              <w:pStyle w:val="18"/>
              <w:adjustRightInd w:val="0"/>
              <w:snapToGrid w:val="0"/>
              <w:spacing w:before="0" w:beforeAutospacing="0" w:after="0" w:afterAutospacing="0" w:line="14" w:lineRule="auto"/>
              <w:jc w:val="center"/>
              <w:outlineLvl w:val="0"/>
              <w:rPr>
                <w:rFonts w:hint="eastAsia" w:ascii="宋体" w:hAnsi="宋体" w:eastAsia="宋体" w:cs="宋体"/>
                <w:kern w:val="2"/>
                <w:sz w:val="21"/>
                <w:szCs w:val="21"/>
                <w:highlight w:val="none"/>
              </w:rPr>
            </w:pPr>
          </w:p>
          <w:p w14:paraId="331A79C1">
            <w:pPr>
              <w:pStyle w:val="18"/>
              <w:adjustRightInd w:val="0"/>
              <w:snapToGrid w:val="0"/>
              <w:spacing w:before="0" w:beforeAutospacing="0" w:after="0" w:afterAutospacing="0"/>
              <w:jc w:val="center"/>
              <w:outlineLvl w:val="0"/>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要素</w:t>
            </w:r>
          </w:p>
        </w:tc>
        <w:tc>
          <w:tcPr>
            <w:tcW w:w="2338" w:type="pct"/>
            <w:gridSpan w:val="2"/>
            <w:noWrap w:val="0"/>
            <w:vAlign w:val="center"/>
          </w:tcPr>
          <w:p w14:paraId="5C15DF80">
            <w:pPr>
              <w:pStyle w:val="18"/>
              <w:adjustRightInd w:val="0"/>
              <w:snapToGrid w:val="0"/>
              <w:spacing w:before="0" w:beforeAutospacing="0" w:after="0" w:afterAutospacing="0"/>
              <w:jc w:val="center"/>
              <w:outlineLvl w:val="0"/>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施工期</w:t>
            </w:r>
          </w:p>
        </w:tc>
        <w:tc>
          <w:tcPr>
            <w:tcW w:w="1798" w:type="pct"/>
            <w:gridSpan w:val="2"/>
            <w:noWrap w:val="0"/>
            <w:vAlign w:val="center"/>
          </w:tcPr>
          <w:p w14:paraId="60C553DD">
            <w:pPr>
              <w:pStyle w:val="18"/>
              <w:adjustRightInd w:val="0"/>
              <w:snapToGrid w:val="0"/>
              <w:spacing w:before="0" w:beforeAutospacing="0" w:after="0" w:afterAutospacing="0"/>
              <w:jc w:val="center"/>
              <w:outlineLvl w:val="0"/>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运营期</w:t>
            </w:r>
          </w:p>
        </w:tc>
      </w:tr>
      <w:tr w14:paraId="501AAA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862" w:type="pct"/>
            <w:vMerge w:val="continue"/>
            <w:noWrap w:val="0"/>
            <w:vAlign w:val="center"/>
          </w:tcPr>
          <w:p w14:paraId="681AAE6F">
            <w:pPr>
              <w:pStyle w:val="18"/>
              <w:adjustRightInd w:val="0"/>
              <w:snapToGrid w:val="0"/>
              <w:spacing w:before="0" w:beforeAutospacing="0" w:after="0" w:afterAutospacing="0"/>
              <w:ind w:firstLine="840"/>
              <w:jc w:val="center"/>
              <w:outlineLvl w:val="0"/>
              <w:rPr>
                <w:rFonts w:hint="eastAsia" w:ascii="宋体" w:hAnsi="宋体" w:eastAsia="宋体" w:cs="宋体"/>
                <w:kern w:val="2"/>
                <w:sz w:val="21"/>
                <w:szCs w:val="21"/>
                <w:highlight w:val="none"/>
              </w:rPr>
            </w:pPr>
          </w:p>
        </w:tc>
        <w:tc>
          <w:tcPr>
            <w:tcW w:w="1169" w:type="pct"/>
            <w:noWrap w:val="0"/>
            <w:vAlign w:val="center"/>
          </w:tcPr>
          <w:p w14:paraId="71DE97EF">
            <w:pPr>
              <w:pStyle w:val="18"/>
              <w:adjustRightInd w:val="0"/>
              <w:snapToGrid w:val="0"/>
              <w:spacing w:before="0" w:beforeAutospacing="0" w:after="0" w:afterAutospacing="0"/>
              <w:jc w:val="center"/>
              <w:outlineLvl w:val="0"/>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环境保护措施</w:t>
            </w:r>
          </w:p>
        </w:tc>
        <w:tc>
          <w:tcPr>
            <w:tcW w:w="1169" w:type="pct"/>
            <w:noWrap w:val="0"/>
            <w:vAlign w:val="center"/>
          </w:tcPr>
          <w:p w14:paraId="5E70E4BE">
            <w:pPr>
              <w:pStyle w:val="18"/>
              <w:adjustRightInd w:val="0"/>
              <w:snapToGrid w:val="0"/>
              <w:spacing w:before="0" w:beforeAutospacing="0" w:after="0" w:afterAutospacing="0"/>
              <w:jc w:val="center"/>
              <w:outlineLvl w:val="0"/>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验收要求</w:t>
            </w:r>
          </w:p>
        </w:tc>
        <w:tc>
          <w:tcPr>
            <w:tcW w:w="954" w:type="pct"/>
            <w:noWrap w:val="0"/>
            <w:vAlign w:val="center"/>
          </w:tcPr>
          <w:p w14:paraId="0B4392F9">
            <w:pPr>
              <w:pStyle w:val="18"/>
              <w:adjustRightInd w:val="0"/>
              <w:snapToGrid w:val="0"/>
              <w:spacing w:before="0" w:beforeAutospacing="0" w:after="0" w:afterAutospacing="0"/>
              <w:jc w:val="center"/>
              <w:outlineLvl w:val="0"/>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环境保护措施</w:t>
            </w:r>
          </w:p>
        </w:tc>
        <w:tc>
          <w:tcPr>
            <w:tcW w:w="844" w:type="pct"/>
            <w:noWrap w:val="0"/>
            <w:vAlign w:val="center"/>
          </w:tcPr>
          <w:p w14:paraId="143A4802">
            <w:pPr>
              <w:pStyle w:val="18"/>
              <w:adjustRightInd w:val="0"/>
              <w:snapToGrid w:val="0"/>
              <w:spacing w:before="0" w:beforeAutospacing="0" w:after="0" w:afterAutospacing="0"/>
              <w:jc w:val="center"/>
              <w:outlineLvl w:val="0"/>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验收要求</w:t>
            </w:r>
          </w:p>
        </w:tc>
      </w:tr>
      <w:tr w14:paraId="057A4A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2" w:type="pct"/>
            <w:noWrap w:val="0"/>
            <w:vAlign w:val="center"/>
          </w:tcPr>
          <w:p w14:paraId="024C114C">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陆生生态</w:t>
            </w:r>
          </w:p>
        </w:tc>
        <w:tc>
          <w:tcPr>
            <w:tcW w:w="1169" w:type="pct"/>
            <w:noWrap w:val="0"/>
            <w:vAlign w:val="center"/>
          </w:tcPr>
          <w:p w14:paraId="11D9BF6A">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①</w:t>
            </w:r>
            <w:r>
              <w:rPr>
                <w:rFonts w:hint="eastAsia" w:ascii="Times New Roman" w:hAnsi="Times New Roman" w:eastAsia="宋体" w:cs="Times New Roman"/>
                <w:sz w:val="21"/>
                <w:szCs w:val="21"/>
                <w:highlight w:val="none"/>
                <w:lang w:val="en-US" w:eastAsia="zh-CN"/>
              </w:rPr>
              <w:t>严格</w:t>
            </w:r>
            <w:r>
              <w:rPr>
                <w:rFonts w:hint="default" w:ascii="Times New Roman" w:hAnsi="Times New Roman" w:eastAsia="宋体" w:cs="Times New Roman"/>
                <w:sz w:val="21"/>
                <w:szCs w:val="21"/>
                <w:highlight w:val="none"/>
                <w:lang w:val="en-US" w:eastAsia="zh-CN"/>
              </w:rPr>
              <w:t>采取限制</w:t>
            </w:r>
            <w:r>
              <w:rPr>
                <w:rFonts w:hint="eastAsia" w:cs="Times New Roman"/>
                <w:sz w:val="21"/>
                <w:szCs w:val="21"/>
                <w:highlight w:val="none"/>
                <w:lang w:val="en-US" w:eastAsia="zh-CN"/>
              </w:rPr>
              <w:t>超载</w:t>
            </w:r>
            <w:r>
              <w:rPr>
                <w:rFonts w:hint="default" w:ascii="Times New Roman" w:hAnsi="Times New Roman" w:eastAsia="宋体" w:cs="Times New Roman"/>
                <w:sz w:val="21"/>
                <w:szCs w:val="21"/>
                <w:highlight w:val="none"/>
                <w:lang w:val="en-US" w:eastAsia="zh-CN"/>
              </w:rPr>
              <w:t>、限制超速</w:t>
            </w:r>
            <w:r>
              <w:rPr>
                <w:rFonts w:hint="eastAsia" w:cs="Times New Roman"/>
                <w:sz w:val="21"/>
                <w:szCs w:val="21"/>
                <w:highlight w:val="none"/>
                <w:lang w:val="en-US" w:eastAsia="zh-CN"/>
              </w:rPr>
              <w:t>措施</w:t>
            </w:r>
            <w:r>
              <w:rPr>
                <w:rFonts w:hint="default" w:ascii="Times New Roman" w:hAnsi="Times New Roman" w:eastAsia="宋体" w:cs="Times New Roman"/>
                <w:sz w:val="21"/>
                <w:szCs w:val="21"/>
                <w:highlight w:val="none"/>
              </w:rPr>
              <w:t>。②现场施工机械和人员活动范围严格限在作业带范围内，尽量减少施工破坏面，同时避免在大风天气下进行施工作业；</w:t>
            </w:r>
            <w:r>
              <w:rPr>
                <w:rFonts w:hint="eastAsia" w:ascii="Times New Roman" w:hAnsi="Times New Roman" w:eastAsia="宋体" w:cs="Times New Roman"/>
                <w:sz w:val="21"/>
                <w:szCs w:val="21"/>
                <w:highlight w:val="none"/>
              </w:rPr>
              <w:t>③</w:t>
            </w:r>
            <w:r>
              <w:rPr>
                <w:rFonts w:hint="default" w:ascii="Times New Roman" w:hAnsi="Times New Roman" w:eastAsia="宋体" w:cs="Times New Roman"/>
                <w:sz w:val="21"/>
                <w:szCs w:val="21"/>
                <w:highlight w:val="none"/>
              </w:rPr>
              <w:t>项目施工材料及设备尽量分拆改小</w:t>
            </w:r>
            <w:r>
              <w:rPr>
                <w:rFonts w:hint="eastAsia" w:ascii="Times New Roman" w:hAnsi="Times New Roman" w:eastAsia="宋体" w:cs="Times New Roman"/>
                <w:sz w:val="21"/>
                <w:szCs w:val="21"/>
                <w:highlight w:val="none"/>
                <w:lang w:val="en-US" w:eastAsia="zh-CN"/>
              </w:rPr>
              <w:t>以减少对周边环境的影响</w:t>
            </w:r>
            <w:r>
              <w:rPr>
                <w:rFonts w:hint="default" w:ascii="Times New Roman" w:hAnsi="Times New Roman" w:eastAsia="宋体" w:cs="Times New Roman"/>
                <w:sz w:val="21"/>
                <w:szCs w:val="21"/>
                <w:highlight w:val="none"/>
              </w:rPr>
              <w:t>。</w:t>
            </w:r>
            <w:r>
              <w:rPr>
                <w:rFonts w:hint="eastAsia" w:ascii="Times New Roman" w:hAnsi="Times New Roman" w:eastAsia="宋体" w:cs="Times New Roman"/>
                <w:sz w:val="21"/>
                <w:szCs w:val="21"/>
                <w:highlight w:val="none"/>
              </w:rPr>
              <w:t>④</w:t>
            </w:r>
            <w:r>
              <w:rPr>
                <w:rFonts w:hint="default" w:ascii="Times New Roman" w:hAnsi="Times New Roman" w:eastAsia="宋体" w:cs="Times New Roman"/>
                <w:sz w:val="21"/>
                <w:szCs w:val="21"/>
                <w:highlight w:val="none"/>
              </w:rPr>
              <w:t>施工</w:t>
            </w:r>
            <w:r>
              <w:rPr>
                <w:rFonts w:hint="eastAsia" w:cs="Times New Roman"/>
                <w:sz w:val="21"/>
                <w:szCs w:val="21"/>
                <w:highlight w:val="none"/>
                <w:lang w:eastAsia="zh-CN"/>
              </w:rPr>
              <w:t>单位要</w:t>
            </w:r>
            <w:r>
              <w:rPr>
                <w:rFonts w:hint="eastAsia"/>
                <w:sz w:val="21"/>
                <w:szCs w:val="21"/>
                <w:highlight w:val="none"/>
              </w:rPr>
              <w:t>加强施工设备的维护保养</w:t>
            </w:r>
            <w:r>
              <w:rPr>
                <w:rFonts w:hint="eastAsia" w:ascii="Times New Roman" w:hAnsi="Times New Roman" w:eastAsia="宋体" w:cs="Times New Roman"/>
                <w:sz w:val="21"/>
                <w:szCs w:val="21"/>
                <w:highlight w:val="none"/>
                <w:lang w:eastAsia="zh-CN"/>
              </w:rPr>
              <w:t>。⑤</w:t>
            </w:r>
            <w:r>
              <w:rPr>
                <w:rFonts w:hint="default" w:ascii="Times New Roman" w:hAnsi="Times New Roman" w:eastAsia="宋体" w:cs="Times New Roman"/>
                <w:sz w:val="21"/>
                <w:szCs w:val="21"/>
                <w:highlight w:val="none"/>
                <w:lang w:val="en-US" w:eastAsia="zh-CN"/>
              </w:rPr>
              <w:t>施工过程中如对</w:t>
            </w:r>
            <w:r>
              <w:rPr>
                <w:rFonts w:hint="eastAsia" w:ascii="Times New Roman" w:hAnsi="Times New Roman" w:eastAsia="宋体" w:cs="Times New Roman"/>
                <w:sz w:val="21"/>
                <w:szCs w:val="21"/>
                <w:highlight w:val="none"/>
                <w:lang w:val="en-US" w:eastAsia="zh-CN"/>
              </w:rPr>
              <w:t>厂区外草地</w:t>
            </w:r>
            <w:r>
              <w:rPr>
                <w:rFonts w:hint="default" w:ascii="Times New Roman" w:hAnsi="Times New Roman" w:eastAsia="宋体" w:cs="Times New Roman"/>
                <w:sz w:val="21"/>
                <w:szCs w:val="21"/>
                <w:highlight w:val="none"/>
                <w:lang w:val="en-US" w:eastAsia="zh-CN"/>
              </w:rPr>
              <w:t>造成局部损伤，应在施工结束后及时采取植被恢复措施，必要时进行草籽补播，促进植被自然恢复</w:t>
            </w:r>
            <w:r>
              <w:rPr>
                <w:rFonts w:hint="eastAsia" w:ascii="Times New Roman" w:hAnsi="Times New Roman" w:eastAsia="宋体" w:cs="Times New Roman"/>
                <w:sz w:val="21"/>
                <w:szCs w:val="21"/>
                <w:highlight w:val="none"/>
                <w:lang w:val="en-US" w:eastAsia="zh-CN"/>
              </w:rPr>
              <w:t>。</w:t>
            </w:r>
          </w:p>
        </w:tc>
        <w:tc>
          <w:tcPr>
            <w:tcW w:w="1169" w:type="pct"/>
            <w:noWrap w:val="0"/>
            <w:vAlign w:val="center"/>
          </w:tcPr>
          <w:p w14:paraId="39CD4370">
            <w:pPr>
              <w:adjustRightInd w:val="0"/>
              <w:snapToGrid w:val="0"/>
              <w:jc w:val="center"/>
              <w:rPr>
                <w:rFonts w:hint="eastAsia"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rPr>
              <w:t>①</w:t>
            </w:r>
            <w:r>
              <w:rPr>
                <w:rFonts w:hint="eastAsia" w:ascii="Times New Roman" w:hAnsi="Times New Roman" w:eastAsia="宋体" w:cs="Times New Roman"/>
                <w:sz w:val="21"/>
                <w:szCs w:val="21"/>
                <w:highlight w:val="none"/>
                <w:lang w:val="en-US" w:eastAsia="zh-CN"/>
              </w:rPr>
              <w:t>严格</w:t>
            </w:r>
            <w:r>
              <w:rPr>
                <w:rFonts w:hint="default" w:ascii="Times New Roman" w:hAnsi="Times New Roman" w:eastAsia="宋体" w:cs="Times New Roman"/>
                <w:sz w:val="21"/>
                <w:szCs w:val="21"/>
                <w:highlight w:val="none"/>
                <w:lang w:val="en-US" w:eastAsia="zh-CN"/>
              </w:rPr>
              <w:t>采取限制</w:t>
            </w:r>
            <w:r>
              <w:rPr>
                <w:rFonts w:hint="eastAsia" w:cs="Times New Roman"/>
                <w:sz w:val="21"/>
                <w:szCs w:val="21"/>
                <w:highlight w:val="none"/>
                <w:lang w:val="en-US" w:eastAsia="zh-CN"/>
              </w:rPr>
              <w:t>超载</w:t>
            </w:r>
            <w:r>
              <w:rPr>
                <w:rFonts w:hint="default" w:ascii="Times New Roman" w:hAnsi="Times New Roman" w:eastAsia="宋体" w:cs="Times New Roman"/>
                <w:sz w:val="21"/>
                <w:szCs w:val="21"/>
                <w:highlight w:val="none"/>
                <w:lang w:val="en-US" w:eastAsia="zh-CN"/>
              </w:rPr>
              <w:t>、限制超速</w:t>
            </w:r>
            <w:r>
              <w:rPr>
                <w:rFonts w:hint="eastAsia" w:cs="Times New Roman"/>
                <w:sz w:val="21"/>
                <w:szCs w:val="21"/>
                <w:highlight w:val="none"/>
                <w:lang w:val="en-US" w:eastAsia="zh-CN"/>
              </w:rPr>
              <w:t>措施</w:t>
            </w:r>
            <w:r>
              <w:rPr>
                <w:rFonts w:hint="default" w:ascii="Times New Roman" w:hAnsi="Times New Roman" w:eastAsia="宋体" w:cs="Times New Roman"/>
                <w:sz w:val="21"/>
                <w:szCs w:val="21"/>
                <w:highlight w:val="none"/>
              </w:rPr>
              <w:t>。②现场施工机械和人员活动范围严格限在作业带范围内，尽量减少施工破坏面，同时避免在大风天气下进行施工作业；</w:t>
            </w:r>
            <w:r>
              <w:rPr>
                <w:rFonts w:hint="eastAsia" w:ascii="Times New Roman" w:hAnsi="Times New Roman" w:eastAsia="宋体" w:cs="Times New Roman"/>
                <w:sz w:val="21"/>
                <w:szCs w:val="21"/>
                <w:highlight w:val="none"/>
              </w:rPr>
              <w:t>③</w:t>
            </w:r>
            <w:r>
              <w:rPr>
                <w:rFonts w:hint="default" w:ascii="Times New Roman" w:hAnsi="Times New Roman" w:eastAsia="宋体" w:cs="Times New Roman"/>
                <w:sz w:val="21"/>
                <w:szCs w:val="21"/>
                <w:highlight w:val="none"/>
              </w:rPr>
              <w:t>项目施工材料及设备尽量分拆</w:t>
            </w:r>
            <w:r>
              <w:rPr>
                <w:rFonts w:hint="eastAsia" w:cs="Times New Roman"/>
                <w:sz w:val="21"/>
                <w:szCs w:val="21"/>
                <w:highlight w:val="none"/>
                <w:lang w:val="en-US" w:eastAsia="zh-CN"/>
              </w:rPr>
              <w:t>改小以</w:t>
            </w:r>
            <w:r>
              <w:rPr>
                <w:rFonts w:hint="eastAsia" w:ascii="Times New Roman" w:hAnsi="Times New Roman" w:eastAsia="宋体" w:cs="Times New Roman"/>
                <w:sz w:val="21"/>
                <w:szCs w:val="21"/>
                <w:highlight w:val="none"/>
                <w:lang w:val="en-US" w:eastAsia="zh-CN"/>
              </w:rPr>
              <w:t>减少对周边环境的影响</w:t>
            </w:r>
            <w:r>
              <w:rPr>
                <w:rFonts w:hint="default" w:ascii="Times New Roman" w:hAnsi="Times New Roman" w:eastAsia="宋体" w:cs="Times New Roman"/>
                <w:sz w:val="21"/>
                <w:szCs w:val="21"/>
                <w:highlight w:val="none"/>
              </w:rPr>
              <w:t>。</w:t>
            </w:r>
            <w:r>
              <w:rPr>
                <w:rFonts w:hint="eastAsia" w:ascii="Times New Roman" w:hAnsi="Times New Roman" w:eastAsia="宋体" w:cs="Times New Roman"/>
                <w:sz w:val="21"/>
                <w:szCs w:val="21"/>
                <w:highlight w:val="none"/>
              </w:rPr>
              <w:t>④</w:t>
            </w:r>
            <w:r>
              <w:rPr>
                <w:rFonts w:hint="default" w:ascii="Times New Roman" w:hAnsi="Times New Roman" w:eastAsia="宋体" w:cs="Times New Roman"/>
                <w:sz w:val="21"/>
                <w:szCs w:val="21"/>
                <w:highlight w:val="none"/>
              </w:rPr>
              <w:t>施工</w:t>
            </w:r>
            <w:r>
              <w:rPr>
                <w:rFonts w:hint="eastAsia" w:cs="Times New Roman"/>
                <w:sz w:val="21"/>
                <w:szCs w:val="21"/>
                <w:highlight w:val="none"/>
                <w:lang w:eastAsia="zh-CN"/>
              </w:rPr>
              <w:t>单位要</w:t>
            </w:r>
            <w:r>
              <w:rPr>
                <w:rFonts w:hint="eastAsia"/>
                <w:sz w:val="21"/>
                <w:szCs w:val="21"/>
                <w:highlight w:val="none"/>
              </w:rPr>
              <w:t>加强施工设备的维护保养</w:t>
            </w:r>
            <w:r>
              <w:rPr>
                <w:rFonts w:hint="eastAsia" w:ascii="Times New Roman" w:hAnsi="Times New Roman" w:eastAsia="宋体" w:cs="Times New Roman"/>
                <w:sz w:val="21"/>
                <w:szCs w:val="21"/>
                <w:highlight w:val="none"/>
                <w:lang w:eastAsia="zh-CN"/>
              </w:rPr>
              <w:t>。⑤</w:t>
            </w:r>
            <w:r>
              <w:rPr>
                <w:rFonts w:hint="default" w:ascii="Times New Roman" w:hAnsi="Times New Roman" w:eastAsia="宋体" w:cs="Times New Roman"/>
                <w:sz w:val="21"/>
                <w:szCs w:val="21"/>
                <w:highlight w:val="none"/>
                <w:lang w:val="en-US" w:eastAsia="zh-CN"/>
              </w:rPr>
              <w:t>施工过程中如对</w:t>
            </w:r>
            <w:r>
              <w:rPr>
                <w:rFonts w:hint="eastAsia" w:ascii="Times New Roman" w:hAnsi="Times New Roman" w:eastAsia="宋体" w:cs="Times New Roman"/>
                <w:sz w:val="21"/>
                <w:szCs w:val="21"/>
                <w:highlight w:val="none"/>
                <w:lang w:val="en-US" w:eastAsia="zh-CN"/>
              </w:rPr>
              <w:t>厂区外草地</w:t>
            </w:r>
            <w:r>
              <w:rPr>
                <w:rFonts w:hint="default" w:ascii="Times New Roman" w:hAnsi="Times New Roman" w:eastAsia="宋体" w:cs="Times New Roman"/>
                <w:sz w:val="21"/>
                <w:szCs w:val="21"/>
                <w:highlight w:val="none"/>
                <w:lang w:val="en-US" w:eastAsia="zh-CN"/>
              </w:rPr>
              <w:t>造成局部损伤，应在施工结束后及时采取植被恢复措施，必要时进行草籽补播，促进植被自然恢复</w:t>
            </w:r>
            <w:r>
              <w:rPr>
                <w:rFonts w:hint="eastAsia" w:ascii="Times New Roman" w:hAnsi="Times New Roman" w:eastAsia="宋体" w:cs="Times New Roman"/>
                <w:sz w:val="21"/>
                <w:szCs w:val="21"/>
                <w:highlight w:val="none"/>
                <w:lang w:val="en-US" w:eastAsia="zh-CN"/>
              </w:rPr>
              <w:t>。</w:t>
            </w:r>
          </w:p>
        </w:tc>
        <w:tc>
          <w:tcPr>
            <w:tcW w:w="954" w:type="pct"/>
            <w:noWrap w:val="0"/>
            <w:vAlign w:val="center"/>
          </w:tcPr>
          <w:p w14:paraId="22CE1BF2">
            <w:pPr>
              <w:adjustRightInd w:val="0"/>
              <w:snapToGrid w:val="0"/>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w:t>
            </w:r>
          </w:p>
        </w:tc>
        <w:tc>
          <w:tcPr>
            <w:tcW w:w="844" w:type="pct"/>
            <w:noWrap w:val="0"/>
            <w:vAlign w:val="center"/>
          </w:tcPr>
          <w:p w14:paraId="44BE365E">
            <w:pPr>
              <w:adjustRightInd w:val="0"/>
              <w:snapToGrid w:val="0"/>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w:t>
            </w:r>
          </w:p>
        </w:tc>
      </w:tr>
      <w:tr w14:paraId="1B81F6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2" w:type="pct"/>
            <w:noWrap w:val="0"/>
            <w:vAlign w:val="center"/>
          </w:tcPr>
          <w:p w14:paraId="1CAF82FA">
            <w:pPr>
              <w:adjustRightInd w:val="0"/>
              <w:snapToGrid w:val="0"/>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水生生态</w:t>
            </w:r>
          </w:p>
        </w:tc>
        <w:tc>
          <w:tcPr>
            <w:tcW w:w="1169" w:type="pct"/>
            <w:noWrap w:val="0"/>
            <w:vAlign w:val="center"/>
          </w:tcPr>
          <w:p w14:paraId="64DCE344">
            <w:pPr>
              <w:adjustRightInd w:val="0"/>
              <w:snapToGrid w:val="0"/>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w:t>
            </w:r>
          </w:p>
        </w:tc>
        <w:tc>
          <w:tcPr>
            <w:tcW w:w="1169" w:type="pct"/>
            <w:noWrap w:val="0"/>
            <w:vAlign w:val="center"/>
          </w:tcPr>
          <w:p w14:paraId="7A271564">
            <w:pPr>
              <w:adjustRightInd w:val="0"/>
              <w:snapToGrid w:val="0"/>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w:t>
            </w:r>
          </w:p>
        </w:tc>
        <w:tc>
          <w:tcPr>
            <w:tcW w:w="954" w:type="pct"/>
            <w:noWrap w:val="0"/>
            <w:vAlign w:val="center"/>
          </w:tcPr>
          <w:p w14:paraId="5DED5EE8">
            <w:pPr>
              <w:adjustRightInd w:val="0"/>
              <w:snapToGrid w:val="0"/>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w:t>
            </w:r>
          </w:p>
        </w:tc>
        <w:tc>
          <w:tcPr>
            <w:tcW w:w="844" w:type="pct"/>
            <w:noWrap w:val="0"/>
            <w:vAlign w:val="center"/>
          </w:tcPr>
          <w:p w14:paraId="0BBE6933">
            <w:pPr>
              <w:adjustRightInd w:val="0"/>
              <w:snapToGrid w:val="0"/>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w:t>
            </w:r>
          </w:p>
        </w:tc>
      </w:tr>
      <w:tr w14:paraId="33C173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2" w:type="pct"/>
            <w:noWrap w:val="0"/>
            <w:vAlign w:val="center"/>
          </w:tcPr>
          <w:p w14:paraId="280EDCBC">
            <w:pPr>
              <w:adjustRightInd w:val="0"/>
              <w:snapToGrid w:val="0"/>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地表水环境</w:t>
            </w:r>
          </w:p>
        </w:tc>
        <w:tc>
          <w:tcPr>
            <w:tcW w:w="1169" w:type="pct"/>
            <w:noWrap w:val="0"/>
            <w:vAlign w:val="center"/>
          </w:tcPr>
          <w:p w14:paraId="4E2F27C8">
            <w:pPr>
              <w:adjustRightInd w:val="0"/>
              <w:snapToGrid w:val="0"/>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kern w:val="2"/>
                <w:sz w:val="21"/>
                <w:szCs w:val="21"/>
                <w:highlight w:val="none"/>
              </w:rPr>
              <w:t>施工期</w:t>
            </w:r>
            <w:r>
              <w:rPr>
                <w:rFonts w:hint="default" w:cs="Times New Roman"/>
                <w:kern w:val="2"/>
                <w:sz w:val="21"/>
                <w:szCs w:val="21"/>
                <w:highlight w:val="none"/>
                <w:lang w:val="en-US" w:eastAsia="zh-CN"/>
              </w:rPr>
              <w:t>试压</w:t>
            </w:r>
            <w:r>
              <w:rPr>
                <w:rFonts w:hint="default" w:ascii="Times New Roman" w:hAnsi="Times New Roman" w:eastAsia="宋体" w:cs="Times New Roman"/>
                <w:kern w:val="2"/>
                <w:sz w:val="21"/>
                <w:szCs w:val="21"/>
                <w:highlight w:val="none"/>
              </w:rPr>
              <w:t>废水</w:t>
            </w:r>
            <w:r>
              <w:rPr>
                <w:rFonts w:hint="default" w:cs="Times New Roman"/>
                <w:kern w:val="2"/>
                <w:sz w:val="21"/>
                <w:szCs w:val="21"/>
                <w:highlight w:val="none"/>
                <w:lang w:val="en-US" w:eastAsia="zh-CN"/>
              </w:rPr>
              <w:t>产生后通过罐车运输至伊泰化工</w:t>
            </w:r>
            <w:r>
              <w:rPr>
                <w:rFonts w:hint="default" w:ascii="Times New Roman" w:hAnsi="Times New Roman" w:eastAsia="宋体" w:cs="Times New Roman"/>
                <w:kern w:val="2"/>
                <w:sz w:val="21"/>
                <w:szCs w:val="21"/>
                <w:highlight w:val="none"/>
              </w:rPr>
              <w:t>厂区内现有</w:t>
            </w:r>
            <w:r>
              <w:rPr>
                <w:rFonts w:hint="default" w:cs="Times New Roman"/>
                <w:sz w:val="21"/>
                <w:szCs w:val="21"/>
                <w:highlight w:val="none"/>
              </w:rPr>
              <w:t>污水处理站废水处理及回用清净废水处理单元</w:t>
            </w:r>
            <w:r>
              <w:rPr>
                <w:rFonts w:hint="default" w:ascii="Times New Roman" w:hAnsi="Times New Roman" w:eastAsia="宋体" w:cs="Times New Roman"/>
                <w:kern w:val="2"/>
                <w:sz w:val="21"/>
                <w:szCs w:val="21"/>
                <w:highlight w:val="none"/>
              </w:rPr>
              <w:t>，处理后回用，不外排。</w:t>
            </w:r>
          </w:p>
        </w:tc>
        <w:tc>
          <w:tcPr>
            <w:tcW w:w="1169" w:type="pct"/>
            <w:noWrap w:val="0"/>
            <w:vAlign w:val="center"/>
          </w:tcPr>
          <w:p w14:paraId="61D5F0E4">
            <w:pPr>
              <w:adjustRightInd w:val="0"/>
              <w:snapToGrid w:val="0"/>
              <w:jc w:val="center"/>
              <w:rPr>
                <w:rFonts w:hint="default" w:ascii="Times New Roman" w:hAnsi="Times New Roman" w:cs="Times New Roman"/>
                <w:sz w:val="21"/>
                <w:szCs w:val="21"/>
                <w:highlight w:val="none"/>
                <w:lang w:val="en-US"/>
              </w:rPr>
            </w:pPr>
            <w:r>
              <w:rPr>
                <w:rFonts w:hint="default" w:ascii="Times New Roman" w:hAnsi="Times New Roman" w:eastAsia="宋体" w:cs="Times New Roman"/>
                <w:kern w:val="2"/>
                <w:sz w:val="21"/>
                <w:szCs w:val="21"/>
                <w:highlight w:val="none"/>
              </w:rPr>
              <w:t>施工期</w:t>
            </w:r>
            <w:r>
              <w:rPr>
                <w:rFonts w:hint="default" w:cs="Times New Roman"/>
                <w:kern w:val="2"/>
                <w:sz w:val="21"/>
                <w:szCs w:val="21"/>
                <w:highlight w:val="none"/>
                <w:lang w:val="en-US" w:eastAsia="zh-CN"/>
              </w:rPr>
              <w:t>试压</w:t>
            </w:r>
            <w:r>
              <w:rPr>
                <w:rFonts w:hint="default" w:ascii="Times New Roman" w:hAnsi="Times New Roman" w:eastAsia="宋体" w:cs="Times New Roman"/>
                <w:kern w:val="2"/>
                <w:sz w:val="21"/>
                <w:szCs w:val="21"/>
                <w:highlight w:val="none"/>
              </w:rPr>
              <w:t>废水</w:t>
            </w:r>
            <w:r>
              <w:rPr>
                <w:rFonts w:hint="default" w:cs="Times New Roman"/>
                <w:kern w:val="2"/>
                <w:sz w:val="21"/>
                <w:szCs w:val="21"/>
                <w:highlight w:val="none"/>
                <w:lang w:val="en-US" w:eastAsia="zh-CN"/>
              </w:rPr>
              <w:t>产生后通过罐车运输至伊泰化工</w:t>
            </w:r>
            <w:r>
              <w:rPr>
                <w:rFonts w:hint="default" w:ascii="Times New Roman" w:hAnsi="Times New Roman" w:eastAsia="宋体" w:cs="Times New Roman"/>
                <w:kern w:val="2"/>
                <w:sz w:val="21"/>
                <w:szCs w:val="21"/>
                <w:highlight w:val="none"/>
              </w:rPr>
              <w:t>厂区内现有</w:t>
            </w:r>
            <w:r>
              <w:rPr>
                <w:rFonts w:hint="default" w:cs="Times New Roman"/>
                <w:sz w:val="21"/>
                <w:szCs w:val="21"/>
                <w:highlight w:val="none"/>
              </w:rPr>
              <w:t>污水处理站废水处理及回用清净废水处理单元</w:t>
            </w:r>
            <w:r>
              <w:rPr>
                <w:rFonts w:hint="default" w:ascii="Times New Roman" w:hAnsi="Times New Roman" w:eastAsia="宋体" w:cs="Times New Roman"/>
                <w:kern w:val="2"/>
                <w:sz w:val="21"/>
                <w:szCs w:val="21"/>
                <w:highlight w:val="none"/>
              </w:rPr>
              <w:t>，处理后回用，不外排。</w:t>
            </w:r>
          </w:p>
        </w:tc>
        <w:tc>
          <w:tcPr>
            <w:tcW w:w="954" w:type="pct"/>
            <w:noWrap w:val="0"/>
            <w:vAlign w:val="center"/>
          </w:tcPr>
          <w:p w14:paraId="483B26EE">
            <w:pPr>
              <w:spacing w:line="240" w:lineRule="atLeast"/>
              <w:jc w:val="center"/>
              <w:textAlignment w:val="center"/>
              <w:rPr>
                <w:rFonts w:hint="default" w:ascii="Times New Roman" w:hAnsi="Times New Roman" w:cs="Times New Roman"/>
                <w:sz w:val="21"/>
                <w:szCs w:val="21"/>
                <w:highlight w:val="none"/>
              </w:rPr>
            </w:pPr>
            <w:r>
              <w:rPr>
                <w:rFonts w:hint="eastAsia" w:cs="Times New Roman"/>
                <w:sz w:val="21"/>
                <w:szCs w:val="21"/>
                <w:highlight w:val="none"/>
                <w:lang w:val="en-US" w:eastAsia="zh-CN"/>
              </w:rPr>
              <w:t>加强</w:t>
            </w:r>
            <w:r>
              <w:rPr>
                <w:rFonts w:hint="default" w:ascii="Times New Roman" w:hAnsi="Times New Roman" w:cs="Times New Roman"/>
                <w:sz w:val="21"/>
                <w:szCs w:val="21"/>
                <w:highlight w:val="none"/>
              </w:rPr>
              <w:t>管线巡检</w:t>
            </w:r>
          </w:p>
        </w:tc>
        <w:tc>
          <w:tcPr>
            <w:tcW w:w="844" w:type="pct"/>
            <w:noWrap w:val="0"/>
            <w:vAlign w:val="center"/>
          </w:tcPr>
          <w:p w14:paraId="3DB9B3EF">
            <w:pPr>
              <w:adjustRightInd w:val="0"/>
              <w:snapToGrid w:val="0"/>
              <w:jc w:val="center"/>
              <w:rPr>
                <w:rFonts w:hint="default" w:ascii="Times New Roman" w:hAnsi="Times New Roman" w:eastAsia="宋体" w:cs="Times New Roman"/>
                <w:color w:val="1900FF"/>
                <w:sz w:val="21"/>
                <w:szCs w:val="21"/>
                <w:highlight w:val="none"/>
                <w:lang w:val="en-US" w:eastAsia="zh-CN"/>
              </w:rPr>
            </w:pPr>
            <w:r>
              <w:rPr>
                <w:rFonts w:hint="default" w:ascii="Times New Roman" w:hAnsi="Times New Roman" w:cs="Times New Roman"/>
                <w:sz w:val="21"/>
                <w:szCs w:val="21"/>
                <w:highlight w:val="none"/>
              </w:rPr>
              <w:t>制定巡检制度，落实巡检</w:t>
            </w:r>
            <w:r>
              <w:rPr>
                <w:rFonts w:hint="eastAsia" w:cs="Times New Roman"/>
                <w:sz w:val="21"/>
                <w:szCs w:val="21"/>
                <w:highlight w:val="none"/>
                <w:lang w:eastAsia="zh-CN"/>
              </w:rPr>
              <w:t>、</w:t>
            </w:r>
            <w:r>
              <w:rPr>
                <w:rFonts w:hint="default" w:ascii="Times New Roman" w:hAnsi="Times New Roman" w:cs="Times New Roman"/>
                <w:sz w:val="21"/>
                <w:szCs w:val="21"/>
                <w:highlight w:val="none"/>
              </w:rPr>
              <w:t>记录台账</w:t>
            </w:r>
          </w:p>
        </w:tc>
      </w:tr>
      <w:tr w14:paraId="4CB1B4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2" w:type="pct"/>
            <w:noWrap w:val="0"/>
            <w:vAlign w:val="center"/>
          </w:tcPr>
          <w:p w14:paraId="73866874">
            <w:pPr>
              <w:adjustRightInd w:val="0"/>
              <w:snapToGrid w:val="0"/>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地下水及土壤环境</w:t>
            </w:r>
          </w:p>
        </w:tc>
        <w:tc>
          <w:tcPr>
            <w:tcW w:w="1169" w:type="pct"/>
            <w:noWrap w:val="0"/>
            <w:vAlign w:val="center"/>
          </w:tcPr>
          <w:p w14:paraId="5EE057CC">
            <w:pPr>
              <w:adjustRightInd w:val="0"/>
              <w:snapToGrid w:val="0"/>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w:t>
            </w:r>
          </w:p>
        </w:tc>
        <w:tc>
          <w:tcPr>
            <w:tcW w:w="1169" w:type="pct"/>
            <w:noWrap w:val="0"/>
            <w:vAlign w:val="center"/>
          </w:tcPr>
          <w:p w14:paraId="69B35CF7">
            <w:pPr>
              <w:adjustRightInd w:val="0"/>
              <w:snapToGrid w:val="0"/>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w:t>
            </w:r>
          </w:p>
        </w:tc>
        <w:tc>
          <w:tcPr>
            <w:tcW w:w="954" w:type="pct"/>
            <w:noWrap w:val="0"/>
            <w:vAlign w:val="center"/>
          </w:tcPr>
          <w:p w14:paraId="2111F53E">
            <w:pPr>
              <w:spacing w:line="240" w:lineRule="atLeast"/>
              <w:jc w:val="center"/>
              <w:textAlignment w:val="center"/>
              <w:rPr>
                <w:rFonts w:hint="default" w:ascii="Times New Roman" w:hAnsi="Times New Roman" w:cs="Times New Roman"/>
                <w:sz w:val="21"/>
                <w:szCs w:val="21"/>
                <w:highlight w:val="none"/>
              </w:rPr>
            </w:pPr>
            <w:r>
              <w:rPr>
                <w:rFonts w:hint="eastAsia" w:cs="Times New Roman"/>
                <w:sz w:val="21"/>
                <w:szCs w:val="21"/>
                <w:highlight w:val="none"/>
                <w:lang w:val="en-US" w:eastAsia="zh-CN"/>
              </w:rPr>
              <w:t>加强</w:t>
            </w:r>
            <w:r>
              <w:rPr>
                <w:rFonts w:hint="default" w:ascii="Times New Roman" w:hAnsi="Times New Roman" w:cs="Times New Roman"/>
                <w:sz w:val="21"/>
                <w:szCs w:val="21"/>
                <w:highlight w:val="none"/>
              </w:rPr>
              <w:t>管线巡检</w:t>
            </w:r>
          </w:p>
        </w:tc>
        <w:tc>
          <w:tcPr>
            <w:tcW w:w="844" w:type="pct"/>
            <w:noWrap w:val="0"/>
            <w:vAlign w:val="center"/>
          </w:tcPr>
          <w:p w14:paraId="2ABDF7E9">
            <w:pPr>
              <w:spacing w:line="240" w:lineRule="atLeast"/>
              <w:jc w:val="center"/>
              <w:textAlignment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制定巡检制度，落实巡检记录台账</w:t>
            </w:r>
          </w:p>
        </w:tc>
      </w:tr>
      <w:tr w14:paraId="3E582D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2" w:type="pct"/>
            <w:noWrap w:val="0"/>
            <w:vAlign w:val="center"/>
          </w:tcPr>
          <w:p w14:paraId="5D3DB83C">
            <w:pPr>
              <w:adjustRightInd w:val="0"/>
              <w:snapToGrid w:val="0"/>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声环境</w:t>
            </w:r>
          </w:p>
        </w:tc>
        <w:tc>
          <w:tcPr>
            <w:tcW w:w="1169" w:type="pct"/>
            <w:noWrap w:val="0"/>
            <w:vAlign w:val="center"/>
          </w:tcPr>
          <w:p w14:paraId="75DFF9EF">
            <w:pPr>
              <w:adjustRightInd w:val="0"/>
              <w:snapToGrid w:val="0"/>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施工车辆减速慢行；加强施工设备的维护保养，避免不正常高噪声排放。</w:t>
            </w:r>
          </w:p>
        </w:tc>
        <w:tc>
          <w:tcPr>
            <w:tcW w:w="1169" w:type="pct"/>
            <w:noWrap w:val="0"/>
            <w:vAlign w:val="center"/>
          </w:tcPr>
          <w:p w14:paraId="485ABD97">
            <w:pPr>
              <w:adjustRightInd w:val="0"/>
              <w:snapToGrid w:val="0"/>
              <w:jc w:val="center"/>
              <w:rPr>
                <w:rFonts w:hint="eastAsia" w:ascii="Times New Roman" w:hAnsi="Times New Roman" w:eastAsia="宋体" w:cs="Times New Roman"/>
                <w:sz w:val="21"/>
                <w:szCs w:val="21"/>
                <w:highlight w:val="none"/>
                <w:lang w:eastAsia="zh-CN"/>
              </w:rPr>
            </w:pPr>
            <w:r>
              <w:rPr>
                <w:rFonts w:hint="default" w:ascii="Times New Roman" w:hAnsi="Times New Roman" w:cs="Times New Roman"/>
                <w:sz w:val="21"/>
                <w:szCs w:val="21"/>
                <w:highlight w:val="none"/>
              </w:rPr>
              <w:t>施工期场界噪声符合《建筑施工场界环境噪声排放标准》（GB12523-2011）</w:t>
            </w:r>
            <w:r>
              <w:rPr>
                <w:rFonts w:hint="eastAsia" w:cs="Times New Roman"/>
                <w:sz w:val="21"/>
                <w:szCs w:val="21"/>
                <w:highlight w:val="none"/>
                <w:lang w:eastAsia="zh-CN"/>
              </w:rPr>
              <w:t>。</w:t>
            </w:r>
          </w:p>
        </w:tc>
        <w:tc>
          <w:tcPr>
            <w:tcW w:w="954" w:type="pct"/>
            <w:noWrap w:val="0"/>
            <w:vAlign w:val="center"/>
          </w:tcPr>
          <w:p w14:paraId="249B3ED2">
            <w:pPr>
              <w:spacing w:line="240" w:lineRule="atLeast"/>
              <w:jc w:val="center"/>
              <w:textAlignment w:val="center"/>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rPr>
              <w:t>选用低噪设备</w:t>
            </w:r>
            <w:r>
              <w:rPr>
                <w:rFonts w:hint="eastAsia" w:cs="Times New Roman"/>
                <w:sz w:val="21"/>
                <w:szCs w:val="21"/>
                <w:highlight w:val="none"/>
                <w:lang w:eastAsia="zh-CN"/>
              </w:rPr>
              <w:t>；设备设置有减振基础，采用室内布置；</w:t>
            </w:r>
          </w:p>
        </w:tc>
        <w:tc>
          <w:tcPr>
            <w:tcW w:w="844" w:type="pct"/>
            <w:noWrap w:val="0"/>
            <w:vAlign w:val="center"/>
          </w:tcPr>
          <w:p w14:paraId="71916B70">
            <w:pPr>
              <w:spacing w:line="240" w:lineRule="atLeast"/>
              <w:jc w:val="center"/>
              <w:textAlignment w:val="center"/>
              <w:rPr>
                <w:rFonts w:hint="eastAsia"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rPr>
              <w:t>噪声满足《工业企业厂界环境噪声排放标准》</w:t>
            </w:r>
            <w:r>
              <w:rPr>
                <w:rFonts w:hint="eastAsia" w:cs="Times New Roman"/>
                <w:sz w:val="21"/>
                <w:szCs w:val="21"/>
                <w:highlight w:val="none"/>
                <w:lang w:eastAsia="zh-CN"/>
              </w:rPr>
              <w:t>（</w:t>
            </w:r>
            <w:r>
              <w:rPr>
                <w:rFonts w:hint="default" w:ascii="Times New Roman" w:hAnsi="Times New Roman" w:cs="Times New Roman"/>
                <w:sz w:val="21"/>
                <w:szCs w:val="21"/>
                <w:highlight w:val="none"/>
              </w:rPr>
              <w:t>GB12348-2008</w:t>
            </w:r>
            <w:r>
              <w:rPr>
                <w:rFonts w:hint="eastAsia" w:cs="Times New Roman"/>
                <w:sz w:val="21"/>
                <w:szCs w:val="21"/>
                <w:highlight w:val="none"/>
                <w:lang w:eastAsia="zh-CN"/>
              </w:rPr>
              <w:t>）</w:t>
            </w:r>
            <w:r>
              <w:rPr>
                <w:rFonts w:hint="default" w:ascii="Times New Roman" w:hAnsi="Times New Roman" w:cs="Times New Roman"/>
                <w:sz w:val="21"/>
                <w:szCs w:val="21"/>
                <w:highlight w:val="none"/>
              </w:rPr>
              <w:t>中的3类标准</w:t>
            </w:r>
            <w:r>
              <w:rPr>
                <w:rFonts w:hint="eastAsia" w:cs="Times New Roman"/>
                <w:sz w:val="21"/>
                <w:szCs w:val="21"/>
                <w:highlight w:val="none"/>
                <w:lang w:eastAsia="zh-CN"/>
              </w:rPr>
              <w:t>。</w:t>
            </w:r>
          </w:p>
        </w:tc>
      </w:tr>
      <w:tr w14:paraId="3879D1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2" w:type="pct"/>
            <w:noWrap w:val="0"/>
            <w:vAlign w:val="center"/>
          </w:tcPr>
          <w:p w14:paraId="0E4B6A65">
            <w:pPr>
              <w:adjustRightInd w:val="0"/>
              <w:snapToGrid w:val="0"/>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振动</w:t>
            </w:r>
          </w:p>
        </w:tc>
        <w:tc>
          <w:tcPr>
            <w:tcW w:w="1169" w:type="pct"/>
            <w:noWrap w:val="0"/>
            <w:vAlign w:val="center"/>
          </w:tcPr>
          <w:p w14:paraId="3DD88EAA">
            <w:pPr>
              <w:adjustRightInd w:val="0"/>
              <w:snapToGrid w:val="0"/>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w:t>
            </w:r>
          </w:p>
        </w:tc>
        <w:tc>
          <w:tcPr>
            <w:tcW w:w="1169" w:type="pct"/>
            <w:noWrap w:val="0"/>
            <w:vAlign w:val="center"/>
          </w:tcPr>
          <w:p w14:paraId="0F1C3BE8">
            <w:pPr>
              <w:adjustRightInd w:val="0"/>
              <w:snapToGrid w:val="0"/>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w:t>
            </w:r>
          </w:p>
        </w:tc>
        <w:tc>
          <w:tcPr>
            <w:tcW w:w="954" w:type="pct"/>
            <w:noWrap w:val="0"/>
            <w:vAlign w:val="center"/>
          </w:tcPr>
          <w:p w14:paraId="21F41B46">
            <w:pPr>
              <w:spacing w:line="240" w:lineRule="atLeast"/>
              <w:jc w:val="center"/>
              <w:textAlignment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w:t>
            </w:r>
          </w:p>
        </w:tc>
        <w:tc>
          <w:tcPr>
            <w:tcW w:w="844" w:type="pct"/>
            <w:noWrap w:val="0"/>
            <w:vAlign w:val="center"/>
          </w:tcPr>
          <w:p w14:paraId="19B50FDD">
            <w:pPr>
              <w:spacing w:line="240" w:lineRule="atLeast"/>
              <w:jc w:val="center"/>
              <w:textAlignment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w:t>
            </w:r>
          </w:p>
        </w:tc>
      </w:tr>
      <w:tr w14:paraId="792151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2" w:type="pct"/>
            <w:noWrap w:val="0"/>
            <w:vAlign w:val="center"/>
          </w:tcPr>
          <w:p w14:paraId="3D8606FE">
            <w:pPr>
              <w:adjustRightInd w:val="0"/>
              <w:snapToGrid w:val="0"/>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大气环境</w:t>
            </w:r>
          </w:p>
        </w:tc>
        <w:tc>
          <w:tcPr>
            <w:tcW w:w="1169" w:type="pct"/>
            <w:noWrap w:val="0"/>
            <w:vAlign w:val="center"/>
          </w:tcPr>
          <w:p w14:paraId="09060ACE">
            <w:pPr>
              <w:adjustRightInd w:val="0"/>
              <w:snapToGrid w:val="0"/>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避开易起尘天气施工；运输车辆低速行驶、路面及现场定期</w:t>
            </w:r>
            <w:r>
              <w:rPr>
                <w:rFonts w:hint="eastAsia" w:cs="Times New Roman"/>
                <w:sz w:val="21"/>
                <w:szCs w:val="21"/>
                <w:highlight w:val="none"/>
                <w:lang w:eastAsia="zh-CN"/>
              </w:rPr>
              <w:t>洒水</w:t>
            </w:r>
            <w:r>
              <w:rPr>
                <w:rFonts w:hint="default" w:ascii="Times New Roman" w:hAnsi="Times New Roman" w:cs="Times New Roman"/>
                <w:sz w:val="21"/>
                <w:szCs w:val="21"/>
                <w:highlight w:val="none"/>
              </w:rPr>
              <w:t>。</w:t>
            </w:r>
          </w:p>
        </w:tc>
        <w:tc>
          <w:tcPr>
            <w:tcW w:w="1169" w:type="pct"/>
            <w:noWrap w:val="0"/>
            <w:vAlign w:val="center"/>
          </w:tcPr>
          <w:p w14:paraId="78C04C29">
            <w:pPr>
              <w:adjustRightInd w:val="0"/>
              <w:snapToGrid w:val="0"/>
              <w:jc w:val="center"/>
              <w:rPr>
                <w:rFonts w:hint="default" w:ascii="Times New Roman" w:hAnsi="Times New Roman" w:cs="Times New Roman"/>
                <w:sz w:val="21"/>
                <w:szCs w:val="21"/>
                <w:highlight w:val="none"/>
              </w:rPr>
            </w:pPr>
            <w:r>
              <w:rPr>
                <w:rFonts w:hint="default" w:ascii="Times New Roman" w:hAnsi="Times New Roman" w:cs="Times New Roman"/>
                <w:color w:val="000000"/>
                <w:kern w:val="0"/>
                <w:sz w:val="21"/>
                <w:szCs w:val="21"/>
                <w:highlight w:val="none"/>
              </w:rPr>
              <w:t>《大气污染物综合排放标准》（GB16297-1996）中表2标准限值</w:t>
            </w:r>
          </w:p>
        </w:tc>
        <w:tc>
          <w:tcPr>
            <w:tcW w:w="954" w:type="pct"/>
            <w:noWrap w:val="0"/>
            <w:vAlign w:val="center"/>
          </w:tcPr>
          <w:p w14:paraId="1A7E5C48">
            <w:pPr>
              <w:spacing w:line="240" w:lineRule="atLeast"/>
              <w:jc w:val="center"/>
              <w:textAlignment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定期巡检和维护，避免</w:t>
            </w:r>
            <w:r>
              <w:rPr>
                <w:rFonts w:hint="eastAsia" w:cs="Times New Roman"/>
                <w:sz w:val="21"/>
                <w:szCs w:val="21"/>
                <w:highlight w:val="none"/>
                <w:lang w:eastAsia="zh-CN"/>
              </w:rPr>
              <w:t>管道泄漏</w:t>
            </w:r>
            <w:r>
              <w:rPr>
                <w:rFonts w:hint="default" w:ascii="Times New Roman" w:hAnsi="Times New Roman" w:cs="Times New Roman"/>
                <w:sz w:val="21"/>
                <w:szCs w:val="21"/>
                <w:highlight w:val="none"/>
              </w:rPr>
              <w:t>。</w:t>
            </w:r>
          </w:p>
        </w:tc>
        <w:tc>
          <w:tcPr>
            <w:tcW w:w="844" w:type="pct"/>
            <w:noWrap w:val="0"/>
            <w:vAlign w:val="center"/>
          </w:tcPr>
          <w:p w14:paraId="1C81AD1C">
            <w:pPr>
              <w:spacing w:line="240" w:lineRule="atLeast"/>
              <w:jc w:val="center"/>
              <w:textAlignment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落实巡检和维护</w:t>
            </w:r>
            <w:r>
              <w:rPr>
                <w:rFonts w:hint="eastAsia" w:cs="Times New Roman"/>
                <w:sz w:val="21"/>
                <w:szCs w:val="21"/>
                <w:highlight w:val="none"/>
                <w:lang w:eastAsia="zh-CN"/>
              </w:rPr>
              <w:t>责任</w:t>
            </w:r>
            <w:r>
              <w:rPr>
                <w:rFonts w:hint="default" w:ascii="Times New Roman" w:hAnsi="Times New Roman" w:cs="Times New Roman"/>
                <w:sz w:val="21"/>
                <w:szCs w:val="21"/>
                <w:highlight w:val="none"/>
              </w:rPr>
              <w:t>。</w:t>
            </w:r>
          </w:p>
        </w:tc>
      </w:tr>
      <w:tr w14:paraId="009AF5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862" w:type="pct"/>
            <w:noWrap w:val="0"/>
            <w:vAlign w:val="center"/>
          </w:tcPr>
          <w:p w14:paraId="37A9AB41">
            <w:pPr>
              <w:adjustRightInd w:val="0"/>
              <w:snapToGrid w:val="0"/>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固体废物</w:t>
            </w:r>
          </w:p>
        </w:tc>
        <w:tc>
          <w:tcPr>
            <w:tcW w:w="1169" w:type="pct"/>
            <w:noWrap w:val="0"/>
            <w:vAlign w:val="center"/>
          </w:tcPr>
          <w:p w14:paraId="755DF861">
            <w:pPr>
              <w:adjustRightInd w:val="0"/>
              <w:snapToGrid w:val="0"/>
              <w:jc w:val="center"/>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施工废料</w:t>
            </w:r>
            <w:r>
              <w:rPr>
                <w:rFonts w:hint="eastAsia" w:ascii="Times New Roman" w:hAnsi="Times New Roman" w:eastAsia="宋体" w:cs="Times New Roman"/>
                <w:sz w:val="21"/>
                <w:szCs w:val="21"/>
                <w:highlight w:val="none"/>
              </w:rPr>
              <w:t>可以进行回收利用</w:t>
            </w:r>
            <w:r>
              <w:rPr>
                <w:rFonts w:hint="eastAsia" w:ascii="Times New Roman" w:hAnsi="Times New Roman" w:eastAsia="宋体" w:cs="Times New Roman"/>
                <w:sz w:val="21"/>
                <w:szCs w:val="21"/>
                <w:highlight w:val="none"/>
                <w:lang w:eastAsia="zh-CN"/>
              </w:rPr>
              <w:t>，</w:t>
            </w:r>
            <w:r>
              <w:rPr>
                <w:rFonts w:hint="eastAsia" w:ascii="Times New Roman" w:hAnsi="Times New Roman" w:eastAsia="宋体" w:cs="Times New Roman"/>
                <w:sz w:val="21"/>
                <w:szCs w:val="21"/>
                <w:highlight w:val="none"/>
                <w:lang w:val="en-US" w:eastAsia="zh-CN"/>
              </w:rPr>
              <w:t>或者</w:t>
            </w:r>
            <w:r>
              <w:rPr>
                <w:rFonts w:hint="eastAsia" w:ascii="Times New Roman" w:hAnsi="Times New Roman" w:eastAsia="宋体" w:cs="Times New Roman"/>
                <w:sz w:val="21"/>
                <w:szCs w:val="21"/>
                <w:highlight w:val="none"/>
              </w:rPr>
              <w:t>外售综合利用，对不能回收利用的运送至就近的建筑垃圾处理厂统一处理</w:t>
            </w:r>
            <w:r>
              <w:rPr>
                <w:rFonts w:hint="default" w:ascii="Times New Roman" w:hAnsi="Times New Roman" w:eastAsia="宋体" w:cs="Times New Roman"/>
                <w:sz w:val="21"/>
                <w:szCs w:val="21"/>
                <w:highlight w:val="none"/>
              </w:rPr>
              <w:t>；</w:t>
            </w:r>
          </w:p>
          <w:p w14:paraId="0A30A5BB">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废油漆桶</w:t>
            </w:r>
            <w:r>
              <w:rPr>
                <w:rFonts w:hint="eastAsia" w:ascii="Times New Roman" w:hAnsi="Times New Roman" w:eastAsia="宋体" w:cs="Times New Roman"/>
                <w:sz w:val="21"/>
                <w:szCs w:val="21"/>
                <w:highlight w:val="none"/>
                <w:lang w:val="en-US" w:eastAsia="zh-CN"/>
              </w:rPr>
              <w:t>在伊泰化工的危废暂存间暂存，后委托有资质</w:t>
            </w:r>
            <w:r>
              <w:rPr>
                <w:rFonts w:hint="default" w:ascii="Times New Roman" w:hAnsi="Times New Roman" w:eastAsia="宋体" w:cs="Times New Roman"/>
                <w:sz w:val="21"/>
                <w:szCs w:val="21"/>
                <w:highlight w:val="none"/>
              </w:rPr>
              <w:t>单位处置；生活垃圾收集后交由当地环卫部门处置。</w:t>
            </w:r>
          </w:p>
        </w:tc>
        <w:tc>
          <w:tcPr>
            <w:tcW w:w="1169" w:type="pct"/>
            <w:noWrap w:val="0"/>
            <w:vAlign w:val="center"/>
          </w:tcPr>
          <w:p w14:paraId="0114DDE3">
            <w:pPr>
              <w:adjustRightInd w:val="0"/>
              <w:snapToGrid w:val="0"/>
              <w:jc w:val="center"/>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施工废料</w:t>
            </w:r>
            <w:r>
              <w:rPr>
                <w:rFonts w:hint="eastAsia" w:ascii="Times New Roman" w:hAnsi="Times New Roman" w:eastAsia="宋体" w:cs="Times New Roman"/>
                <w:sz w:val="21"/>
                <w:szCs w:val="21"/>
                <w:highlight w:val="none"/>
              </w:rPr>
              <w:t>可以进行回收利用</w:t>
            </w:r>
            <w:r>
              <w:rPr>
                <w:rFonts w:hint="eastAsia" w:ascii="Times New Roman" w:hAnsi="Times New Roman" w:eastAsia="宋体" w:cs="Times New Roman"/>
                <w:sz w:val="21"/>
                <w:szCs w:val="21"/>
                <w:highlight w:val="none"/>
                <w:lang w:eastAsia="zh-CN"/>
              </w:rPr>
              <w:t>，</w:t>
            </w:r>
            <w:r>
              <w:rPr>
                <w:rFonts w:hint="eastAsia" w:ascii="Times New Roman" w:hAnsi="Times New Roman" w:eastAsia="宋体" w:cs="Times New Roman"/>
                <w:sz w:val="21"/>
                <w:szCs w:val="21"/>
                <w:highlight w:val="none"/>
                <w:lang w:val="en-US" w:eastAsia="zh-CN"/>
              </w:rPr>
              <w:t>或者</w:t>
            </w:r>
            <w:r>
              <w:rPr>
                <w:rFonts w:hint="eastAsia" w:ascii="Times New Roman" w:hAnsi="Times New Roman" w:eastAsia="宋体" w:cs="Times New Roman"/>
                <w:sz w:val="21"/>
                <w:szCs w:val="21"/>
                <w:highlight w:val="none"/>
              </w:rPr>
              <w:t>外售综合利用，对不能回收利用的运送至就近的建筑垃圾处理厂统一处理</w:t>
            </w:r>
            <w:r>
              <w:rPr>
                <w:rFonts w:hint="default" w:ascii="Times New Roman" w:hAnsi="Times New Roman" w:eastAsia="宋体" w:cs="Times New Roman"/>
                <w:sz w:val="21"/>
                <w:szCs w:val="21"/>
                <w:highlight w:val="none"/>
              </w:rPr>
              <w:t>；</w:t>
            </w:r>
          </w:p>
          <w:p w14:paraId="782E230C">
            <w:pPr>
              <w:adjustRightInd w:val="0"/>
              <w:snapToGrid w:val="0"/>
              <w:jc w:val="center"/>
              <w:rPr>
                <w:rFonts w:hint="eastAsia"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rPr>
              <w:t>废油漆桶</w:t>
            </w:r>
            <w:r>
              <w:rPr>
                <w:rFonts w:hint="eastAsia" w:ascii="Times New Roman" w:hAnsi="Times New Roman" w:eastAsia="宋体" w:cs="Times New Roman"/>
                <w:sz w:val="21"/>
                <w:szCs w:val="21"/>
                <w:highlight w:val="none"/>
                <w:lang w:val="en-US" w:eastAsia="zh-CN"/>
              </w:rPr>
              <w:t>在伊泰化工的危废暂存间暂存，后委托有资质</w:t>
            </w:r>
            <w:r>
              <w:rPr>
                <w:rFonts w:hint="default" w:ascii="Times New Roman" w:hAnsi="Times New Roman" w:eastAsia="宋体" w:cs="Times New Roman"/>
                <w:sz w:val="21"/>
                <w:szCs w:val="21"/>
                <w:highlight w:val="none"/>
              </w:rPr>
              <w:t>单位处置；生活垃圾收集后交由当地环卫部门处置。</w:t>
            </w:r>
          </w:p>
        </w:tc>
        <w:tc>
          <w:tcPr>
            <w:tcW w:w="954" w:type="pct"/>
            <w:noWrap w:val="0"/>
            <w:vAlign w:val="center"/>
          </w:tcPr>
          <w:p w14:paraId="43C72D1C">
            <w:pPr>
              <w:spacing w:line="240" w:lineRule="atLeast"/>
              <w:jc w:val="center"/>
              <w:textAlignment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w:t>
            </w:r>
          </w:p>
        </w:tc>
        <w:tc>
          <w:tcPr>
            <w:tcW w:w="844" w:type="pct"/>
            <w:noWrap w:val="0"/>
            <w:vAlign w:val="center"/>
          </w:tcPr>
          <w:p w14:paraId="406AF612">
            <w:pPr>
              <w:spacing w:line="240" w:lineRule="atLeast"/>
              <w:jc w:val="center"/>
              <w:textAlignment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w:t>
            </w:r>
          </w:p>
        </w:tc>
      </w:tr>
      <w:tr w14:paraId="259F13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862" w:type="pct"/>
            <w:noWrap w:val="0"/>
            <w:vAlign w:val="center"/>
          </w:tcPr>
          <w:p w14:paraId="5BA956C5">
            <w:pPr>
              <w:adjustRightInd w:val="0"/>
              <w:snapToGrid w:val="0"/>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电磁环境</w:t>
            </w:r>
          </w:p>
        </w:tc>
        <w:tc>
          <w:tcPr>
            <w:tcW w:w="1169" w:type="pct"/>
            <w:noWrap w:val="0"/>
            <w:vAlign w:val="center"/>
          </w:tcPr>
          <w:p w14:paraId="13AF4929">
            <w:pPr>
              <w:adjustRightInd w:val="0"/>
              <w:snapToGrid w:val="0"/>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w:t>
            </w:r>
          </w:p>
        </w:tc>
        <w:tc>
          <w:tcPr>
            <w:tcW w:w="1169" w:type="pct"/>
            <w:noWrap w:val="0"/>
            <w:vAlign w:val="center"/>
          </w:tcPr>
          <w:p w14:paraId="1949760B">
            <w:pPr>
              <w:adjustRightInd w:val="0"/>
              <w:snapToGrid w:val="0"/>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w:t>
            </w:r>
          </w:p>
        </w:tc>
        <w:tc>
          <w:tcPr>
            <w:tcW w:w="954" w:type="pct"/>
            <w:noWrap w:val="0"/>
            <w:vAlign w:val="center"/>
          </w:tcPr>
          <w:p w14:paraId="310FE34E">
            <w:pPr>
              <w:adjustRightInd w:val="0"/>
              <w:snapToGrid w:val="0"/>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w:t>
            </w:r>
          </w:p>
        </w:tc>
        <w:tc>
          <w:tcPr>
            <w:tcW w:w="844" w:type="pct"/>
            <w:noWrap w:val="0"/>
            <w:vAlign w:val="center"/>
          </w:tcPr>
          <w:p w14:paraId="22EBFE13">
            <w:pPr>
              <w:adjustRightInd w:val="0"/>
              <w:snapToGrid w:val="0"/>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w:t>
            </w:r>
          </w:p>
        </w:tc>
      </w:tr>
      <w:tr w14:paraId="7D098D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862" w:type="pct"/>
            <w:noWrap w:val="0"/>
            <w:vAlign w:val="center"/>
          </w:tcPr>
          <w:p w14:paraId="4452D371">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环境风险</w:t>
            </w:r>
          </w:p>
        </w:tc>
        <w:tc>
          <w:tcPr>
            <w:tcW w:w="1169" w:type="pct"/>
            <w:noWrap w:val="0"/>
            <w:vAlign w:val="center"/>
          </w:tcPr>
          <w:p w14:paraId="41C87FB5">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①建设项目的管道设计、施工和运营等必须进行科学规划、合理布置、严格执行国家的安全设计规范，特别是管道防腐，应保证施工质量，避免或减少事故的发生。</w:t>
            </w:r>
          </w:p>
          <w:p w14:paraId="0B33C2AB">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②在管道附近</w:t>
            </w:r>
            <w:r>
              <w:rPr>
                <w:rFonts w:hint="default" w:cs="Times New Roman"/>
                <w:sz w:val="21"/>
                <w:szCs w:val="21"/>
                <w:highlight w:val="none"/>
                <w:lang w:eastAsia="zh-CN"/>
              </w:rPr>
              <w:t>设置</w:t>
            </w:r>
            <w:r>
              <w:rPr>
                <w:rFonts w:hint="default" w:ascii="Times New Roman" w:hAnsi="Times New Roman" w:eastAsia="宋体" w:cs="Times New Roman"/>
                <w:sz w:val="21"/>
                <w:szCs w:val="21"/>
                <w:highlight w:val="none"/>
              </w:rPr>
              <w:t>安全标识，防止人为破坏等。</w:t>
            </w:r>
          </w:p>
          <w:p w14:paraId="51562E7E">
            <w:pPr>
              <w:adjustRightInd w:val="0"/>
              <w:snapToGrid w:val="0"/>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③管线末端设置手动切断阀组。在物料输出端和接收端设置中控系统和紧急切断阀，阀门和仪表的控制信号接入伊泰化工公司DCS系统</w:t>
            </w: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lang w:val="en-US" w:eastAsia="zh-CN"/>
              </w:rPr>
              <w:t>厂区外WRT甲烷气管道、清净废水管道安装完成后进行探伤检测。</w:t>
            </w:r>
          </w:p>
          <w:p w14:paraId="358EC621">
            <w:pPr>
              <w:adjustRightInd w:val="0"/>
              <w:snapToGrid w:val="0"/>
              <w:jc w:val="center"/>
              <w:rPr>
                <w:rFonts w:hint="default" w:ascii="Times New Roman" w:hAnsi="Times New Roman" w:eastAsia="宋体" w:cs="Times New Roman"/>
                <w:sz w:val="21"/>
                <w:szCs w:val="21"/>
                <w:highlight w:val="none"/>
              </w:rPr>
            </w:pPr>
          </w:p>
        </w:tc>
        <w:tc>
          <w:tcPr>
            <w:tcW w:w="1169" w:type="pct"/>
            <w:noWrap w:val="0"/>
            <w:vAlign w:val="center"/>
          </w:tcPr>
          <w:p w14:paraId="42A5DDD9">
            <w:pPr>
              <w:adjustRightInd w:val="0"/>
              <w:snapToGrid w:val="0"/>
              <w:jc w:val="center"/>
              <w:rPr>
                <w:rFonts w:hint="default" w:cs="Times New Roman"/>
                <w:sz w:val="21"/>
                <w:szCs w:val="21"/>
                <w:highlight w:val="none"/>
                <w:lang w:eastAsia="zh-CN"/>
              </w:rPr>
            </w:pPr>
            <w:r>
              <w:rPr>
                <w:rFonts w:hint="default" w:ascii="Times New Roman" w:hAnsi="Times New Roman" w:cs="Times New Roman"/>
                <w:sz w:val="21"/>
                <w:szCs w:val="21"/>
                <w:highlight w:val="none"/>
              </w:rPr>
              <w:t>施工相关手续完整，规范，工程竣工合格</w:t>
            </w:r>
            <w:r>
              <w:rPr>
                <w:rFonts w:hint="default" w:cs="Times New Roman"/>
                <w:sz w:val="21"/>
                <w:szCs w:val="21"/>
                <w:highlight w:val="none"/>
                <w:lang w:eastAsia="zh-CN"/>
              </w:rPr>
              <w:t>，</w:t>
            </w:r>
            <w:r>
              <w:rPr>
                <w:rFonts w:hint="default" w:ascii="Times New Roman" w:hAnsi="Times New Roman" w:cs="Times New Roman"/>
                <w:sz w:val="21"/>
                <w:szCs w:val="21"/>
                <w:highlight w:val="none"/>
              </w:rPr>
              <w:t>设置了警示标志</w:t>
            </w:r>
            <w:r>
              <w:rPr>
                <w:rFonts w:hint="default" w:cs="Times New Roman"/>
                <w:sz w:val="21"/>
                <w:szCs w:val="21"/>
                <w:highlight w:val="none"/>
                <w:lang w:eastAsia="zh-CN"/>
              </w:rPr>
              <w:t>。</w:t>
            </w:r>
          </w:p>
          <w:p w14:paraId="39AC33F1">
            <w:pPr>
              <w:adjustRightInd w:val="0"/>
              <w:snapToGrid w:val="0"/>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设置了</w:t>
            </w:r>
            <w:r>
              <w:rPr>
                <w:rFonts w:hint="default" w:ascii="Times New Roman" w:hAnsi="Times New Roman" w:eastAsia="宋体" w:cs="Times New Roman"/>
                <w:sz w:val="21"/>
                <w:szCs w:val="21"/>
                <w:highlight w:val="none"/>
                <w:lang w:val="en-US" w:eastAsia="zh-CN"/>
              </w:rPr>
              <w:t>手动切断阀组。在物料输出端和接收端设置中控系统和紧急切断阀，阀门和仪表的控制信号接入伊泰化工公司DCS系统</w:t>
            </w: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lang w:val="en-US" w:eastAsia="zh-CN"/>
              </w:rPr>
              <w:t>厂区外WRT甲烷气管道、清净废水管道安装完成后进行探伤检测。</w:t>
            </w:r>
          </w:p>
          <w:p w14:paraId="47E3A9E4">
            <w:pPr>
              <w:adjustRightInd w:val="0"/>
              <w:snapToGrid w:val="0"/>
              <w:jc w:val="center"/>
              <w:rPr>
                <w:rFonts w:hint="default" w:ascii="Times New Roman" w:hAnsi="Times New Roman" w:eastAsia="宋体" w:cs="Times New Roman"/>
                <w:sz w:val="21"/>
                <w:szCs w:val="21"/>
                <w:highlight w:val="none"/>
                <w:lang w:eastAsia="zh-CN"/>
              </w:rPr>
            </w:pPr>
          </w:p>
        </w:tc>
        <w:tc>
          <w:tcPr>
            <w:tcW w:w="954" w:type="pct"/>
            <w:noWrap w:val="0"/>
            <w:vAlign w:val="center"/>
          </w:tcPr>
          <w:p w14:paraId="38711258">
            <w:pPr>
              <w:adjustRightInd w:val="0"/>
              <w:snapToGrid w:val="0"/>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①依托和完善</w:t>
            </w:r>
            <w:r>
              <w:rPr>
                <w:rFonts w:hint="default" w:ascii="Times New Roman" w:hAnsi="Times New Roman" w:cs="Times New Roman"/>
                <w:sz w:val="21"/>
                <w:szCs w:val="21"/>
                <w:highlight w:val="none"/>
                <w:lang w:val="en-US" w:eastAsia="zh-CN"/>
              </w:rPr>
              <w:t>内蒙古伊泰化工有限责任公司</w:t>
            </w:r>
            <w:r>
              <w:rPr>
                <w:rFonts w:hint="default" w:ascii="Times New Roman" w:hAnsi="Times New Roman" w:cs="Times New Roman"/>
                <w:sz w:val="21"/>
                <w:szCs w:val="21"/>
                <w:highlight w:val="none"/>
              </w:rPr>
              <w:t>已制定的风险防范执行制度，加强管线的日常巡检</w:t>
            </w:r>
            <w:r>
              <w:rPr>
                <w:rFonts w:hint="eastAsia" w:cs="Times New Roman"/>
                <w:sz w:val="21"/>
                <w:szCs w:val="21"/>
                <w:highlight w:val="none"/>
                <w:lang w:eastAsia="zh-CN"/>
              </w:rPr>
              <w:t>（</w:t>
            </w:r>
            <w:r>
              <w:rPr>
                <w:rFonts w:hint="default" w:ascii="Times New Roman" w:hAnsi="Times New Roman" w:cs="Times New Roman"/>
                <w:sz w:val="21"/>
                <w:szCs w:val="21"/>
                <w:highlight w:val="none"/>
              </w:rPr>
              <w:t>包括巡查巡视和探测</w:t>
            </w:r>
            <w:r>
              <w:rPr>
                <w:rFonts w:hint="eastAsia" w:cs="Times New Roman"/>
                <w:sz w:val="21"/>
                <w:szCs w:val="21"/>
                <w:highlight w:val="none"/>
                <w:lang w:eastAsia="zh-CN"/>
              </w:rPr>
              <w:t>）</w:t>
            </w:r>
            <w:r>
              <w:rPr>
                <w:rFonts w:hint="default" w:ascii="Times New Roman" w:hAnsi="Times New Roman" w:cs="Times New Roman"/>
                <w:sz w:val="21"/>
                <w:szCs w:val="21"/>
                <w:highlight w:val="none"/>
              </w:rPr>
              <w:t>，以及加强管线警示标志的维护管理；</w:t>
            </w:r>
            <w:r>
              <w:rPr>
                <w:rFonts w:hint="eastAsia" w:cs="Times New Roman"/>
                <w:sz w:val="21"/>
                <w:szCs w:val="21"/>
                <w:highlight w:val="none"/>
                <w:lang w:val="en-US" w:eastAsia="zh-CN"/>
              </w:rPr>
              <w:t xml:space="preserve">     </w:t>
            </w:r>
            <w:r>
              <w:rPr>
                <w:rFonts w:hint="default" w:ascii="Times New Roman" w:hAnsi="Times New Roman" w:cs="Times New Roman"/>
                <w:sz w:val="21"/>
                <w:szCs w:val="21"/>
                <w:highlight w:val="none"/>
              </w:rPr>
              <w:t>②</w:t>
            </w:r>
            <w:r>
              <w:rPr>
                <w:rFonts w:hint="default" w:ascii="Times New Roman" w:hAnsi="Times New Roman" w:cs="Times New Roman"/>
                <w:sz w:val="21"/>
                <w:szCs w:val="21"/>
                <w:highlight w:val="none"/>
                <w:lang w:val="en-US" w:eastAsia="zh-CN"/>
              </w:rPr>
              <w:t>定期检查</w:t>
            </w:r>
            <w:r>
              <w:rPr>
                <w:rFonts w:hint="eastAsia" w:ascii="Times New Roman" w:hAnsi="Times New Roman" w:cs="Times New Roman"/>
                <w:sz w:val="21"/>
                <w:szCs w:val="21"/>
                <w:highlight w:val="none"/>
                <w:lang w:val="en-US" w:eastAsia="zh-CN"/>
              </w:rPr>
              <w:t>伊泰化工公</w:t>
            </w:r>
            <w:r>
              <w:rPr>
                <w:rFonts w:hint="default" w:ascii="Times New Roman" w:hAnsi="Times New Roman" w:cs="Times New Roman"/>
                <w:sz w:val="21"/>
                <w:szCs w:val="21"/>
                <w:highlight w:val="none"/>
                <w:lang w:val="en-US" w:eastAsia="zh-CN"/>
              </w:rPr>
              <w:t>司</w:t>
            </w:r>
            <w:r>
              <w:rPr>
                <w:rFonts w:hint="eastAsia" w:ascii="Times New Roman" w:hAnsi="Times New Roman" w:cs="Times New Roman"/>
                <w:sz w:val="21"/>
                <w:szCs w:val="21"/>
                <w:highlight w:val="none"/>
                <w:lang w:val="en-US" w:eastAsia="zh-CN"/>
              </w:rPr>
              <w:t>的</w:t>
            </w:r>
            <w:r>
              <w:rPr>
                <w:rFonts w:hint="default" w:ascii="Times New Roman" w:hAnsi="Times New Roman" w:cs="Times New Roman"/>
                <w:sz w:val="21"/>
                <w:szCs w:val="21"/>
                <w:highlight w:val="none"/>
                <w:lang w:val="en-US" w:eastAsia="zh-CN"/>
              </w:rPr>
              <w:t>DCS系统</w:t>
            </w:r>
            <w:r>
              <w:rPr>
                <w:rFonts w:hint="eastAsia" w:cs="Times New Roman"/>
                <w:sz w:val="21"/>
                <w:szCs w:val="21"/>
                <w:highlight w:val="none"/>
                <w:lang w:val="en-US" w:eastAsia="zh-CN"/>
              </w:rPr>
              <w:t>。</w:t>
            </w:r>
          </w:p>
          <w:p w14:paraId="3C61F165">
            <w:pPr>
              <w:adjustRightInd w:val="0"/>
              <w:snapToGrid w:val="0"/>
              <w:jc w:val="center"/>
              <w:rPr>
                <w:rFonts w:hint="eastAsia" w:ascii="Times New Roman" w:hAnsi="Times New Roman" w:eastAsia="宋体" w:cs="Times New Roman"/>
                <w:sz w:val="21"/>
                <w:szCs w:val="21"/>
                <w:highlight w:val="none"/>
                <w:lang w:eastAsia="zh-CN"/>
              </w:rPr>
            </w:pPr>
            <w:r>
              <w:rPr>
                <w:rFonts w:hint="default" w:ascii="Times New Roman" w:hAnsi="Times New Roman" w:cs="Times New Roman"/>
                <w:sz w:val="21"/>
                <w:szCs w:val="21"/>
                <w:highlight w:val="none"/>
              </w:rPr>
              <w:t>加强中控监视</w:t>
            </w:r>
            <w:r>
              <w:rPr>
                <w:rFonts w:hint="eastAsia" w:cs="Times New Roman"/>
                <w:sz w:val="21"/>
                <w:szCs w:val="21"/>
                <w:highlight w:val="none"/>
                <w:lang w:eastAsia="zh-CN"/>
              </w:rPr>
              <w:t>；</w:t>
            </w:r>
          </w:p>
          <w:p w14:paraId="6ECB3A7C">
            <w:pPr>
              <w:adjustRightInd w:val="0"/>
              <w:snapToGrid w:val="0"/>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③将本管道纳入</w:t>
            </w:r>
            <w:r>
              <w:rPr>
                <w:rFonts w:hint="default" w:ascii="Times New Roman" w:hAnsi="Times New Roman" w:cs="Times New Roman"/>
                <w:sz w:val="21"/>
                <w:szCs w:val="21"/>
                <w:highlight w:val="none"/>
                <w:lang w:val="en-US" w:eastAsia="zh-CN"/>
              </w:rPr>
              <w:t>内蒙古伊泰化工有限责任公司</w:t>
            </w:r>
            <w:r>
              <w:rPr>
                <w:rFonts w:hint="default" w:ascii="Times New Roman" w:hAnsi="Times New Roman" w:cs="Times New Roman"/>
                <w:sz w:val="21"/>
                <w:szCs w:val="21"/>
                <w:highlight w:val="none"/>
              </w:rPr>
              <w:t>编制的环境应急预案，开展应急演练；</w:t>
            </w:r>
          </w:p>
          <w:p w14:paraId="24D76A77">
            <w:pPr>
              <w:adjustRightInd w:val="0"/>
              <w:snapToGrid w:val="0"/>
              <w:jc w:val="center"/>
              <w:rPr>
                <w:rFonts w:hint="default" w:ascii="Times New Roman" w:hAnsi="Times New Roman" w:cs="Times New Roman"/>
                <w:sz w:val="21"/>
                <w:szCs w:val="21"/>
                <w:highlight w:val="none"/>
              </w:rPr>
            </w:pPr>
            <w:r>
              <w:rPr>
                <w:rFonts w:hint="eastAsia" w:ascii="Times New Roman" w:hAnsi="Times New Roman" w:eastAsia="宋体" w:cs="Times New Roman"/>
                <w:sz w:val="21"/>
                <w:szCs w:val="21"/>
                <w:highlight w:val="none"/>
              </w:rPr>
              <w:t>④</w:t>
            </w:r>
            <w:r>
              <w:rPr>
                <w:rFonts w:hint="default" w:ascii="Times New Roman" w:hAnsi="Times New Roman" w:cs="Times New Roman"/>
                <w:sz w:val="21"/>
                <w:szCs w:val="21"/>
                <w:highlight w:val="none"/>
              </w:rPr>
              <w:t>加强与周边企业联防联控。</w:t>
            </w:r>
          </w:p>
        </w:tc>
        <w:tc>
          <w:tcPr>
            <w:tcW w:w="844" w:type="pct"/>
            <w:noWrap w:val="0"/>
            <w:vAlign w:val="center"/>
          </w:tcPr>
          <w:p w14:paraId="1F1A7049">
            <w:pPr>
              <w:adjustRightInd w:val="0"/>
              <w:snapToGrid w:val="0"/>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管线巡检制度</w:t>
            </w:r>
            <w:r>
              <w:rPr>
                <w:rFonts w:hint="eastAsia" w:cs="Times New Roman"/>
                <w:sz w:val="21"/>
                <w:szCs w:val="21"/>
                <w:highlight w:val="none"/>
                <w:lang w:eastAsia="zh-CN"/>
              </w:rPr>
              <w:t>、</w:t>
            </w:r>
            <w:r>
              <w:rPr>
                <w:rFonts w:hint="eastAsia" w:cs="Times New Roman"/>
                <w:sz w:val="21"/>
                <w:szCs w:val="21"/>
                <w:highlight w:val="none"/>
                <w:lang w:val="en-US" w:eastAsia="zh-CN"/>
              </w:rPr>
              <w:t>风险防控制度</w:t>
            </w:r>
            <w:r>
              <w:rPr>
                <w:rFonts w:hint="default" w:ascii="Times New Roman" w:hAnsi="Times New Roman" w:cs="Times New Roman"/>
                <w:sz w:val="21"/>
                <w:szCs w:val="21"/>
                <w:highlight w:val="none"/>
              </w:rPr>
              <w:t>及台账记录完善；配备相应的应急物资</w:t>
            </w:r>
            <w:r>
              <w:rPr>
                <w:rFonts w:hint="eastAsia" w:cs="Times New Roman"/>
                <w:sz w:val="21"/>
                <w:szCs w:val="21"/>
                <w:highlight w:val="none"/>
                <w:lang w:eastAsia="zh-CN"/>
              </w:rPr>
              <w:t>；</w:t>
            </w:r>
            <w:r>
              <w:rPr>
                <w:rFonts w:hint="default" w:ascii="Times New Roman" w:hAnsi="Times New Roman" w:cs="Times New Roman"/>
                <w:sz w:val="21"/>
                <w:szCs w:val="21"/>
                <w:highlight w:val="none"/>
                <w:lang w:val="en-US" w:eastAsia="zh-CN"/>
              </w:rPr>
              <w:t>定期检查</w:t>
            </w:r>
            <w:r>
              <w:rPr>
                <w:rFonts w:hint="eastAsia" w:ascii="Times New Roman" w:hAnsi="Times New Roman" w:cs="Times New Roman"/>
                <w:sz w:val="21"/>
                <w:szCs w:val="21"/>
                <w:highlight w:val="none"/>
                <w:lang w:val="en-US" w:eastAsia="zh-CN"/>
              </w:rPr>
              <w:t>伊泰化工公</w:t>
            </w:r>
            <w:r>
              <w:rPr>
                <w:rFonts w:hint="default" w:ascii="Times New Roman" w:hAnsi="Times New Roman" w:cs="Times New Roman"/>
                <w:sz w:val="21"/>
                <w:szCs w:val="21"/>
                <w:highlight w:val="none"/>
                <w:lang w:val="en-US" w:eastAsia="zh-CN"/>
              </w:rPr>
              <w:t>司</w:t>
            </w:r>
            <w:r>
              <w:rPr>
                <w:rFonts w:hint="eastAsia" w:ascii="Times New Roman" w:hAnsi="Times New Roman" w:cs="Times New Roman"/>
                <w:sz w:val="21"/>
                <w:szCs w:val="21"/>
                <w:highlight w:val="none"/>
                <w:lang w:val="en-US" w:eastAsia="zh-CN"/>
              </w:rPr>
              <w:t>的</w:t>
            </w:r>
            <w:r>
              <w:rPr>
                <w:rFonts w:hint="default" w:ascii="Times New Roman" w:hAnsi="Times New Roman" w:cs="Times New Roman"/>
                <w:sz w:val="21"/>
                <w:szCs w:val="21"/>
                <w:highlight w:val="none"/>
                <w:lang w:val="en-US" w:eastAsia="zh-CN"/>
              </w:rPr>
              <w:t>DCS系统</w:t>
            </w:r>
            <w:r>
              <w:rPr>
                <w:rFonts w:hint="eastAsia" w:cs="Times New Roman"/>
                <w:sz w:val="21"/>
                <w:szCs w:val="21"/>
                <w:highlight w:val="none"/>
                <w:lang w:val="en-US" w:eastAsia="zh-CN"/>
              </w:rPr>
              <w:t>。</w:t>
            </w:r>
          </w:p>
          <w:p w14:paraId="06581200">
            <w:pPr>
              <w:adjustRightInd w:val="0"/>
              <w:snapToGrid w:val="0"/>
              <w:jc w:val="center"/>
              <w:rPr>
                <w:rFonts w:hint="eastAsia" w:ascii="Times New Roman" w:hAnsi="Times New Roman" w:eastAsia="宋体" w:cs="Times New Roman"/>
                <w:sz w:val="21"/>
                <w:szCs w:val="21"/>
                <w:highlight w:val="none"/>
                <w:lang w:eastAsia="zh-CN"/>
              </w:rPr>
            </w:pPr>
            <w:r>
              <w:rPr>
                <w:rFonts w:hint="default" w:ascii="Times New Roman" w:hAnsi="Times New Roman" w:cs="Times New Roman"/>
                <w:sz w:val="21"/>
                <w:szCs w:val="21"/>
                <w:highlight w:val="none"/>
              </w:rPr>
              <w:t>加强中控监视</w:t>
            </w:r>
            <w:r>
              <w:rPr>
                <w:rFonts w:hint="eastAsia" w:ascii="Times New Roman" w:hAnsi="Times New Roman" w:cs="Times New Roman"/>
                <w:sz w:val="21"/>
                <w:szCs w:val="21"/>
                <w:highlight w:val="none"/>
                <w:lang w:eastAsia="zh-CN"/>
              </w:rPr>
              <w:t>；</w:t>
            </w:r>
            <w:r>
              <w:rPr>
                <w:rFonts w:hint="default" w:ascii="Times New Roman" w:hAnsi="Times New Roman" w:cs="Times New Roman"/>
                <w:sz w:val="21"/>
                <w:szCs w:val="21"/>
                <w:highlight w:val="none"/>
              </w:rPr>
              <w:t>将本管道纳入</w:t>
            </w:r>
            <w:r>
              <w:rPr>
                <w:rFonts w:hint="default" w:ascii="Times New Roman" w:hAnsi="Times New Roman" w:cs="Times New Roman"/>
                <w:sz w:val="21"/>
                <w:szCs w:val="21"/>
                <w:highlight w:val="none"/>
                <w:lang w:val="en-US" w:eastAsia="zh-CN"/>
              </w:rPr>
              <w:t>内蒙古伊泰化工有限责任公司</w:t>
            </w:r>
            <w:r>
              <w:rPr>
                <w:rFonts w:hint="default" w:ascii="Times New Roman" w:hAnsi="Times New Roman" w:cs="Times New Roman"/>
                <w:sz w:val="21"/>
                <w:szCs w:val="21"/>
                <w:highlight w:val="none"/>
              </w:rPr>
              <w:t>编制的环境应急预案，开展应急演练</w:t>
            </w:r>
            <w:r>
              <w:rPr>
                <w:rFonts w:hint="eastAsia" w:cs="Times New Roman"/>
                <w:sz w:val="21"/>
                <w:szCs w:val="21"/>
                <w:highlight w:val="none"/>
                <w:lang w:eastAsia="zh-CN"/>
              </w:rPr>
              <w:t>。</w:t>
            </w:r>
          </w:p>
        </w:tc>
      </w:tr>
      <w:tr w14:paraId="378249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862" w:type="pct"/>
            <w:noWrap w:val="0"/>
            <w:vAlign w:val="center"/>
          </w:tcPr>
          <w:p w14:paraId="210445F5">
            <w:pPr>
              <w:adjustRightInd w:val="0"/>
              <w:snapToGrid w:val="0"/>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环境监测</w:t>
            </w:r>
          </w:p>
        </w:tc>
        <w:tc>
          <w:tcPr>
            <w:tcW w:w="1169" w:type="pct"/>
            <w:noWrap w:val="0"/>
            <w:vAlign w:val="center"/>
          </w:tcPr>
          <w:p w14:paraId="4941D3AB">
            <w:pPr>
              <w:adjustRightInd w:val="0"/>
              <w:snapToGrid w:val="0"/>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w:t>
            </w:r>
          </w:p>
        </w:tc>
        <w:tc>
          <w:tcPr>
            <w:tcW w:w="1169" w:type="pct"/>
            <w:noWrap w:val="0"/>
            <w:vAlign w:val="center"/>
          </w:tcPr>
          <w:p w14:paraId="0A0CD636">
            <w:pPr>
              <w:adjustRightInd w:val="0"/>
              <w:snapToGrid w:val="0"/>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w:t>
            </w:r>
          </w:p>
        </w:tc>
        <w:tc>
          <w:tcPr>
            <w:tcW w:w="954" w:type="pct"/>
            <w:noWrap w:val="0"/>
            <w:vAlign w:val="center"/>
          </w:tcPr>
          <w:p w14:paraId="47E99C86">
            <w:pPr>
              <w:adjustRightInd w:val="0"/>
              <w:snapToGrid w:val="0"/>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w:t>
            </w:r>
          </w:p>
        </w:tc>
        <w:tc>
          <w:tcPr>
            <w:tcW w:w="844" w:type="pct"/>
            <w:noWrap w:val="0"/>
            <w:vAlign w:val="center"/>
          </w:tcPr>
          <w:p w14:paraId="5653E80D">
            <w:pPr>
              <w:adjustRightInd w:val="0"/>
              <w:snapToGrid w:val="0"/>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w:t>
            </w:r>
          </w:p>
        </w:tc>
      </w:tr>
      <w:tr w14:paraId="240BCB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862" w:type="pct"/>
            <w:noWrap w:val="0"/>
            <w:vAlign w:val="center"/>
          </w:tcPr>
          <w:p w14:paraId="1BBF70CD">
            <w:pPr>
              <w:adjustRightInd w:val="0"/>
              <w:snapToGrid w:val="0"/>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其他</w:t>
            </w:r>
          </w:p>
        </w:tc>
        <w:tc>
          <w:tcPr>
            <w:tcW w:w="4137" w:type="pct"/>
            <w:gridSpan w:val="4"/>
            <w:noWrap w:val="0"/>
            <w:vAlign w:val="center"/>
          </w:tcPr>
          <w:p w14:paraId="6C6116FD">
            <w:pPr>
              <w:adjustRightInd w:val="0"/>
              <w:snapToGrid w:val="0"/>
              <w:jc w:val="center"/>
              <w:rPr>
                <w:rFonts w:hint="default" w:ascii="Times New Roman" w:hAnsi="Times New Roman" w:cs="Times New Roman"/>
                <w:sz w:val="21"/>
                <w:szCs w:val="21"/>
                <w:highlight w:val="none"/>
              </w:rPr>
            </w:pPr>
            <w:r>
              <w:rPr>
                <w:rFonts w:hint="default" w:ascii="Times New Roman" w:hAnsi="Times New Roman" w:eastAsia="宋体" w:cs="Times New Roman"/>
                <w:color w:val="000000"/>
                <w:kern w:val="2"/>
                <w:sz w:val="21"/>
                <w:szCs w:val="21"/>
                <w:highlight w:val="none"/>
              </w:rPr>
              <w:t>项目竣工后应按照《建设项目竣工环境保护验收暂行办法》的要求进行自主验收，验收合格后方可投入正式运营。</w:t>
            </w:r>
          </w:p>
        </w:tc>
      </w:tr>
    </w:tbl>
    <w:p w14:paraId="35514CAD">
      <w:pPr>
        <w:jc w:val="center"/>
        <w:rPr>
          <w:rFonts w:hint="eastAsia" w:ascii="黑体" w:hAnsi="黑体" w:eastAsia="黑体"/>
          <w:snapToGrid w:val="0"/>
          <w:sz w:val="30"/>
          <w:szCs w:val="30"/>
          <w:highlight w:val="none"/>
        </w:rPr>
        <w:sectPr>
          <w:pgSz w:w="11906" w:h="16838"/>
          <w:pgMar w:top="1701" w:right="1701" w:bottom="1701" w:left="1701" w:header="851" w:footer="992" w:gutter="0"/>
          <w:pgNumType w:fmt="decimal"/>
          <w:cols w:space="720" w:num="1"/>
          <w:docGrid w:type="lines" w:linePitch="312" w:charSpace="0"/>
        </w:sectPr>
      </w:pPr>
    </w:p>
    <w:p w14:paraId="0F0603EA">
      <w:pPr>
        <w:jc w:val="center"/>
        <w:rPr>
          <w:rFonts w:ascii="黑体" w:hAnsi="黑体" w:eastAsia="黑体"/>
          <w:snapToGrid w:val="0"/>
          <w:sz w:val="30"/>
          <w:szCs w:val="30"/>
          <w:highlight w:val="none"/>
        </w:rPr>
      </w:pPr>
      <w:r>
        <w:rPr>
          <w:rFonts w:hint="eastAsia" w:ascii="黑体" w:hAnsi="黑体" w:eastAsia="黑体"/>
          <w:snapToGrid w:val="0"/>
          <w:sz w:val="30"/>
          <w:szCs w:val="30"/>
          <w:highlight w:val="none"/>
        </w:rPr>
        <w:t>七、结论</w:t>
      </w:r>
    </w:p>
    <w:tbl>
      <w:tblPr>
        <w:tblStyle w:val="19"/>
        <w:tblW w:w="92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14:paraId="70CB1F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49" w:hRule="atLeast"/>
          <w:jc w:val="center"/>
        </w:trPr>
        <w:tc>
          <w:tcPr>
            <w:tcW w:w="9289" w:type="dxa"/>
            <w:noWrap w:val="0"/>
            <w:vAlign w:val="center"/>
          </w:tcPr>
          <w:p w14:paraId="68814B40">
            <w:pPr>
              <w:spacing w:line="360" w:lineRule="auto"/>
              <w:ind w:firstLine="480" w:firstLineChars="200"/>
              <w:rPr>
                <w:rFonts w:hint="eastAsia"/>
                <w:sz w:val="24"/>
                <w:highlight w:val="none"/>
              </w:rPr>
            </w:pPr>
            <w:r>
              <w:rPr>
                <w:rFonts w:hint="eastAsia"/>
                <w:sz w:val="24"/>
                <w:highlight w:val="none"/>
              </w:rPr>
              <w:t>本项目为</w:t>
            </w:r>
            <w:r>
              <w:rPr>
                <w:rFonts w:hint="eastAsia"/>
                <w:sz w:val="24"/>
                <w:highlight w:val="none"/>
                <w:lang w:val="en-US" w:eastAsia="zh-CN"/>
              </w:rPr>
              <w:t>鹏泰-伊泰化工物料输送管线及管廊建设</w:t>
            </w:r>
            <w:r>
              <w:rPr>
                <w:rFonts w:hint="eastAsia"/>
                <w:sz w:val="24"/>
                <w:highlight w:val="none"/>
              </w:rPr>
              <w:t>工程，</w:t>
            </w:r>
            <w:r>
              <w:rPr>
                <w:rFonts w:hint="eastAsia" w:ascii="Times New Roman" w:hAnsi="Times New Roman" w:eastAsia="宋体" w:cs="Times New Roman"/>
                <w:bCs/>
                <w:sz w:val="24"/>
                <w:highlight w:val="none"/>
                <w:lang w:val="en-US" w:eastAsia="zh-CN"/>
              </w:rPr>
              <w:t>在原有</w:t>
            </w:r>
            <w:r>
              <w:rPr>
                <w:rFonts w:hint="eastAsia" w:cs="Times New Roman"/>
                <w:bCs/>
                <w:sz w:val="24"/>
                <w:highlight w:val="none"/>
                <w:lang w:val="en-US" w:eastAsia="zh-CN"/>
              </w:rPr>
              <w:t>联博</w:t>
            </w:r>
            <w:r>
              <w:rPr>
                <w:rFonts w:hint="eastAsia" w:ascii="Times New Roman" w:hAnsi="Times New Roman" w:eastAsia="宋体" w:cs="Times New Roman"/>
                <w:bCs/>
                <w:sz w:val="24"/>
                <w:highlight w:val="none"/>
                <w:lang w:val="en-US" w:eastAsia="zh-CN"/>
              </w:rPr>
              <w:t>管廊基础上改造，</w:t>
            </w:r>
            <w:r>
              <w:rPr>
                <w:rFonts w:hint="eastAsia" w:cs="Times New Roman"/>
                <w:bCs/>
                <w:sz w:val="24"/>
                <w:highlight w:val="none"/>
                <w:lang w:val="en-US" w:eastAsia="zh-CN"/>
              </w:rPr>
              <w:t>并新建架空管线</w:t>
            </w:r>
            <w:r>
              <w:rPr>
                <w:rFonts w:hint="eastAsia" w:ascii="Times New Roman" w:hAnsi="Times New Roman" w:eastAsia="宋体" w:cs="Times New Roman"/>
                <w:bCs/>
                <w:sz w:val="24"/>
                <w:highlight w:val="none"/>
                <w:lang w:val="zh-CN" w:eastAsia="zh-CN"/>
              </w:rPr>
              <w:t>将物料输送至鹏泰生物装置界区。</w:t>
            </w:r>
            <w:r>
              <w:rPr>
                <w:rFonts w:hint="eastAsia"/>
                <w:sz w:val="24"/>
                <w:highlight w:val="none"/>
              </w:rPr>
              <w:t>输送介质包括</w:t>
            </w:r>
            <w:r>
              <w:rPr>
                <w:rFonts w:hint="eastAsia"/>
                <w:sz w:val="24"/>
                <w:highlight w:val="none"/>
                <w:lang w:val="en-US" w:eastAsia="zh-CN"/>
              </w:rPr>
              <w:t>合成脱碳尾</w:t>
            </w:r>
            <w:r>
              <w:rPr>
                <w:rFonts w:hint="default"/>
                <w:sz w:val="24"/>
                <w:highlight w:val="none"/>
                <w:lang w:val="en-US" w:eastAsia="zh-CN"/>
              </w:rPr>
              <w:t>气</w:t>
            </w:r>
            <w:r>
              <w:rPr>
                <w:rFonts w:hint="eastAsia"/>
                <w:sz w:val="24"/>
                <w:highlight w:val="none"/>
              </w:rPr>
              <w:t>、</w:t>
            </w:r>
            <w:r>
              <w:rPr>
                <w:rFonts w:hint="eastAsia"/>
                <w:sz w:val="24"/>
                <w:highlight w:val="none"/>
                <w:lang w:val="en-US" w:eastAsia="zh-CN"/>
              </w:rPr>
              <w:t>未变换净化</w:t>
            </w:r>
            <w:r>
              <w:rPr>
                <w:rFonts w:hint="default"/>
                <w:sz w:val="24"/>
                <w:highlight w:val="none"/>
                <w:lang w:val="en-US" w:eastAsia="zh-CN"/>
              </w:rPr>
              <w:t>气</w:t>
            </w:r>
            <w:r>
              <w:rPr>
                <w:rFonts w:hint="eastAsia"/>
                <w:sz w:val="24"/>
                <w:highlight w:val="none"/>
              </w:rPr>
              <w:t>、</w:t>
            </w:r>
            <w:r>
              <w:rPr>
                <w:rFonts w:hint="eastAsia"/>
                <w:sz w:val="24"/>
                <w:highlight w:val="none"/>
                <w:lang w:val="en-US" w:eastAsia="zh-CN"/>
              </w:rPr>
              <w:t>尾气</w:t>
            </w:r>
            <w:r>
              <w:rPr>
                <w:rFonts w:hint="eastAsia"/>
                <w:sz w:val="24"/>
                <w:highlight w:val="none"/>
              </w:rPr>
              <w:t>、</w:t>
            </w:r>
            <w:r>
              <w:rPr>
                <w:rFonts w:hint="eastAsia"/>
                <w:sz w:val="24"/>
                <w:highlight w:val="none"/>
                <w:lang w:val="en-US" w:eastAsia="zh-CN"/>
              </w:rPr>
              <w:t>WRT甲烷气、甲烷、低压含烃火炬气、酸湿火炬、中压蒸汽、凝结水、仪表风、工厂风、氮气、黄河水、回用水、污水1、污水2、清净废水、富甲烷气、冷冻水来、冷冻水回、酸性气、真空泵尾气、CO</w:t>
            </w:r>
            <w:r>
              <w:rPr>
                <w:rFonts w:hint="eastAsia"/>
                <w:sz w:val="24"/>
                <w:highlight w:val="none"/>
                <w:vertAlign w:val="subscript"/>
                <w:lang w:val="en-US" w:eastAsia="zh-CN"/>
              </w:rPr>
              <w:t>2</w:t>
            </w:r>
            <w:r>
              <w:rPr>
                <w:rFonts w:hint="eastAsia"/>
                <w:sz w:val="24"/>
                <w:highlight w:val="none"/>
              </w:rPr>
              <w:t>。</w:t>
            </w:r>
            <w:r>
              <w:rPr>
                <w:rFonts w:hint="eastAsia" w:cs="Times New Roman"/>
                <w:sz w:val="24"/>
                <w:highlight w:val="none"/>
                <w:lang w:val="en-US" w:eastAsia="zh-CN"/>
              </w:rPr>
              <w:t>厂区内</w:t>
            </w:r>
            <w:r>
              <w:rPr>
                <w:rFonts w:hint="eastAsia" w:ascii="Times New Roman" w:hAnsi="Times New Roman" w:eastAsia="宋体" w:cs="Times New Roman"/>
                <w:sz w:val="24"/>
                <w:highlight w:val="none"/>
                <w:lang w:val="en-US" w:eastAsia="zh-CN"/>
              </w:rPr>
              <w:t>用地性质为工业用地</w:t>
            </w:r>
            <w:r>
              <w:rPr>
                <w:rFonts w:hint="eastAsia" w:cs="Times New Roman"/>
                <w:sz w:val="24"/>
                <w:highlight w:val="none"/>
                <w:lang w:val="en-US" w:eastAsia="zh-CN"/>
              </w:rPr>
              <w:t>，厂区外部分用地性质为天然牧草地</w:t>
            </w:r>
            <w:r>
              <w:rPr>
                <w:rFonts w:hint="eastAsia" w:ascii="Times New Roman" w:hAnsi="Times New Roman" w:eastAsia="宋体" w:cs="Times New Roman"/>
                <w:sz w:val="24"/>
                <w:highlight w:val="none"/>
                <w:lang w:val="en-US" w:eastAsia="zh-CN"/>
              </w:rPr>
              <w:t>。</w:t>
            </w:r>
            <w:r>
              <w:rPr>
                <w:rFonts w:hint="eastAsia" w:cs="Times New Roman"/>
                <w:bCs/>
                <w:sz w:val="24"/>
                <w:highlight w:val="none"/>
                <w:lang w:val="en-US" w:eastAsia="zh-CN"/>
              </w:rPr>
              <w:t>项目黄河水管道厂区外取水点已经预留接口，本项目建设直接接入接口，不涉及土方工程。本项目建设</w:t>
            </w:r>
            <w:r>
              <w:rPr>
                <w:rFonts w:hint="eastAsia" w:ascii="Times New Roman" w:hAnsi="Times New Roman" w:eastAsia="宋体" w:cs="Times New Roman"/>
                <w:bCs/>
                <w:sz w:val="24"/>
                <w:highlight w:val="none"/>
                <w:lang w:val="zh-CN" w:eastAsia="zh-CN"/>
              </w:rPr>
              <w:t>未涉及占用基本农田、生态公益林等保护目标，项目厂区内现状为</w:t>
            </w:r>
            <w:r>
              <w:rPr>
                <w:rFonts w:hint="eastAsia" w:cs="Times New Roman"/>
                <w:bCs/>
                <w:sz w:val="24"/>
                <w:highlight w:val="none"/>
                <w:lang w:val="en-US" w:eastAsia="zh-CN"/>
              </w:rPr>
              <w:t>碎石地面、硬化道路</w:t>
            </w:r>
            <w:r>
              <w:rPr>
                <w:rFonts w:hint="eastAsia" w:ascii="Times New Roman" w:hAnsi="Times New Roman" w:eastAsia="宋体" w:cs="Times New Roman"/>
                <w:bCs/>
                <w:sz w:val="24"/>
                <w:highlight w:val="none"/>
                <w:lang w:val="zh-CN" w:eastAsia="zh-CN"/>
              </w:rPr>
              <w:t>、空地、厂区外为裸露土壤，无保护植被等</w:t>
            </w:r>
            <w:r>
              <w:rPr>
                <w:rFonts w:hint="eastAsia" w:cs="Times New Roman"/>
                <w:bCs/>
                <w:sz w:val="24"/>
                <w:highlight w:val="none"/>
                <w:lang w:val="zh-CN" w:eastAsia="zh-CN"/>
              </w:rPr>
              <w:t>。</w:t>
            </w:r>
            <w:r>
              <w:rPr>
                <w:rFonts w:hint="eastAsia" w:cs="Times New Roman"/>
                <w:sz w:val="24"/>
                <w:highlight w:val="none"/>
                <w:lang w:val="en-US" w:eastAsia="zh-CN"/>
              </w:rPr>
              <w:t>本项目WRT甲烷气、清净废水管道位于厂区外，管道采取架空敷设，跨越厂区之间的天然牧草地，</w:t>
            </w:r>
            <w:r>
              <w:rPr>
                <w:rFonts w:ascii="Segoe UI" w:hAnsi="Segoe UI" w:eastAsia="Segoe UI" w:cs="Segoe UI"/>
                <w:i w:val="0"/>
                <w:iCs w:val="0"/>
                <w:caps w:val="0"/>
                <w:color w:val="0F1115"/>
                <w:spacing w:val="0"/>
                <w:sz w:val="24"/>
                <w:szCs w:val="24"/>
                <w:highlight w:val="none"/>
                <w:shd w:val="clear" w:fill="FFFFFF"/>
              </w:rPr>
              <w:t>施工过程中如对牧草造成局部损伤，应在施工结束后及时采取植被恢复措施</w:t>
            </w:r>
            <w:r>
              <w:rPr>
                <w:rFonts w:hint="eastAsia" w:ascii="Segoe UI" w:hAnsi="Segoe UI" w:eastAsia="宋体" w:cs="Segoe UI"/>
                <w:i w:val="0"/>
                <w:iCs w:val="0"/>
                <w:caps w:val="0"/>
                <w:color w:val="0F1115"/>
                <w:spacing w:val="0"/>
                <w:sz w:val="24"/>
                <w:szCs w:val="24"/>
                <w:highlight w:val="none"/>
                <w:shd w:val="clear" w:fill="FFFFFF"/>
                <w:lang w:eastAsia="zh-CN"/>
              </w:rPr>
              <w:t>，</w:t>
            </w:r>
            <w:r>
              <w:rPr>
                <w:rFonts w:hint="eastAsia" w:cs="Times New Roman"/>
                <w:sz w:val="24"/>
                <w:highlight w:val="none"/>
                <w:lang w:val="en-US" w:eastAsia="zh-CN"/>
              </w:rPr>
              <w:t>均采取架空铺设，以减少对地表植被和土壤结构的直接破坏</w:t>
            </w:r>
            <w:r>
              <w:rPr>
                <w:rFonts w:hint="eastAsia" w:ascii="Times New Roman" w:hAnsi="Times New Roman" w:eastAsia="宋体" w:cs="Times New Roman"/>
                <w:sz w:val="24"/>
                <w:highlight w:val="none"/>
                <w:lang w:val="en-US" w:eastAsia="zh-CN"/>
              </w:rPr>
              <w:t>。</w:t>
            </w:r>
          </w:p>
          <w:p w14:paraId="1BE8FA03">
            <w:pPr>
              <w:adjustRightInd w:val="0"/>
              <w:snapToGrid w:val="0"/>
              <w:spacing w:line="360" w:lineRule="auto"/>
              <w:ind w:firstLine="480" w:firstLineChars="200"/>
              <w:rPr>
                <w:highlight w:val="none"/>
              </w:rPr>
            </w:pPr>
            <w:r>
              <w:rPr>
                <w:rFonts w:hint="eastAsia"/>
                <w:sz w:val="24"/>
                <w:highlight w:val="none"/>
                <w:lang w:val="en-US" w:eastAsia="zh-CN"/>
              </w:rPr>
              <w:t>综上所述：</w:t>
            </w:r>
            <w:r>
              <w:rPr>
                <w:rFonts w:hint="eastAsia"/>
                <w:sz w:val="24"/>
                <w:highlight w:val="none"/>
              </w:rPr>
              <w:t>项目管道选址选线合理、符合区域生态功能区划，符合区域大气、水和声环境功能区划要求；项目与周边环境相容，正常运行过程中，无</w:t>
            </w:r>
            <w:r>
              <w:rPr>
                <w:rFonts w:hint="eastAsia"/>
                <w:sz w:val="24"/>
                <w:highlight w:val="none"/>
                <w:lang w:val="en-US" w:eastAsia="zh-CN"/>
              </w:rPr>
              <w:t>废气、</w:t>
            </w:r>
            <w:r>
              <w:rPr>
                <w:rFonts w:hint="eastAsia"/>
                <w:sz w:val="24"/>
                <w:highlight w:val="none"/>
              </w:rPr>
              <w:t>废水</w:t>
            </w:r>
            <w:r>
              <w:rPr>
                <w:rFonts w:hint="eastAsia"/>
                <w:sz w:val="24"/>
                <w:highlight w:val="none"/>
                <w:lang w:eastAsia="zh-CN"/>
              </w:rPr>
              <w:t>、</w:t>
            </w:r>
            <w:r>
              <w:rPr>
                <w:rFonts w:hint="eastAsia"/>
                <w:sz w:val="24"/>
                <w:highlight w:val="none"/>
                <w:lang w:val="en-US" w:eastAsia="zh-CN"/>
              </w:rPr>
              <w:t>固废</w:t>
            </w:r>
            <w:r>
              <w:rPr>
                <w:rFonts w:hint="eastAsia"/>
                <w:sz w:val="24"/>
                <w:highlight w:val="none"/>
              </w:rPr>
              <w:t>产生。项目环境影响主要为环境风险，在</w:t>
            </w:r>
            <w:r>
              <w:rPr>
                <w:rFonts w:hint="eastAsia"/>
                <w:sz w:val="24"/>
                <w:highlight w:val="none"/>
                <w:lang w:val="en-US" w:eastAsia="zh-CN"/>
              </w:rPr>
              <w:t>落实报告提出的环境风险防范措施</w:t>
            </w:r>
            <w:r>
              <w:rPr>
                <w:rFonts w:hint="eastAsia"/>
                <w:sz w:val="24"/>
                <w:highlight w:val="none"/>
              </w:rPr>
              <w:t>后，本项目环境风险可防可控。</w:t>
            </w:r>
          </w:p>
          <w:p w14:paraId="29394A29">
            <w:pPr>
              <w:adjustRightInd w:val="0"/>
              <w:snapToGrid w:val="0"/>
              <w:spacing w:line="360" w:lineRule="auto"/>
              <w:ind w:firstLine="480" w:firstLineChars="200"/>
              <w:rPr>
                <w:rFonts w:hint="eastAsia"/>
                <w:sz w:val="24"/>
                <w:highlight w:val="none"/>
              </w:rPr>
            </w:pPr>
            <w:r>
              <w:rPr>
                <w:rFonts w:hint="eastAsia"/>
                <w:sz w:val="24"/>
                <w:highlight w:val="none"/>
              </w:rPr>
              <w:t>建设单位在落实报告表提出的各项污染防治措施、生态恢复措施和环境风险防控措施的前提下，</w:t>
            </w:r>
            <w:r>
              <w:rPr>
                <w:rFonts w:hint="eastAsia"/>
                <w:sz w:val="24"/>
                <w:highlight w:val="none"/>
                <w:lang w:val="en-US" w:eastAsia="zh-CN"/>
              </w:rPr>
              <w:t>项目产生的环境影响可接受</w:t>
            </w:r>
            <w:r>
              <w:rPr>
                <w:rFonts w:hint="eastAsia"/>
                <w:sz w:val="24"/>
                <w:highlight w:val="none"/>
              </w:rPr>
              <w:t>。</w:t>
            </w:r>
          </w:p>
          <w:p w14:paraId="7C452B9D">
            <w:pPr>
              <w:adjustRightInd w:val="0"/>
              <w:snapToGrid w:val="0"/>
              <w:spacing w:line="360" w:lineRule="auto"/>
              <w:ind w:firstLine="420" w:firstLineChars="200"/>
              <w:rPr>
                <w:rFonts w:ascii="宋体" w:hAnsi="宋体" w:cs="宋体"/>
                <w:color w:val="0000FF"/>
                <w:szCs w:val="21"/>
                <w:highlight w:val="none"/>
              </w:rPr>
            </w:pPr>
          </w:p>
        </w:tc>
      </w:tr>
    </w:tbl>
    <w:p w14:paraId="7E7B2CCF">
      <w:pPr>
        <w:rPr>
          <w:rFonts w:ascii="宋体"/>
          <w:highlight w:val="none"/>
        </w:rPr>
      </w:pPr>
    </w:p>
    <w:p w14:paraId="05E28D51">
      <w:pPr>
        <w:rPr>
          <w:rFonts w:hint="eastAsia"/>
          <w:highlight w:val="none"/>
        </w:rPr>
      </w:pPr>
    </w:p>
    <w:p w14:paraId="7F0E38E1">
      <w:pPr>
        <w:rPr>
          <w:rFonts w:hint="eastAsia"/>
          <w:highlight w:val="none"/>
        </w:rPr>
      </w:pPr>
    </w:p>
    <w:p w14:paraId="47F653DC">
      <w:pPr>
        <w:rPr>
          <w:rFonts w:hint="eastAsia"/>
          <w:highlight w:val="none"/>
        </w:rPr>
      </w:pPr>
    </w:p>
    <w:p w14:paraId="0B612423">
      <w:pPr>
        <w:pStyle w:val="13"/>
        <w:rPr>
          <w:rFonts w:hint="eastAsia"/>
          <w:highlight w:val="none"/>
          <w:lang w:val="en-US"/>
        </w:rPr>
      </w:pPr>
    </w:p>
    <w:p w14:paraId="021C2A7B">
      <w:pPr>
        <w:rPr>
          <w:rFonts w:hint="eastAsia"/>
          <w:highlight w:val="none"/>
        </w:rPr>
      </w:pPr>
    </w:p>
    <w:p w14:paraId="3E1C3F73">
      <w:pPr>
        <w:pStyle w:val="13"/>
        <w:rPr>
          <w:rFonts w:hint="eastAsia"/>
          <w:highlight w:val="none"/>
          <w:lang w:val="en-US"/>
        </w:rPr>
      </w:pPr>
    </w:p>
    <w:p w14:paraId="05C8204F">
      <w:pPr>
        <w:keepNext/>
        <w:keepLines/>
        <w:spacing w:before="340" w:after="330" w:line="576" w:lineRule="auto"/>
        <w:jc w:val="center"/>
        <w:outlineLvl w:val="0"/>
        <w:rPr>
          <w:rFonts w:hint="eastAsia"/>
          <w:b/>
          <w:sz w:val="48"/>
          <w:szCs w:val="48"/>
          <w:highlight w:val="none"/>
        </w:rPr>
      </w:pPr>
      <w:r>
        <w:rPr>
          <w:rFonts w:hint="eastAsia"/>
          <w:b/>
          <w:sz w:val="48"/>
          <w:szCs w:val="48"/>
          <w:highlight w:val="none"/>
          <w:lang w:val="en-US" w:eastAsia="zh-CN"/>
        </w:rPr>
        <w:t>鹏泰-伊泰化工物料输送管线及管廊建设项目</w:t>
      </w:r>
      <w:r>
        <w:rPr>
          <w:rFonts w:hint="eastAsia"/>
          <w:b/>
          <w:sz w:val="48"/>
          <w:szCs w:val="48"/>
          <w:highlight w:val="none"/>
        </w:rPr>
        <w:t>环境风险专项评价</w:t>
      </w:r>
    </w:p>
    <w:p w14:paraId="31F6A4B3">
      <w:pPr>
        <w:rPr>
          <w:rFonts w:hint="eastAsia"/>
          <w:sz w:val="24"/>
          <w:highlight w:val="none"/>
        </w:rPr>
      </w:pPr>
    </w:p>
    <w:p w14:paraId="40566989">
      <w:pPr>
        <w:rPr>
          <w:rFonts w:hint="eastAsia"/>
          <w:sz w:val="24"/>
          <w:highlight w:val="none"/>
        </w:rPr>
      </w:pPr>
    </w:p>
    <w:p w14:paraId="362859D3">
      <w:pPr>
        <w:rPr>
          <w:rFonts w:hint="eastAsia"/>
          <w:sz w:val="24"/>
          <w:highlight w:val="none"/>
        </w:rPr>
      </w:pPr>
    </w:p>
    <w:p w14:paraId="46461287">
      <w:pPr>
        <w:rPr>
          <w:rFonts w:hint="eastAsia"/>
          <w:sz w:val="24"/>
          <w:highlight w:val="none"/>
        </w:rPr>
      </w:pPr>
    </w:p>
    <w:p w14:paraId="31513BE3">
      <w:pPr>
        <w:rPr>
          <w:rFonts w:hint="eastAsia"/>
          <w:sz w:val="24"/>
          <w:highlight w:val="none"/>
        </w:rPr>
      </w:pPr>
    </w:p>
    <w:p w14:paraId="6BB94DE2">
      <w:pPr>
        <w:rPr>
          <w:rFonts w:hint="eastAsia"/>
          <w:sz w:val="24"/>
          <w:highlight w:val="none"/>
        </w:rPr>
      </w:pPr>
    </w:p>
    <w:p w14:paraId="1861E128">
      <w:pPr>
        <w:rPr>
          <w:rFonts w:hint="eastAsia"/>
          <w:sz w:val="24"/>
          <w:highlight w:val="none"/>
        </w:rPr>
      </w:pPr>
    </w:p>
    <w:p w14:paraId="4AC7BB44">
      <w:pPr>
        <w:rPr>
          <w:rFonts w:hint="eastAsia"/>
          <w:sz w:val="24"/>
          <w:highlight w:val="none"/>
        </w:rPr>
      </w:pPr>
    </w:p>
    <w:p w14:paraId="1F93053C">
      <w:pPr>
        <w:rPr>
          <w:rFonts w:hint="eastAsia"/>
          <w:sz w:val="24"/>
          <w:highlight w:val="none"/>
        </w:rPr>
      </w:pPr>
    </w:p>
    <w:p w14:paraId="2282150E">
      <w:pPr>
        <w:rPr>
          <w:rFonts w:hint="eastAsia"/>
          <w:sz w:val="24"/>
          <w:highlight w:val="none"/>
        </w:rPr>
      </w:pPr>
    </w:p>
    <w:p w14:paraId="29A92971">
      <w:pPr>
        <w:rPr>
          <w:rFonts w:hint="eastAsia"/>
          <w:sz w:val="24"/>
          <w:highlight w:val="none"/>
        </w:rPr>
      </w:pPr>
    </w:p>
    <w:p w14:paraId="61E7E9ED">
      <w:pPr>
        <w:rPr>
          <w:rFonts w:hint="eastAsia"/>
          <w:sz w:val="24"/>
          <w:highlight w:val="none"/>
        </w:rPr>
      </w:pPr>
    </w:p>
    <w:p w14:paraId="519840BE">
      <w:pPr>
        <w:rPr>
          <w:rFonts w:hint="eastAsia"/>
          <w:sz w:val="24"/>
          <w:highlight w:val="none"/>
        </w:rPr>
      </w:pPr>
    </w:p>
    <w:p w14:paraId="7DD2CA1A">
      <w:pPr>
        <w:rPr>
          <w:rFonts w:hint="eastAsia"/>
          <w:sz w:val="24"/>
          <w:highlight w:val="none"/>
        </w:rPr>
      </w:pPr>
    </w:p>
    <w:p w14:paraId="15D477B4">
      <w:pPr>
        <w:rPr>
          <w:rFonts w:hint="eastAsia"/>
          <w:sz w:val="24"/>
          <w:highlight w:val="none"/>
        </w:rPr>
      </w:pPr>
    </w:p>
    <w:p w14:paraId="4A3A7B1C">
      <w:pPr>
        <w:rPr>
          <w:rFonts w:hint="eastAsia"/>
          <w:sz w:val="24"/>
          <w:highlight w:val="none"/>
        </w:rPr>
      </w:pPr>
    </w:p>
    <w:p w14:paraId="72BFB3F1">
      <w:pPr>
        <w:rPr>
          <w:rFonts w:hint="eastAsia"/>
          <w:sz w:val="24"/>
          <w:highlight w:val="none"/>
        </w:rPr>
      </w:pPr>
    </w:p>
    <w:p w14:paraId="1CD172F5">
      <w:pPr>
        <w:rPr>
          <w:rFonts w:hint="eastAsia"/>
          <w:sz w:val="24"/>
          <w:highlight w:val="none"/>
        </w:rPr>
      </w:pPr>
    </w:p>
    <w:p w14:paraId="639496BE">
      <w:pPr>
        <w:rPr>
          <w:rFonts w:hint="eastAsia"/>
          <w:sz w:val="24"/>
          <w:highlight w:val="none"/>
        </w:rPr>
      </w:pPr>
    </w:p>
    <w:p w14:paraId="0959B6FF">
      <w:pPr>
        <w:rPr>
          <w:rFonts w:hint="eastAsia"/>
          <w:sz w:val="24"/>
          <w:highlight w:val="none"/>
        </w:rPr>
      </w:pPr>
    </w:p>
    <w:p w14:paraId="393B0C09">
      <w:pPr>
        <w:spacing w:line="360" w:lineRule="auto"/>
        <w:jc w:val="center"/>
        <w:rPr>
          <w:rFonts w:hint="default" w:eastAsia="宋体"/>
          <w:b/>
          <w:bCs/>
          <w:sz w:val="24"/>
          <w:szCs w:val="32"/>
          <w:highlight w:val="none"/>
          <w:lang w:val="en-US" w:eastAsia="zh-CN"/>
        </w:rPr>
      </w:pPr>
      <w:r>
        <w:rPr>
          <w:rFonts w:hint="eastAsia"/>
          <w:b/>
          <w:sz w:val="30"/>
          <w:szCs w:val="30"/>
          <w:highlight w:val="none"/>
          <w:lang w:val="en-US" w:eastAsia="zh-CN"/>
        </w:rPr>
        <w:t>建设</w:t>
      </w:r>
      <w:r>
        <w:rPr>
          <w:rFonts w:hint="eastAsia"/>
          <w:b/>
          <w:sz w:val="30"/>
          <w:szCs w:val="30"/>
          <w:highlight w:val="none"/>
        </w:rPr>
        <w:t>单位：</w:t>
      </w:r>
      <w:r>
        <w:rPr>
          <w:rFonts w:hint="eastAsia"/>
          <w:b/>
          <w:sz w:val="30"/>
          <w:szCs w:val="30"/>
          <w:highlight w:val="none"/>
          <w:lang w:val="en-US" w:eastAsia="zh-CN"/>
        </w:rPr>
        <w:t>内蒙古伊泰化工有限责任公司</w:t>
      </w:r>
    </w:p>
    <w:p w14:paraId="7B1DEC1F">
      <w:pPr>
        <w:spacing w:line="360" w:lineRule="auto"/>
        <w:jc w:val="center"/>
        <w:rPr>
          <w:b/>
          <w:sz w:val="30"/>
          <w:szCs w:val="30"/>
          <w:highlight w:val="none"/>
        </w:rPr>
      </w:pPr>
      <w:r>
        <w:rPr>
          <w:rFonts w:hint="eastAsia"/>
          <w:b/>
          <w:sz w:val="30"/>
          <w:szCs w:val="30"/>
          <w:highlight w:val="none"/>
        </w:rPr>
        <w:t>编制单位：内蒙古尚清环保科技有限公司</w:t>
      </w:r>
    </w:p>
    <w:p w14:paraId="3A3B839A">
      <w:pPr>
        <w:spacing w:line="360" w:lineRule="auto"/>
        <w:jc w:val="center"/>
        <w:rPr>
          <w:rFonts w:hint="eastAsia"/>
          <w:b/>
          <w:sz w:val="30"/>
          <w:szCs w:val="30"/>
          <w:highlight w:val="none"/>
        </w:rPr>
        <w:sectPr>
          <w:pgSz w:w="11906" w:h="16838"/>
          <w:pgMar w:top="1701" w:right="1701" w:bottom="1701" w:left="1701" w:header="851" w:footer="992" w:gutter="0"/>
          <w:pgNumType w:fmt="decimal"/>
          <w:cols w:space="720" w:num="1"/>
          <w:docGrid w:type="lines" w:linePitch="312" w:charSpace="0"/>
        </w:sectPr>
      </w:pPr>
      <w:r>
        <w:rPr>
          <w:rFonts w:hint="eastAsia"/>
          <w:b/>
          <w:sz w:val="30"/>
          <w:szCs w:val="30"/>
          <w:highlight w:val="none"/>
        </w:rPr>
        <w:t>编制日期：</w:t>
      </w:r>
      <w:r>
        <w:rPr>
          <w:b/>
          <w:sz w:val="30"/>
          <w:szCs w:val="30"/>
          <w:highlight w:val="none"/>
        </w:rPr>
        <w:t>202</w:t>
      </w:r>
      <w:r>
        <w:rPr>
          <w:rFonts w:hint="eastAsia"/>
          <w:b/>
          <w:sz w:val="30"/>
          <w:szCs w:val="30"/>
          <w:highlight w:val="none"/>
          <w:lang w:val="en-US" w:eastAsia="zh-CN"/>
        </w:rPr>
        <w:t>5</w:t>
      </w:r>
      <w:r>
        <w:rPr>
          <w:rFonts w:hint="eastAsia"/>
          <w:b/>
          <w:sz w:val="30"/>
          <w:szCs w:val="30"/>
          <w:highlight w:val="none"/>
        </w:rPr>
        <w:t>年</w:t>
      </w:r>
      <w:r>
        <w:rPr>
          <w:rFonts w:hint="eastAsia"/>
          <w:b/>
          <w:sz w:val="30"/>
          <w:szCs w:val="30"/>
          <w:highlight w:val="none"/>
          <w:lang w:val="en-US" w:eastAsia="zh-CN"/>
        </w:rPr>
        <w:t>12</w:t>
      </w:r>
      <w:r>
        <w:rPr>
          <w:rFonts w:hint="eastAsia"/>
          <w:b/>
          <w:sz w:val="30"/>
          <w:szCs w:val="30"/>
          <w:highlight w:val="none"/>
        </w:rPr>
        <w:t>月</w:t>
      </w:r>
    </w:p>
    <w:p w14:paraId="1C71F0EF">
      <w:pPr>
        <w:keepNext/>
        <w:keepLines/>
        <w:spacing w:before="240" w:beforeLines="100" w:line="360" w:lineRule="auto"/>
        <w:outlineLvl w:val="0"/>
        <w:rPr>
          <w:rFonts w:hint="eastAsia" w:ascii="Times New Roman" w:hAnsi="Times New Roman" w:eastAsia="宋体" w:cs="Times New Roman"/>
          <w:b/>
          <w:bCs/>
          <w:kern w:val="44"/>
          <w:sz w:val="32"/>
          <w:szCs w:val="32"/>
          <w:highlight w:val="none"/>
          <w:lang w:val="en-US" w:eastAsia="zh-CN"/>
        </w:rPr>
      </w:pPr>
      <w:bookmarkStart w:id="47" w:name="_Toc27773"/>
      <w:bookmarkStart w:id="48" w:name="_Toc14236_WPSOffice_Level1"/>
      <w:r>
        <w:rPr>
          <w:rFonts w:hint="eastAsia" w:ascii="Times New Roman" w:hAnsi="Times New Roman" w:eastAsia="宋体" w:cs="Times New Roman"/>
          <w:b/>
          <w:bCs/>
          <w:kern w:val="44"/>
          <w:sz w:val="32"/>
          <w:szCs w:val="32"/>
          <w:highlight w:val="none"/>
          <w:lang w:val="en-US" w:eastAsia="zh-CN"/>
        </w:rPr>
        <w:t>1</w:t>
      </w:r>
      <w:r>
        <w:rPr>
          <w:rFonts w:hint="eastAsia" w:cs="Times New Roman"/>
          <w:b/>
          <w:bCs/>
          <w:kern w:val="44"/>
          <w:sz w:val="32"/>
          <w:szCs w:val="32"/>
          <w:highlight w:val="none"/>
          <w:lang w:val="en-US" w:eastAsia="zh-CN"/>
        </w:rPr>
        <w:t>.</w:t>
      </w:r>
      <w:r>
        <w:rPr>
          <w:rFonts w:hint="eastAsia" w:ascii="Times New Roman" w:hAnsi="Times New Roman" w:eastAsia="宋体" w:cs="Times New Roman"/>
          <w:b/>
          <w:bCs/>
          <w:kern w:val="44"/>
          <w:sz w:val="32"/>
          <w:szCs w:val="32"/>
          <w:highlight w:val="none"/>
          <w:lang w:val="en-US" w:eastAsia="zh-CN"/>
        </w:rPr>
        <w:t>评价目的及重点</w:t>
      </w:r>
      <w:bookmarkEnd w:id="47"/>
      <w:bookmarkStart w:id="49" w:name="_Toc15334"/>
    </w:p>
    <w:p w14:paraId="03A5ED55">
      <w:pPr>
        <w:keepNext/>
        <w:keepLines/>
        <w:spacing w:line="360" w:lineRule="auto"/>
        <w:outlineLvl w:val="1"/>
        <w:rPr>
          <w:rFonts w:hint="eastAsia" w:ascii="Times New Roman" w:hAnsi="Times New Roman" w:eastAsia="宋体" w:cs="Times New Roman"/>
          <w:b/>
          <w:bCs/>
          <w:sz w:val="28"/>
          <w:szCs w:val="28"/>
          <w:highlight w:val="none"/>
        </w:rPr>
      </w:pPr>
      <w:r>
        <w:rPr>
          <w:rFonts w:hint="eastAsia" w:ascii="Times New Roman" w:hAnsi="Times New Roman" w:eastAsia="宋体" w:cs="Times New Roman"/>
          <w:b/>
          <w:bCs/>
          <w:sz w:val="28"/>
          <w:szCs w:val="28"/>
          <w:highlight w:val="none"/>
          <w:lang w:val="en-US" w:eastAsia="zh-CN"/>
        </w:rPr>
        <w:t>1.1评价目的</w:t>
      </w:r>
      <w:bookmarkEnd w:id="49"/>
    </w:p>
    <w:p w14:paraId="0C3F2B15">
      <w:pPr>
        <w:adjustRightInd w:val="0"/>
        <w:snapToGrid w:val="0"/>
        <w:spacing w:line="360" w:lineRule="auto"/>
        <w:ind w:firstLine="480" w:firstLineChars="200"/>
        <w:rPr>
          <w:rFonts w:hint="eastAsia" w:ascii="Times New Roman" w:hAnsi="Times New Roman" w:eastAsia="宋体" w:cs="Times New Roman"/>
          <w:sz w:val="24"/>
          <w:highlight w:val="none"/>
          <w:lang w:val="zh-CN"/>
        </w:rPr>
      </w:pPr>
      <w:r>
        <w:rPr>
          <w:rFonts w:hint="eastAsia" w:ascii="Times New Roman" w:hAnsi="Times New Roman" w:eastAsia="宋体" w:cs="Times New Roman"/>
          <w:sz w:val="24"/>
          <w:highlight w:val="none"/>
          <w:lang w:val="zh-CN"/>
        </w:rPr>
        <w:t>环境风险是指突发性事故造成的重大</w:t>
      </w:r>
      <w:r>
        <w:rPr>
          <w:rFonts w:hint="eastAsia" w:cs="Times New Roman"/>
          <w:sz w:val="24"/>
          <w:highlight w:val="none"/>
          <w:lang w:val="zh-CN"/>
        </w:rPr>
        <w:t>环境污染</w:t>
      </w:r>
      <w:r>
        <w:rPr>
          <w:rFonts w:hint="eastAsia" w:ascii="Times New Roman" w:hAnsi="Times New Roman" w:eastAsia="宋体" w:cs="Times New Roman"/>
          <w:sz w:val="24"/>
          <w:highlight w:val="none"/>
          <w:lang w:val="zh-CN"/>
        </w:rPr>
        <w:t>事件，其特点是危害大、影响范围广、发生概率具有很大的不确定性。环境风险评价的目的是分析和预测项目存在的潜在危险、有害因素，项目建设和运行期间可能发生的突发性事件或事故（一般不包括人为破坏及自然灾害），引起有毒有害和易燃易爆等物质泄漏，所造成的人身安全、环境影响及其损害程度，提出合理可行的防范、应急与减缓措施，以使建设项目事故率、损失</w:t>
      </w:r>
      <w:r>
        <w:rPr>
          <w:rFonts w:hint="eastAsia" w:cs="Times New Roman"/>
          <w:sz w:val="24"/>
          <w:highlight w:val="none"/>
          <w:lang w:val="zh-CN"/>
        </w:rPr>
        <w:t>率</w:t>
      </w:r>
      <w:r>
        <w:rPr>
          <w:rFonts w:hint="eastAsia" w:ascii="Times New Roman" w:hAnsi="Times New Roman" w:eastAsia="宋体" w:cs="Times New Roman"/>
          <w:sz w:val="24"/>
          <w:highlight w:val="none"/>
          <w:lang w:val="zh-CN"/>
        </w:rPr>
        <w:t>和环境影响</w:t>
      </w:r>
      <w:r>
        <w:rPr>
          <w:rFonts w:hint="eastAsia" w:cs="Times New Roman"/>
          <w:sz w:val="24"/>
          <w:highlight w:val="none"/>
          <w:lang w:val="zh-CN"/>
        </w:rPr>
        <w:t>均</w:t>
      </w:r>
      <w:r>
        <w:rPr>
          <w:rFonts w:hint="eastAsia" w:ascii="Times New Roman" w:hAnsi="Times New Roman" w:eastAsia="宋体" w:cs="Times New Roman"/>
          <w:sz w:val="24"/>
          <w:highlight w:val="none"/>
          <w:lang w:val="zh-CN"/>
        </w:rPr>
        <w:t>达到可接受水平。</w:t>
      </w:r>
    </w:p>
    <w:p w14:paraId="0BC6FBDE">
      <w:pPr>
        <w:adjustRightInd w:val="0"/>
        <w:snapToGrid w:val="0"/>
        <w:spacing w:line="360" w:lineRule="auto"/>
        <w:ind w:firstLine="480" w:firstLineChars="200"/>
        <w:rPr>
          <w:rFonts w:hint="eastAsia" w:ascii="Times New Roman" w:hAnsi="Times New Roman" w:eastAsia="宋体" w:cs="Times New Roman"/>
          <w:sz w:val="24"/>
          <w:highlight w:val="none"/>
          <w:lang w:val="zh-CN" w:eastAsia="zh-CN"/>
        </w:rPr>
      </w:pPr>
      <w:r>
        <w:rPr>
          <w:rFonts w:hint="eastAsia" w:ascii="Times New Roman" w:hAnsi="Times New Roman" w:eastAsia="宋体" w:cs="Times New Roman"/>
          <w:sz w:val="24"/>
          <w:highlight w:val="none"/>
          <w:lang w:val="zh-CN"/>
        </w:rPr>
        <w:t>本次评价以《建设项目环境风险评价技术导则》（HJ169-2018）为指导，结合《关于进一步加强环境影响评价管理防范环境风险的通知》（环发〔2012〕77号），通过对拟建项目进行风险识别和分析，并进行风险预测和评价，提出减缓风险的风险防范措施和应急要求，为环境管理提供资料和依据，达到降低危险、减少危害的目的</w:t>
      </w:r>
      <w:r>
        <w:rPr>
          <w:rFonts w:hint="eastAsia" w:ascii="Times New Roman" w:hAnsi="Times New Roman" w:eastAsia="宋体" w:cs="Times New Roman"/>
          <w:sz w:val="24"/>
          <w:highlight w:val="none"/>
          <w:lang w:val="zh-CN" w:eastAsia="zh-CN"/>
        </w:rPr>
        <w:t>。</w:t>
      </w:r>
    </w:p>
    <w:p w14:paraId="7FDFB283">
      <w:pPr>
        <w:keepNext/>
        <w:keepLines/>
        <w:spacing w:line="360" w:lineRule="auto"/>
        <w:outlineLvl w:val="1"/>
        <w:rPr>
          <w:rFonts w:hint="eastAsia" w:ascii="Times New Roman" w:hAnsi="Times New Roman" w:eastAsia="宋体" w:cs="Times New Roman"/>
          <w:b/>
          <w:bCs/>
          <w:sz w:val="28"/>
          <w:szCs w:val="28"/>
          <w:highlight w:val="none"/>
          <w:lang w:val="en-US" w:eastAsia="zh-CN"/>
        </w:rPr>
      </w:pPr>
      <w:bookmarkStart w:id="50" w:name="_Toc29588"/>
      <w:r>
        <w:rPr>
          <w:rFonts w:hint="eastAsia" w:ascii="Times New Roman" w:hAnsi="Times New Roman" w:eastAsia="宋体" w:cs="Times New Roman"/>
          <w:b/>
          <w:bCs/>
          <w:sz w:val="28"/>
          <w:szCs w:val="28"/>
          <w:highlight w:val="none"/>
          <w:lang w:val="en-US" w:eastAsia="zh-CN"/>
        </w:rPr>
        <w:t>1.2评价重点</w:t>
      </w:r>
      <w:bookmarkEnd w:id="50"/>
    </w:p>
    <w:p w14:paraId="581A6AF6">
      <w:pPr>
        <w:adjustRightInd w:val="0"/>
        <w:snapToGrid w:val="0"/>
        <w:spacing w:line="360" w:lineRule="auto"/>
        <w:ind w:firstLine="480" w:firstLineChars="200"/>
        <w:rPr>
          <w:rFonts w:hint="eastAsia"/>
          <w:sz w:val="24"/>
          <w:highlight w:val="none"/>
          <w:lang w:val="zh-CN"/>
        </w:rPr>
      </w:pPr>
      <w:r>
        <w:rPr>
          <w:rFonts w:hint="eastAsia"/>
          <w:sz w:val="24"/>
          <w:highlight w:val="none"/>
          <w:lang w:val="zh-CN"/>
        </w:rPr>
        <w:t>分析、预测和评估该项目发生事故时对项目周围区域可能造成的影响程度和范围，并提出预防事故发生的措施。</w:t>
      </w:r>
    </w:p>
    <w:p w14:paraId="2CE9AE6D">
      <w:pPr>
        <w:keepNext/>
        <w:keepLines/>
        <w:spacing w:line="360" w:lineRule="auto"/>
        <w:outlineLvl w:val="1"/>
        <w:rPr>
          <w:rFonts w:hint="eastAsia" w:ascii="Times New Roman" w:hAnsi="Times New Roman" w:eastAsia="宋体" w:cs="Times New Roman"/>
          <w:b/>
          <w:bCs/>
          <w:sz w:val="28"/>
          <w:szCs w:val="28"/>
          <w:highlight w:val="none"/>
          <w:lang w:val="en-US" w:eastAsia="zh-CN"/>
        </w:rPr>
      </w:pPr>
      <w:bookmarkStart w:id="51" w:name="_Toc21437"/>
      <w:r>
        <w:rPr>
          <w:rFonts w:hint="eastAsia" w:ascii="Times New Roman" w:hAnsi="Times New Roman" w:eastAsia="宋体" w:cs="Times New Roman"/>
          <w:b/>
          <w:bCs/>
          <w:sz w:val="28"/>
          <w:szCs w:val="28"/>
          <w:highlight w:val="none"/>
          <w:lang w:val="en-US" w:eastAsia="zh-CN"/>
        </w:rPr>
        <w:t>1.3评价内容</w:t>
      </w:r>
      <w:bookmarkEnd w:id="51"/>
    </w:p>
    <w:p w14:paraId="326E69A3">
      <w:pPr>
        <w:adjustRightInd w:val="0"/>
        <w:snapToGrid w:val="0"/>
        <w:spacing w:line="360" w:lineRule="auto"/>
        <w:ind w:firstLine="480" w:firstLineChars="200"/>
        <w:rPr>
          <w:rFonts w:hint="eastAsia"/>
          <w:sz w:val="24"/>
          <w:highlight w:val="none"/>
          <w:lang w:val="zh-CN"/>
        </w:rPr>
      </w:pPr>
      <w:r>
        <w:rPr>
          <w:rFonts w:hint="eastAsia"/>
          <w:sz w:val="24"/>
          <w:highlight w:val="none"/>
          <w:lang w:val="zh-CN"/>
        </w:rPr>
        <w:t>本项目位于内蒙古鄂尔多斯市杭锦旗经济开发区独贵塔拉产业园内蒙古伊泰化工有限责任公司，根据项目实际工程情况及当地自然地理环境条件，确定本项目风险评价的重点为风险物质泄漏、遇明火引发火灾等风险事故情形下，造成地下水、土壤污染、</w:t>
      </w:r>
      <w:r>
        <w:rPr>
          <w:rFonts w:hint="eastAsia"/>
          <w:sz w:val="24"/>
          <w:highlight w:val="none"/>
          <w:lang w:val="en-US" w:eastAsia="zh-CN"/>
        </w:rPr>
        <w:t>大气环境污染</w:t>
      </w:r>
      <w:r>
        <w:rPr>
          <w:rFonts w:hint="eastAsia"/>
          <w:sz w:val="24"/>
          <w:highlight w:val="none"/>
          <w:lang w:val="zh-CN"/>
        </w:rPr>
        <w:t>。</w:t>
      </w:r>
    </w:p>
    <w:p w14:paraId="09CA694B">
      <w:pPr>
        <w:keepNext/>
        <w:keepLines/>
        <w:spacing w:line="360" w:lineRule="auto"/>
        <w:outlineLvl w:val="1"/>
        <w:rPr>
          <w:rFonts w:hint="eastAsia" w:ascii="Times New Roman" w:hAnsi="Times New Roman" w:eastAsia="宋体" w:cs="Times New Roman"/>
          <w:b/>
          <w:bCs/>
          <w:sz w:val="28"/>
          <w:szCs w:val="28"/>
          <w:highlight w:val="none"/>
          <w:lang w:val="en-US" w:eastAsia="zh-CN"/>
        </w:rPr>
      </w:pPr>
      <w:bookmarkStart w:id="52" w:name="_Toc29400"/>
      <w:r>
        <w:rPr>
          <w:rFonts w:hint="eastAsia" w:ascii="Times New Roman" w:hAnsi="Times New Roman" w:eastAsia="宋体" w:cs="Times New Roman"/>
          <w:b/>
          <w:bCs/>
          <w:sz w:val="28"/>
          <w:szCs w:val="28"/>
          <w:highlight w:val="none"/>
          <w:lang w:val="en-US" w:eastAsia="zh-CN"/>
        </w:rPr>
        <w:t>1.4评价工作程序</w:t>
      </w:r>
      <w:bookmarkEnd w:id="52"/>
    </w:p>
    <w:p w14:paraId="06AD3962">
      <w:pPr>
        <w:adjustRightInd w:val="0"/>
        <w:snapToGrid w:val="0"/>
        <w:spacing w:line="360" w:lineRule="auto"/>
        <w:ind w:firstLine="480" w:firstLineChars="200"/>
        <w:rPr>
          <w:rFonts w:hint="eastAsia" w:ascii="Times New Roman" w:hAnsi="Times New Roman" w:eastAsia="宋体"/>
          <w:sz w:val="24"/>
          <w:highlight w:val="none"/>
          <w:lang w:val="zh-CN"/>
        </w:rPr>
      </w:pPr>
      <w:r>
        <w:rPr>
          <w:rFonts w:hint="eastAsia" w:ascii="Times New Roman" w:hAnsi="Times New Roman" w:eastAsia="宋体"/>
          <w:sz w:val="24"/>
          <w:highlight w:val="none"/>
          <w:lang w:val="zh-CN"/>
        </w:rPr>
        <w:t>项目环境风险评价工作程序如下图</w:t>
      </w:r>
      <w:r>
        <w:rPr>
          <w:rFonts w:hint="eastAsia" w:ascii="Times New Roman" w:hAnsi="Times New Roman" w:eastAsia="宋体"/>
          <w:sz w:val="24"/>
          <w:highlight w:val="none"/>
          <w:lang w:val="en-US" w:eastAsia="zh-CN"/>
        </w:rPr>
        <w:t>1.4-1</w:t>
      </w:r>
      <w:r>
        <w:rPr>
          <w:rFonts w:hint="eastAsia" w:ascii="Times New Roman" w:hAnsi="Times New Roman" w:eastAsia="宋体"/>
          <w:sz w:val="24"/>
          <w:highlight w:val="none"/>
          <w:lang w:val="zh-CN"/>
        </w:rPr>
        <w:t>所示：</w:t>
      </w:r>
    </w:p>
    <w:p w14:paraId="101EDFF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position w:val="-170"/>
          <w:highlight w:val="none"/>
        </w:rPr>
      </w:pPr>
      <w:r>
        <w:rPr>
          <w:position w:val="-170"/>
          <w:highlight w:val="none"/>
        </w:rPr>
        <w:drawing>
          <wp:inline distT="0" distB="0" distL="0" distR="0">
            <wp:extent cx="5295900" cy="5643245"/>
            <wp:effectExtent l="0" t="0" r="0" b="14605"/>
            <wp:docPr id="12" name="IM 2"/>
            <wp:cNvGraphicFramePr/>
            <a:graphic xmlns:a="http://schemas.openxmlformats.org/drawingml/2006/main">
              <a:graphicData uri="http://schemas.openxmlformats.org/drawingml/2006/picture">
                <pic:pic xmlns:pic="http://schemas.openxmlformats.org/drawingml/2006/picture">
                  <pic:nvPicPr>
                    <pic:cNvPr id="12" name="IM 2"/>
                    <pic:cNvPicPr/>
                  </pic:nvPicPr>
                  <pic:blipFill>
                    <a:blip r:embed="rId30"/>
                    <a:stretch>
                      <a:fillRect/>
                    </a:stretch>
                  </pic:blipFill>
                  <pic:spPr>
                    <a:xfrm>
                      <a:off x="0" y="0"/>
                      <a:ext cx="5295900" cy="5643245"/>
                    </a:xfrm>
                    <a:prstGeom prst="rect">
                      <a:avLst/>
                    </a:prstGeom>
                  </pic:spPr>
                </pic:pic>
              </a:graphicData>
            </a:graphic>
          </wp:inline>
        </w:drawing>
      </w:r>
    </w:p>
    <w:p w14:paraId="042ABB18">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hint="default" w:ascii="Times New Roman" w:hAnsi="Times New Roman" w:eastAsia="宋体" w:cs="Times New Roman"/>
          <w:b/>
          <w:bCs/>
          <w:spacing w:val="-6"/>
          <w:sz w:val="21"/>
          <w:szCs w:val="21"/>
          <w:highlight w:val="none"/>
          <w:lang w:val="en-US" w:eastAsia="zh-CN"/>
        </w:rPr>
      </w:pPr>
      <w:r>
        <w:rPr>
          <w:rFonts w:hint="eastAsia" w:ascii="Times New Roman" w:hAnsi="Times New Roman" w:eastAsia="宋体" w:cs="Times New Roman"/>
          <w:b/>
          <w:bCs/>
          <w:spacing w:val="-6"/>
          <w:sz w:val="21"/>
          <w:szCs w:val="21"/>
          <w:highlight w:val="none"/>
          <w:lang w:val="en-US" w:eastAsia="zh-CN"/>
        </w:rPr>
        <w:t>图1.4-1   评价工作程序图</w:t>
      </w:r>
    </w:p>
    <w:p w14:paraId="60376C85">
      <w:pPr>
        <w:keepNext/>
        <w:keepLines/>
        <w:spacing w:line="360" w:lineRule="auto"/>
        <w:outlineLvl w:val="1"/>
        <w:rPr>
          <w:rFonts w:hint="eastAsia" w:ascii="Times New Roman" w:hAnsi="Times New Roman" w:eastAsia="宋体" w:cs="Times New Roman"/>
          <w:b/>
          <w:bCs/>
          <w:sz w:val="28"/>
          <w:szCs w:val="28"/>
          <w:highlight w:val="none"/>
          <w:lang w:val="en-US" w:eastAsia="zh-CN"/>
        </w:rPr>
      </w:pPr>
      <w:bookmarkStart w:id="53" w:name="_Toc5943"/>
      <w:r>
        <w:rPr>
          <w:rFonts w:hint="eastAsia" w:ascii="Times New Roman" w:hAnsi="Times New Roman" w:eastAsia="宋体" w:cs="Times New Roman"/>
          <w:b/>
          <w:bCs/>
          <w:sz w:val="28"/>
          <w:szCs w:val="28"/>
          <w:highlight w:val="none"/>
          <w:lang w:val="en-US" w:eastAsia="zh-CN"/>
        </w:rPr>
        <w:t>1.5现有工程环境风险回顾性分析</w:t>
      </w:r>
      <w:bookmarkEnd w:id="53"/>
    </w:p>
    <w:p w14:paraId="696948D5">
      <w:pPr>
        <w:spacing w:line="360" w:lineRule="auto"/>
        <w:ind w:firstLine="480" w:firstLineChars="200"/>
        <w:rPr>
          <w:rFonts w:hint="eastAsia"/>
          <w:sz w:val="24"/>
          <w:highlight w:val="none"/>
          <w:lang w:val="en-US" w:eastAsia="zh-CN"/>
        </w:rPr>
      </w:pPr>
      <w:r>
        <w:rPr>
          <w:rFonts w:hint="eastAsia" w:ascii="Times New Roman" w:hAnsi="Times New Roman" w:eastAsia="宋体"/>
          <w:bCs/>
          <w:sz w:val="24"/>
          <w:highlight w:val="none"/>
        </w:rPr>
        <w:t>根据现场调查，现有厂区采取了完善的风险防范措施，并根据现有厂区实际生产、使用危险化学品的品种及生产装置和贮罐区的分布情况，将各种可能出现的易燃</w:t>
      </w:r>
      <w:r>
        <w:rPr>
          <w:rFonts w:hint="eastAsia"/>
          <w:bCs/>
          <w:sz w:val="24"/>
          <w:highlight w:val="none"/>
          <w:lang w:eastAsia="zh-CN"/>
        </w:rPr>
        <w:t>、</w:t>
      </w:r>
      <w:r>
        <w:rPr>
          <w:rFonts w:hint="eastAsia" w:ascii="Times New Roman" w:hAnsi="Times New Roman" w:eastAsia="宋体"/>
          <w:bCs/>
          <w:sz w:val="24"/>
          <w:highlight w:val="none"/>
        </w:rPr>
        <w:t>易爆、易泄漏、易中毒等情况编制了现场处置方案</w:t>
      </w:r>
      <w:bookmarkStart w:id="54" w:name="_Toc9146"/>
      <w:r>
        <w:rPr>
          <w:rFonts w:hint="eastAsia" w:ascii="Times New Roman" w:hAnsi="Times New Roman" w:eastAsia="宋体"/>
          <w:bCs/>
          <w:sz w:val="24"/>
          <w:highlight w:val="none"/>
          <w:lang w:eastAsia="zh-CN"/>
        </w:rPr>
        <w:t>。</w:t>
      </w:r>
      <w:r>
        <w:rPr>
          <w:rFonts w:hint="eastAsia"/>
          <w:sz w:val="24"/>
          <w:highlight w:val="none"/>
          <w:lang w:val="en-US" w:eastAsia="zh-CN"/>
        </w:rPr>
        <w:t>内蒙古伊泰化工有限责任公司已编制突发环境事件应急预案，并且在鄂尔多斯市生态环境局杭锦旗分局进行备案，备案编号为150625-2024-18-L。</w:t>
      </w:r>
    </w:p>
    <w:bookmarkEnd w:id="54"/>
    <w:p w14:paraId="15C07D67">
      <w:pPr>
        <w:keepNext/>
        <w:keepLines/>
        <w:spacing w:line="360" w:lineRule="auto"/>
        <w:outlineLvl w:val="1"/>
        <w:rPr>
          <w:rFonts w:hint="eastAsia" w:ascii="Times New Roman" w:hAnsi="Times New Roman" w:eastAsia="宋体" w:cs="Times New Roman"/>
          <w:b/>
          <w:bCs/>
          <w:sz w:val="28"/>
          <w:szCs w:val="28"/>
          <w:highlight w:val="none"/>
          <w:lang w:val="en-US" w:eastAsia="zh-CN"/>
        </w:rPr>
      </w:pPr>
      <w:bookmarkStart w:id="55" w:name="_Toc21824"/>
      <w:r>
        <w:rPr>
          <w:rFonts w:hint="eastAsia" w:ascii="Times New Roman" w:hAnsi="Times New Roman" w:eastAsia="宋体" w:cs="Times New Roman"/>
          <w:b/>
          <w:bCs/>
          <w:sz w:val="28"/>
          <w:szCs w:val="28"/>
          <w:highlight w:val="none"/>
          <w:lang w:val="en-US" w:eastAsia="zh-CN"/>
        </w:rPr>
        <w:t>1.6现有工程环境风险防范措施</w:t>
      </w:r>
      <w:bookmarkEnd w:id="55"/>
    </w:p>
    <w:p w14:paraId="36FCEA34">
      <w:pPr>
        <w:pStyle w:val="43"/>
        <w:numPr>
          <w:ilvl w:val="0"/>
          <w:numId w:val="0"/>
        </w:numPr>
        <w:rPr>
          <w:rFonts w:hint="default" w:ascii="Times New Roman" w:hAnsi="Times New Roman" w:eastAsia="宋体" w:cs="Times New Roman"/>
          <w:b/>
          <w:bCs/>
          <w:sz w:val="24"/>
          <w:szCs w:val="24"/>
          <w:highlight w:val="none"/>
          <w:lang w:val="en-US" w:eastAsia="zh-CN"/>
        </w:rPr>
      </w:pPr>
      <w:bookmarkStart w:id="56" w:name="_Toc12207"/>
      <w:r>
        <w:rPr>
          <w:rFonts w:hint="eastAsia" w:ascii="Times New Roman" w:hAnsi="Times New Roman" w:eastAsia="宋体" w:cs="Times New Roman"/>
          <w:b/>
          <w:bCs/>
          <w:sz w:val="24"/>
          <w:szCs w:val="24"/>
          <w:highlight w:val="none"/>
          <w:lang w:val="en-US" w:eastAsia="zh-CN"/>
        </w:rPr>
        <w:t>1.6.1应急物资准备</w:t>
      </w:r>
      <w:bookmarkEnd w:id="56"/>
    </w:p>
    <w:p w14:paraId="3B8EA5DA">
      <w:pPr>
        <w:spacing w:line="360" w:lineRule="auto"/>
        <w:ind w:firstLine="480" w:firstLineChars="200"/>
        <w:rPr>
          <w:rFonts w:hint="eastAsia" w:ascii="Times New Roman" w:hAnsi="Times New Roman" w:eastAsia="宋体" w:cs="Times New Roman"/>
          <w:bCs/>
          <w:sz w:val="24"/>
          <w:highlight w:val="none"/>
        </w:rPr>
      </w:pPr>
      <w:r>
        <w:rPr>
          <w:rFonts w:hint="eastAsia" w:ascii="Times New Roman" w:hAnsi="Times New Roman" w:eastAsia="宋体" w:cs="Times New Roman"/>
          <w:bCs/>
          <w:sz w:val="24"/>
          <w:highlight w:val="none"/>
          <w:lang w:val="en-US" w:eastAsia="zh-CN"/>
        </w:rPr>
        <w:t>（</w:t>
      </w:r>
      <w:r>
        <w:rPr>
          <w:rFonts w:hint="default" w:ascii="Times New Roman" w:hAnsi="Times New Roman" w:eastAsia="宋体" w:cs="Times New Roman"/>
          <w:bCs/>
          <w:sz w:val="24"/>
          <w:highlight w:val="none"/>
          <w:lang w:val="en-US" w:eastAsia="zh-CN"/>
        </w:rPr>
        <w:t>1</w:t>
      </w:r>
      <w:r>
        <w:rPr>
          <w:rFonts w:hint="eastAsia" w:ascii="Times New Roman" w:hAnsi="Times New Roman" w:eastAsia="宋体" w:cs="Times New Roman"/>
          <w:bCs/>
          <w:sz w:val="24"/>
          <w:highlight w:val="none"/>
          <w:lang w:val="en-US" w:eastAsia="zh-CN"/>
        </w:rPr>
        <w:t>）全厂的总图布置</w:t>
      </w:r>
      <w:r>
        <w:rPr>
          <w:rFonts w:hint="eastAsia" w:cs="Times New Roman"/>
          <w:bCs/>
          <w:sz w:val="24"/>
          <w:highlight w:val="none"/>
          <w:lang w:val="en-US" w:eastAsia="zh-CN"/>
        </w:rPr>
        <w:t>应</w:t>
      </w:r>
      <w:r>
        <w:rPr>
          <w:rFonts w:hint="eastAsia" w:ascii="Times New Roman" w:hAnsi="Times New Roman" w:eastAsia="宋体" w:cs="Times New Roman"/>
          <w:bCs/>
          <w:sz w:val="24"/>
          <w:highlight w:val="none"/>
          <w:lang w:val="en-US" w:eastAsia="zh-CN"/>
        </w:rPr>
        <w:t>执行</w:t>
      </w:r>
      <w:r>
        <w:rPr>
          <w:rFonts w:hint="eastAsia"/>
          <w:sz w:val="24"/>
          <w:highlight w:val="none"/>
          <w:lang w:val="en-US" w:eastAsia="zh-CN"/>
        </w:rPr>
        <w:t>《建筑设计防火规范》（</w:t>
      </w:r>
      <w:r>
        <w:rPr>
          <w:rFonts w:hint="default"/>
          <w:sz w:val="24"/>
          <w:highlight w:val="none"/>
          <w:lang w:val="en-US" w:eastAsia="zh-CN"/>
        </w:rPr>
        <w:t>GB50016-20</w:t>
      </w:r>
      <w:r>
        <w:rPr>
          <w:rFonts w:hint="eastAsia"/>
          <w:sz w:val="24"/>
          <w:highlight w:val="none"/>
          <w:lang w:val="en-US" w:eastAsia="zh-CN"/>
        </w:rPr>
        <w:t>14）</w:t>
      </w:r>
      <w:r>
        <w:rPr>
          <w:rFonts w:hint="default"/>
          <w:sz w:val="24"/>
          <w:highlight w:val="none"/>
          <w:lang w:val="en-US" w:eastAsia="zh-CN"/>
        </w:rPr>
        <w:t>（2018年版）</w:t>
      </w:r>
      <w:r>
        <w:rPr>
          <w:rFonts w:hint="eastAsia" w:ascii="Times New Roman" w:hAnsi="Times New Roman" w:eastAsia="宋体" w:cs="Times New Roman"/>
          <w:bCs/>
          <w:sz w:val="24"/>
          <w:highlight w:val="none"/>
          <w:lang w:val="en-US" w:eastAsia="zh-CN"/>
        </w:rPr>
        <w:t>和其他安全卫生规范的规定，并充分考虑风向因素</w:t>
      </w:r>
      <w:r>
        <w:rPr>
          <w:rFonts w:hint="eastAsia" w:cs="Times New Roman"/>
          <w:bCs/>
          <w:sz w:val="24"/>
          <w:highlight w:val="none"/>
          <w:lang w:val="en-US" w:eastAsia="zh-CN"/>
        </w:rPr>
        <w:t>、</w:t>
      </w:r>
      <w:r>
        <w:rPr>
          <w:rFonts w:hint="eastAsia" w:ascii="Times New Roman" w:hAnsi="Times New Roman" w:eastAsia="宋体" w:cs="Times New Roman"/>
          <w:bCs/>
          <w:sz w:val="24"/>
          <w:highlight w:val="none"/>
          <w:lang w:val="en-US" w:eastAsia="zh-CN"/>
        </w:rPr>
        <w:t>安全防护距离</w:t>
      </w:r>
      <w:r>
        <w:rPr>
          <w:rFonts w:hint="eastAsia" w:cs="Times New Roman"/>
          <w:bCs/>
          <w:sz w:val="24"/>
          <w:highlight w:val="none"/>
          <w:lang w:val="en-US" w:eastAsia="zh-CN"/>
        </w:rPr>
        <w:t>、</w:t>
      </w:r>
      <w:r>
        <w:rPr>
          <w:rFonts w:hint="eastAsia" w:ascii="Times New Roman" w:hAnsi="Times New Roman" w:eastAsia="宋体" w:cs="Times New Roman"/>
          <w:bCs/>
          <w:sz w:val="24"/>
          <w:highlight w:val="none"/>
          <w:lang w:val="en-US" w:eastAsia="zh-CN"/>
        </w:rPr>
        <w:t>消防和疏散通道以及人货分流等要求，以利于安全生产；</w:t>
      </w:r>
    </w:p>
    <w:p w14:paraId="3B7B0ABC">
      <w:pPr>
        <w:spacing w:line="360" w:lineRule="auto"/>
        <w:ind w:firstLine="480" w:firstLineChars="200"/>
        <w:rPr>
          <w:rFonts w:hint="eastAsia" w:ascii="Times New Roman" w:hAnsi="Times New Roman" w:eastAsia="宋体" w:cs="Times New Roman"/>
          <w:bCs/>
          <w:sz w:val="24"/>
          <w:highlight w:val="none"/>
        </w:rPr>
      </w:pPr>
      <w:r>
        <w:rPr>
          <w:rFonts w:hint="eastAsia" w:ascii="Times New Roman" w:hAnsi="Times New Roman" w:eastAsia="宋体" w:cs="Times New Roman"/>
          <w:bCs/>
          <w:sz w:val="24"/>
          <w:highlight w:val="none"/>
          <w:lang w:val="en-US" w:eastAsia="zh-CN"/>
        </w:rPr>
        <w:t>（2）在生产过程中，对各密封点进行经常检查，防止有毒有害物质的</w:t>
      </w:r>
      <w:r>
        <w:rPr>
          <w:rFonts w:hint="eastAsia" w:cs="Times New Roman"/>
          <w:bCs/>
          <w:sz w:val="24"/>
          <w:highlight w:val="none"/>
          <w:lang w:val="en-US" w:eastAsia="zh-CN"/>
        </w:rPr>
        <w:t>泄漏</w:t>
      </w:r>
      <w:r>
        <w:rPr>
          <w:rFonts w:hint="eastAsia" w:ascii="Times New Roman" w:hAnsi="Times New Roman" w:eastAsia="宋体" w:cs="Times New Roman"/>
          <w:bCs/>
          <w:sz w:val="24"/>
          <w:highlight w:val="none"/>
          <w:lang w:val="en-US" w:eastAsia="zh-CN"/>
        </w:rPr>
        <w:t>；</w:t>
      </w:r>
    </w:p>
    <w:p w14:paraId="475CC4BA">
      <w:pPr>
        <w:spacing w:line="360" w:lineRule="auto"/>
        <w:ind w:firstLine="480" w:firstLineChars="200"/>
        <w:rPr>
          <w:rFonts w:hint="eastAsia" w:ascii="Times New Roman" w:hAnsi="Times New Roman" w:eastAsia="宋体" w:cs="Times New Roman"/>
          <w:bCs/>
          <w:sz w:val="24"/>
          <w:highlight w:val="none"/>
        </w:rPr>
      </w:pPr>
      <w:r>
        <w:rPr>
          <w:rFonts w:hint="eastAsia" w:ascii="Times New Roman" w:hAnsi="Times New Roman" w:eastAsia="宋体" w:cs="Times New Roman"/>
          <w:bCs/>
          <w:sz w:val="24"/>
          <w:highlight w:val="none"/>
          <w:lang w:val="en-US" w:eastAsia="zh-CN"/>
        </w:rPr>
        <w:t>（3）保证污水处理设施运行正常，防止在处理突发环境事件过程中产生的高浓度消防废水、废液直接排入水体；</w:t>
      </w:r>
    </w:p>
    <w:p w14:paraId="492D44BF">
      <w:pPr>
        <w:spacing w:line="360" w:lineRule="auto"/>
        <w:ind w:firstLine="480" w:firstLineChars="200"/>
        <w:rPr>
          <w:rFonts w:hint="eastAsia" w:ascii="Times New Roman" w:hAnsi="Times New Roman" w:eastAsia="宋体" w:cs="Times New Roman"/>
          <w:bCs/>
          <w:sz w:val="24"/>
          <w:highlight w:val="none"/>
        </w:rPr>
      </w:pPr>
      <w:r>
        <w:rPr>
          <w:rFonts w:hint="eastAsia" w:ascii="Times New Roman" w:hAnsi="Times New Roman" w:eastAsia="宋体" w:cs="Times New Roman"/>
          <w:bCs/>
          <w:sz w:val="24"/>
          <w:highlight w:val="none"/>
          <w:lang w:val="en-US" w:eastAsia="zh-CN"/>
        </w:rPr>
        <w:t>（4）对泄漏的有毒有害物质实行集中收集，进入除害系统进行吸收、中</w:t>
      </w:r>
      <w:r>
        <w:rPr>
          <w:rFonts w:hint="eastAsia" w:cs="Times New Roman"/>
          <w:bCs/>
          <w:sz w:val="24"/>
          <w:highlight w:val="none"/>
          <w:lang w:val="en-US" w:eastAsia="zh-CN"/>
        </w:rPr>
        <w:t>和</w:t>
      </w:r>
      <w:r>
        <w:rPr>
          <w:rFonts w:hint="eastAsia" w:ascii="Times New Roman" w:hAnsi="Times New Roman" w:eastAsia="宋体" w:cs="Times New Roman"/>
          <w:bCs/>
          <w:sz w:val="24"/>
          <w:highlight w:val="none"/>
          <w:lang w:val="en-US" w:eastAsia="zh-CN"/>
        </w:rPr>
        <w:t>无害化处理；</w:t>
      </w:r>
    </w:p>
    <w:p w14:paraId="7943EB26">
      <w:pPr>
        <w:spacing w:line="360" w:lineRule="auto"/>
        <w:ind w:firstLine="480" w:firstLineChars="200"/>
        <w:rPr>
          <w:rFonts w:hint="eastAsia" w:ascii="Times New Roman" w:hAnsi="Times New Roman" w:eastAsia="宋体" w:cs="Times New Roman"/>
          <w:bCs/>
          <w:sz w:val="24"/>
          <w:highlight w:val="none"/>
        </w:rPr>
      </w:pPr>
      <w:r>
        <w:rPr>
          <w:rFonts w:hint="eastAsia" w:ascii="Times New Roman" w:hAnsi="Times New Roman" w:eastAsia="宋体" w:cs="Times New Roman"/>
          <w:bCs/>
          <w:sz w:val="24"/>
          <w:highlight w:val="none"/>
          <w:lang w:val="en-US" w:eastAsia="zh-CN"/>
        </w:rPr>
        <w:t>（5）消防事故水池</w:t>
      </w:r>
      <w:r>
        <w:rPr>
          <w:rFonts w:hint="default" w:ascii="Times New Roman" w:hAnsi="Times New Roman" w:eastAsia="宋体" w:cs="Times New Roman"/>
          <w:bCs/>
          <w:sz w:val="24"/>
          <w:highlight w:val="none"/>
          <w:lang w:val="en-US" w:eastAsia="zh-CN"/>
        </w:rPr>
        <w:t>30000m</w:t>
      </w:r>
      <w:r>
        <w:rPr>
          <w:rFonts w:hint="eastAsia" w:ascii="Times New Roman" w:hAnsi="Times New Roman" w:eastAsia="宋体" w:cs="Times New Roman"/>
          <w:bCs/>
          <w:sz w:val="24"/>
          <w:highlight w:val="none"/>
          <w:vertAlign w:val="superscript"/>
          <w:lang w:val="en-US" w:eastAsia="zh-CN"/>
        </w:rPr>
        <w:t>3</w:t>
      </w:r>
      <w:r>
        <w:rPr>
          <w:rFonts w:hint="eastAsia" w:ascii="Times New Roman" w:hAnsi="Times New Roman" w:eastAsia="宋体" w:cs="Times New Roman"/>
          <w:bCs/>
          <w:sz w:val="24"/>
          <w:highlight w:val="none"/>
          <w:lang w:val="en-US" w:eastAsia="zh-CN"/>
        </w:rPr>
        <w:t>，其位置位于伊泰厂区东北角；</w:t>
      </w:r>
    </w:p>
    <w:p w14:paraId="4B435CAD">
      <w:pPr>
        <w:spacing w:line="360" w:lineRule="auto"/>
        <w:ind w:firstLine="480" w:firstLineChars="200"/>
        <w:rPr>
          <w:rFonts w:hint="eastAsia" w:ascii="Times New Roman" w:hAnsi="Times New Roman" w:eastAsia="宋体" w:cs="Times New Roman"/>
          <w:bCs/>
          <w:sz w:val="24"/>
          <w:highlight w:val="none"/>
        </w:rPr>
      </w:pPr>
      <w:r>
        <w:rPr>
          <w:rFonts w:hint="eastAsia" w:ascii="Times New Roman" w:hAnsi="Times New Roman" w:eastAsia="宋体" w:cs="Times New Roman"/>
          <w:bCs/>
          <w:sz w:val="24"/>
          <w:highlight w:val="none"/>
          <w:lang w:val="en-US" w:eastAsia="zh-CN"/>
        </w:rPr>
        <w:t>（6）建立全厂应急呼叫系统，确保紧急情况</w:t>
      </w:r>
      <w:r>
        <w:rPr>
          <w:rFonts w:hint="eastAsia" w:cs="Times New Roman"/>
          <w:bCs/>
          <w:sz w:val="24"/>
          <w:highlight w:val="none"/>
          <w:lang w:val="en-US" w:eastAsia="zh-CN"/>
        </w:rPr>
        <w:t>下</w:t>
      </w:r>
      <w:r>
        <w:rPr>
          <w:rFonts w:hint="eastAsia" w:ascii="Times New Roman" w:hAnsi="Times New Roman" w:eastAsia="宋体" w:cs="Times New Roman"/>
          <w:bCs/>
          <w:sz w:val="24"/>
          <w:highlight w:val="none"/>
          <w:lang w:val="en-US" w:eastAsia="zh-CN"/>
        </w:rPr>
        <w:t>应急信息通报的有效性；</w:t>
      </w:r>
    </w:p>
    <w:p w14:paraId="1EA60254">
      <w:pPr>
        <w:spacing w:line="360" w:lineRule="auto"/>
        <w:ind w:firstLine="480" w:firstLineChars="200"/>
        <w:rPr>
          <w:rFonts w:hint="eastAsia" w:ascii="Times New Roman" w:hAnsi="Times New Roman" w:eastAsia="宋体" w:cs="Times New Roman"/>
          <w:bCs/>
          <w:sz w:val="24"/>
          <w:highlight w:val="none"/>
        </w:rPr>
      </w:pPr>
      <w:r>
        <w:rPr>
          <w:rFonts w:hint="eastAsia" w:ascii="Times New Roman" w:hAnsi="Times New Roman" w:eastAsia="宋体" w:cs="Times New Roman"/>
          <w:bCs/>
          <w:sz w:val="24"/>
          <w:highlight w:val="none"/>
          <w:lang w:val="en-US" w:eastAsia="zh-CN"/>
        </w:rPr>
        <w:t>（7）增加应急处置、快速机动和自身防护装备、物资的储备。</w:t>
      </w:r>
    </w:p>
    <w:p w14:paraId="7C3A65E0">
      <w:pPr>
        <w:pStyle w:val="43"/>
        <w:numPr>
          <w:ilvl w:val="0"/>
          <w:numId w:val="0"/>
        </w:numPr>
        <w:rPr>
          <w:rFonts w:hint="eastAsia" w:ascii="Times New Roman" w:hAnsi="Times New Roman" w:eastAsia="宋体" w:cs="Times New Roman"/>
          <w:b/>
          <w:bCs/>
          <w:sz w:val="24"/>
          <w:szCs w:val="24"/>
          <w:highlight w:val="none"/>
          <w:lang w:val="en-US" w:eastAsia="zh-CN"/>
        </w:rPr>
      </w:pPr>
      <w:bookmarkStart w:id="57" w:name="_Toc14027"/>
      <w:r>
        <w:rPr>
          <w:rFonts w:hint="eastAsia" w:ascii="Times New Roman" w:hAnsi="Times New Roman" w:eastAsia="宋体" w:cs="Times New Roman"/>
          <w:b/>
          <w:bCs/>
          <w:sz w:val="24"/>
          <w:szCs w:val="24"/>
          <w:highlight w:val="none"/>
          <w:lang w:val="en-US" w:eastAsia="zh-CN"/>
        </w:rPr>
        <w:t>1.6.2预防措施准备</w:t>
      </w:r>
      <w:bookmarkEnd w:id="57"/>
    </w:p>
    <w:p w14:paraId="50E7F15D">
      <w:pPr>
        <w:spacing w:line="360" w:lineRule="auto"/>
        <w:ind w:firstLine="480" w:firstLineChars="200"/>
        <w:rPr>
          <w:rFonts w:hint="eastAsia" w:ascii="Times New Roman" w:hAnsi="Times New Roman" w:eastAsia="宋体" w:cs="Times New Roman"/>
          <w:bCs/>
          <w:sz w:val="24"/>
          <w:highlight w:val="none"/>
          <w:lang w:val="en-US" w:eastAsia="zh-CN"/>
        </w:rPr>
      </w:pPr>
      <w:r>
        <w:rPr>
          <w:rFonts w:hint="eastAsia" w:ascii="Times New Roman" w:hAnsi="Times New Roman" w:eastAsia="宋体" w:cs="Times New Roman"/>
          <w:bCs/>
          <w:sz w:val="24"/>
          <w:highlight w:val="none"/>
          <w:lang w:val="en-US" w:eastAsia="zh-CN"/>
        </w:rPr>
        <w:t>（</w:t>
      </w:r>
      <w:r>
        <w:rPr>
          <w:rFonts w:hint="default" w:ascii="Times New Roman" w:hAnsi="Times New Roman" w:eastAsia="宋体" w:cs="Times New Roman"/>
          <w:bCs/>
          <w:sz w:val="24"/>
          <w:highlight w:val="none"/>
          <w:lang w:val="en-US" w:eastAsia="zh-CN"/>
        </w:rPr>
        <w:t>1</w:t>
      </w:r>
      <w:r>
        <w:rPr>
          <w:rFonts w:hint="eastAsia" w:ascii="Times New Roman" w:hAnsi="Times New Roman" w:eastAsia="宋体" w:cs="Times New Roman"/>
          <w:bCs/>
          <w:sz w:val="24"/>
          <w:highlight w:val="none"/>
          <w:lang w:val="en-US" w:eastAsia="zh-CN"/>
        </w:rPr>
        <w:t>）环境应急相关部门及单位要充分发挥职能作用，在积极发挥现有检验、鉴定、监测力量的基础上，根据工作需要和职责要求，加强危险化学品检验、鉴定和监测设备建设，不断提高应急监测、动态监控的能力，保证在发生突发环境事件时能有效、及时掌握对环境的污染和影响；</w:t>
      </w:r>
    </w:p>
    <w:p w14:paraId="315A33A5">
      <w:pPr>
        <w:spacing w:line="360" w:lineRule="auto"/>
        <w:ind w:firstLine="480" w:firstLineChars="200"/>
        <w:rPr>
          <w:rFonts w:hint="eastAsia" w:ascii="Times New Roman" w:hAnsi="Times New Roman" w:eastAsia="宋体" w:cs="Times New Roman"/>
          <w:bCs/>
          <w:sz w:val="24"/>
          <w:highlight w:val="none"/>
          <w:lang w:val="en-US" w:eastAsia="zh-CN"/>
        </w:rPr>
      </w:pPr>
      <w:r>
        <w:rPr>
          <w:rFonts w:hint="eastAsia" w:ascii="Times New Roman" w:hAnsi="Times New Roman" w:eastAsia="宋体" w:cs="Times New Roman"/>
          <w:bCs/>
          <w:sz w:val="24"/>
          <w:highlight w:val="none"/>
          <w:lang w:val="en-US" w:eastAsia="zh-CN"/>
        </w:rPr>
        <w:t>（</w:t>
      </w:r>
      <w:r>
        <w:rPr>
          <w:rFonts w:hint="default" w:ascii="Times New Roman" w:hAnsi="Times New Roman" w:eastAsia="宋体" w:cs="Times New Roman"/>
          <w:bCs/>
          <w:sz w:val="24"/>
          <w:highlight w:val="none"/>
          <w:lang w:val="en-US" w:eastAsia="zh-CN"/>
        </w:rPr>
        <w:t>2</w:t>
      </w:r>
      <w:r>
        <w:rPr>
          <w:rFonts w:hint="eastAsia" w:ascii="Times New Roman" w:hAnsi="Times New Roman" w:eastAsia="宋体" w:cs="Times New Roman"/>
          <w:bCs/>
          <w:sz w:val="24"/>
          <w:highlight w:val="none"/>
          <w:lang w:val="en-US" w:eastAsia="zh-CN"/>
        </w:rPr>
        <w:t>）建立健全各专业环境应急队伍环境应急相关主管部门要按各自职责建立突发环境事件应急救援队伍，形成由环境应急主管部门和相关车间、相对固定人员组成的环境应急网络；加强各级环境应急队伍的建设，提高应对突发事件的素质和能力；加强各级环境应急队伍的环境应急知识培训，充分掌握各类突发环境事件的处置措施，保证在突发事件发生后，能迅速参与并完成抢救、排险、消毒、监测等现场处置工作；</w:t>
      </w:r>
    </w:p>
    <w:p w14:paraId="43D391F6">
      <w:pPr>
        <w:spacing w:line="360" w:lineRule="auto"/>
        <w:ind w:firstLine="480" w:firstLineChars="200"/>
        <w:rPr>
          <w:rFonts w:hint="eastAsia" w:ascii="Times New Roman" w:hAnsi="Times New Roman" w:eastAsia="宋体" w:cs="Times New Roman"/>
          <w:bCs/>
          <w:sz w:val="24"/>
          <w:highlight w:val="none"/>
          <w:lang w:val="en-US" w:eastAsia="zh-CN"/>
        </w:rPr>
      </w:pPr>
      <w:r>
        <w:rPr>
          <w:rFonts w:hint="eastAsia" w:ascii="Times New Roman" w:hAnsi="Times New Roman" w:eastAsia="宋体" w:cs="Times New Roman"/>
          <w:bCs/>
          <w:sz w:val="24"/>
          <w:highlight w:val="none"/>
          <w:lang w:val="en-US" w:eastAsia="zh-CN"/>
        </w:rPr>
        <w:t>（</w:t>
      </w:r>
      <w:r>
        <w:rPr>
          <w:rFonts w:hint="default" w:ascii="Times New Roman" w:hAnsi="Times New Roman" w:eastAsia="宋体" w:cs="Times New Roman"/>
          <w:bCs/>
          <w:sz w:val="24"/>
          <w:highlight w:val="none"/>
          <w:lang w:val="en-US" w:eastAsia="zh-CN"/>
        </w:rPr>
        <w:t>3</w:t>
      </w:r>
      <w:r>
        <w:rPr>
          <w:rFonts w:hint="eastAsia" w:ascii="Times New Roman" w:hAnsi="Times New Roman" w:eastAsia="宋体" w:cs="Times New Roman"/>
          <w:bCs/>
          <w:sz w:val="24"/>
          <w:highlight w:val="none"/>
          <w:lang w:val="en-US" w:eastAsia="zh-CN"/>
        </w:rPr>
        <w:t>）各级环境应急相关成员单位根据突发环境事件应急需要</w:t>
      </w:r>
      <w:r>
        <w:rPr>
          <w:rFonts w:hint="eastAsia" w:cs="Times New Roman"/>
          <w:bCs/>
          <w:sz w:val="24"/>
          <w:highlight w:val="none"/>
          <w:lang w:val="en-US" w:eastAsia="zh-CN"/>
        </w:rPr>
        <w:t>，</w:t>
      </w:r>
      <w:r>
        <w:rPr>
          <w:rFonts w:hint="eastAsia" w:ascii="Times New Roman" w:hAnsi="Times New Roman" w:eastAsia="宋体" w:cs="Times New Roman"/>
          <w:bCs/>
          <w:sz w:val="24"/>
          <w:highlight w:val="none"/>
          <w:lang w:val="en-US" w:eastAsia="zh-CN"/>
        </w:rPr>
        <w:t>提出项目支出预算</w:t>
      </w:r>
      <w:r>
        <w:rPr>
          <w:rFonts w:hint="eastAsia" w:cs="Times New Roman"/>
          <w:bCs/>
          <w:sz w:val="24"/>
          <w:highlight w:val="none"/>
          <w:lang w:val="en-US" w:eastAsia="zh-CN"/>
        </w:rPr>
        <w:t>并</w:t>
      </w:r>
      <w:r>
        <w:rPr>
          <w:rFonts w:hint="eastAsia" w:ascii="Times New Roman" w:hAnsi="Times New Roman" w:eastAsia="宋体" w:cs="Times New Roman"/>
          <w:bCs/>
          <w:sz w:val="24"/>
          <w:highlight w:val="none"/>
          <w:lang w:val="en-US" w:eastAsia="zh-CN"/>
        </w:rPr>
        <w:t>报公司审批后执行；</w:t>
      </w:r>
    </w:p>
    <w:p w14:paraId="1DA68072">
      <w:pPr>
        <w:spacing w:line="360" w:lineRule="auto"/>
        <w:ind w:firstLine="480" w:firstLineChars="200"/>
        <w:rPr>
          <w:rFonts w:hint="eastAsia" w:ascii="Times New Roman" w:hAnsi="Times New Roman" w:eastAsia="宋体" w:cs="Times New Roman"/>
          <w:bCs/>
          <w:sz w:val="24"/>
          <w:highlight w:val="none"/>
          <w:lang w:val="en-US" w:eastAsia="zh-CN"/>
        </w:rPr>
      </w:pPr>
      <w:r>
        <w:rPr>
          <w:rFonts w:hint="eastAsia" w:ascii="Times New Roman" w:hAnsi="Times New Roman" w:eastAsia="宋体" w:cs="Times New Roman"/>
          <w:bCs/>
          <w:sz w:val="24"/>
          <w:highlight w:val="none"/>
          <w:lang w:val="en-US" w:eastAsia="zh-CN"/>
        </w:rPr>
        <w:t>（</w:t>
      </w:r>
      <w:r>
        <w:rPr>
          <w:rFonts w:hint="default" w:ascii="Times New Roman" w:hAnsi="Times New Roman" w:eastAsia="宋体" w:cs="Times New Roman"/>
          <w:bCs/>
          <w:sz w:val="24"/>
          <w:highlight w:val="none"/>
          <w:lang w:val="en-US" w:eastAsia="zh-CN"/>
        </w:rPr>
        <w:t>4</w:t>
      </w:r>
      <w:r>
        <w:rPr>
          <w:rFonts w:hint="eastAsia" w:ascii="Times New Roman" w:hAnsi="Times New Roman" w:eastAsia="宋体" w:cs="Times New Roman"/>
          <w:bCs/>
          <w:sz w:val="24"/>
          <w:highlight w:val="none"/>
          <w:lang w:val="en-US" w:eastAsia="zh-CN"/>
        </w:rPr>
        <w:t>）建立环境安全预警系统，公示报警电话，组建环境应急专家组，确保事件发生后相关环境专家能迅速到位，为指挥决策提供服务；建立环境应急数据库。</w:t>
      </w:r>
    </w:p>
    <w:p w14:paraId="624A936F">
      <w:pPr>
        <w:spacing w:line="360" w:lineRule="auto"/>
        <w:ind w:firstLine="480" w:firstLineChars="200"/>
        <w:rPr>
          <w:rFonts w:hint="eastAsia" w:ascii="Times New Roman" w:hAnsi="Times New Roman" w:eastAsia="宋体" w:cs="Times New Roman"/>
          <w:bCs/>
          <w:sz w:val="24"/>
          <w:highlight w:val="none"/>
          <w:lang w:val="en-US" w:eastAsia="zh-CN"/>
        </w:rPr>
      </w:pPr>
      <w:r>
        <w:rPr>
          <w:rFonts w:hint="eastAsia" w:ascii="Times New Roman" w:hAnsi="Times New Roman" w:eastAsia="宋体" w:cs="Times New Roman"/>
          <w:bCs/>
          <w:sz w:val="24"/>
          <w:highlight w:val="none"/>
          <w:lang w:val="en-US" w:eastAsia="zh-CN"/>
        </w:rPr>
        <w:t>（</w:t>
      </w:r>
      <w:r>
        <w:rPr>
          <w:rFonts w:hint="default" w:ascii="Times New Roman" w:hAnsi="Times New Roman" w:eastAsia="宋体" w:cs="Times New Roman"/>
          <w:bCs/>
          <w:sz w:val="24"/>
          <w:highlight w:val="none"/>
          <w:lang w:val="en-US" w:eastAsia="zh-CN"/>
        </w:rPr>
        <w:t>5</w:t>
      </w:r>
      <w:r>
        <w:rPr>
          <w:rFonts w:hint="eastAsia" w:ascii="Times New Roman" w:hAnsi="Times New Roman" w:eastAsia="宋体" w:cs="Times New Roman"/>
          <w:bCs/>
          <w:sz w:val="24"/>
          <w:highlight w:val="none"/>
          <w:lang w:val="en-US" w:eastAsia="zh-CN"/>
        </w:rPr>
        <w:t>）应急指令的下达与接收采取无线通信、有线通信与</w:t>
      </w:r>
      <w:r>
        <w:rPr>
          <w:rFonts w:hint="eastAsia" w:cs="Times New Roman"/>
          <w:bCs/>
          <w:sz w:val="24"/>
          <w:highlight w:val="none"/>
          <w:lang w:val="en-US" w:eastAsia="zh-CN"/>
        </w:rPr>
        <w:t>移动</w:t>
      </w:r>
      <w:r>
        <w:rPr>
          <w:rFonts w:hint="eastAsia" w:ascii="Times New Roman" w:hAnsi="Times New Roman" w:eastAsia="宋体" w:cs="Times New Roman"/>
          <w:bCs/>
          <w:sz w:val="24"/>
          <w:highlight w:val="none"/>
          <w:lang w:val="en-US" w:eastAsia="zh-CN"/>
        </w:rPr>
        <w:t>通信相结合的方式，以无线通信为主，实现应急信息快速传输。在外应急人员的联络以移动电话等无线通信为主，确保应急指令快速下达。监测小组在应急过程中，</w:t>
      </w:r>
      <w:r>
        <w:rPr>
          <w:rFonts w:hint="eastAsia" w:cs="Times New Roman"/>
          <w:bCs/>
          <w:sz w:val="24"/>
          <w:highlight w:val="none"/>
          <w:lang w:val="en-US" w:eastAsia="zh-CN"/>
        </w:rPr>
        <w:t>主要</w:t>
      </w:r>
      <w:r>
        <w:rPr>
          <w:rFonts w:hint="eastAsia" w:ascii="Times New Roman" w:hAnsi="Times New Roman" w:eastAsia="宋体" w:cs="Times New Roman"/>
          <w:bCs/>
          <w:sz w:val="24"/>
          <w:highlight w:val="none"/>
          <w:lang w:val="en-US" w:eastAsia="zh-CN"/>
        </w:rPr>
        <w:t>利用对讲机</w:t>
      </w:r>
      <w:r>
        <w:rPr>
          <w:rFonts w:hint="eastAsia" w:cs="Times New Roman"/>
          <w:bCs/>
          <w:sz w:val="24"/>
          <w:highlight w:val="none"/>
          <w:lang w:val="en-US" w:eastAsia="zh-CN"/>
        </w:rPr>
        <w:t>、</w:t>
      </w:r>
      <w:r>
        <w:rPr>
          <w:rFonts w:hint="eastAsia" w:ascii="Times New Roman" w:hAnsi="Times New Roman" w:eastAsia="宋体" w:cs="Times New Roman"/>
          <w:bCs/>
          <w:sz w:val="24"/>
          <w:highlight w:val="none"/>
          <w:lang w:val="en-US" w:eastAsia="zh-CN"/>
        </w:rPr>
        <w:t>移动电话</w:t>
      </w:r>
      <w:r>
        <w:rPr>
          <w:rFonts w:hint="eastAsia" w:cs="Times New Roman"/>
          <w:bCs/>
          <w:sz w:val="24"/>
          <w:highlight w:val="none"/>
          <w:lang w:val="en-US" w:eastAsia="zh-CN"/>
        </w:rPr>
        <w:t>等</w:t>
      </w:r>
      <w:r>
        <w:rPr>
          <w:rFonts w:hint="eastAsia" w:ascii="Times New Roman" w:hAnsi="Times New Roman" w:eastAsia="宋体" w:cs="Times New Roman"/>
          <w:bCs/>
          <w:sz w:val="24"/>
          <w:highlight w:val="none"/>
          <w:lang w:val="en-US" w:eastAsia="zh-CN"/>
        </w:rPr>
        <w:t>，辅以</w:t>
      </w:r>
      <w:r>
        <w:rPr>
          <w:rFonts w:hint="eastAsia" w:cs="Times New Roman"/>
          <w:bCs/>
          <w:sz w:val="24"/>
          <w:highlight w:val="none"/>
          <w:lang w:val="en-US" w:eastAsia="zh-CN"/>
        </w:rPr>
        <w:t>移动</w:t>
      </w:r>
      <w:r>
        <w:rPr>
          <w:rFonts w:hint="eastAsia" w:ascii="Times New Roman" w:hAnsi="Times New Roman" w:eastAsia="宋体" w:cs="Times New Roman"/>
          <w:bCs/>
          <w:sz w:val="24"/>
          <w:highlight w:val="none"/>
          <w:lang w:val="en-US" w:eastAsia="zh-CN"/>
        </w:rPr>
        <w:t>通信，实现信息双向交流；</w:t>
      </w:r>
    </w:p>
    <w:p w14:paraId="6A5853A2">
      <w:pPr>
        <w:spacing w:line="360" w:lineRule="auto"/>
        <w:ind w:firstLine="480" w:firstLineChars="200"/>
        <w:rPr>
          <w:rFonts w:hint="eastAsia" w:ascii="Times New Roman" w:hAnsi="Times New Roman" w:eastAsia="宋体" w:cs="Times New Roman"/>
          <w:bCs/>
          <w:sz w:val="24"/>
          <w:highlight w:val="none"/>
          <w:lang w:val="en-US" w:eastAsia="zh-CN"/>
        </w:rPr>
      </w:pPr>
      <w:r>
        <w:rPr>
          <w:rFonts w:hint="eastAsia" w:ascii="Times New Roman" w:hAnsi="Times New Roman" w:eastAsia="宋体" w:cs="Times New Roman"/>
          <w:bCs/>
          <w:sz w:val="24"/>
          <w:highlight w:val="none"/>
          <w:lang w:val="en-US" w:eastAsia="zh-CN"/>
        </w:rPr>
        <w:t>（</w:t>
      </w:r>
      <w:r>
        <w:rPr>
          <w:rFonts w:hint="default" w:ascii="Times New Roman" w:hAnsi="Times New Roman" w:eastAsia="宋体" w:cs="Times New Roman"/>
          <w:bCs/>
          <w:sz w:val="24"/>
          <w:highlight w:val="none"/>
          <w:lang w:val="en-US" w:eastAsia="zh-CN"/>
        </w:rPr>
        <w:t>6</w:t>
      </w:r>
      <w:r>
        <w:rPr>
          <w:rFonts w:hint="eastAsia" w:ascii="Times New Roman" w:hAnsi="Times New Roman" w:eastAsia="宋体" w:cs="Times New Roman"/>
          <w:bCs/>
          <w:sz w:val="24"/>
          <w:highlight w:val="none"/>
          <w:lang w:val="en-US" w:eastAsia="zh-CN"/>
        </w:rPr>
        <w:t>）应急状态下人员及物资运转的确认和调度，由公司应急指挥部授权现场应急指挥部组织实施。平时各应急车辆须保证</w:t>
      </w:r>
      <w:r>
        <w:rPr>
          <w:rFonts w:hint="default" w:ascii="Times New Roman" w:hAnsi="Times New Roman" w:eastAsia="宋体" w:cs="Times New Roman"/>
          <w:bCs/>
          <w:sz w:val="24"/>
          <w:highlight w:val="none"/>
          <w:lang w:val="en-US" w:eastAsia="zh-CN"/>
        </w:rPr>
        <w:t>300</w:t>
      </w:r>
      <w:r>
        <w:rPr>
          <w:rFonts w:hint="eastAsia" w:ascii="Times New Roman" w:hAnsi="Times New Roman" w:eastAsia="宋体" w:cs="Times New Roman"/>
          <w:bCs/>
          <w:sz w:val="24"/>
          <w:highlight w:val="none"/>
          <w:lang w:val="en-US" w:eastAsia="zh-CN"/>
        </w:rPr>
        <w:t>公里以上的行车用油；</w:t>
      </w:r>
    </w:p>
    <w:p w14:paraId="26446C99">
      <w:pPr>
        <w:spacing w:line="360" w:lineRule="auto"/>
        <w:ind w:firstLine="480" w:firstLineChars="200"/>
        <w:rPr>
          <w:rFonts w:hint="eastAsia" w:ascii="Times New Roman" w:hAnsi="Times New Roman" w:eastAsia="宋体" w:cs="Times New Roman"/>
          <w:bCs/>
          <w:sz w:val="24"/>
          <w:highlight w:val="none"/>
          <w:lang w:val="en-US" w:eastAsia="zh-CN"/>
        </w:rPr>
      </w:pPr>
      <w:r>
        <w:rPr>
          <w:rFonts w:hint="eastAsia" w:ascii="Times New Roman" w:hAnsi="Times New Roman" w:eastAsia="宋体" w:cs="Times New Roman"/>
          <w:bCs/>
          <w:sz w:val="24"/>
          <w:highlight w:val="none"/>
          <w:lang w:val="en-US" w:eastAsia="zh-CN"/>
        </w:rPr>
        <w:t>（</w:t>
      </w:r>
      <w:r>
        <w:rPr>
          <w:rFonts w:hint="default" w:ascii="Times New Roman" w:hAnsi="Times New Roman" w:eastAsia="宋体" w:cs="Times New Roman"/>
          <w:bCs/>
          <w:sz w:val="24"/>
          <w:highlight w:val="none"/>
          <w:lang w:val="en-US" w:eastAsia="zh-CN"/>
        </w:rPr>
        <w:t>7</w:t>
      </w:r>
      <w:r>
        <w:rPr>
          <w:rFonts w:hint="eastAsia" w:ascii="Times New Roman" w:hAnsi="Times New Roman" w:eastAsia="宋体" w:cs="Times New Roman"/>
          <w:bCs/>
          <w:sz w:val="24"/>
          <w:highlight w:val="none"/>
          <w:lang w:val="en-US" w:eastAsia="zh-CN"/>
        </w:rPr>
        <w:t>）应急过程中如出现人员中毒或受伤，可就近组织现场救治或送至公司医务室救治，或及时与相关医疗单位联系，也可送至现场指挥所指定的医院、医疗单位救治，应急状态终止后根据实际情况组织转院或继续治疗；</w:t>
      </w:r>
    </w:p>
    <w:p w14:paraId="16B73480">
      <w:pPr>
        <w:spacing w:line="360" w:lineRule="auto"/>
        <w:ind w:firstLine="480" w:firstLineChars="200"/>
        <w:rPr>
          <w:rFonts w:hint="eastAsia" w:ascii="Times New Roman" w:hAnsi="Times New Roman" w:eastAsia="宋体" w:cs="Times New Roman"/>
          <w:bCs/>
          <w:sz w:val="24"/>
          <w:highlight w:val="none"/>
          <w:lang w:val="en-US" w:eastAsia="zh-CN"/>
        </w:rPr>
      </w:pPr>
      <w:r>
        <w:rPr>
          <w:rFonts w:hint="eastAsia" w:ascii="Times New Roman" w:hAnsi="Times New Roman" w:eastAsia="宋体" w:cs="Times New Roman"/>
          <w:bCs/>
          <w:sz w:val="24"/>
          <w:highlight w:val="none"/>
          <w:lang w:val="en-US" w:eastAsia="zh-CN"/>
        </w:rPr>
        <w:t>（</w:t>
      </w:r>
      <w:r>
        <w:rPr>
          <w:rFonts w:hint="default" w:ascii="Times New Roman" w:hAnsi="Times New Roman" w:eastAsia="宋体" w:cs="Times New Roman"/>
          <w:bCs/>
          <w:sz w:val="24"/>
          <w:highlight w:val="none"/>
          <w:lang w:val="en-US" w:eastAsia="zh-CN"/>
        </w:rPr>
        <w:t>8</w:t>
      </w:r>
      <w:r>
        <w:rPr>
          <w:rFonts w:hint="eastAsia" w:ascii="Times New Roman" w:hAnsi="Times New Roman" w:eastAsia="宋体" w:cs="Times New Roman"/>
          <w:bCs/>
          <w:sz w:val="24"/>
          <w:highlight w:val="none"/>
          <w:lang w:val="en-US" w:eastAsia="zh-CN"/>
        </w:rPr>
        <w:t>）建立安全管理、危险源监测制度，规范对危险源的管理；</w:t>
      </w:r>
    </w:p>
    <w:p w14:paraId="209FFC4A">
      <w:pPr>
        <w:spacing w:line="360" w:lineRule="auto"/>
        <w:ind w:firstLine="480" w:firstLineChars="200"/>
        <w:rPr>
          <w:rFonts w:hint="eastAsia" w:ascii="Times New Roman" w:hAnsi="Times New Roman" w:eastAsia="宋体" w:cs="Times New Roman"/>
          <w:bCs/>
          <w:sz w:val="24"/>
          <w:highlight w:val="none"/>
          <w:lang w:val="en-US" w:eastAsia="zh-CN"/>
        </w:rPr>
      </w:pPr>
      <w:r>
        <w:rPr>
          <w:rFonts w:hint="eastAsia" w:ascii="Times New Roman" w:hAnsi="Times New Roman" w:eastAsia="宋体" w:cs="Times New Roman"/>
          <w:bCs/>
          <w:sz w:val="24"/>
          <w:highlight w:val="none"/>
          <w:lang w:val="en-US" w:eastAsia="zh-CN"/>
        </w:rPr>
        <w:t>（</w:t>
      </w:r>
      <w:r>
        <w:rPr>
          <w:rFonts w:hint="default" w:ascii="Times New Roman" w:hAnsi="Times New Roman" w:eastAsia="宋体" w:cs="Times New Roman"/>
          <w:bCs/>
          <w:sz w:val="24"/>
          <w:highlight w:val="none"/>
          <w:lang w:val="en-US" w:eastAsia="zh-CN"/>
        </w:rPr>
        <w:t>9</w:t>
      </w:r>
      <w:r>
        <w:rPr>
          <w:rFonts w:hint="eastAsia" w:ascii="Times New Roman" w:hAnsi="Times New Roman" w:eastAsia="宋体" w:cs="Times New Roman"/>
          <w:bCs/>
          <w:sz w:val="24"/>
          <w:highlight w:val="none"/>
          <w:lang w:val="en-US" w:eastAsia="zh-CN"/>
        </w:rPr>
        <w:t>）关键岗位</w:t>
      </w:r>
      <w:r>
        <w:rPr>
          <w:rFonts w:hint="eastAsia" w:cs="Times New Roman"/>
          <w:bCs/>
          <w:sz w:val="24"/>
          <w:highlight w:val="none"/>
          <w:lang w:val="en-US" w:eastAsia="zh-CN"/>
        </w:rPr>
        <w:t>应</w:t>
      </w:r>
      <w:r>
        <w:rPr>
          <w:rFonts w:hint="eastAsia" w:ascii="Times New Roman" w:hAnsi="Times New Roman" w:eastAsia="宋体" w:cs="Times New Roman"/>
          <w:bCs/>
          <w:sz w:val="24"/>
          <w:highlight w:val="none"/>
          <w:lang w:val="en-US" w:eastAsia="zh-CN"/>
        </w:rPr>
        <w:t>配备一定数量的巡检人员，依据巡检制度</w:t>
      </w:r>
      <w:r>
        <w:rPr>
          <w:rFonts w:hint="eastAsia" w:cs="Times New Roman"/>
          <w:bCs/>
          <w:sz w:val="24"/>
          <w:highlight w:val="none"/>
          <w:lang w:val="en-US" w:eastAsia="zh-CN"/>
        </w:rPr>
        <w:t>进行</w:t>
      </w:r>
      <w:r>
        <w:rPr>
          <w:rFonts w:hint="eastAsia" w:ascii="Times New Roman" w:hAnsi="Times New Roman" w:eastAsia="宋体" w:cs="Times New Roman"/>
          <w:bCs/>
          <w:sz w:val="24"/>
          <w:highlight w:val="none"/>
          <w:lang w:val="en-US" w:eastAsia="zh-CN"/>
        </w:rPr>
        <w:t>巡回检查。</w:t>
      </w:r>
    </w:p>
    <w:p w14:paraId="6D68BFC5">
      <w:pPr>
        <w:pStyle w:val="43"/>
        <w:numPr>
          <w:ilvl w:val="0"/>
          <w:numId w:val="0"/>
        </w:numPr>
        <w:rPr>
          <w:rFonts w:hint="eastAsia" w:ascii="Times New Roman" w:hAnsi="Times New Roman" w:eastAsia="宋体" w:cs="Times New Roman"/>
          <w:b/>
          <w:bCs/>
          <w:sz w:val="24"/>
          <w:szCs w:val="24"/>
          <w:highlight w:val="none"/>
          <w:lang w:val="en-US" w:eastAsia="zh-CN"/>
        </w:rPr>
      </w:pPr>
      <w:bookmarkStart w:id="58" w:name="_Toc17442"/>
      <w:r>
        <w:rPr>
          <w:rFonts w:hint="eastAsia" w:ascii="Times New Roman" w:hAnsi="Times New Roman" w:eastAsia="宋体" w:cs="Times New Roman"/>
          <w:b/>
          <w:bCs/>
          <w:sz w:val="24"/>
          <w:szCs w:val="24"/>
          <w:highlight w:val="none"/>
          <w:lang w:val="en-US" w:eastAsia="zh-CN"/>
        </w:rPr>
        <w:t>1.6.3预警措施</w:t>
      </w:r>
      <w:bookmarkEnd w:id="58"/>
    </w:p>
    <w:p w14:paraId="17909E74">
      <w:pPr>
        <w:spacing w:line="360" w:lineRule="auto"/>
        <w:ind w:firstLine="480" w:firstLineChars="200"/>
        <w:rPr>
          <w:rFonts w:hint="eastAsia" w:ascii="Times New Roman" w:hAnsi="Times New Roman" w:eastAsia="宋体" w:cs="Times New Roman"/>
          <w:bCs/>
          <w:sz w:val="24"/>
          <w:highlight w:val="none"/>
          <w:lang w:val="en-US" w:eastAsia="zh-CN"/>
        </w:rPr>
      </w:pPr>
      <w:r>
        <w:rPr>
          <w:rFonts w:hint="eastAsia" w:ascii="Times New Roman" w:hAnsi="Times New Roman" w:eastAsia="宋体" w:cs="Times New Roman"/>
          <w:bCs/>
          <w:sz w:val="24"/>
          <w:highlight w:val="none"/>
          <w:lang w:val="en-US" w:eastAsia="zh-CN"/>
        </w:rPr>
        <w:t>（1）现场操作员工在发现突发环境事件或紧急情况下，应立即向当班领导人报告。报告内容应包括：</w:t>
      </w:r>
    </w:p>
    <w:p w14:paraId="16DF7159">
      <w:pPr>
        <w:spacing w:line="360" w:lineRule="auto"/>
        <w:ind w:firstLine="480" w:firstLineChars="200"/>
        <w:rPr>
          <w:rFonts w:hint="eastAsia" w:ascii="Times New Roman" w:hAnsi="Times New Roman" w:eastAsia="宋体" w:cs="Times New Roman"/>
          <w:bCs/>
          <w:sz w:val="24"/>
          <w:highlight w:val="none"/>
          <w:lang w:val="en-US" w:eastAsia="zh-CN"/>
        </w:rPr>
      </w:pPr>
      <w:r>
        <w:rPr>
          <w:rFonts w:hint="eastAsia" w:ascii="Times New Roman" w:hAnsi="Times New Roman" w:eastAsia="宋体" w:cs="Times New Roman"/>
          <w:bCs/>
          <w:sz w:val="24"/>
          <w:highlight w:val="none"/>
          <w:lang w:val="en-US" w:eastAsia="zh-CN"/>
        </w:rPr>
        <w:t>①发生事件的具体地点；</w:t>
      </w:r>
    </w:p>
    <w:p w14:paraId="3C2BD59E">
      <w:pPr>
        <w:spacing w:line="360" w:lineRule="auto"/>
        <w:ind w:firstLine="480" w:firstLineChars="200"/>
        <w:rPr>
          <w:rFonts w:hint="eastAsia" w:ascii="Times New Roman" w:hAnsi="Times New Roman" w:eastAsia="宋体" w:cs="Times New Roman"/>
          <w:bCs/>
          <w:sz w:val="24"/>
          <w:highlight w:val="none"/>
          <w:lang w:val="en-US" w:eastAsia="zh-CN"/>
        </w:rPr>
      </w:pPr>
      <w:r>
        <w:rPr>
          <w:rFonts w:hint="eastAsia" w:ascii="Times New Roman" w:hAnsi="Times New Roman" w:eastAsia="宋体" w:cs="Times New Roman"/>
          <w:bCs/>
          <w:sz w:val="24"/>
          <w:highlight w:val="none"/>
          <w:lang w:val="en-US" w:eastAsia="zh-CN"/>
        </w:rPr>
        <w:t>②事件类型（火灾、爆炸、中毒等）；</w:t>
      </w:r>
    </w:p>
    <w:p w14:paraId="209142DF">
      <w:pPr>
        <w:spacing w:line="360" w:lineRule="auto"/>
        <w:ind w:firstLine="480" w:firstLineChars="200"/>
        <w:rPr>
          <w:rFonts w:hint="eastAsia" w:ascii="Times New Roman" w:hAnsi="Times New Roman" w:eastAsia="宋体" w:cs="Times New Roman"/>
          <w:bCs/>
          <w:sz w:val="24"/>
          <w:highlight w:val="none"/>
          <w:lang w:val="en-US" w:eastAsia="zh-CN"/>
        </w:rPr>
      </w:pPr>
      <w:r>
        <w:rPr>
          <w:rFonts w:hint="eastAsia" w:ascii="Times New Roman" w:hAnsi="Times New Roman" w:eastAsia="宋体" w:cs="Times New Roman"/>
          <w:bCs/>
          <w:sz w:val="24"/>
          <w:highlight w:val="none"/>
          <w:lang w:val="en-US" w:eastAsia="zh-CN"/>
        </w:rPr>
        <w:t>③有无人员伤亡；</w:t>
      </w:r>
    </w:p>
    <w:p w14:paraId="6827AB7A">
      <w:pPr>
        <w:spacing w:line="360" w:lineRule="auto"/>
        <w:ind w:firstLine="480" w:firstLineChars="200"/>
        <w:rPr>
          <w:rFonts w:hint="eastAsia" w:ascii="Times New Roman" w:hAnsi="Times New Roman" w:eastAsia="宋体" w:cs="Times New Roman"/>
          <w:bCs/>
          <w:sz w:val="24"/>
          <w:highlight w:val="none"/>
          <w:lang w:val="en-US" w:eastAsia="zh-CN"/>
        </w:rPr>
      </w:pPr>
      <w:r>
        <w:rPr>
          <w:rFonts w:hint="eastAsia" w:ascii="Times New Roman" w:hAnsi="Times New Roman" w:eastAsia="宋体" w:cs="Times New Roman"/>
          <w:bCs/>
          <w:sz w:val="24"/>
          <w:highlight w:val="none"/>
          <w:lang w:val="en-US" w:eastAsia="zh-CN"/>
        </w:rPr>
        <w:t>④事件严重程度。</w:t>
      </w:r>
    </w:p>
    <w:p w14:paraId="4A07A587">
      <w:pPr>
        <w:spacing w:line="360" w:lineRule="auto"/>
        <w:ind w:firstLine="480" w:firstLineChars="200"/>
        <w:rPr>
          <w:rFonts w:hint="eastAsia" w:ascii="Times New Roman" w:hAnsi="Times New Roman" w:eastAsia="宋体" w:cs="Times New Roman"/>
          <w:bCs/>
          <w:sz w:val="24"/>
          <w:highlight w:val="none"/>
          <w:lang w:val="en-US" w:eastAsia="zh-CN"/>
        </w:rPr>
      </w:pPr>
      <w:r>
        <w:rPr>
          <w:rFonts w:hint="eastAsia" w:ascii="Times New Roman" w:hAnsi="Times New Roman" w:eastAsia="宋体" w:cs="Times New Roman"/>
          <w:bCs/>
          <w:sz w:val="24"/>
          <w:highlight w:val="none"/>
          <w:lang w:val="en-US" w:eastAsia="zh-CN"/>
        </w:rPr>
        <w:t>（2）当班领导人接到报警后，立即通知公司环境应急指挥部（办公室），由应急指挥部确定启动相应级别的应急救援预案，并同时上报上级主管部门。</w:t>
      </w:r>
    </w:p>
    <w:p w14:paraId="766006F6">
      <w:pPr>
        <w:spacing w:line="360" w:lineRule="auto"/>
        <w:ind w:firstLine="480" w:firstLineChars="200"/>
        <w:rPr>
          <w:rFonts w:hint="eastAsia" w:ascii="Times New Roman" w:hAnsi="Times New Roman" w:eastAsia="宋体" w:cs="Times New Roman"/>
          <w:bCs/>
          <w:sz w:val="24"/>
          <w:highlight w:val="none"/>
          <w:lang w:val="en-US" w:eastAsia="zh-CN"/>
        </w:rPr>
      </w:pPr>
      <w:r>
        <w:rPr>
          <w:rFonts w:hint="eastAsia" w:ascii="Times New Roman" w:hAnsi="Times New Roman" w:eastAsia="宋体" w:cs="Times New Roman"/>
          <w:bCs/>
          <w:sz w:val="24"/>
          <w:highlight w:val="none"/>
          <w:lang w:val="en-US" w:eastAsia="zh-CN"/>
        </w:rPr>
        <w:t>（3）公司应急指挥部通过预警系统立即通知各应急救援组和相关人员，通报公司内发生的事件或紧急情况，动员应急人员立即采取行动；并提醒其他无关人员进行安全避险，及时疏散到安全地点或撤离企业等防护行动。</w:t>
      </w:r>
    </w:p>
    <w:p w14:paraId="579CFDD5">
      <w:pPr>
        <w:spacing w:line="360" w:lineRule="auto"/>
        <w:ind w:firstLine="480" w:firstLineChars="200"/>
        <w:rPr>
          <w:rFonts w:hint="eastAsia" w:ascii="Times New Roman" w:hAnsi="Times New Roman" w:eastAsia="宋体" w:cs="Times New Roman"/>
          <w:bCs/>
          <w:sz w:val="24"/>
          <w:highlight w:val="none"/>
          <w:lang w:val="en-US" w:eastAsia="zh-CN"/>
        </w:rPr>
      </w:pPr>
      <w:r>
        <w:rPr>
          <w:rFonts w:hint="eastAsia" w:ascii="Times New Roman" w:hAnsi="Times New Roman" w:eastAsia="宋体" w:cs="Times New Roman"/>
          <w:bCs/>
          <w:sz w:val="24"/>
          <w:highlight w:val="none"/>
          <w:lang w:val="en-US" w:eastAsia="zh-CN"/>
        </w:rPr>
        <w:t>（4）通信组立即投入工作，保持公司应急指挥部与各应急救援组织的通讯联络畅通</w:t>
      </w:r>
      <w:r>
        <w:rPr>
          <w:rFonts w:hint="eastAsia" w:cs="Times New Roman"/>
          <w:bCs/>
          <w:sz w:val="24"/>
          <w:highlight w:val="none"/>
          <w:lang w:val="en-US" w:eastAsia="zh-CN"/>
        </w:rPr>
        <w:t>；</w:t>
      </w:r>
      <w:r>
        <w:rPr>
          <w:rFonts w:hint="eastAsia" w:ascii="Times New Roman" w:hAnsi="Times New Roman" w:eastAsia="宋体" w:cs="Times New Roman"/>
          <w:bCs/>
          <w:sz w:val="24"/>
          <w:highlight w:val="none"/>
          <w:lang w:val="en-US" w:eastAsia="zh-CN"/>
        </w:rPr>
        <w:t>同时，要保持与外部相关机构的联络畅通。</w:t>
      </w:r>
    </w:p>
    <w:p w14:paraId="32348F62">
      <w:pPr>
        <w:spacing w:line="360" w:lineRule="auto"/>
        <w:ind w:firstLine="480" w:firstLineChars="200"/>
        <w:rPr>
          <w:rFonts w:hint="eastAsia"/>
          <w:sz w:val="24"/>
          <w:highlight w:val="none"/>
        </w:rPr>
      </w:pPr>
      <w:r>
        <w:rPr>
          <w:rFonts w:hint="eastAsia" w:ascii="Times New Roman" w:hAnsi="Times New Roman" w:eastAsia="宋体" w:cs="Times New Roman"/>
          <w:bCs/>
          <w:sz w:val="24"/>
          <w:highlight w:val="none"/>
          <w:lang w:val="en-US" w:eastAsia="zh-CN"/>
        </w:rPr>
        <w:t>（5）公司应急指挥部根据事件性质做好公众防护行动的准备工作，并在紧急情况下为相关政府部门提供建议。</w:t>
      </w:r>
      <w:bookmarkEnd w:id="48"/>
    </w:p>
    <w:p w14:paraId="4D8DBE1C">
      <w:pPr>
        <w:keepNext/>
        <w:keepLines/>
        <w:spacing w:before="240" w:beforeLines="100" w:line="360" w:lineRule="auto"/>
        <w:outlineLvl w:val="0"/>
        <w:rPr>
          <w:rFonts w:hint="eastAsia"/>
          <w:b/>
          <w:bCs/>
          <w:kern w:val="44"/>
          <w:sz w:val="32"/>
          <w:szCs w:val="32"/>
          <w:highlight w:val="none"/>
        </w:rPr>
      </w:pPr>
      <w:bookmarkStart w:id="59" w:name="_Toc3137_WPSOffice_Level1"/>
      <w:r>
        <w:rPr>
          <w:rFonts w:hint="eastAsia"/>
          <w:b/>
          <w:bCs/>
          <w:kern w:val="44"/>
          <w:sz w:val="32"/>
          <w:szCs w:val="32"/>
          <w:highlight w:val="none"/>
          <w:lang w:val="en-US" w:eastAsia="zh-CN"/>
        </w:rPr>
        <w:t>2.本项目环境</w:t>
      </w:r>
      <w:r>
        <w:rPr>
          <w:rFonts w:hint="eastAsia"/>
          <w:b/>
          <w:bCs/>
          <w:kern w:val="44"/>
          <w:sz w:val="32"/>
          <w:szCs w:val="32"/>
          <w:highlight w:val="none"/>
        </w:rPr>
        <w:t>风险调查</w:t>
      </w:r>
    </w:p>
    <w:p w14:paraId="6A919298">
      <w:pPr>
        <w:keepNext/>
        <w:keepLines/>
        <w:spacing w:line="360" w:lineRule="auto"/>
        <w:outlineLvl w:val="1"/>
        <w:rPr>
          <w:rFonts w:hint="eastAsia" w:eastAsia="宋体"/>
          <w:b/>
          <w:bCs/>
          <w:sz w:val="28"/>
          <w:szCs w:val="28"/>
          <w:highlight w:val="none"/>
          <w:lang w:eastAsia="zh-CN"/>
        </w:rPr>
      </w:pPr>
      <w:bookmarkStart w:id="60" w:name="_Toc5881_WPSOffice_Level1"/>
      <w:r>
        <w:rPr>
          <w:rFonts w:hint="eastAsia"/>
          <w:b/>
          <w:bCs/>
          <w:sz w:val="28"/>
          <w:szCs w:val="28"/>
          <w:highlight w:val="none"/>
          <w:lang w:val="en-US" w:eastAsia="zh-CN"/>
        </w:rPr>
        <w:t>2</w:t>
      </w:r>
      <w:r>
        <w:rPr>
          <w:rFonts w:hint="eastAsia"/>
          <w:b/>
          <w:bCs/>
          <w:sz w:val="28"/>
          <w:szCs w:val="28"/>
          <w:highlight w:val="none"/>
        </w:rPr>
        <w:t>.1</w:t>
      </w:r>
      <w:bookmarkEnd w:id="60"/>
      <w:r>
        <w:rPr>
          <w:rFonts w:hint="eastAsia" w:ascii="Times New Roman" w:hAnsi="Times New Roman" w:eastAsia="宋体" w:cs="Times New Roman"/>
          <w:b/>
          <w:bCs/>
          <w:sz w:val="28"/>
          <w:szCs w:val="28"/>
          <w:highlight w:val="none"/>
          <w:lang w:val="en-US" w:eastAsia="zh-CN"/>
        </w:rPr>
        <w:t>风险源</w:t>
      </w:r>
    </w:p>
    <w:p w14:paraId="6CEDBA07">
      <w:pPr>
        <w:spacing w:line="360" w:lineRule="auto"/>
        <w:ind w:firstLine="480" w:firstLineChars="200"/>
        <w:rPr>
          <w:sz w:val="24"/>
          <w:highlight w:val="none"/>
        </w:rPr>
      </w:pPr>
      <w:r>
        <w:rPr>
          <w:rFonts w:hint="eastAsia"/>
          <w:sz w:val="24"/>
          <w:highlight w:val="none"/>
        </w:rPr>
        <w:t>本项目</w:t>
      </w:r>
      <w:r>
        <w:rPr>
          <w:rFonts w:hint="eastAsia" w:ascii="宋体" w:hAnsi="宋体" w:cs="宋体"/>
          <w:sz w:val="24"/>
          <w:highlight w:val="none"/>
          <w:lang w:val="en-US" w:eastAsia="zh-CN"/>
        </w:rPr>
        <w:t>鹏泰-伊泰化工物料输送管线及管廊建设</w:t>
      </w:r>
      <w:r>
        <w:rPr>
          <w:rFonts w:hint="eastAsia"/>
          <w:sz w:val="24"/>
          <w:highlight w:val="none"/>
        </w:rPr>
        <w:t>工程，输送介质为</w:t>
      </w:r>
      <w:r>
        <w:rPr>
          <w:rFonts w:hint="eastAsia"/>
          <w:sz w:val="24"/>
          <w:highlight w:val="none"/>
          <w:lang w:val="en-US" w:eastAsia="zh-CN"/>
        </w:rPr>
        <w:t>合成脱碳尾</w:t>
      </w:r>
      <w:r>
        <w:rPr>
          <w:rFonts w:hint="default"/>
          <w:sz w:val="24"/>
          <w:highlight w:val="none"/>
          <w:lang w:val="en-US" w:eastAsia="zh-CN"/>
        </w:rPr>
        <w:t>气</w:t>
      </w:r>
      <w:r>
        <w:rPr>
          <w:rFonts w:hint="eastAsia"/>
          <w:sz w:val="24"/>
          <w:highlight w:val="none"/>
        </w:rPr>
        <w:t>、</w:t>
      </w:r>
      <w:r>
        <w:rPr>
          <w:rFonts w:hint="eastAsia"/>
          <w:sz w:val="24"/>
          <w:highlight w:val="none"/>
          <w:lang w:val="en-US" w:eastAsia="zh-CN"/>
        </w:rPr>
        <w:t>未变换净化</w:t>
      </w:r>
      <w:r>
        <w:rPr>
          <w:rFonts w:hint="default"/>
          <w:sz w:val="24"/>
          <w:highlight w:val="none"/>
          <w:lang w:val="en-US" w:eastAsia="zh-CN"/>
        </w:rPr>
        <w:t>气</w:t>
      </w:r>
      <w:r>
        <w:rPr>
          <w:rFonts w:hint="eastAsia"/>
          <w:sz w:val="24"/>
          <w:highlight w:val="none"/>
        </w:rPr>
        <w:t>、</w:t>
      </w:r>
      <w:r>
        <w:rPr>
          <w:rFonts w:hint="eastAsia"/>
          <w:sz w:val="24"/>
          <w:highlight w:val="none"/>
          <w:lang w:val="en-US" w:eastAsia="zh-CN"/>
        </w:rPr>
        <w:t>尾气</w:t>
      </w:r>
      <w:r>
        <w:rPr>
          <w:rFonts w:hint="eastAsia"/>
          <w:sz w:val="24"/>
          <w:highlight w:val="none"/>
        </w:rPr>
        <w:t>、</w:t>
      </w:r>
      <w:r>
        <w:rPr>
          <w:rFonts w:hint="eastAsia"/>
          <w:sz w:val="24"/>
          <w:highlight w:val="none"/>
          <w:lang w:val="en-US" w:eastAsia="zh-CN"/>
        </w:rPr>
        <w:t>WRT甲烷气、甲烷、低压含烃火炬气、酸湿火炬、中压蒸汽、凝结水、仪表风、工厂风、氮气、黄河水、回用水、污水1、污水2、清净废水、富甲烷气、冷冻水来、冷冻水回、酸性气、真空泵尾气、CO</w:t>
      </w:r>
      <w:r>
        <w:rPr>
          <w:rFonts w:hint="eastAsia"/>
          <w:sz w:val="24"/>
          <w:highlight w:val="none"/>
          <w:vertAlign w:val="subscript"/>
          <w:lang w:val="en-US" w:eastAsia="zh-CN"/>
        </w:rPr>
        <w:t>2</w:t>
      </w:r>
      <w:r>
        <w:rPr>
          <w:rFonts w:hint="eastAsia"/>
          <w:sz w:val="24"/>
          <w:highlight w:val="none"/>
        </w:rPr>
        <w:t>。《建设项目环境风险评价技术导则》（HJ169-2018）附录B中规定的重点关注的危险物质及临界量表中涉及的物质</w:t>
      </w:r>
      <w:r>
        <w:rPr>
          <w:rFonts w:hint="eastAsia"/>
          <w:sz w:val="24"/>
          <w:highlight w:val="none"/>
          <w:lang w:eastAsia="zh-CN"/>
        </w:rPr>
        <w:t>，</w:t>
      </w:r>
      <w:r>
        <w:rPr>
          <w:rFonts w:hint="eastAsia"/>
          <w:sz w:val="24"/>
          <w:highlight w:val="none"/>
          <w:lang w:val="en-US" w:eastAsia="zh-CN"/>
        </w:rPr>
        <w:t>结合本项目工程分析可知，本项目涉及的风险物质为一氧化碳、甲烷、乙烷、硫化氢、丁醇、乙酸乙酯、甲醇、异丙醇、乙酸、乙醛、氨气等</w:t>
      </w:r>
      <w:r>
        <w:rPr>
          <w:rFonts w:hint="eastAsia"/>
          <w:sz w:val="24"/>
          <w:highlight w:val="none"/>
        </w:rPr>
        <w:t>。</w:t>
      </w:r>
    </w:p>
    <w:p w14:paraId="48C3120A">
      <w:pPr>
        <w:keepNext/>
        <w:keepLines/>
        <w:spacing w:line="360" w:lineRule="auto"/>
        <w:outlineLvl w:val="1"/>
        <w:rPr>
          <w:rFonts w:hint="eastAsia"/>
          <w:b/>
          <w:bCs/>
          <w:sz w:val="28"/>
          <w:szCs w:val="28"/>
          <w:highlight w:val="none"/>
        </w:rPr>
      </w:pPr>
      <w:bookmarkStart w:id="61" w:name="_Toc565_WPSOffice_Level1"/>
      <w:r>
        <w:rPr>
          <w:rFonts w:hint="eastAsia"/>
          <w:b/>
          <w:bCs/>
          <w:sz w:val="28"/>
          <w:szCs w:val="28"/>
          <w:highlight w:val="none"/>
          <w:lang w:val="en-US" w:eastAsia="zh-CN"/>
        </w:rPr>
        <w:t>2.2</w:t>
      </w:r>
      <w:r>
        <w:rPr>
          <w:rFonts w:hint="eastAsia"/>
          <w:b/>
          <w:bCs/>
          <w:sz w:val="28"/>
          <w:szCs w:val="28"/>
          <w:highlight w:val="none"/>
        </w:rPr>
        <w:t>产品工艺特点</w:t>
      </w:r>
      <w:bookmarkEnd w:id="61"/>
    </w:p>
    <w:p w14:paraId="328ADCC9">
      <w:pPr>
        <w:spacing w:line="360" w:lineRule="auto"/>
        <w:ind w:firstLine="480" w:firstLineChars="200"/>
        <w:rPr>
          <w:rFonts w:hint="eastAsia"/>
          <w:sz w:val="24"/>
          <w:highlight w:val="none"/>
        </w:rPr>
      </w:pPr>
      <w:r>
        <w:rPr>
          <w:rFonts w:hint="eastAsia"/>
          <w:sz w:val="24"/>
          <w:highlight w:val="none"/>
        </w:rPr>
        <w:t>本项目不涉及产品的生产加工，仅涉及《建设项目环境风险评价技术导则》</w:t>
      </w:r>
      <w:r>
        <w:rPr>
          <w:rFonts w:hint="eastAsia"/>
          <w:sz w:val="24"/>
          <w:highlight w:val="none"/>
          <w:lang w:eastAsia="zh-CN"/>
        </w:rPr>
        <w:t>（</w:t>
      </w:r>
      <w:r>
        <w:rPr>
          <w:rFonts w:hint="eastAsia"/>
          <w:sz w:val="24"/>
          <w:highlight w:val="none"/>
        </w:rPr>
        <w:t>HJ169-2018</w:t>
      </w:r>
      <w:r>
        <w:rPr>
          <w:rFonts w:hint="eastAsia"/>
          <w:sz w:val="24"/>
          <w:highlight w:val="none"/>
          <w:lang w:eastAsia="zh-CN"/>
        </w:rPr>
        <w:t>）</w:t>
      </w:r>
      <w:r>
        <w:rPr>
          <w:rFonts w:hint="eastAsia"/>
          <w:sz w:val="24"/>
          <w:highlight w:val="none"/>
        </w:rPr>
        <w:t>物质</w:t>
      </w:r>
      <w:r>
        <w:rPr>
          <w:rFonts w:hint="eastAsia"/>
          <w:sz w:val="24"/>
          <w:highlight w:val="none"/>
          <w:lang w:val="en-US" w:eastAsia="zh-CN"/>
        </w:rPr>
        <w:t>运输</w:t>
      </w:r>
      <w:r>
        <w:rPr>
          <w:rFonts w:hint="eastAsia"/>
          <w:sz w:val="24"/>
          <w:highlight w:val="none"/>
        </w:rPr>
        <w:t>管道</w:t>
      </w:r>
      <w:r>
        <w:rPr>
          <w:rFonts w:hint="eastAsia"/>
          <w:sz w:val="24"/>
          <w:highlight w:val="none"/>
          <w:lang w:val="en-US" w:eastAsia="zh-CN"/>
        </w:rPr>
        <w:t>及压缩机的建设</w:t>
      </w:r>
      <w:r>
        <w:rPr>
          <w:rFonts w:hint="eastAsia"/>
          <w:sz w:val="24"/>
          <w:highlight w:val="none"/>
        </w:rPr>
        <w:t>。此外，本项目物料输送管线两端接驳处均纳入两端企业厂内的风险管控系统进行管理，两端接驳处发生的风险事故分别纳入厂内的应急处置。由物料输出端设置紧急切断阀，发生事故情形时由输出端切断物料输出。</w:t>
      </w:r>
    </w:p>
    <w:p w14:paraId="1B02C81C">
      <w:pPr>
        <w:keepNext/>
        <w:keepLines/>
        <w:spacing w:line="360" w:lineRule="auto"/>
        <w:outlineLvl w:val="1"/>
        <w:rPr>
          <w:rFonts w:hint="eastAsia" w:ascii="Times New Roman" w:hAnsi="Times New Roman" w:eastAsia="宋体" w:cs="Times New Roman"/>
          <w:b/>
          <w:bCs/>
          <w:sz w:val="28"/>
          <w:szCs w:val="28"/>
          <w:highlight w:val="none"/>
          <w:lang w:val="en-US" w:eastAsia="zh-CN"/>
        </w:rPr>
      </w:pPr>
      <w:r>
        <w:rPr>
          <w:rFonts w:hint="eastAsia" w:ascii="Times New Roman" w:hAnsi="Times New Roman" w:eastAsia="宋体" w:cs="Times New Roman"/>
          <w:b/>
          <w:bCs/>
          <w:sz w:val="28"/>
          <w:szCs w:val="28"/>
          <w:highlight w:val="none"/>
          <w:lang w:val="en-US" w:eastAsia="zh-CN"/>
        </w:rPr>
        <w:t>2.3风险潜势初判及评价等级判定</w:t>
      </w:r>
      <w:bookmarkEnd w:id="59"/>
    </w:p>
    <w:p w14:paraId="5C31926F">
      <w:pPr>
        <w:spacing w:line="360" w:lineRule="auto"/>
        <w:ind w:firstLine="480" w:firstLineChars="200"/>
        <w:rPr>
          <w:rFonts w:hint="eastAsia"/>
          <w:b/>
          <w:bCs/>
          <w:sz w:val="24"/>
          <w:szCs w:val="24"/>
          <w:highlight w:val="none"/>
        </w:rPr>
      </w:pPr>
      <w:bookmarkStart w:id="62" w:name="_Toc12337_WPSOffice_Level1"/>
      <w:r>
        <w:rPr>
          <w:color w:val="000000"/>
          <w:sz w:val="24"/>
          <w:highlight w:val="none"/>
        </w:rPr>
        <w:t>项目生产、使用、储存过程中涉及的有毒有害、易燃易爆物质，按照《建设项目环境风险评价技术导则》（HJ169-2018）附录B确定危险物质临界量。定量分析危险物质数量与临界量的比值（Q）和所属行业及生产工艺特点（M），按导则附录C对危险物质及工艺系统危险性（P）等级进行判断。</w:t>
      </w:r>
    </w:p>
    <w:p w14:paraId="4D7A27CF">
      <w:pPr>
        <w:pStyle w:val="43"/>
        <w:numPr>
          <w:ilvl w:val="0"/>
          <w:numId w:val="0"/>
        </w:numPr>
        <w:rPr>
          <w:rFonts w:hint="eastAsia" w:ascii="Times New Roman" w:hAnsi="Times New Roman" w:eastAsia="宋体" w:cs="Times New Roman"/>
          <w:b/>
          <w:bCs/>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2.3.1项目涉及危险物质数量与临界量的比值（Q</w:t>
      </w:r>
      <w:bookmarkEnd w:id="62"/>
      <w:r>
        <w:rPr>
          <w:rFonts w:hint="eastAsia" w:ascii="Times New Roman" w:hAnsi="Times New Roman" w:eastAsia="宋体" w:cs="Times New Roman"/>
          <w:b/>
          <w:bCs/>
          <w:sz w:val="24"/>
          <w:szCs w:val="24"/>
          <w:highlight w:val="none"/>
          <w:lang w:val="en-US" w:eastAsia="zh-CN"/>
        </w:rPr>
        <w:t>）</w:t>
      </w:r>
    </w:p>
    <w:p w14:paraId="2541DDCA">
      <w:pPr>
        <w:spacing w:line="360" w:lineRule="auto"/>
        <w:ind w:firstLine="480" w:firstLineChars="200"/>
        <w:rPr>
          <w:rFonts w:hint="eastAsia" w:eastAsia="宋体"/>
          <w:sz w:val="24"/>
          <w:highlight w:val="none"/>
          <w:lang w:eastAsia="zh-CN"/>
        </w:rPr>
      </w:pPr>
      <w:r>
        <w:rPr>
          <w:rFonts w:hint="eastAsia"/>
          <w:sz w:val="24"/>
          <w:highlight w:val="none"/>
        </w:rPr>
        <w:t>计算所涉及的每种危险物质在厂界内的最大存在总量与其在《建设项目环境风险评价技术导则》</w:t>
      </w:r>
      <w:r>
        <w:rPr>
          <w:rFonts w:hint="eastAsia"/>
          <w:sz w:val="24"/>
          <w:highlight w:val="none"/>
          <w:lang w:eastAsia="zh-CN"/>
        </w:rPr>
        <w:t>（</w:t>
      </w:r>
      <w:r>
        <w:rPr>
          <w:rFonts w:hint="eastAsia"/>
          <w:sz w:val="24"/>
          <w:highlight w:val="none"/>
        </w:rPr>
        <w:t>HJ169-2018</w:t>
      </w:r>
      <w:r>
        <w:rPr>
          <w:rFonts w:hint="eastAsia"/>
          <w:sz w:val="24"/>
          <w:highlight w:val="none"/>
          <w:lang w:eastAsia="zh-CN"/>
        </w:rPr>
        <w:t>）</w:t>
      </w:r>
      <w:r>
        <w:rPr>
          <w:rFonts w:hint="eastAsia"/>
          <w:sz w:val="24"/>
          <w:highlight w:val="none"/>
        </w:rPr>
        <w:t>附录B中对应临界量的比值Q。在不同厂区的同一种物质，按其在厂界内的最大存在总量计算。对于长输管道项目，按照两个截断阀室之间管道危险物质最大存在总量计算</w:t>
      </w:r>
      <w:r>
        <w:rPr>
          <w:rFonts w:hint="eastAsia"/>
          <w:sz w:val="24"/>
          <w:highlight w:val="none"/>
          <w:lang w:eastAsia="zh-CN"/>
        </w:rPr>
        <w:t>：</w:t>
      </w:r>
    </w:p>
    <w:p w14:paraId="24C69AE1">
      <w:pPr>
        <w:spacing w:line="360" w:lineRule="auto"/>
        <w:ind w:firstLine="480" w:firstLineChars="200"/>
        <w:rPr>
          <w:rFonts w:hint="eastAsia"/>
          <w:sz w:val="24"/>
          <w:highlight w:val="none"/>
        </w:rPr>
      </w:pPr>
      <w:r>
        <w:rPr>
          <w:rFonts w:hint="eastAsia"/>
          <w:sz w:val="24"/>
          <w:highlight w:val="none"/>
        </w:rPr>
        <w:t>当只涉及一种风险物质时，计算该物质的数量与其临界量的比值，即为Q。当存在多种化学物质时，则按下式计算物质总量与其临界量</w:t>
      </w:r>
      <w:r>
        <w:rPr>
          <w:rFonts w:hint="eastAsia"/>
          <w:sz w:val="24"/>
          <w:highlight w:val="none"/>
          <w:lang w:eastAsia="zh-CN"/>
        </w:rPr>
        <w:t>的</w:t>
      </w:r>
      <w:r>
        <w:rPr>
          <w:rFonts w:hint="eastAsia"/>
          <w:sz w:val="24"/>
          <w:highlight w:val="none"/>
        </w:rPr>
        <w:t>比值</w:t>
      </w:r>
      <w:r>
        <w:rPr>
          <w:rFonts w:hint="eastAsia"/>
          <w:sz w:val="24"/>
          <w:highlight w:val="none"/>
          <w:lang w:eastAsia="zh-CN"/>
        </w:rPr>
        <w:t>（</w:t>
      </w:r>
      <w:r>
        <w:rPr>
          <w:rFonts w:hint="eastAsia"/>
          <w:sz w:val="24"/>
          <w:highlight w:val="none"/>
        </w:rPr>
        <w:t>Q</w:t>
      </w:r>
      <w:r>
        <w:rPr>
          <w:rFonts w:hint="eastAsia"/>
          <w:sz w:val="24"/>
          <w:highlight w:val="none"/>
          <w:lang w:eastAsia="zh-CN"/>
        </w:rPr>
        <w:t>）</w:t>
      </w:r>
      <w:r>
        <w:rPr>
          <w:rFonts w:hint="eastAsia"/>
          <w:sz w:val="24"/>
          <w:highlight w:val="none"/>
        </w:rPr>
        <w:t>:</w:t>
      </w:r>
    </w:p>
    <w:p w14:paraId="34F8C672">
      <w:pPr>
        <w:spacing w:line="360" w:lineRule="auto"/>
        <w:jc w:val="center"/>
        <w:rPr>
          <w:rFonts w:hint="eastAsia"/>
          <w:sz w:val="24"/>
          <w:highlight w:val="none"/>
        </w:rPr>
      </w:pPr>
      <w:r>
        <w:rPr>
          <w:rFonts w:hint="eastAsia"/>
          <w:sz w:val="24"/>
          <w:highlight w:val="none"/>
        </w:rPr>
        <w:t>Q=q</w:t>
      </w:r>
      <w:r>
        <w:rPr>
          <w:rFonts w:hint="eastAsia"/>
          <w:sz w:val="24"/>
          <w:highlight w:val="none"/>
          <w:vertAlign w:val="subscript"/>
        </w:rPr>
        <w:t>1</w:t>
      </w:r>
      <w:r>
        <w:rPr>
          <w:rFonts w:hint="eastAsia"/>
          <w:sz w:val="24"/>
          <w:highlight w:val="none"/>
        </w:rPr>
        <w:t>/Q</w:t>
      </w:r>
      <w:r>
        <w:rPr>
          <w:rFonts w:hint="eastAsia"/>
          <w:sz w:val="24"/>
          <w:highlight w:val="none"/>
          <w:vertAlign w:val="subscript"/>
        </w:rPr>
        <w:t>1</w:t>
      </w:r>
      <w:r>
        <w:rPr>
          <w:rFonts w:hint="eastAsia"/>
          <w:sz w:val="24"/>
          <w:highlight w:val="none"/>
        </w:rPr>
        <w:t>+q</w:t>
      </w:r>
      <w:r>
        <w:rPr>
          <w:rFonts w:hint="eastAsia"/>
          <w:sz w:val="24"/>
          <w:highlight w:val="none"/>
          <w:vertAlign w:val="subscript"/>
        </w:rPr>
        <w:t>2</w:t>
      </w:r>
      <w:r>
        <w:rPr>
          <w:rFonts w:hint="eastAsia"/>
          <w:sz w:val="24"/>
          <w:highlight w:val="none"/>
        </w:rPr>
        <w:t>/Q</w:t>
      </w:r>
      <w:r>
        <w:rPr>
          <w:rFonts w:hint="eastAsia"/>
          <w:sz w:val="24"/>
          <w:highlight w:val="none"/>
          <w:vertAlign w:val="subscript"/>
        </w:rPr>
        <w:t>2</w:t>
      </w:r>
      <w:r>
        <w:rPr>
          <w:rFonts w:hint="eastAsia"/>
          <w:sz w:val="24"/>
          <w:highlight w:val="none"/>
        </w:rPr>
        <w:t>+.......+q</w:t>
      </w:r>
      <w:r>
        <w:rPr>
          <w:rFonts w:hint="eastAsia"/>
          <w:sz w:val="24"/>
          <w:highlight w:val="none"/>
          <w:vertAlign w:val="subscript"/>
        </w:rPr>
        <w:t>n</w:t>
      </w:r>
      <w:r>
        <w:rPr>
          <w:rFonts w:hint="eastAsia"/>
          <w:sz w:val="24"/>
          <w:highlight w:val="none"/>
        </w:rPr>
        <w:t>/Q</w:t>
      </w:r>
      <w:r>
        <w:rPr>
          <w:rFonts w:hint="eastAsia"/>
          <w:sz w:val="24"/>
          <w:highlight w:val="none"/>
          <w:vertAlign w:val="subscript"/>
        </w:rPr>
        <w:t>n</w:t>
      </w:r>
    </w:p>
    <w:p w14:paraId="0F496AB8">
      <w:pPr>
        <w:spacing w:line="360" w:lineRule="auto"/>
        <w:rPr>
          <w:sz w:val="24"/>
          <w:highlight w:val="none"/>
        </w:rPr>
      </w:pPr>
      <w:r>
        <w:rPr>
          <w:rFonts w:hint="eastAsia"/>
          <w:sz w:val="24"/>
          <w:highlight w:val="none"/>
        </w:rPr>
        <w:t>式中：q</w:t>
      </w:r>
      <w:r>
        <w:rPr>
          <w:rFonts w:hint="eastAsia"/>
          <w:sz w:val="24"/>
          <w:highlight w:val="none"/>
          <w:vertAlign w:val="subscript"/>
        </w:rPr>
        <w:t>1</w:t>
      </w:r>
      <w:r>
        <w:rPr>
          <w:rFonts w:hint="eastAsia"/>
          <w:sz w:val="24"/>
          <w:highlight w:val="none"/>
        </w:rPr>
        <w:t>，q</w:t>
      </w:r>
      <w:r>
        <w:rPr>
          <w:rFonts w:hint="eastAsia"/>
          <w:sz w:val="24"/>
          <w:highlight w:val="none"/>
          <w:vertAlign w:val="subscript"/>
        </w:rPr>
        <w:t>2</w:t>
      </w:r>
      <w:r>
        <w:rPr>
          <w:rFonts w:hint="eastAsia"/>
          <w:sz w:val="24"/>
          <w:highlight w:val="none"/>
        </w:rPr>
        <w:t>，...，q</w:t>
      </w:r>
      <w:r>
        <w:rPr>
          <w:rFonts w:hint="eastAsia"/>
          <w:sz w:val="24"/>
          <w:highlight w:val="none"/>
          <w:vertAlign w:val="subscript"/>
        </w:rPr>
        <w:t>n</w:t>
      </w:r>
      <w:r>
        <w:rPr>
          <w:rFonts w:hint="eastAsia"/>
          <w:sz w:val="24"/>
          <w:highlight w:val="none"/>
        </w:rPr>
        <w:t>——每种风险物质的存在量，t；</w:t>
      </w:r>
    </w:p>
    <w:p w14:paraId="541E417D">
      <w:pPr>
        <w:spacing w:line="360" w:lineRule="auto"/>
        <w:ind w:firstLine="720" w:firstLineChars="300"/>
        <w:rPr>
          <w:sz w:val="24"/>
          <w:highlight w:val="none"/>
        </w:rPr>
      </w:pPr>
      <w:r>
        <w:rPr>
          <w:rFonts w:hint="eastAsia"/>
          <w:sz w:val="24"/>
          <w:highlight w:val="none"/>
        </w:rPr>
        <w:t>Q</w:t>
      </w:r>
      <w:r>
        <w:rPr>
          <w:rFonts w:hint="eastAsia"/>
          <w:sz w:val="24"/>
          <w:highlight w:val="none"/>
          <w:vertAlign w:val="subscript"/>
        </w:rPr>
        <w:t>1</w:t>
      </w:r>
      <w:r>
        <w:rPr>
          <w:rFonts w:hint="eastAsia"/>
          <w:sz w:val="24"/>
          <w:highlight w:val="none"/>
        </w:rPr>
        <w:t>，Q</w:t>
      </w:r>
      <w:r>
        <w:rPr>
          <w:rFonts w:hint="eastAsia"/>
          <w:sz w:val="24"/>
          <w:highlight w:val="none"/>
          <w:vertAlign w:val="subscript"/>
        </w:rPr>
        <w:t>2</w:t>
      </w:r>
      <w:r>
        <w:rPr>
          <w:rFonts w:hint="eastAsia"/>
          <w:sz w:val="24"/>
          <w:highlight w:val="none"/>
        </w:rPr>
        <w:t>，...，Q</w:t>
      </w:r>
      <w:r>
        <w:rPr>
          <w:rFonts w:hint="eastAsia"/>
          <w:sz w:val="24"/>
          <w:highlight w:val="none"/>
          <w:vertAlign w:val="subscript"/>
        </w:rPr>
        <w:t>n</w:t>
      </w:r>
      <w:r>
        <w:rPr>
          <w:rFonts w:hint="eastAsia"/>
          <w:sz w:val="24"/>
          <w:highlight w:val="none"/>
        </w:rPr>
        <w:t>——每种风险物质的临界量，t。</w:t>
      </w:r>
    </w:p>
    <w:p w14:paraId="37E90A8F">
      <w:pPr>
        <w:spacing w:line="360" w:lineRule="auto"/>
        <w:ind w:firstLine="480" w:firstLineChars="200"/>
        <w:rPr>
          <w:rFonts w:hint="eastAsia"/>
          <w:sz w:val="24"/>
          <w:highlight w:val="none"/>
        </w:rPr>
      </w:pPr>
      <w:r>
        <w:rPr>
          <w:rFonts w:hint="eastAsia"/>
          <w:sz w:val="24"/>
          <w:highlight w:val="none"/>
        </w:rPr>
        <w:t>当Q&lt;1时，该项目环境风险潜势为I。</w:t>
      </w:r>
    </w:p>
    <w:p w14:paraId="36164A28">
      <w:pPr>
        <w:spacing w:line="360" w:lineRule="auto"/>
        <w:ind w:firstLine="480" w:firstLineChars="200"/>
        <w:rPr>
          <w:rFonts w:hint="eastAsia"/>
          <w:sz w:val="24"/>
          <w:highlight w:val="none"/>
        </w:rPr>
      </w:pPr>
      <w:r>
        <w:rPr>
          <w:rFonts w:hint="eastAsia"/>
          <w:sz w:val="24"/>
          <w:highlight w:val="none"/>
        </w:rPr>
        <w:t>当Q≥1时，将Q值划分为：</w:t>
      </w:r>
      <w:r>
        <w:rPr>
          <w:rFonts w:hint="eastAsia"/>
          <w:sz w:val="24"/>
          <w:highlight w:val="none"/>
          <w:lang w:eastAsia="zh-CN"/>
        </w:rPr>
        <w:t>（</w:t>
      </w:r>
      <w:r>
        <w:rPr>
          <w:rFonts w:hint="eastAsia"/>
          <w:sz w:val="24"/>
          <w:highlight w:val="none"/>
        </w:rPr>
        <w:t>1</w:t>
      </w:r>
      <w:r>
        <w:rPr>
          <w:rFonts w:hint="eastAsia"/>
          <w:sz w:val="24"/>
          <w:highlight w:val="none"/>
          <w:lang w:eastAsia="zh-CN"/>
        </w:rPr>
        <w:t>）</w:t>
      </w:r>
      <w:r>
        <w:rPr>
          <w:rFonts w:hint="eastAsia"/>
          <w:sz w:val="24"/>
          <w:highlight w:val="none"/>
        </w:rPr>
        <w:t>1≤Q&lt;10；</w:t>
      </w:r>
      <w:r>
        <w:rPr>
          <w:rFonts w:hint="eastAsia"/>
          <w:sz w:val="24"/>
          <w:highlight w:val="none"/>
          <w:lang w:eastAsia="zh-CN"/>
        </w:rPr>
        <w:t>（</w:t>
      </w:r>
      <w:r>
        <w:rPr>
          <w:rFonts w:hint="eastAsia"/>
          <w:sz w:val="24"/>
          <w:highlight w:val="none"/>
        </w:rPr>
        <w:t>2</w:t>
      </w:r>
      <w:r>
        <w:rPr>
          <w:rFonts w:hint="eastAsia"/>
          <w:sz w:val="24"/>
          <w:highlight w:val="none"/>
          <w:lang w:eastAsia="zh-CN"/>
        </w:rPr>
        <w:t>）</w:t>
      </w:r>
      <w:r>
        <w:rPr>
          <w:rFonts w:hint="eastAsia"/>
          <w:sz w:val="24"/>
          <w:highlight w:val="none"/>
        </w:rPr>
        <w:t>10&lt;Q&lt;100；</w:t>
      </w:r>
      <w:r>
        <w:rPr>
          <w:rFonts w:hint="eastAsia"/>
          <w:sz w:val="24"/>
          <w:highlight w:val="none"/>
          <w:lang w:eastAsia="zh-CN"/>
        </w:rPr>
        <w:t>（</w:t>
      </w:r>
      <w:r>
        <w:rPr>
          <w:rFonts w:hint="eastAsia"/>
          <w:sz w:val="24"/>
          <w:highlight w:val="none"/>
        </w:rPr>
        <w:t>3</w:t>
      </w:r>
      <w:r>
        <w:rPr>
          <w:rFonts w:hint="eastAsia"/>
          <w:sz w:val="24"/>
          <w:highlight w:val="none"/>
          <w:lang w:eastAsia="zh-CN"/>
        </w:rPr>
        <w:t>）</w:t>
      </w:r>
      <w:r>
        <w:rPr>
          <w:rFonts w:hint="eastAsia"/>
          <w:sz w:val="24"/>
          <w:highlight w:val="none"/>
        </w:rPr>
        <w:t>Q&gt;100。</w:t>
      </w:r>
    </w:p>
    <w:p w14:paraId="1E819F8B">
      <w:pPr>
        <w:spacing w:line="360" w:lineRule="auto"/>
        <w:ind w:firstLine="480" w:firstLineChars="200"/>
        <w:rPr>
          <w:rFonts w:hint="eastAsia"/>
          <w:sz w:val="24"/>
          <w:highlight w:val="none"/>
        </w:rPr>
      </w:pPr>
      <w:r>
        <w:rPr>
          <w:rFonts w:hint="eastAsia"/>
          <w:sz w:val="24"/>
          <w:highlight w:val="none"/>
        </w:rPr>
        <w:t>根据风险调查，对照《建设项目环境风险评价技术导则》</w:t>
      </w:r>
      <w:r>
        <w:rPr>
          <w:rFonts w:hint="eastAsia"/>
          <w:sz w:val="24"/>
          <w:highlight w:val="none"/>
          <w:lang w:eastAsia="zh-CN"/>
        </w:rPr>
        <w:t>（</w:t>
      </w:r>
      <w:r>
        <w:rPr>
          <w:rFonts w:hint="eastAsia"/>
          <w:sz w:val="24"/>
          <w:highlight w:val="none"/>
        </w:rPr>
        <w:t>HJ169-2018</w:t>
      </w:r>
      <w:r>
        <w:rPr>
          <w:rFonts w:hint="eastAsia"/>
          <w:sz w:val="24"/>
          <w:highlight w:val="none"/>
          <w:lang w:eastAsia="zh-CN"/>
        </w:rPr>
        <w:t>）</w:t>
      </w:r>
      <w:r>
        <w:rPr>
          <w:rFonts w:hint="eastAsia"/>
          <w:sz w:val="24"/>
          <w:highlight w:val="none"/>
        </w:rPr>
        <w:t>的附录B可知，本项目涉及的危险物质为</w:t>
      </w:r>
      <w:r>
        <w:rPr>
          <w:rFonts w:hint="eastAsia"/>
          <w:sz w:val="24"/>
          <w:highlight w:val="none"/>
          <w:lang w:val="en-US" w:eastAsia="zh-CN"/>
        </w:rPr>
        <w:t>一氧化碳、甲烷、乙烷、硫化氢、丁醇、乙酸乙酯、甲醇、异丙醇、乙酸、乙醛、氨气等</w:t>
      </w:r>
      <w:r>
        <w:rPr>
          <w:rFonts w:hint="eastAsia"/>
          <w:sz w:val="24"/>
          <w:highlight w:val="none"/>
        </w:rPr>
        <w:t>，根据附录B中危险物质的临界量，通过公式</w:t>
      </w:r>
      <w:r>
        <w:rPr>
          <w:rFonts w:hint="eastAsia"/>
          <w:sz w:val="24"/>
          <w:highlight w:val="none"/>
          <w:lang w:eastAsia="zh-CN"/>
        </w:rPr>
        <w:t>（</w:t>
      </w:r>
      <w:r>
        <w:rPr>
          <w:rFonts w:hint="eastAsia"/>
          <w:sz w:val="24"/>
          <w:highlight w:val="none"/>
        </w:rPr>
        <w:t>1</w:t>
      </w:r>
      <w:r>
        <w:rPr>
          <w:rFonts w:hint="eastAsia"/>
          <w:sz w:val="24"/>
          <w:highlight w:val="none"/>
          <w:lang w:eastAsia="zh-CN"/>
        </w:rPr>
        <w:t>）</w:t>
      </w:r>
      <w:r>
        <w:rPr>
          <w:rFonts w:hint="eastAsia"/>
          <w:sz w:val="24"/>
          <w:highlight w:val="none"/>
        </w:rPr>
        <w:t>计算。根据HJ169-2018的规定，本项目危险物质数量与临界量</w:t>
      </w:r>
      <w:r>
        <w:rPr>
          <w:rFonts w:hint="eastAsia"/>
          <w:sz w:val="24"/>
          <w:highlight w:val="none"/>
          <w:lang w:eastAsia="zh-CN"/>
        </w:rPr>
        <w:t>的</w:t>
      </w:r>
      <w:r>
        <w:rPr>
          <w:rFonts w:hint="eastAsia"/>
          <w:sz w:val="24"/>
          <w:highlight w:val="none"/>
        </w:rPr>
        <w:t>比值如下表。</w:t>
      </w:r>
    </w:p>
    <w:p w14:paraId="0E4ECB59">
      <w:pPr>
        <w:widowControl/>
        <w:spacing w:line="360" w:lineRule="auto"/>
        <w:ind w:firstLine="0" w:firstLineChars="0"/>
        <w:jc w:val="center"/>
        <w:rPr>
          <w:highlight w:val="none"/>
        </w:rPr>
      </w:pPr>
      <w:r>
        <w:rPr>
          <w:rFonts w:hint="default" w:ascii="Times New Roman" w:hAnsi="Times New Roman" w:eastAsia="宋体" w:cs="Times New Roman"/>
          <w:b/>
          <w:bCs/>
          <w:sz w:val="21"/>
          <w:szCs w:val="21"/>
          <w:highlight w:val="none"/>
        </w:rPr>
        <w:t>表</w:t>
      </w:r>
      <w:r>
        <w:rPr>
          <w:rFonts w:hint="eastAsia" w:cs="Times New Roman"/>
          <w:b/>
          <w:bCs/>
          <w:sz w:val="21"/>
          <w:szCs w:val="21"/>
          <w:highlight w:val="none"/>
          <w:lang w:val="en-US" w:eastAsia="zh-CN"/>
        </w:rPr>
        <w:t>2.3-1</w:t>
      </w:r>
      <w:r>
        <w:rPr>
          <w:rFonts w:hint="default" w:ascii="Times New Roman" w:hAnsi="Times New Roman" w:eastAsia="宋体" w:cs="Times New Roman"/>
          <w:b/>
          <w:bCs/>
          <w:sz w:val="21"/>
          <w:szCs w:val="21"/>
          <w:highlight w:val="none"/>
        </w:rPr>
        <w:t xml:space="preserve">   建设项目Q值确定表</w:t>
      </w:r>
    </w:p>
    <w:tbl>
      <w:tblPr>
        <w:tblStyle w:val="19"/>
        <w:tblW w:w="84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946"/>
        <w:gridCol w:w="1171"/>
        <w:gridCol w:w="1319"/>
        <w:gridCol w:w="1515"/>
        <w:gridCol w:w="1515"/>
      </w:tblGrid>
      <w:tr w14:paraId="72C64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5" w:hRule="atLeast"/>
          <w:jc w:val="center"/>
        </w:trPr>
        <w:tc>
          <w:tcPr>
            <w:tcW w:w="2946" w:type="dxa"/>
            <w:shd w:val="clear" w:color="auto" w:fill="auto"/>
            <w:noWrap/>
            <w:vAlign w:val="center"/>
          </w:tcPr>
          <w:p w14:paraId="516EE4A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管道</w:t>
            </w:r>
          </w:p>
        </w:tc>
        <w:tc>
          <w:tcPr>
            <w:tcW w:w="1171" w:type="dxa"/>
            <w:shd w:val="clear" w:color="auto" w:fill="auto"/>
            <w:vAlign w:val="center"/>
          </w:tcPr>
          <w:p w14:paraId="416671F1">
            <w:pPr>
              <w:jc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lang w:val="en-US" w:eastAsia="zh-CN"/>
              </w:rPr>
              <w:t>风险物质</w:t>
            </w:r>
          </w:p>
        </w:tc>
        <w:tc>
          <w:tcPr>
            <w:tcW w:w="1319" w:type="dxa"/>
            <w:shd w:val="clear" w:color="auto" w:fill="auto"/>
            <w:vAlign w:val="center"/>
          </w:tcPr>
          <w:p w14:paraId="0E09F881">
            <w:pPr>
              <w:jc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t</w:t>
            </w:r>
          </w:p>
        </w:tc>
        <w:tc>
          <w:tcPr>
            <w:tcW w:w="1515" w:type="dxa"/>
            <w:shd w:val="clear" w:color="auto" w:fill="auto"/>
            <w:noWrap/>
            <w:vAlign w:val="center"/>
          </w:tcPr>
          <w:p w14:paraId="6A727BA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临界量</w:t>
            </w:r>
            <w:r>
              <w:rPr>
                <w:rFonts w:hint="default" w:ascii="Times New Roman" w:hAnsi="Times New Roman" w:eastAsia="宋体" w:cs="Times New Roman"/>
                <w:i w:val="0"/>
                <w:iCs w:val="0"/>
                <w:color w:val="000000"/>
                <w:kern w:val="0"/>
                <w:sz w:val="21"/>
                <w:szCs w:val="21"/>
                <w:highlight w:val="none"/>
                <w:u w:val="none"/>
                <w:lang w:val="en-US" w:eastAsia="zh-CN" w:bidi="ar"/>
              </w:rPr>
              <w:t>Q</w:t>
            </w:r>
            <w:r>
              <w:rPr>
                <w:rFonts w:hint="eastAsia" w:cs="Times New Roman"/>
                <w:i w:val="0"/>
                <w:iCs w:val="0"/>
                <w:color w:val="000000"/>
                <w:kern w:val="0"/>
                <w:sz w:val="21"/>
                <w:szCs w:val="21"/>
                <w:highlight w:val="none"/>
                <w:u w:val="none"/>
                <w:lang w:val="en-US" w:eastAsia="zh-CN" w:bidi="ar"/>
              </w:rPr>
              <w:t>（</w:t>
            </w:r>
            <w:r>
              <w:rPr>
                <w:rFonts w:hint="default" w:ascii="Times New Roman" w:hAnsi="Times New Roman" w:eastAsia="宋体" w:cs="Times New Roman"/>
                <w:i w:val="0"/>
                <w:iCs w:val="0"/>
                <w:color w:val="000000"/>
                <w:kern w:val="0"/>
                <w:sz w:val="21"/>
                <w:szCs w:val="21"/>
                <w:highlight w:val="none"/>
                <w:u w:val="none"/>
                <w:lang w:val="en-US" w:eastAsia="zh-CN" w:bidi="ar"/>
              </w:rPr>
              <w:t>t</w:t>
            </w:r>
            <w:r>
              <w:rPr>
                <w:rFonts w:hint="eastAsia" w:cs="Times New Roman"/>
                <w:i w:val="0"/>
                <w:iCs w:val="0"/>
                <w:color w:val="000000"/>
                <w:kern w:val="0"/>
                <w:sz w:val="21"/>
                <w:szCs w:val="21"/>
                <w:highlight w:val="none"/>
                <w:u w:val="none"/>
                <w:lang w:val="en-US" w:eastAsia="zh-CN" w:bidi="ar"/>
              </w:rPr>
              <w:t>）</w:t>
            </w:r>
          </w:p>
        </w:tc>
        <w:tc>
          <w:tcPr>
            <w:tcW w:w="1515" w:type="dxa"/>
            <w:shd w:val="clear" w:color="auto" w:fill="auto"/>
            <w:noWrap/>
            <w:vAlign w:val="center"/>
          </w:tcPr>
          <w:p w14:paraId="7835BE7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q/Q</w:t>
            </w:r>
          </w:p>
        </w:tc>
      </w:tr>
      <w:tr w14:paraId="48712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vMerge w:val="restart"/>
            <w:shd w:val="clear" w:color="auto" w:fill="auto"/>
            <w:noWrap/>
            <w:vAlign w:val="center"/>
          </w:tcPr>
          <w:p w14:paraId="633F689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合成脱碳尾气</w:t>
            </w:r>
          </w:p>
        </w:tc>
        <w:tc>
          <w:tcPr>
            <w:tcW w:w="1171" w:type="dxa"/>
            <w:shd w:val="clear" w:color="auto" w:fill="auto"/>
            <w:vAlign w:val="center"/>
          </w:tcPr>
          <w:p w14:paraId="273B66B2">
            <w:pPr>
              <w:keepNext w:val="0"/>
              <w:keepLines w:val="0"/>
              <w:widowControl/>
              <w:suppressLineNumbers w:val="0"/>
              <w:jc w:val="center"/>
              <w:textAlignment w:val="bottom"/>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CO</w:t>
            </w:r>
          </w:p>
        </w:tc>
        <w:tc>
          <w:tcPr>
            <w:tcW w:w="0" w:type="auto"/>
            <w:shd w:val="clear" w:color="auto" w:fill="auto"/>
            <w:noWrap/>
            <w:vAlign w:val="center"/>
          </w:tcPr>
          <w:p w14:paraId="3E6742C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0.033</w:t>
            </w:r>
          </w:p>
        </w:tc>
        <w:tc>
          <w:tcPr>
            <w:tcW w:w="0" w:type="auto"/>
            <w:shd w:val="clear" w:color="auto" w:fill="auto"/>
            <w:noWrap/>
            <w:vAlign w:val="center"/>
          </w:tcPr>
          <w:p w14:paraId="439BAED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7.5</w:t>
            </w:r>
          </w:p>
        </w:tc>
        <w:tc>
          <w:tcPr>
            <w:tcW w:w="1515" w:type="dxa"/>
            <w:shd w:val="clear" w:color="auto" w:fill="auto"/>
            <w:noWrap/>
            <w:vAlign w:val="center"/>
          </w:tcPr>
          <w:p w14:paraId="3A91F19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0.0044</w:t>
            </w:r>
          </w:p>
        </w:tc>
      </w:tr>
      <w:tr w14:paraId="2AE50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0" w:type="auto"/>
            <w:vMerge w:val="continue"/>
            <w:shd w:val="clear" w:color="auto" w:fill="auto"/>
            <w:noWrap/>
            <w:vAlign w:val="center"/>
          </w:tcPr>
          <w:p w14:paraId="531DC950">
            <w:pPr>
              <w:jc w:val="center"/>
              <w:rPr>
                <w:rFonts w:hint="eastAsia" w:ascii="宋体" w:hAnsi="宋体" w:eastAsia="宋体" w:cs="宋体"/>
                <w:i w:val="0"/>
                <w:iCs w:val="0"/>
                <w:color w:val="000000"/>
                <w:sz w:val="21"/>
                <w:szCs w:val="21"/>
                <w:highlight w:val="none"/>
                <w:u w:val="none"/>
              </w:rPr>
            </w:pPr>
          </w:p>
        </w:tc>
        <w:tc>
          <w:tcPr>
            <w:tcW w:w="1171" w:type="dxa"/>
            <w:shd w:val="clear" w:color="auto" w:fill="auto"/>
            <w:vAlign w:val="center"/>
          </w:tcPr>
          <w:p w14:paraId="62DB80BE">
            <w:pPr>
              <w:keepNext w:val="0"/>
              <w:keepLines w:val="0"/>
              <w:widowControl/>
              <w:suppressLineNumbers w:val="0"/>
              <w:jc w:val="center"/>
              <w:textAlignment w:val="bottom"/>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CH</w:t>
            </w:r>
            <w:r>
              <w:rPr>
                <w:rFonts w:hint="default" w:ascii="Times New Roman" w:hAnsi="Times New Roman" w:eastAsia="宋体" w:cs="Times New Roman"/>
                <w:i w:val="0"/>
                <w:iCs w:val="0"/>
                <w:color w:val="000000"/>
                <w:kern w:val="0"/>
                <w:sz w:val="21"/>
                <w:szCs w:val="21"/>
                <w:highlight w:val="none"/>
                <w:u w:val="none"/>
                <w:vertAlign w:val="subscript"/>
                <w:lang w:val="en-US" w:eastAsia="zh-CN" w:bidi="ar"/>
              </w:rPr>
              <w:t>4</w:t>
            </w:r>
          </w:p>
        </w:tc>
        <w:tc>
          <w:tcPr>
            <w:tcW w:w="0" w:type="auto"/>
            <w:shd w:val="clear" w:color="auto" w:fill="auto"/>
            <w:noWrap/>
            <w:vAlign w:val="center"/>
          </w:tcPr>
          <w:p w14:paraId="0B0FD11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0.021</w:t>
            </w:r>
          </w:p>
        </w:tc>
        <w:tc>
          <w:tcPr>
            <w:tcW w:w="0" w:type="auto"/>
            <w:shd w:val="clear" w:color="auto" w:fill="auto"/>
            <w:noWrap/>
            <w:vAlign w:val="center"/>
          </w:tcPr>
          <w:p w14:paraId="33E4008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10</w:t>
            </w:r>
          </w:p>
        </w:tc>
        <w:tc>
          <w:tcPr>
            <w:tcW w:w="1515" w:type="dxa"/>
            <w:shd w:val="clear" w:color="auto" w:fill="auto"/>
            <w:noWrap/>
            <w:vAlign w:val="center"/>
          </w:tcPr>
          <w:p w14:paraId="01422EF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0.0021</w:t>
            </w:r>
          </w:p>
        </w:tc>
      </w:tr>
      <w:tr w14:paraId="3EC53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0" w:type="auto"/>
            <w:vMerge w:val="continue"/>
            <w:shd w:val="clear" w:color="auto" w:fill="auto"/>
            <w:noWrap/>
            <w:vAlign w:val="center"/>
          </w:tcPr>
          <w:p w14:paraId="4E6076BC">
            <w:pPr>
              <w:jc w:val="center"/>
              <w:rPr>
                <w:rFonts w:hint="eastAsia" w:ascii="宋体" w:hAnsi="宋体" w:eastAsia="宋体" w:cs="宋体"/>
                <w:i w:val="0"/>
                <w:iCs w:val="0"/>
                <w:color w:val="000000"/>
                <w:sz w:val="21"/>
                <w:szCs w:val="21"/>
                <w:highlight w:val="none"/>
                <w:u w:val="none"/>
              </w:rPr>
            </w:pPr>
          </w:p>
        </w:tc>
        <w:tc>
          <w:tcPr>
            <w:tcW w:w="1171" w:type="dxa"/>
            <w:shd w:val="clear" w:color="auto" w:fill="auto"/>
            <w:vAlign w:val="center"/>
          </w:tcPr>
          <w:p w14:paraId="25495DCB">
            <w:pPr>
              <w:keepNext w:val="0"/>
              <w:keepLines w:val="0"/>
              <w:widowControl/>
              <w:suppressLineNumbers w:val="0"/>
              <w:jc w:val="center"/>
              <w:textAlignment w:val="bottom"/>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C</w:t>
            </w:r>
            <w:r>
              <w:rPr>
                <w:rFonts w:hint="default" w:ascii="Times New Roman" w:hAnsi="Times New Roman" w:eastAsia="宋体" w:cs="Times New Roman"/>
                <w:i w:val="0"/>
                <w:iCs w:val="0"/>
                <w:color w:val="000000"/>
                <w:kern w:val="0"/>
                <w:sz w:val="21"/>
                <w:szCs w:val="21"/>
                <w:highlight w:val="none"/>
                <w:u w:val="none"/>
                <w:vertAlign w:val="subscript"/>
                <w:lang w:val="en-US" w:eastAsia="zh-CN" w:bidi="ar"/>
              </w:rPr>
              <w:t>2</w:t>
            </w:r>
            <w:r>
              <w:rPr>
                <w:rFonts w:hint="default" w:ascii="Times New Roman" w:hAnsi="Times New Roman" w:eastAsia="宋体" w:cs="Times New Roman"/>
                <w:i w:val="0"/>
                <w:iCs w:val="0"/>
                <w:color w:val="000000"/>
                <w:kern w:val="0"/>
                <w:sz w:val="21"/>
                <w:szCs w:val="21"/>
                <w:highlight w:val="none"/>
                <w:u w:val="none"/>
                <w:lang w:val="en-US" w:eastAsia="zh-CN" w:bidi="ar"/>
              </w:rPr>
              <w:t>H</w:t>
            </w:r>
            <w:r>
              <w:rPr>
                <w:rFonts w:hint="default" w:ascii="Times New Roman" w:hAnsi="Times New Roman" w:eastAsia="宋体" w:cs="Times New Roman"/>
                <w:i w:val="0"/>
                <w:iCs w:val="0"/>
                <w:color w:val="000000"/>
                <w:kern w:val="0"/>
                <w:sz w:val="21"/>
                <w:szCs w:val="21"/>
                <w:highlight w:val="none"/>
                <w:u w:val="none"/>
                <w:vertAlign w:val="subscript"/>
                <w:lang w:val="en-US" w:eastAsia="zh-CN" w:bidi="ar"/>
              </w:rPr>
              <w:t>6</w:t>
            </w:r>
          </w:p>
        </w:tc>
        <w:tc>
          <w:tcPr>
            <w:tcW w:w="0" w:type="auto"/>
            <w:shd w:val="clear" w:color="auto" w:fill="auto"/>
            <w:noWrap/>
            <w:vAlign w:val="center"/>
          </w:tcPr>
          <w:p w14:paraId="580674A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0.023</w:t>
            </w:r>
          </w:p>
        </w:tc>
        <w:tc>
          <w:tcPr>
            <w:tcW w:w="0" w:type="auto"/>
            <w:shd w:val="clear" w:color="auto" w:fill="auto"/>
            <w:noWrap/>
            <w:vAlign w:val="center"/>
          </w:tcPr>
          <w:p w14:paraId="2C1EC8B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10</w:t>
            </w:r>
          </w:p>
        </w:tc>
        <w:tc>
          <w:tcPr>
            <w:tcW w:w="1515" w:type="dxa"/>
            <w:shd w:val="clear" w:color="auto" w:fill="auto"/>
            <w:noWrap/>
            <w:vAlign w:val="center"/>
          </w:tcPr>
          <w:p w14:paraId="520DAEF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0.0023</w:t>
            </w:r>
          </w:p>
        </w:tc>
      </w:tr>
      <w:tr w14:paraId="39820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vMerge w:val="restart"/>
            <w:shd w:val="clear" w:color="auto" w:fill="auto"/>
            <w:noWrap/>
            <w:vAlign w:val="center"/>
          </w:tcPr>
          <w:p w14:paraId="1EBCE220">
            <w:pPr>
              <w:keepNext w:val="0"/>
              <w:keepLines w:val="0"/>
              <w:widowControl/>
              <w:suppressLineNumbers w:val="0"/>
              <w:jc w:val="center"/>
              <w:textAlignment w:val="bottom"/>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未变换净化气</w:t>
            </w:r>
          </w:p>
        </w:tc>
        <w:tc>
          <w:tcPr>
            <w:tcW w:w="0" w:type="auto"/>
            <w:shd w:val="clear" w:color="auto" w:fill="auto"/>
            <w:noWrap/>
            <w:vAlign w:val="center"/>
          </w:tcPr>
          <w:p w14:paraId="735AA22D">
            <w:pPr>
              <w:keepNext w:val="0"/>
              <w:keepLines w:val="0"/>
              <w:widowControl/>
              <w:suppressLineNumbers w:val="0"/>
              <w:jc w:val="center"/>
              <w:textAlignment w:val="bottom"/>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CO</w:t>
            </w:r>
          </w:p>
        </w:tc>
        <w:tc>
          <w:tcPr>
            <w:tcW w:w="0" w:type="auto"/>
            <w:shd w:val="clear" w:color="auto" w:fill="auto"/>
            <w:noWrap/>
            <w:vAlign w:val="center"/>
          </w:tcPr>
          <w:p w14:paraId="15385AA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0.472</w:t>
            </w:r>
          </w:p>
        </w:tc>
        <w:tc>
          <w:tcPr>
            <w:tcW w:w="0" w:type="auto"/>
            <w:shd w:val="clear" w:color="auto" w:fill="auto"/>
            <w:noWrap/>
            <w:vAlign w:val="center"/>
          </w:tcPr>
          <w:p w14:paraId="7DFB1CC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7.5</w:t>
            </w:r>
          </w:p>
        </w:tc>
        <w:tc>
          <w:tcPr>
            <w:tcW w:w="1515" w:type="dxa"/>
            <w:shd w:val="clear" w:color="auto" w:fill="auto"/>
            <w:noWrap/>
            <w:vAlign w:val="center"/>
          </w:tcPr>
          <w:p w14:paraId="15E0E15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0.062933333</w:t>
            </w:r>
          </w:p>
        </w:tc>
      </w:tr>
      <w:tr w14:paraId="6A3AB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0" w:type="auto"/>
            <w:vMerge w:val="continue"/>
            <w:shd w:val="clear" w:color="auto" w:fill="auto"/>
            <w:noWrap/>
            <w:vAlign w:val="center"/>
          </w:tcPr>
          <w:p w14:paraId="59526803">
            <w:pPr>
              <w:jc w:val="center"/>
              <w:rPr>
                <w:rFonts w:hint="eastAsia" w:ascii="宋体" w:hAnsi="宋体" w:eastAsia="宋体" w:cs="宋体"/>
                <w:i w:val="0"/>
                <w:iCs w:val="0"/>
                <w:color w:val="000000"/>
                <w:sz w:val="21"/>
                <w:szCs w:val="21"/>
                <w:highlight w:val="none"/>
                <w:u w:val="none"/>
              </w:rPr>
            </w:pPr>
          </w:p>
        </w:tc>
        <w:tc>
          <w:tcPr>
            <w:tcW w:w="0" w:type="auto"/>
            <w:shd w:val="clear" w:color="auto" w:fill="auto"/>
            <w:noWrap/>
            <w:vAlign w:val="center"/>
          </w:tcPr>
          <w:p w14:paraId="45460412">
            <w:pPr>
              <w:keepNext w:val="0"/>
              <w:keepLines w:val="0"/>
              <w:widowControl/>
              <w:suppressLineNumbers w:val="0"/>
              <w:jc w:val="center"/>
              <w:textAlignment w:val="bottom"/>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CH</w:t>
            </w:r>
            <w:r>
              <w:rPr>
                <w:rFonts w:hint="default" w:ascii="Times New Roman" w:hAnsi="Times New Roman" w:eastAsia="宋体" w:cs="Times New Roman"/>
                <w:i w:val="0"/>
                <w:iCs w:val="0"/>
                <w:color w:val="000000"/>
                <w:kern w:val="0"/>
                <w:sz w:val="21"/>
                <w:szCs w:val="21"/>
                <w:highlight w:val="none"/>
                <w:u w:val="none"/>
                <w:vertAlign w:val="subscript"/>
                <w:lang w:val="en-US" w:eastAsia="zh-CN" w:bidi="ar"/>
              </w:rPr>
              <w:t>4</w:t>
            </w:r>
          </w:p>
        </w:tc>
        <w:tc>
          <w:tcPr>
            <w:tcW w:w="0" w:type="auto"/>
            <w:shd w:val="clear" w:color="auto" w:fill="auto"/>
            <w:noWrap/>
            <w:vAlign w:val="center"/>
          </w:tcPr>
          <w:p w14:paraId="3C5120D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0.0002</w:t>
            </w:r>
          </w:p>
        </w:tc>
        <w:tc>
          <w:tcPr>
            <w:tcW w:w="0" w:type="auto"/>
            <w:shd w:val="clear" w:color="auto" w:fill="auto"/>
            <w:noWrap/>
            <w:vAlign w:val="center"/>
          </w:tcPr>
          <w:p w14:paraId="64DFB2D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10</w:t>
            </w:r>
          </w:p>
        </w:tc>
        <w:tc>
          <w:tcPr>
            <w:tcW w:w="1515" w:type="dxa"/>
            <w:shd w:val="clear" w:color="auto" w:fill="auto"/>
            <w:noWrap/>
            <w:vAlign w:val="center"/>
          </w:tcPr>
          <w:p w14:paraId="1725BDC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0.00002</w:t>
            </w:r>
          </w:p>
        </w:tc>
      </w:tr>
      <w:tr w14:paraId="1C28D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vMerge w:val="restart"/>
            <w:shd w:val="clear" w:color="auto" w:fill="auto"/>
            <w:noWrap/>
            <w:vAlign w:val="center"/>
          </w:tcPr>
          <w:p w14:paraId="4E3DB95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WRT</w:t>
            </w:r>
            <w:r>
              <w:rPr>
                <w:rFonts w:hint="eastAsia" w:ascii="宋体" w:hAnsi="宋体" w:eastAsia="宋体" w:cs="宋体"/>
                <w:i w:val="0"/>
                <w:iCs w:val="0"/>
                <w:color w:val="000000"/>
                <w:kern w:val="0"/>
                <w:sz w:val="21"/>
                <w:szCs w:val="21"/>
                <w:highlight w:val="none"/>
                <w:u w:val="none"/>
                <w:lang w:val="en-US" w:eastAsia="zh-CN" w:bidi="ar"/>
              </w:rPr>
              <w:t>甲烷气</w:t>
            </w:r>
          </w:p>
        </w:tc>
        <w:tc>
          <w:tcPr>
            <w:tcW w:w="0" w:type="auto"/>
            <w:shd w:val="clear" w:color="auto" w:fill="auto"/>
            <w:noWrap/>
            <w:vAlign w:val="center"/>
          </w:tcPr>
          <w:p w14:paraId="25473D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甲烷</w:t>
            </w:r>
          </w:p>
        </w:tc>
        <w:tc>
          <w:tcPr>
            <w:tcW w:w="0" w:type="auto"/>
            <w:shd w:val="clear" w:color="auto" w:fill="auto"/>
            <w:noWrap/>
            <w:vAlign w:val="center"/>
          </w:tcPr>
          <w:p w14:paraId="42BAF6F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lang w:val="en-US"/>
              </w:rPr>
            </w:pPr>
            <w:r>
              <w:rPr>
                <w:rFonts w:hint="eastAsia" w:cs="Times New Roman"/>
                <w:i w:val="0"/>
                <w:iCs w:val="0"/>
                <w:color w:val="000000"/>
                <w:kern w:val="0"/>
                <w:sz w:val="21"/>
                <w:szCs w:val="21"/>
                <w:highlight w:val="none"/>
                <w:u w:val="none"/>
                <w:lang w:val="en-US" w:eastAsia="zh-CN" w:bidi="ar"/>
              </w:rPr>
              <w:t>0.03</w:t>
            </w:r>
          </w:p>
        </w:tc>
        <w:tc>
          <w:tcPr>
            <w:tcW w:w="0" w:type="auto"/>
            <w:shd w:val="clear" w:color="auto" w:fill="auto"/>
            <w:noWrap/>
            <w:vAlign w:val="center"/>
          </w:tcPr>
          <w:p w14:paraId="143CAC1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10</w:t>
            </w:r>
          </w:p>
        </w:tc>
        <w:tc>
          <w:tcPr>
            <w:tcW w:w="1515" w:type="dxa"/>
            <w:shd w:val="clear" w:color="auto" w:fill="auto"/>
            <w:noWrap/>
            <w:vAlign w:val="center"/>
          </w:tcPr>
          <w:p w14:paraId="631AA40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0.003</w:t>
            </w:r>
          </w:p>
        </w:tc>
      </w:tr>
      <w:tr w14:paraId="4E11E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vMerge w:val="continue"/>
            <w:shd w:val="clear" w:color="auto" w:fill="auto"/>
            <w:noWrap/>
            <w:vAlign w:val="center"/>
          </w:tcPr>
          <w:p w14:paraId="2BC4475D">
            <w:pPr>
              <w:jc w:val="center"/>
              <w:rPr>
                <w:rFonts w:hint="default" w:ascii="Times New Roman" w:hAnsi="Times New Roman" w:eastAsia="宋体" w:cs="Times New Roman"/>
                <w:i w:val="0"/>
                <w:iCs w:val="0"/>
                <w:color w:val="000000"/>
                <w:sz w:val="21"/>
                <w:szCs w:val="21"/>
                <w:highlight w:val="none"/>
                <w:u w:val="none"/>
              </w:rPr>
            </w:pPr>
          </w:p>
        </w:tc>
        <w:tc>
          <w:tcPr>
            <w:tcW w:w="0" w:type="auto"/>
            <w:shd w:val="clear" w:color="auto" w:fill="auto"/>
            <w:noWrap/>
            <w:vAlign w:val="center"/>
          </w:tcPr>
          <w:p w14:paraId="0F1D60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硫化氢</w:t>
            </w:r>
          </w:p>
        </w:tc>
        <w:tc>
          <w:tcPr>
            <w:tcW w:w="0" w:type="auto"/>
            <w:shd w:val="clear" w:color="auto" w:fill="auto"/>
            <w:noWrap/>
            <w:vAlign w:val="center"/>
          </w:tcPr>
          <w:p w14:paraId="0C918C7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lang w:val="en-US" w:eastAsia="zh-CN"/>
              </w:rPr>
            </w:pPr>
            <w:r>
              <w:rPr>
                <w:rFonts w:hint="eastAsia" w:cs="Times New Roman"/>
                <w:i w:val="0"/>
                <w:iCs w:val="0"/>
                <w:color w:val="000000"/>
                <w:sz w:val="21"/>
                <w:szCs w:val="21"/>
                <w:highlight w:val="none"/>
                <w:u w:val="none"/>
                <w:lang w:val="en-US" w:eastAsia="zh-CN"/>
              </w:rPr>
              <w:t>0.0000002</w:t>
            </w:r>
          </w:p>
        </w:tc>
        <w:tc>
          <w:tcPr>
            <w:tcW w:w="0" w:type="auto"/>
            <w:shd w:val="clear" w:color="auto" w:fill="auto"/>
            <w:noWrap/>
            <w:vAlign w:val="center"/>
          </w:tcPr>
          <w:p w14:paraId="7CEA03F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2.5</w:t>
            </w:r>
          </w:p>
        </w:tc>
        <w:tc>
          <w:tcPr>
            <w:tcW w:w="1515" w:type="dxa"/>
            <w:shd w:val="clear" w:color="auto" w:fill="auto"/>
            <w:noWrap/>
            <w:vAlign w:val="center"/>
          </w:tcPr>
          <w:p w14:paraId="4C5C69A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0.00000008</w:t>
            </w:r>
          </w:p>
        </w:tc>
      </w:tr>
      <w:tr w14:paraId="72341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0" w:type="auto"/>
            <w:vMerge w:val="restart"/>
            <w:shd w:val="clear" w:color="auto" w:fill="auto"/>
            <w:noWrap/>
            <w:vAlign w:val="center"/>
          </w:tcPr>
          <w:p w14:paraId="0B1B572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厌氧沼气</w:t>
            </w:r>
          </w:p>
        </w:tc>
        <w:tc>
          <w:tcPr>
            <w:tcW w:w="0" w:type="auto"/>
            <w:shd w:val="clear" w:color="auto" w:fill="auto"/>
            <w:noWrap/>
            <w:vAlign w:val="center"/>
          </w:tcPr>
          <w:p w14:paraId="7B1C2325">
            <w:pPr>
              <w:keepNext w:val="0"/>
              <w:keepLines w:val="0"/>
              <w:widowControl/>
              <w:suppressLineNumbers w:val="0"/>
              <w:jc w:val="center"/>
              <w:textAlignment w:val="bottom"/>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CH</w:t>
            </w:r>
            <w:r>
              <w:rPr>
                <w:rFonts w:hint="default" w:ascii="Times New Roman" w:hAnsi="Times New Roman" w:eastAsia="宋体" w:cs="Times New Roman"/>
                <w:i w:val="0"/>
                <w:iCs w:val="0"/>
                <w:color w:val="000000"/>
                <w:kern w:val="0"/>
                <w:sz w:val="21"/>
                <w:szCs w:val="21"/>
                <w:highlight w:val="none"/>
                <w:u w:val="none"/>
                <w:vertAlign w:val="subscript"/>
                <w:lang w:val="en-US" w:eastAsia="zh-CN" w:bidi="ar"/>
              </w:rPr>
              <w:t>4</w:t>
            </w:r>
            <w:r>
              <w:rPr>
                <w:rFonts w:hint="eastAsia" w:cs="Times New Roman"/>
                <w:i w:val="0"/>
                <w:iCs w:val="0"/>
                <w:color w:val="000000"/>
                <w:kern w:val="0"/>
                <w:sz w:val="21"/>
                <w:szCs w:val="21"/>
                <w:highlight w:val="none"/>
                <w:u w:val="none"/>
                <w:lang w:val="en-US" w:eastAsia="zh-CN" w:bidi="ar"/>
              </w:rPr>
              <w:t>（</w:t>
            </w:r>
            <w:r>
              <w:rPr>
                <w:rFonts w:hint="default" w:ascii="Times New Roman" w:hAnsi="Times New Roman" w:eastAsia="宋体" w:cs="Times New Roman"/>
                <w:i w:val="0"/>
                <w:iCs w:val="0"/>
                <w:color w:val="000000"/>
                <w:kern w:val="0"/>
                <w:sz w:val="21"/>
                <w:szCs w:val="21"/>
                <w:highlight w:val="none"/>
                <w:u w:val="none"/>
                <w:lang w:val="en-US" w:eastAsia="zh-CN" w:bidi="ar"/>
              </w:rPr>
              <w:t>%</w:t>
            </w:r>
            <w:r>
              <w:rPr>
                <w:rFonts w:hint="eastAsia" w:cs="Times New Roman"/>
                <w:i w:val="0"/>
                <w:iCs w:val="0"/>
                <w:color w:val="000000"/>
                <w:kern w:val="0"/>
                <w:sz w:val="21"/>
                <w:szCs w:val="21"/>
                <w:highlight w:val="none"/>
                <w:u w:val="none"/>
                <w:lang w:val="en-US" w:eastAsia="zh-CN" w:bidi="ar"/>
              </w:rPr>
              <w:t>）</w:t>
            </w:r>
          </w:p>
        </w:tc>
        <w:tc>
          <w:tcPr>
            <w:tcW w:w="0" w:type="auto"/>
            <w:shd w:val="clear" w:color="auto" w:fill="auto"/>
            <w:noWrap/>
            <w:vAlign w:val="center"/>
          </w:tcPr>
          <w:p w14:paraId="3196FAC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lang w:val="en-US"/>
              </w:rPr>
            </w:pPr>
            <w:r>
              <w:rPr>
                <w:rFonts w:hint="eastAsia" w:cs="Times New Roman"/>
                <w:i w:val="0"/>
                <w:iCs w:val="0"/>
                <w:color w:val="000000"/>
                <w:kern w:val="0"/>
                <w:sz w:val="21"/>
                <w:szCs w:val="21"/>
                <w:highlight w:val="none"/>
                <w:u w:val="none"/>
                <w:lang w:val="en-US" w:eastAsia="zh-CN" w:bidi="ar"/>
              </w:rPr>
              <w:t>0.06</w:t>
            </w:r>
          </w:p>
        </w:tc>
        <w:tc>
          <w:tcPr>
            <w:tcW w:w="0" w:type="auto"/>
            <w:shd w:val="clear" w:color="auto" w:fill="auto"/>
            <w:noWrap/>
            <w:vAlign w:val="center"/>
          </w:tcPr>
          <w:p w14:paraId="06C7F5B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10</w:t>
            </w:r>
          </w:p>
        </w:tc>
        <w:tc>
          <w:tcPr>
            <w:tcW w:w="1515" w:type="dxa"/>
            <w:shd w:val="clear" w:color="auto" w:fill="auto"/>
            <w:noWrap/>
            <w:vAlign w:val="center"/>
          </w:tcPr>
          <w:p w14:paraId="4329B97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0.006</w:t>
            </w:r>
          </w:p>
        </w:tc>
      </w:tr>
      <w:tr w14:paraId="1BB17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0" w:type="auto"/>
            <w:vMerge w:val="continue"/>
            <w:shd w:val="clear" w:color="auto" w:fill="auto"/>
            <w:noWrap/>
            <w:vAlign w:val="center"/>
          </w:tcPr>
          <w:p w14:paraId="0C411F17">
            <w:pPr>
              <w:jc w:val="center"/>
              <w:rPr>
                <w:rFonts w:hint="eastAsia" w:ascii="宋体" w:hAnsi="宋体" w:eastAsia="宋体" w:cs="宋体"/>
                <w:i w:val="0"/>
                <w:iCs w:val="0"/>
                <w:color w:val="000000"/>
                <w:sz w:val="21"/>
                <w:szCs w:val="21"/>
                <w:highlight w:val="none"/>
                <w:u w:val="none"/>
              </w:rPr>
            </w:pPr>
          </w:p>
        </w:tc>
        <w:tc>
          <w:tcPr>
            <w:tcW w:w="0" w:type="auto"/>
            <w:shd w:val="clear" w:color="auto" w:fill="auto"/>
            <w:noWrap/>
            <w:vAlign w:val="center"/>
          </w:tcPr>
          <w:p w14:paraId="47DC24DE">
            <w:pPr>
              <w:keepNext w:val="0"/>
              <w:keepLines w:val="0"/>
              <w:widowControl/>
              <w:suppressLineNumbers w:val="0"/>
              <w:jc w:val="center"/>
              <w:textAlignment w:val="bottom"/>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H</w:t>
            </w:r>
            <w:r>
              <w:rPr>
                <w:rFonts w:hint="default" w:ascii="Times New Roman" w:hAnsi="Times New Roman" w:eastAsia="宋体" w:cs="Times New Roman"/>
                <w:i w:val="0"/>
                <w:iCs w:val="0"/>
                <w:color w:val="000000"/>
                <w:kern w:val="0"/>
                <w:sz w:val="21"/>
                <w:szCs w:val="21"/>
                <w:highlight w:val="none"/>
                <w:u w:val="none"/>
                <w:vertAlign w:val="subscript"/>
                <w:lang w:val="en-US" w:eastAsia="zh-CN" w:bidi="ar"/>
              </w:rPr>
              <w:t>2</w:t>
            </w:r>
            <w:r>
              <w:rPr>
                <w:rFonts w:hint="default" w:ascii="Times New Roman" w:hAnsi="Times New Roman" w:eastAsia="宋体" w:cs="Times New Roman"/>
                <w:i w:val="0"/>
                <w:iCs w:val="0"/>
                <w:color w:val="000000"/>
                <w:kern w:val="0"/>
                <w:sz w:val="21"/>
                <w:szCs w:val="21"/>
                <w:highlight w:val="none"/>
                <w:u w:val="none"/>
                <w:lang w:val="en-US" w:eastAsia="zh-CN" w:bidi="ar"/>
              </w:rPr>
              <w:t>S</w:t>
            </w:r>
            <w:r>
              <w:rPr>
                <w:rFonts w:hint="eastAsia" w:cs="Times New Roman"/>
                <w:i w:val="0"/>
                <w:iCs w:val="0"/>
                <w:color w:val="000000"/>
                <w:kern w:val="0"/>
                <w:sz w:val="21"/>
                <w:szCs w:val="21"/>
                <w:highlight w:val="none"/>
                <w:u w:val="none"/>
                <w:lang w:val="en-US" w:eastAsia="zh-CN" w:bidi="ar"/>
              </w:rPr>
              <w:t>（</w:t>
            </w:r>
            <w:r>
              <w:rPr>
                <w:rFonts w:hint="default" w:ascii="Times New Roman" w:hAnsi="Times New Roman" w:eastAsia="宋体" w:cs="Times New Roman"/>
                <w:i w:val="0"/>
                <w:iCs w:val="0"/>
                <w:color w:val="000000"/>
                <w:kern w:val="0"/>
                <w:sz w:val="21"/>
                <w:szCs w:val="21"/>
                <w:highlight w:val="none"/>
                <w:u w:val="none"/>
                <w:lang w:val="en-US" w:eastAsia="zh-CN" w:bidi="ar"/>
              </w:rPr>
              <w:t>%</w:t>
            </w:r>
            <w:r>
              <w:rPr>
                <w:rFonts w:hint="eastAsia" w:cs="Times New Roman"/>
                <w:i w:val="0"/>
                <w:iCs w:val="0"/>
                <w:color w:val="000000"/>
                <w:kern w:val="0"/>
                <w:sz w:val="21"/>
                <w:szCs w:val="21"/>
                <w:highlight w:val="none"/>
                <w:u w:val="none"/>
                <w:lang w:val="en-US" w:eastAsia="zh-CN" w:bidi="ar"/>
              </w:rPr>
              <w:t>）</w:t>
            </w:r>
          </w:p>
        </w:tc>
        <w:tc>
          <w:tcPr>
            <w:tcW w:w="0" w:type="auto"/>
            <w:shd w:val="clear" w:color="auto" w:fill="auto"/>
            <w:noWrap/>
            <w:vAlign w:val="center"/>
          </w:tcPr>
          <w:p w14:paraId="5750F8C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lang w:val="en-US"/>
              </w:rPr>
            </w:pPr>
            <w:r>
              <w:rPr>
                <w:rFonts w:hint="eastAsia" w:cs="Times New Roman"/>
                <w:i w:val="0"/>
                <w:iCs w:val="0"/>
                <w:color w:val="000000"/>
                <w:kern w:val="0"/>
                <w:sz w:val="21"/>
                <w:szCs w:val="21"/>
                <w:highlight w:val="none"/>
                <w:u w:val="none"/>
                <w:lang w:val="en-US" w:eastAsia="zh-CN" w:bidi="ar"/>
              </w:rPr>
              <w:t>0.0004</w:t>
            </w:r>
          </w:p>
        </w:tc>
        <w:tc>
          <w:tcPr>
            <w:tcW w:w="0" w:type="auto"/>
            <w:shd w:val="clear" w:color="auto" w:fill="auto"/>
            <w:noWrap/>
            <w:vAlign w:val="center"/>
          </w:tcPr>
          <w:p w14:paraId="44692AD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2.5</w:t>
            </w:r>
          </w:p>
        </w:tc>
        <w:tc>
          <w:tcPr>
            <w:tcW w:w="1515" w:type="dxa"/>
            <w:shd w:val="clear" w:color="auto" w:fill="auto"/>
            <w:noWrap/>
            <w:vAlign w:val="center"/>
          </w:tcPr>
          <w:p w14:paraId="461E466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0.00016</w:t>
            </w:r>
          </w:p>
        </w:tc>
      </w:tr>
      <w:tr w14:paraId="72A27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vMerge w:val="restart"/>
            <w:shd w:val="clear" w:color="auto" w:fill="auto"/>
            <w:noWrap/>
            <w:vAlign w:val="center"/>
          </w:tcPr>
          <w:p w14:paraId="711CFA4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低压含烃火炬气工况</w:t>
            </w: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0" w:type="auto"/>
            <w:shd w:val="clear" w:color="auto" w:fill="auto"/>
            <w:noWrap/>
            <w:vAlign w:val="center"/>
          </w:tcPr>
          <w:p w14:paraId="00E381C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丁醇</w:t>
            </w:r>
          </w:p>
        </w:tc>
        <w:tc>
          <w:tcPr>
            <w:tcW w:w="0" w:type="auto"/>
            <w:shd w:val="clear" w:color="auto" w:fill="auto"/>
            <w:noWrap/>
            <w:vAlign w:val="center"/>
          </w:tcPr>
          <w:p w14:paraId="3B48D3B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0.003</w:t>
            </w:r>
          </w:p>
        </w:tc>
        <w:tc>
          <w:tcPr>
            <w:tcW w:w="0" w:type="auto"/>
            <w:shd w:val="clear" w:color="auto" w:fill="auto"/>
            <w:noWrap/>
            <w:vAlign w:val="center"/>
          </w:tcPr>
          <w:p w14:paraId="082F96B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10</w:t>
            </w:r>
          </w:p>
        </w:tc>
        <w:tc>
          <w:tcPr>
            <w:tcW w:w="1515" w:type="dxa"/>
            <w:shd w:val="clear" w:color="auto" w:fill="auto"/>
            <w:noWrap/>
            <w:vAlign w:val="center"/>
          </w:tcPr>
          <w:p w14:paraId="24BA892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0.0003</w:t>
            </w:r>
          </w:p>
        </w:tc>
      </w:tr>
      <w:tr w14:paraId="72362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vMerge w:val="continue"/>
            <w:shd w:val="clear" w:color="auto" w:fill="auto"/>
            <w:noWrap/>
            <w:vAlign w:val="center"/>
          </w:tcPr>
          <w:p w14:paraId="4653CCC5">
            <w:pPr>
              <w:jc w:val="center"/>
              <w:rPr>
                <w:rFonts w:hint="eastAsia" w:ascii="宋体" w:hAnsi="宋体" w:eastAsia="宋体" w:cs="宋体"/>
                <w:i w:val="0"/>
                <w:iCs w:val="0"/>
                <w:color w:val="000000"/>
                <w:sz w:val="21"/>
                <w:szCs w:val="21"/>
                <w:highlight w:val="none"/>
                <w:u w:val="none"/>
              </w:rPr>
            </w:pPr>
          </w:p>
        </w:tc>
        <w:tc>
          <w:tcPr>
            <w:tcW w:w="0" w:type="auto"/>
            <w:shd w:val="clear" w:color="auto" w:fill="auto"/>
            <w:noWrap/>
            <w:vAlign w:val="center"/>
          </w:tcPr>
          <w:p w14:paraId="090575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乙酸乙酯</w:t>
            </w:r>
          </w:p>
        </w:tc>
        <w:tc>
          <w:tcPr>
            <w:tcW w:w="0" w:type="auto"/>
            <w:shd w:val="clear" w:color="auto" w:fill="auto"/>
            <w:noWrap/>
            <w:vAlign w:val="center"/>
          </w:tcPr>
          <w:p w14:paraId="179F14B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0.033</w:t>
            </w:r>
          </w:p>
        </w:tc>
        <w:tc>
          <w:tcPr>
            <w:tcW w:w="0" w:type="auto"/>
            <w:shd w:val="clear" w:color="auto" w:fill="auto"/>
            <w:noWrap/>
            <w:vAlign w:val="center"/>
          </w:tcPr>
          <w:p w14:paraId="04A8124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10</w:t>
            </w:r>
          </w:p>
        </w:tc>
        <w:tc>
          <w:tcPr>
            <w:tcW w:w="1515" w:type="dxa"/>
            <w:shd w:val="clear" w:color="auto" w:fill="auto"/>
            <w:noWrap/>
            <w:vAlign w:val="center"/>
          </w:tcPr>
          <w:p w14:paraId="165EFAF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0.0033</w:t>
            </w:r>
          </w:p>
        </w:tc>
      </w:tr>
      <w:tr w14:paraId="00DFC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shd w:val="clear" w:color="auto" w:fill="auto"/>
            <w:noWrap/>
            <w:vAlign w:val="center"/>
          </w:tcPr>
          <w:p w14:paraId="552DC1F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低压含烃火炬气工况</w:t>
            </w:r>
            <w:r>
              <w:rPr>
                <w:rFonts w:hint="default" w:ascii="Times New Roman" w:hAnsi="Times New Roman" w:eastAsia="宋体" w:cs="Times New Roman"/>
                <w:i w:val="0"/>
                <w:iCs w:val="0"/>
                <w:color w:val="000000"/>
                <w:kern w:val="0"/>
                <w:sz w:val="21"/>
                <w:szCs w:val="21"/>
                <w:highlight w:val="none"/>
                <w:u w:val="none"/>
                <w:lang w:val="en-US" w:eastAsia="zh-CN" w:bidi="ar"/>
              </w:rPr>
              <w:t>4</w:t>
            </w:r>
          </w:p>
        </w:tc>
        <w:tc>
          <w:tcPr>
            <w:tcW w:w="0" w:type="auto"/>
            <w:shd w:val="clear" w:color="auto" w:fill="auto"/>
            <w:noWrap/>
            <w:vAlign w:val="center"/>
          </w:tcPr>
          <w:p w14:paraId="200A114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甲醇</w:t>
            </w:r>
          </w:p>
        </w:tc>
        <w:tc>
          <w:tcPr>
            <w:tcW w:w="0" w:type="auto"/>
            <w:shd w:val="clear" w:color="auto" w:fill="auto"/>
            <w:noWrap/>
            <w:vAlign w:val="center"/>
          </w:tcPr>
          <w:p w14:paraId="5FB88ED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0.0013</w:t>
            </w:r>
          </w:p>
        </w:tc>
        <w:tc>
          <w:tcPr>
            <w:tcW w:w="0" w:type="auto"/>
            <w:shd w:val="clear" w:color="auto" w:fill="auto"/>
            <w:noWrap/>
            <w:vAlign w:val="center"/>
          </w:tcPr>
          <w:p w14:paraId="287AB37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10</w:t>
            </w:r>
          </w:p>
        </w:tc>
        <w:tc>
          <w:tcPr>
            <w:tcW w:w="1515" w:type="dxa"/>
            <w:shd w:val="clear" w:color="auto" w:fill="auto"/>
            <w:noWrap/>
            <w:vAlign w:val="center"/>
          </w:tcPr>
          <w:p w14:paraId="47CF0A8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0.00013</w:t>
            </w:r>
          </w:p>
        </w:tc>
      </w:tr>
      <w:tr w14:paraId="79168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vMerge w:val="restart"/>
            <w:shd w:val="clear" w:color="auto" w:fill="auto"/>
            <w:noWrap/>
            <w:vAlign w:val="center"/>
          </w:tcPr>
          <w:p w14:paraId="1432A7C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湿酸火炬气</w:t>
            </w: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0" w:type="auto"/>
            <w:shd w:val="clear" w:color="auto" w:fill="auto"/>
            <w:noWrap/>
            <w:vAlign w:val="center"/>
          </w:tcPr>
          <w:p w14:paraId="66F0448C">
            <w:pPr>
              <w:keepNext w:val="0"/>
              <w:keepLines w:val="0"/>
              <w:widowControl/>
              <w:suppressLineNumbers w:val="0"/>
              <w:jc w:val="center"/>
              <w:textAlignment w:val="bottom"/>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CO</w:t>
            </w:r>
          </w:p>
        </w:tc>
        <w:tc>
          <w:tcPr>
            <w:tcW w:w="0" w:type="auto"/>
            <w:shd w:val="clear" w:color="auto" w:fill="auto"/>
            <w:noWrap/>
            <w:vAlign w:val="center"/>
          </w:tcPr>
          <w:p w14:paraId="464FB7E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0.2711</w:t>
            </w:r>
          </w:p>
        </w:tc>
        <w:tc>
          <w:tcPr>
            <w:tcW w:w="0" w:type="auto"/>
            <w:shd w:val="clear" w:color="auto" w:fill="auto"/>
            <w:noWrap/>
            <w:vAlign w:val="center"/>
          </w:tcPr>
          <w:p w14:paraId="5539964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7.5</w:t>
            </w:r>
          </w:p>
        </w:tc>
        <w:tc>
          <w:tcPr>
            <w:tcW w:w="1515" w:type="dxa"/>
            <w:shd w:val="clear" w:color="auto" w:fill="auto"/>
            <w:noWrap/>
            <w:vAlign w:val="center"/>
          </w:tcPr>
          <w:p w14:paraId="60BDCC0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0.036146667</w:t>
            </w:r>
          </w:p>
        </w:tc>
      </w:tr>
      <w:tr w14:paraId="05C88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0" w:type="auto"/>
            <w:vMerge w:val="continue"/>
            <w:shd w:val="clear" w:color="auto" w:fill="auto"/>
            <w:noWrap/>
            <w:vAlign w:val="center"/>
          </w:tcPr>
          <w:p w14:paraId="645B9A9E">
            <w:pPr>
              <w:jc w:val="center"/>
              <w:rPr>
                <w:rFonts w:hint="eastAsia" w:ascii="宋体" w:hAnsi="宋体" w:eastAsia="宋体" w:cs="宋体"/>
                <w:i w:val="0"/>
                <w:iCs w:val="0"/>
                <w:color w:val="000000"/>
                <w:sz w:val="21"/>
                <w:szCs w:val="21"/>
                <w:highlight w:val="none"/>
                <w:u w:val="none"/>
              </w:rPr>
            </w:pPr>
          </w:p>
        </w:tc>
        <w:tc>
          <w:tcPr>
            <w:tcW w:w="0" w:type="auto"/>
            <w:shd w:val="clear" w:color="auto" w:fill="auto"/>
            <w:noWrap/>
            <w:vAlign w:val="center"/>
          </w:tcPr>
          <w:p w14:paraId="0CD140E7">
            <w:pPr>
              <w:keepNext w:val="0"/>
              <w:keepLines w:val="0"/>
              <w:widowControl/>
              <w:suppressLineNumbers w:val="0"/>
              <w:jc w:val="center"/>
              <w:textAlignment w:val="bottom"/>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CH</w:t>
            </w:r>
            <w:r>
              <w:rPr>
                <w:rFonts w:hint="default" w:ascii="Times New Roman" w:hAnsi="Times New Roman" w:eastAsia="宋体" w:cs="Times New Roman"/>
                <w:i w:val="0"/>
                <w:iCs w:val="0"/>
                <w:color w:val="000000"/>
                <w:kern w:val="0"/>
                <w:sz w:val="21"/>
                <w:szCs w:val="21"/>
                <w:highlight w:val="none"/>
                <w:u w:val="none"/>
                <w:vertAlign w:val="subscript"/>
                <w:lang w:val="en-US" w:eastAsia="zh-CN" w:bidi="ar"/>
              </w:rPr>
              <w:t>4</w:t>
            </w:r>
          </w:p>
        </w:tc>
        <w:tc>
          <w:tcPr>
            <w:tcW w:w="0" w:type="auto"/>
            <w:shd w:val="clear" w:color="auto" w:fill="auto"/>
            <w:noWrap/>
            <w:vAlign w:val="center"/>
          </w:tcPr>
          <w:p w14:paraId="2D09722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0.0001</w:t>
            </w:r>
          </w:p>
        </w:tc>
        <w:tc>
          <w:tcPr>
            <w:tcW w:w="0" w:type="auto"/>
            <w:shd w:val="clear" w:color="auto" w:fill="auto"/>
            <w:noWrap/>
            <w:vAlign w:val="center"/>
          </w:tcPr>
          <w:p w14:paraId="2A037FB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10</w:t>
            </w:r>
          </w:p>
        </w:tc>
        <w:tc>
          <w:tcPr>
            <w:tcW w:w="1515" w:type="dxa"/>
            <w:shd w:val="clear" w:color="auto" w:fill="auto"/>
            <w:noWrap/>
            <w:vAlign w:val="center"/>
          </w:tcPr>
          <w:p w14:paraId="4FD4F13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0.00001</w:t>
            </w:r>
          </w:p>
        </w:tc>
      </w:tr>
      <w:tr w14:paraId="58359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0" w:type="auto"/>
            <w:vMerge w:val="continue"/>
            <w:shd w:val="clear" w:color="auto" w:fill="auto"/>
            <w:noWrap/>
            <w:vAlign w:val="center"/>
          </w:tcPr>
          <w:p w14:paraId="6D6489F4">
            <w:pPr>
              <w:jc w:val="center"/>
              <w:rPr>
                <w:rFonts w:hint="eastAsia" w:ascii="宋体" w:hAnsi="宋体" w:eastAsia="宋体" w:cs="宋体"/>
                <w:i w:val="0"/>
                <w:iCs w:val="0"/>
                <w:color w:val="000000"/>
                <w:sz w:val="21"/>
                <w:szCs w:val="21"/>
                <w:highlight w:val="none"/>
                <w:u w:val="none"/>
              </w:rPr>
            </w:pPr>
          </w:p>
        </w:tc>
        <w:tc>
          <w:tcPr>
            <w:tcW w:w="0" w:type="auto"/>
            <w:shd w:val="clear" w:color="auto" w:fill="auto"/>
            <w:noWrap/>
            <w:vAlign w:val="center"/>
          </w:tcPr>
          <w:p w14:paraId="08057CFC">
            <w:pPr>
              <w:keepNext w:val="0"/>
              <w:keepLines w:val="0"/>
              <w:widowControl/>
              <w:suppressLineNumbers w:val="0"/>
              <w:jc w:val="center"/>
              <w:textAlignment w:val="bottom"/>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H</w:t>
            </w:r>
            <w:r>
              <w:rPr>
                <w:rFonts w:hint="default" w:ascii="Times New Roman" w:hAnsi="Times New Roman" w:eastAsia="宋体" w:cs="Times New Roman"/>
                <w:i w:val="0"/>
                <w:iCs w:val="0"/>
                <w:color w:val="000000"/>
                <w:kern w:val="0"/>
                <w:sz w:val="21"/>
                <w:szCs w:val="21"/>
                <w:highlight w:val="none"/>
                <w:u w:val="none"/>
                <w:vertAlign w:val="subscript"/>
                <w:lang w:val="en-US" w:eastAsia="zh-CN" w:bidi="ar"/>
              </w:rPr>
              <w:t>2</w:t>
            </w:r>
            <w:r>
              <w:rPr>
                <w:rFonts w:hint="default" w:ascii="Times New Roman" w:hAnsi="Times New Roman" w:eastAsia="宋体" w:cs="Times New Roman"/>
                <w:i w:val="0"/>
                <w:iCs w:val="0"/>
                <w:color w:val="000000"/>
                <w:kern w:val="0"/>
                <w:sz w:val="21"/>
                <w:szCs w:val="21"/>
                <w:highlight w:val="none"/>
                <w:u w:val="none"/>
                <w:lang w:val="en-US" w:eastAsia="zh-CN" w:bidi="ar"/>
              </w:rPr>
              <w:t>S</w:t>
            </w:r>
          </w:p>
        </w:tc>
        <w:tc>
          <w:tcPr>
            <w:tcW w:w="0" w:type="auto"/>
            <w:shd w:val="clear" w:color="auto" w:fill="auto"/>
            <w:noWrap/>
            <w:vAlign w:val="center"/>
          </w:tcPr>
          <w:p w14:paraId="56963F8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0.0000071</w:t>
            </w:r>
          </w:p>
        </w:tc>
        <w:tc>
          <w:tcPr>
            <w:tcW w:w="0" w:type="auto"/>
            <w:shd w:val="clear" w:color="auto" w:fill="auto"/>
            <w:noWrap/>
            <w:vAlign w:val="center"/>
          </w:tcPr>
          <w:p w14:paraId="031A689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2.5</w:t>
            </w:r>
          </w:p>
        </w:tc>
        <w:tc>
          <w:tcPr>
            <w:tcW w:w="1515" w:type="dxa"/>
            <w:shd w:val="clear" w:color="auto" w:fill="auto"/>
            <w:noWrap/>
            <w:vAlign w:val="center"/>
          </w:tcPr>
          <w:p w14:paraId="64C177F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0.00000284</w:t>
            </w:r>
          </w:p>
        </w:tc>
      </w:tr>
      <w:tr w14:paraId="72247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0" w:type="auto"/>
            <w:vMerge w:val="restart"/>
            <w:shd w:val="clear" w:color="auto" w:fill="auto"/>
            <w:noWrap/>
            <w:vAlign w:val="center"/>
          </w:tcPr>
          <w:p w14:paraId="1C6927F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酸性气（脱硫脱碳再生气体）</w:t>
            </w:r>
          </w:p>
        </w:tc>
        <w:tc>
          <w:tcPr>
            <w:tcW w:w="0" w:type="auto"/>
            <w:shd w:val="clear" w:color="auto" w:fill="auto"/>
            <w:noWrap/>
            <w:vAlign w:val="center"/>
          </w:tcPr>
          <w:p w14:paraId="51A6DC0B">
            <w:pPr>
              <w:keepNext w:val="0"/>
              <w:keepLines w:val="0"/>
              <w:widowControl/>
              <w:suppressLineNumbers w:val="0"/>
              <w:jc w:val="center"/>
              <w:textAlignment w:val="bottom"/>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H</w:t>
            </w:r>
            <w:r>
              <w:rPr>
                <w:rFonts w:hint="default" w:ascii="Times New Roman" w:hAnsi="Times New Roman" w:eastAsia="宋体" w:cs="Times New Roman"/>
                <w:i w:val="0"/>
                <w:iCs w:val="0"/>
                <w:color w:val="000000"/>
                <w:kern w:val="0"/>
                <w:sz w:val="21"/>
                <w:szCs w:val="21"/>
                <w:highlight w:val="none"/>
                <w:u w:val="none"/>
                <w:vertAlign w:val="subscript"/>
                <w:lang w:val="en-US" w:eastAsia="zh-CN" w:bidi="ar"/>
              </w:rPr>
              <w:t>2</w:t>
            </w:r>
            <w:r>
              <w:rPr>
                <w:rFonts w:hint="default" w:ascii="Times New Roman" w:hAnsi="Times New Roman" w:eastAsia="宋体" w:cs="Times New Roman"/>
                <w:i w:val="0"/>
                <w:iCs w:val="0"/>
                <w:color w:val="000000"/>
                <w:kern w:val="0"/>
                <w:sz w:val="21"/>
                <w:szCs w:val="21"/>
                <w:highlight w:val="none"/>
                <w:u w:val="none"/>
                <w:lang w:val="en-US" w:eastAsia="zh-CN" w:bidi="ar"/>
              </w:rPr>
              <w:t>S</w:t>
            </w:r>
          </w:p>
        </w:tc>
        <w:tc>
          <w:tcPr>
            <w:tcW w:w="0" w:type="auto"/>
            <w:shd w:val="clear" w:color="auto" w:fill="auto"/>
            <w:noWrap/>
            <w:vAlign w:val="center"/>
          </w:tcPr>
          <w:p w14:paraId="5E837EF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0.0005</w:t>
            </w:r>
          </w:p>
        </w:tc>
        <w:tc>
          <w:tcPr>
            <w:tcW w:w="0" w:type="auto"/>
            <w:shd w:val="clear" w:color="auto" w:fill="auto"/>
            <w:noWrap/>
            <w:vAlign w:val="center"/>
          </w:tcPr>
          <w:p w14:paraId="154DF98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2.5</w:t>
            </w:r>
          </w:p>
        </w:tc>
        <w:tc>
          <w:tcPr>
            <w:tcW w:w="1515" w:type="dxa"/>
            <w:shd w:val="clear" w:color="auto" w:fill="auto"/>
            <w:noWrap/>
            <w:vAlign w:val="center"/>
          </w:tcPr>
          <w:p w14:paraId="34178E7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0.0002</w:t>
            </w:r>
          </w:p>
        </w:tc>
      </w:tr>
      <w:tr w14:paraId="7C729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0" w:type="auto"/>
            <w:vMerge w:val="continue"/>
            <w:shd w:val="clear" w:color="auto" w:fill="auto"/>
            <w:noWrap/>
            <w:vAlign w:val="center"/>
          </w:tcPr>
          <w:p w14:paraId="180FA8FB">
            <w:pPr>
              <w:jc w:val="center"/>
              <w:rPr>
                <w:rFonts w:hint="eastAsia" w:ascii="宋体" w:hAnsi="宋体" w:eastAsia="宋体" w:cs="宋体"/>
                <w:i w:val="0"/>
                <w:iCs w:val="0"/>
                <w:color w:val="000000"/>
                <w:sz w:val="21"/>
                <w:szCs w:val="21"/>
                <w:highlight w:val="none"/>
                <w:u w:val="none"/>
              </w:rPr>
            </w:pPr>
          </w:p>
        </w:tc>
        <w:tc>
          <w:tcPr>
            <w:tcW w:w="0" w:type="auto"/>
            <w:shd w:val="clear" w:color="auto" w:fill="auto"/>
            <w:noWrap/>
            <w:vAlign w:val="center"/>
          </w:tcPr>
          <w:p w14:paraId="1B609B09">
            <w:pPr>
              <w:keepNext w:val="0"/>
              <w:keepLines w:val="0"/>
              <w:widowControl/>
              <w:suppressLineNumbers w:val="0"/>
              <w:jc w:val="center"/>
              <w:textAlignment w:val="bottom"/>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CH</w:t>
            </w:r>
            <w:r>
              <w:rPr>
                <w:rFonts w:hint="default" w:ascii="Times New Roman" w:hAnsi="Times New Roman" w:eastAsia="宋体" w:cs="Times New Roman"/>
                <w:i w:val="0"/>
                <w:iCs w:val="0"/>
                <w:color w:val="000000"/>
                <w:kern w:val="0"/>
                <w:sz w:val="21"/>
                <w:szCs w:val="21"/>
                <w:highlight w:val="none"/>
                <w:u w:val="none"/>
                <w:vertAlign w:val="subscript"/>
                <w:lang w:val="en-US" w:eastAsia="zh-CN" w:bidi="ar"/>
              </w:rPr>
              <w:t>4</w:t>
            </w:r>
          </w:p>
        </w:tc>
        <w:tc>
          <w:tcPr>
            <w:tcW w:w="0" w:type="auto"/>
            <w:shd w:val="clear" w:color="auto" w:fill="auto"/>
            <w:noWrap/>
            <w:vAlign w:val="center"/>
          </w:tcPr>
          <w:p w14:paraId="6F5C8A8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0.000016</w:t>
            </w:r>
          </w:p>
        </w:tc>
        <w:tc>
          <w:tcPr>
            <w:tcW w:w="0" w:type="auto"/>
            <w:shd w:val="clear" w:color="auto" w:fill="auto"/>
            <w:noWrap/>
            <w:vAlign w:val="center"/>
          </w:tcPr>
          <w:p w14:paraId="235AE1A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10</w:t>
            </w:r>
          </w:p>
        </w:tc>
        <w:tc>
          <w:tcPr>
            <w:tcW w:w="1515" w:type="dxa"/>
            <w:shd w:val="clear" w:color="auto" w:fill="auto"/>
            <w:noWrap/>
            <w:vAlign w:val="center"/>
          </w:tcPr>
          <w:p w14:paraId="1CFA34F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0.0000016</w:t>
            </w:r>
          </w:p>
        </w:tc>
      </w:tr>
      <w:tr w14:paraId="32C19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0" w:type="auto"/>
            <w:shd w:val="clear" w:color="auto" w:fill="auto"/>
            <w:noWrap/>
            <w:vAlign w:val="center"/>
          </w:tcPr>
          <w:p w14:paraId="692DDF4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尾气</w:t>
            </w:r>
          </w:p>
        </w:tc>
        <w:tc>
          <w:tcPr>
            <w:tcW w:w="0" w:type="auto"/>
            <w:shd w:val="clear" w:color="auto" w:fill="auto"/>
            <w:noWrap/>
            <w:vAlign w:val="center"/>
          </w:tcPr>
          <w:p w14:paraId="37F5119C">
            <w:pPr>
              <w:keepNext w:val="0"/>
              <w:keepLines w:val="0"/>
              <w:widowControl/>
              <w:suppressLineNumbers w:val="0"/>
              <w:jc w:val="center"/>
              <w:textAlignment w:val="bottom"/>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CH</w:t>
            </w:r>
            <w:r>
              <w:rPr>
                <w:rFonts w:hint="default" w:ascii="Times New Roman" w:hAnsi="Times New Roman" w:eastAsia="宋体" w:cs="Times New Roman"/>
                <w:i w:val="0"/>
                <w:iCs w:val="0"/>
                <w:color w:val="000000"/>
                <w:kern w:val="0"/>
                <w:sz w:val="21"/>
                <w:szCs w:val="21"/>
                <w:highlight w:val="none"/>
                <w:u w:val="none"/>
                <w:vertAlign w:val="subscript"/>
                <w:lang w:val="en-US" w:eastAsia="zh-CN" w:bidi="ar"/>
              </w:rPr>
              <w:t>4</w:t>
            </w:r>
          </w:p>
        </w:tc>
        <w:tc>
          <w:tcPr>
            <w:tcW w:w="0" w:type="auto"/>
            <w:shd w:val="clear" w:color="auto" w:fill="auto"/>
            <w:noWrap/>
            <w:vAlign w:val="center"/>
          </w:tcPr>
          <w:p w14:paraId="3F8E003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0.0153</w:t>
            </w:r>
          </w:p>
        </w:tc>
        <w:tc>
          <w:tcPr>
            <w:tcW w:w="0" w:type="auto"/>
            <w:shd w:val="clear" w:color="auto" w:fill="auto"/>
            <w:noWrap/>
            <w:vAlign w:val="center"/>
          </w:tcPr>
          <w:p w14:paraId="63E4EE4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10</w:t>
            </w:r>
          </w:p>
        </w:tc>
        <w:tc>
          <w:tcPr>
            <w:tcW w:w="1515" w:type="dxa"/>
            <w:shd w:val="clear" w:color="auto" w:fill="auto"/>
            <w:noWrap/>
            <w:vAlign w:val="center"/>
          </w:tcPr>
          <w:p w14:paraId="2841CE5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0.00153</w:t>
            </w:r>
          </w:p>
        </w:tc>
      </w:tr>
      <w:tr w14:paraId="4EE44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0" w:type="auto"/>
            <w:vMerge w:val="restart"/>
            <w:shd w:val="clear" w:color="auto" w:fill="auto"/>
            <w:noWrap/>
            <w:vAlign w:val="center"/>
          </w:tcPr>
          <w:p w14:paraId="256E0A19">
            <w:pPr>
              <w:keepNext w:val="0"/>
              <w:keepLines w:val="0"/>
              <w:widowControl/>
              <w:suppressLineNumbers w:val="0"/>
              <w:jc w:val="center"/>
              <w:textAlignment w:val="bottom"/>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富甲烷气</w:t>
            </w:r>
          </w:p>
        </w:tc>
        <w:tc>
          <w:tcPr>
            <w:tcW w:w="0" w:type="auto"/>
            <w:shd w:val="clear" w:color="auto" w:fill="auto"/>
            <w:noWrap/>
            <w:vAlign w:val="center"/>
          </w:tcPr>
          <w:p w14:paraId="5E6C4B8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CH</w:t>
            </w:r>
            <w:r>
              <w:rPr>
                <w:rFonts w:hint="default" w:ascii="Times New Roman" w:hAnsi="Times New Roman" w:eastAsia="宋体" w:cs="Times New Roman"/>
                <w:i w:val="0"/>
                <w:iCs w:val="0"/>
                <w:color w:val="000000"/>
                <w:kern w:val="0"/>
                <w:sz w:val="21"/>
                <w:szCs w:val="21"/>
                <w:highlight w:val="none"/>
                <w:u w:val="none"/>
                <w:vertAlign w:val="subscript"/>
                <w:lang w:val="en-US" w:eastAsia="zh-CN" w:bidi="ar"/>
              </w:rPr>
              <w:t>4</w:t>
            </w:r>
          </w:p>
        </w:tc>
        <w:tc>
          <w:tcPr>
            <w:tcW w:w="0" w:type="auto"/>
            <w:shd w:val="clear" w:color="auto" w:fill="auto"/>
            <w:noWrap/>
            <w:vAlign w:val="center"/>
          </w:tcPr>
          <w:p w14:paraId="3FB0D7D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0.0005</w:t>
            </w:r>
          </w:p>
        </w:tc>
        <w:tc>
          <w:tcPr>
            <w:tcW w:w="0" w:type="auto"/>
            <w:shd w:val="clear" w:color="auto" w:fill="auto"/>
            <w:noWrap/>
            <w:vAlign w:val="center"/>
          </w:tcPr>
          <w:p w14:paraId="4B05866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10</w:t>
            </w:r>
          </w:p>
        </w:tc>
        <w:tc>
          <w:tcPr>
            <w:tcW w:w="1515" w:type="dxa"/>
            <w:shd w:val="clear" w:color="auto" w:fill="auto"/>
            <w:noWrap/>
            <w:vAlign w:val="center"/>
          </w:tcPr>
          <w:p w14:paraId="377D718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0.00005</w:t>
            </w:r>
          </w:p>
        </w:tc>
      </w:tr>
      <w:tr w14:paraId="3ACB6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0" w:type="auto"/>
            <w:vMerge w:val="continue"/>
            <w:shd w:val="clear" w:color="auto" w:fill="auto"/>
            <w:noWrap/>
            <w:vAlign w:val="center"/>
          </w:tcPr>
          <w:p w14:paraId="3A7E38EB">
            <w:pPr>
              <w:jc w:val="center"/>
              <w:rPr>
                <w:rFonts w:hint="eastAsia" w:ascii="宋体" w:hAnsi="宋体" w:eastAsia="宋体" w:cs="宋体"/>
                <w:i w:val="0"/>
                <w:iCs w:val="0"/>
                <w:color w:val="000000"/>
                <w:sz w:val="21"/>
                <w:szCs w:val="21"/>
                <w:highlight w:val="none"/>
                <w:u w:val="none"/>
              </w:rPr>
            </w:pPr>
          </w:p>
        </w:tc>
        <w:tc>
          <w:tcPr>
            <w:tcW w:w="0" w:type="auto"/>
            <w:shd w:val="clear" w:color="auto" w:fill="auto"/>
            <w:noWrap/>
            <w:vAlign w:val="center"/>
          </w:tcPr>
          <w:p w14:paraId="450B03B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H</w:t>
            </w:r>
            <w:r>
              <w:rPr>
                <w:rFonts w:hint="default" w:ascii="Times New Roman" w:hAnsi="Times New Roman" w:eastAsia="宋体" w:cs="Times New Roman"/>
                <w:i w:val="0"/>
                <w:iCs w:val="0"/>
                <w:color w:val="000000"/>
                <w:kern w:val="0"/>
                <w:sz w:val="21"/>
                <w:szCs w:val="21"/>
                <w:highlight w:val="none"/>
                <w:u w:val="none"/>
                <w:vertAlign w:val="subscript"/>
                <w:lang w:val="en-US" w:eastAsia="zh-CN" w:bidi="ar"/>
              </w:rPr>
              <w:t>2</w:t>
            </w:r>
            <w:r>
              <w:rPr>
                <w:rFonts w:hint="default" w:ascii="Times New Roman" w:hAnsi="Times New Roman" w:eastAsia="宋体" w:cs="Times New Roman"/>
                <w:i w:val="0"/>
                <w:iCs w:val="0"/>
                <w:color w:val="000000"/>
                <w:kern w:val="0"/>
                <w:sz w:val="21"/>
                <w:szCs w:val="21"/>
                <w:highlight w:val="none"/>
                <w:u w:val="none"/>
                <w:lang w:val="en-US" w:eastAsia="zh-CN" w:bidi="ar"/>
              </w:rPr>
              <w:t>S</w:t>
            </w:r>
          </w:p>
        </w:tc>
        <w:tc>
          <w:tcPr>
            <w:tcW w:w="0" w:type="auto"/>
            <w:shd w:val="clear" w:color="auto" w:fill="auto"/>
            <w:noWrap/>
            <w:vAlign w:val="center"/>
          </w:tcPr>
          <w:p w14:paraId="52D63AF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0.0002</w:t>
            </w:r>
          </w:p>
        </w:tc>
        <w:tc>
          <w:tcPr>
            <w:tcW w:w="0" w:type="auto"/>
            <w:shd w:val="clear" w:color="auto" w:fill="auto"/>
            <w:noWrap/>
            <w:vAlign w:val="center"/>
          </w:tcPr>
          <w:p w14:paraId="3F4F742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2.5</w:t>
            </w:r>
          </w:p>
        </w:tc>
        <w:tc>
          <w:tcPr>
            <w:tcW w:w="1515" w:type="dxa"/>
            <w:shd w:val="clear" w:color="auto" w:fill="auto"/>
            <w:noWrap/>
            <w:vAlign w:val="center"/>
          </w:tcPr>
          <w:p w14:paraId="48D9A21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0.00008</w:t>
            </w:r>
          </w:p>
        </w:tc>
      </w:tr>
      <w:tr w14:paraId="23961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vMerge w:val="restart"/>
            <w:shd w:val="clear" w:color="auto" w:fill="auto"/>
            <w:noWrap/>
            <w:vAlign w:val="center"/>
          </w:tcPr>
          <w:p w14:paraId="752B817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真空尾气</w:t>
            </w:r>
          </w:p>
        </w:tc>
        <w:tc>
          <w:tcPr>
            <w:tcW w:w="0" w:type="auto"/>
            <w:shd w:val="clear" w:color="auto" w:fill="auto"/>
            <w:noWrap/>
            <w:vAlign w:val="center"/>
          </w:tcPr>
          <w:p w14:paraId="593677B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丁醇</w:t>
            </w:r>
          </w:p>
        </w:tc>
        <w:tc>
          <w:tcPr>
            <w:tcW w:w="0" w:type="auto"/>
            <w:shd w:val="clear" w:color="auto" w:fill="auto"/>
            <w:noWrap/>
            <w:vAlign w:val="center"/>
          </w:tcPr>
          <w:p w14:paraId="323C672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lang w:val="en-US"/>
              </w:rPr>
            </w:pPr>
            <w:r>
              <w:rPr>
                <w:rFonts w:hint="eastAsia" w:cs="Times New Roman"/>
                <w:i w:val="0"/>
                <w:iCs w:val="0"/>
                <w:color w:val="000000"/>
                <w:kern w:val="0"/>
                <w:sz w:val="21"/>
                <w:szCs w:val="21"/>
                <w:highlight w:val="none"/>
                <w:u w:val="none"/>
                <w:lang w:val="en-US" w:eastAsia="zh-CN" w:bidi="ar"/>
              </w:rPr>
              <w:t>0.0000047</w:t>
            </w:r>
          </w:p>
        </w:tc>
        <w:tc>
          <w:tcPr>
            <w:tcW w:w="0" w:type="auto"/>
            <w:shd w:val="clear" w:color="auto" w:fill="auto"/>
            <w:noWrap/>
            <w:vAlign w:val="center"/>
          </w:tcPr>
          <w:p w14:paraId="53CC300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10</w:t>
            </w:r>
          </w:p>
        </w:tc>
        <w:tc>
          <w:tcPr>
            <w:tcW w:w="1515" w:type="dxa"/>
            <w:shd w:val="clear" w:color="auto" w:fill="auto"/>
            <w:noWrap/>
            <w:vAlign w:val="center"/>
          </w:tcPr>
          <w:p w14:paraId="355EFDF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0.00000047</w:t>
            </w:r>
          </w:p>
        </w:tc>
      </w:tr>
      <w:tr w14:paraId="7DD89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vMerge w:val="continue"/>
            <w:shd w:val="clear" w:color="auto" w:fill="auto"/>
            <w:noWrap/>
            <w:vAlign w:val="center"/>
          </w:tcPr>
          <w:p w14:paraId="35AA1B27">
            <w:pPr>
              <w:jc w:val="center"/>
              <w:rPr>
                <w:rFonts w:hint="eastAsia" w:ascii="宋体" w:hAnsi="宋体" w:eastAsia="宋体" w:cs="宋体"/>
                <w:i w:val="0"/>
                <w:iCs w:val="0"/>
                <w:color w:val="000000"/>
                <w:sz w:val="21"/>
                <w:szCs w:val="21"/>
                <w:highlight w:val="none"/>
                <w:u w:val="none"/>
              </w:rPr>
            </w:pPr>
          </w:p>
        </w:tc>
        <w:tc>
          <w:tcPr>
            <w:tcW w:w="0" w:type="auto"/>
            <w:shd w:val="clear" w:color="auto" w:fill="auto"/>
            <w:noWrap/>
            <w:vAlign w:val="center"/>
          </w:tcPr>
          <w:p w14:paraId="0A4638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甲醇</w:t>
            </w:r>
          </w:p>
        </w:tc>
        <w:tc>
          <w:tcPr>
            <w:tcW w:w="0" w:type="auto"/>
            <w:shd w:val="clear" w:color="auto" w:fill="auto"/>
            <w:noWrap/>
            <w:vAlign w:val="center"/>
          </w:tcPr>
          <w:p w14:paraId="7F15124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lang w:val="en-US"/>
              </w:rPr>
            </w:pPr>
            <w:r>
              <w:rPr>
                <w:rFonts w:hint="eastAsia" w:cs="Times New Roman"/>
                <w:i w:val="0"/>
                <w:iCs w:val="0"/>
                <w:color w:val="000000"/>
                <w:kern w:val="0"/>
                <w:sz w:val="21"/>
                <w:szCs w:val="21"/>
                <w:highlight w:val="none"/>
                <w:u w:val="none"/>
                <w:lang w:val="en-US" w:eastAsia="zh-CN" w:bidi="ar"/>
              </w:rPr>
              <w:t>0.0000003</w:t>
            </w:r>
          </w:p>
        </w:tc>
        <w:tc>
          <w:tcPr>
            <w:tcW w:w="0" w:type="auto"/>
            <w:shd w:val="clear" w:color="auto" w:fill="auto"/>
            <w:noWrap/>
            <w:vAlign w:val="center"/>
          </w:tcPr>
          <w:p w14:paraId="41DC5EC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10</w:t>
            </w:r>
          </w:p>
        </w:tc>
        <w:tc>
          <w:tcPr>
            <w:tcW w:w="1515" w:type="dxa"/>
            <w:shd w:val="clear" w:color="auto" w:fill="auto"/>
            <w:noWrap/>
            <w:vAlign w:val="center"/>
          </w:tcPr>
          <w:p w14:paraId="68FFA95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0.00000003</w:t>
            </w:r>
          </w:p>
        </w:tc>
      </w:tr>
      <w:tr w14:paraId="1BDA1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vMerge w:val="continue"/>
            <w:shd w:val="clear" w:color="auto" w:fill="auto"/>
            <w:noWrap/>
            <w:vAlign w:val="center"/>
          </w:tcPr>
          <w:p w14:paraId="239A2C44">
            <w:pPr>
              <w:jc w:val="center"/>
              <w:rPr>
                <w:rFonts w:hint="eastAsia" w:ascii="宋体" w:hAnsi="宋体" w:eastAsia="宋体" w:cs="宋体"/>
                <w:i w:val="0"/>
                <w:iCs w:val="0"/>
                <w:color w:val="000000"/>
                <w:sz w:val="21"/>
                <w:szCs w:val="21"/>
                <w:highlight w:val="none"/>
                <w:u w:val="none"/>
              </w:rPr>
            </w:pPr>
          </w:p>
        </w:tc>
        <w:tc>
          <w:tcPr>
            <w:tcW w:w="0" w:type="auto"/>
            <w:shd w:val="clear" w:color="auto" w:fill="auto"/>
            <w:noWrap/>
            <w:vAlign w:val="center"/>
          </w:tcPr>
          <w:p w14:paraId="5235302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正丙醇</w:t>
            </w:r>
          </w:p>
        </w:tc>
        <w:tc>
          <w:tcPr>
            <w:tcW w:w="0" w:type="auto"/>
            <w:shd w:val="clear" w:color="auto" w:fill="auto"/>
            <w:noWrap/>
            <w:vAlign w:val="center"/>
          </w:tcPr>
          <w:p w14:paraId="1A876DD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lang w:val="en-US"/>
              </w:rPr>
            </w:pPr>
            <w:r>
              <w:rPr>
                <w:rFonts w:hint="eastAsia" w:cs="Times New Roman"/>
                <w:i w:val="0"/>
                <w:iCs w:val="0"/>
                <w:color w:val="000000"/>
                <w:kern w:val="0"/>
                <w:sz w:val="21"/>
                <w:szCs w:val="21"/>
                <w:highlight w:val="none"/>
                <w:u w:val="none"/>
                <w:lang w:val="en-US" w:eastAsia="zh-CN" w:bidi="ar"/>
              </w:rPr>
              <w:t>0.000000062</w:t>
            </w:r>
          </w:p>
        </w:tc>
        <w:tc>
          <w:tcPr>
            <w:tcW w:w="0" w:type="auto"/>
            <w:shd w:val="clear" w:color="auto" w:fill="auto"/>
            <w:noWrap/>
            <w:vAlign w:val="center"/>
          </w:tcPr>
          <w:p w14:paraId="53ECA8A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10</w:t>
            </w:r>
          </w:p>
        </w:tc>
        <w:tc>
          <w:tcPr>
            <w:tcW w:w="1515" w:type="dxa"/>
            <w:shd w:val="clear" w:color="auto" w:fill="auto"/>
            <w:noWrap/>
            <w:vAlign w:val="center"/>
          </w:tcPr>
          <w:p w14:paraId="71918A8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0.0000000062</w:t>
            </w:r>
          </w:p>
        </w:tc>
      </w:tr>
      <w:tr w14:paraId="6CF80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vMerge w:val="continue"/>
            <w:shd w:val="clear" w:color="auto" w:fill="auto"/>
            <w:noWrap/>
            <w:vAlign w:val="center"/>
          </w:tcPr>
          <w:p w14:paraId="2F8A739A">
            <w:pPr>
              <w:jc w:val="center"/>
              <w:rPr>
                <w:rFonts w:hint="eastAsia" w:ascii="宋体" w:hAnsi="宋体" w:eastAsia="宋体" w:cs="宋体"/>
                <w:i w:val="0"/>
                <w:iCs w:val="0"/>
                <w:color w:val="000000"/>
                <w:sz w:val="21"/>
                <w:szCs w:val="21"/>
                <w:highlight w:val="none"/>
                <w:u w:val="none"/>
              </w:rPr>
            </w:pPr>
          </w:p>
        </w:tc>
        <w:tc>
          <w:tcPr>
            <w:tcW w:w="0" w:type="auto"/>
            <w:shd w:val="clear" w:color="auto" w:fill="auto"/>
            <w:noWrap/>
            <w:vAlign w:val="center"/>
          </w:tcPr>
          <w:p w14:paraId="109FEE3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异丙醇</w:t>
            </w:r>
          </w:p>
        </w:tc>
        <w:tc>
          <w:tcPr>
            <w:tcW w:w="0" w:type="auto"/>
            <w:shd w:val="clear" w:color="auto" w:fill="auto"/>
            <w:noWrap/>
            <w:vAlign w:val="center"/>
          </w:tcPr>
          <w:p w14:paraId="3E213A6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lang w:val="en-US"/>
              </w:rPr>
            </w:pPr>
            <w:r>
              <w:rPr>
                <w:rFonts w:hint="eastAsia" w:cs="Times New Roman"/>
                <w:i w:val="0"/>
                <w:iCs w:val="0"/>
                <w:color w:val="000000"/>
                <w:kern w:val="0"/>
                <w:sz w:val="21"/>
                <w:szCs w:val="21"/>
                <w:highlight w:val="none"/>
                <w:u w:val="none"/>
                <w:lang w:val="en-US" w:eastAsia="zh-CN" w:bidi="ar"/>
              </w:rPr>
              <w:t>0.0000005</w:t>
            </w:r>
          </w:p>
        </w:tc>
        <w:tc>
          <w:tcPr>
            <w:tcW w:w="0" w:type="auto"/>
            <w:shd w:val="clear" w:color="auto" w:fill="auto"/>
            <w:noWrap/>
            <w:vAlign w:val="center"/>
          </w:tcPr>
          <w:p w14:paraId="3E9894C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10</w:t>
            </w:r>
          </w:p>
        </w:tc>
        <w:tc>
          <w:tcPr>
            <w:tcW w:w="1515" w:type="dxa"/>
            <w:shd w:val="clear" w:color="auto" w:fill="auto"/>
            <w:noWrap/>
            <w:vAlign w:val="center"/>
          </w:tcPr>
          <w:p w14:paraId="14BA352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0.00000005</w:t>
            </w:r>
          </w:p>
        </w:tc>
      </w:tr>
      <w:tr w14:paraId="63ECF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vMerge w:val="continue"/>
            <w:shd w:val="clear" w:color="auto" w:fill="auto"/>
            <w:noWrap/>
            <w:vAlign w:val="center"/>
          </w:tcPr>
          <w:p w14:paraId="1EF0FE98">
            <w:pPr>
              <w:jc w:val="center"/>
              <w:rPr>
                <w:rFonts w:hint="eastAsia" w:ascii="宋体" w:hAnsi="宋体" w:eastAsia="宋体" w:cs="宋体"/>
                <w:i w:val="0"/>
                <w:iCs w:val="0"/>
                <w:color w:val="000000"/>
                <w:sz w:val="21"/>
                <w:szCs w:val="21"/>
                <w:highlight w:val="none"/>
                <w:u w:val="none"/>
              </w:rPr>
            </w:pPr>
          </w:p>
        </w:tc>
        <w:tc>
          <w:tcPr>
            <w:tcW w:w="0" w:type="auto"/>
            <w:shd w:val="clear" w:color="auto" w:fill="auto"/>
            <w:noWrap/>
            <w:vAlign w:val="center"/>
          </w:tcPr>
          <w:p w14:paraId="6EFE283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乙酸</w:t>
            </w:r>
          </w:p>
        </w:tc>
        <w:tc>
          <w:tcPr>
            <w:tcW w:w="0" w:type="auto"/>
            <w:shd w:val="clear" w:color="auto" w:fill="auto"/>
            <w:noWrap/>
            <w:vAlign w:val="center"/>
          </w:tcPr>
          <w:p w14:paraId="11CB783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0.0000003</w:t>
            </w:r>
            <w:r>
              <w:rPr>
                <w:rFonts w:hint="eastAsia" w:cs="Times New Roman"/>
                <w:i w:val="0"/>
                <w:iCs w:val="0"/>
                <w:color w:val="000000"/>
                <w:kern w:val="0"/>
                <w:sz w:val="21"/>
                <w:szCs w:val="21"/>
                <w:highlight w:val="none"/>
                <w:u w:val="none"/>
                <w:lang w:val="en-US" w:eastAsia="zh-CN" w:bidi="ar"/>
              </w:rPr>
              <w:t>1</w:t>
            </w:r>
          </w:p>
        </w:tc>
        <w:tc>
          <w:tcPr>
            <w:tcW w:w="0" w:type="auto"/>
            <w:shd w:val="clear" w:color="auto" w:fill="auto"/>
            <w:noWrap/>
            <w:vAlign w:val="center"/>
          </w:tcPr>
          <w:p w14:paraId="5A5D18D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10</w:t>
            </w:r>
          </w:p>
        </w:tc>
        <w:tc>
          <w:tcPr>
            <w:tcW w:w="1515" w:type="dxa"/>
            <w:shd w:val="clear" w:color="auto" w:fill="auto"/>
            <w:noWrap/>
            <w:vAlign w:val="center"/>
          </w:tcPr>
          <w:p w14:paraId="5B13AEA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0.000000031</w:t>
            </w:r>
          </w:p>
        </w:tc>
      </w:tr>
      <w:tr w14:paraId="6DFF4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vMerge w:val="continue"/>
            <w:shd w:val="clear" w:color="auto" w:fill="auto"/>
            <w:noWrap/>
            <w:vAlign w:val="center"/>
          </w:tcPr>
          <w:p w14:paraId="71B9DF23">
            <w:pPr>
              <w:jc w:val="center"/>
              <w:rPr>
                <w:rFonts w:hint="eastAsia" w:ascii="宋体" w:hAnsi="宋体" w:eastAsia="宋体" w:cs="宋体"/>
                <w:i w:val="0"/>
                <w:iCs w:val="0"/>
                <w:color w:val="000000"/>
                <w:sz w:val="21"/>
                <w:szCs w:val="21"/>
                <w:highlight w:val="none"/>
                <w:u w:val="none"/>
              </w:rPr>
            </w:pPr>
          </w:p>
        </w:tc>
        <w:tc>
          <w:tcPr>
            <w:tcW w:w="0" w:type="auto"/>
            <w:shd w:val="clear" w:color="auto" w:fill="auto"/>
            <w:noWrap/>
            <w:vAlign w:val="center"/>
          </w:tcPr>
          <w:p w14:paraId="3E121FF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乙酸乙酯</w:t>
            </w:r>
          </w:p>
        </w:tc>
        <w:tc>
          <w:tcPr>
            <w:tcW w:w="0" w:type="auto"/>
            <w:shd w:val="clear" w:color="auto" w:fill="auto"/>
            <w:noWrap/>
            <w:vAlign w:val="center"/>
          </w:tcPr>
          <w:p w14:paraId="3A889B9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lang w:val="en-US"/>
              </w:rPr>
            </w:pPr>
            <w:r>
              <w:rPr>
                <w:rFonts w:hint="eastAsia" w:cs="Times New Roman"/>
                <w:i w:val="0"/>
                <w:iCs w:val="0"/>
                <w:color w:val="000000"/>
                <w:kern w:val="0"/>
                <w:sz w:val="21"/>
                <w:szCs w:val="21"/>
                <w:highlight w:val="none"/>
                <w:u w:val="none"/>
                <w:lang w:val="en-US" w:eastAsia="zh-CN" w:bidi="ar"/>
              </w:rPr>
              <w:t>0.0076</w:t>
            </w:r>
          </w:p>
        </w:tc>
        <w:tc>
          <w:tcPr>
            <w:tcW w:w="0" w:type="auto"/>
            <w:shd w:val="clear" w:color="auto" w:fill="auto"/>
            <w:noWrap/>
            <w:vAlign w:val="center"/>
          </w:tcPr>
          <w:p w14:paraId="539172A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10</w:t>
            </w:r>
          </w:p>
        </w:tc>
        <w:tc>
          <w:tcPr>
            <w:tcW w:w="1515" w:type="dxa"/>
            <w:shd w:val="clear" w:color="auto" w:fill="auto"/>
            <w:noWrap/>
            <w:vAlign w:val="center"/>
          </w:tcPr>
          <w:p w14:paraId="141CF74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0.00</w:t>
            </w:r>
            <w:r>
              <w:rPr>
                <w:rFonts w:hint="eastAsia" w:cs="Times New Roman"/>
                <w:i w:val="0"/>
                <w:iCs w:val="0"/>
                <w:color w:val="000000"/>
                <w:kern w:val="0"/>
                <w:sz w:val="21"/>
                <w:szCs w:val="21"/>
                <w:highlight w:val="none"/>
                <w:u w:val="none"/>
                <w:lang w:val="en-US" w:eastAsia="zh-CN" w:bidi="ar"/>
              </w:rPr>
              <w:t>0</w:t>
            </w:r>
            <w:r>
              <w:rPr>
                <w:rFonts w:hint="default" w:ascii="Times New Roman" w:hAnsi="Times New Roman" w:eastAsia="宋体" w:cs="Times New Roman"/>
                <w:i w:val="0"/>
                <w:iCs w:val="0"/>
                <w:color w:val="000000"/>
                <w:kern w:val="0"/>
                <w:sz w:val="21"/>
                <w:szCs w:val="21"/>
                <w:highlight w:val="none"/>
                <w:u w:val="none"/>
                <w:lang w:val="en-US" w:eastAsia="zh-CN" w:bidi="ar"/>
              </w:rPr>
              <w:t>76</w:t>
            </w:r>
          </w:p>
        </w:tc>
      </w:tr>
      <w:tr w14:paraId="59017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vMerge w:val="continue"/>
            <w:shd w:val="clear" w:color="auto" w:fill="auto"/>
            <w:noWrap/>
            <w:vAlign w:val="center"/>
          </w:tcPr>
          <w:p w14:paraId="153114F3">
            <w:pPr>
              <w:jc w:val="center"/>
              <w:rPr>
                <w:rFonts w:hint="eastAsia" w:ascii="宋体" w:hAnsi="宋体" w:eastAsia="宋体" w:cs="宋体"/>
                <w:i w:val="0"/>
                <w:iCs w:val="0"/>
                <w:color w:val="000000"/>
                <w:sz w:val="21"/>
                <w:szCs w:val="21"/>
                <w:highlight w:val="none"/>
                <w:u w:val="none"/>
              </w:rPr>
            </w:pPr>
          </w:p>
        </w:tc>
        <w:tc>
          <w:tcPr>
            <w:tcW w:w="0" w:type="auto"/>
            <w:shd w:val="clear" w:color="auto" w:fill="auto"/>
            <w:noWrap/>
            <w:vAlign w:val="center"/>
          </w:tcPr>
          <w:p w14:paraId="567C64F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乙醛</w:t>
            </w:r>
          </w:p>
        </w:tc>
        <w:tc>
          <w:tcPr>
            <w:tcW w:w="0" w:type="auto"/>
            <w:shd w:val="clear" w:color="auto" w:fill="auto"/>
            <w:noWrap/>
            <w:vAlign w:val="center"/>
          </w:tcPr>
          <w:p w14:paraId="787474E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lang w:val="en-US"/>
              </w:rPr>
            </w:pPr>
            <w:r>
              <w:rPr>
                <w:rFonts w:hint="eastAsia" w:cs="Times New Roman"/>
                <w:i w:val="0"/>
                <w:iCs w:val="0"/>
                <w:color w:val="000000"/>
                <w:kern w:val="0"/>
                <w:sz w:val="21"/>
                <w:szCs w:val="21"/>
                <w:highlight w:val="none"/>
                <w:u w:val="none"/>
                <w:lang w:val="en-US" w:eastAsia="zh-CN" w:bidi="ar"/>
              </w:rPr>
              <w:t>0.000084</w:t>
            </w:r>
          </w:p>
        </w:tc>
        <w:tc>
          <w:tcPr>
            <w:tcW w:w="0" w:type="auto"/>
            <w:shd w:val="clear" w:color="auto" w:fill="auto"/>
            <w:noWrap/>
            <w:vAlign w:val="center"/>
          </w:tcPr>
          <w:p w14:paraId="2944A27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10</w:t>
            </w:r>
          </w:p>
        </w:tc>
        <w:tc>
          <w:tcPr>
            <w:tcW w:w="1515" w:type="dxa"/>
            <w:shd w:val="clear" w:color="auto" w:fill="auto"/>
            <w:noWrap/>
            <w:vAlign w:val="center"/>
          </w:tcPr>
          <w:p w14:paraId="3D2A2BF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0.0000084</w:t>
            </w:r>
          </w:p>
        </w:tc>
      </w:tr>
      <w:tr w14:paraId="30DDD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0" w:type="auto"/>
            <w:vMerge w:val="continue"/>
            <w:shd w:val="clear" w:color="auto" w:fill="auto"/>
            <w:noWrap/>
            <w:vAlign w:val="center"/>
          </w:tcPr>
          <w:p w14:paraId="2E4807CA">
            <w:pPr>
              <w:jc w:val="center"/>
              <w:rPr>
                <w:rFonts w:hint="eastAsia" w:ascii="宋体" w:hAnsi="宋体" w:eastAsia="宋体" w:cs="宋体"/>
                <w:i w:val="0"/>
                <w:iCs w:val="0"/>
                <w:color w:val="000000"/>
                <w:sz w:val="21"/>
                <w:szCs w:val="21"/>
                <w:highlight w:val="none"/>
                <w:u w:val="none"/>
              </w:rPr>
            </w:pPr>
          </w:p>
        </w:tc>
        <w:tc>
          <w:tcPr>
            <w:tcW w:w="0" w:type="auto"/>
            <w:shd w:val="clear" w:color="auto" w:fill="auto"/>
            <w:noWrap/>
            <w:vAlign w:val="center"/>
          </w:tcPr>
          <w:p w14:paraId="539DA60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CH</w:t>
            </w:r>
            <w:r>
              <w:rPr>
                <w:rFonts w:hint="default" w:ascii="Times New Roman" w:hAnsi="Times New Roman" w:eastAsia="宋体" w:cs="Times New Roman"/>
                <w:i w:val="0"/>
                <w:iCs w:val="0"/>
                <w:color w:val="000000"/>
                <w:kern w:val="0"/>
                <w:sz w:val="21"/>
                <w:szCs w:val="21"/>
                <w:highlight w:val="none"/>
                <w:u w:val="none"/>
                <w:vertAlign w:val="subscript"/>
                <w:lang w:val="en-US" w:eastAsia="zh-CN" w:bidi="ar"/>
              </w:rPr>
              <w:t>4</w:t>
            </w:r>
          </w:p>
        </w:tc>
        <w:tc>
          <w:tcPr>
            <w:tcW w:w="0" w:type="auto"/>
            <w:shd w:val="clear" w:color="auto" w:fill="auto"/>
            <w:noWrap/>
            <w:vAlign w:val="center"/>
          </w:tcPr>
          <w:p w14:paraId="08063C8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lang w:val="en-US"/>
              </w:rPr>
            </w:pPr>
            <w:r>
              <w:rPr>
                <w:rFonts w:hint="eastAsia" w:cs="Times New Roman"/>
                <w:i w:val="0"/>
                <w:iCs w:val="0"/>
                <w:color w:val="000000"/>
                <w:kern w:val="0"/>
                <w:sz w:val="21"/>
                <w:szCs w:val="21"/>
                <w:highlight w:val="none"/>
                <w:u w:val="none"/>
                <w:lang w:val="en-US" w:eastAsia="zh-CN" w:bidi="ar"/>
              </w:rPr>
              <w:t>0.000035</w:t>
            </w:r>
          </w:p>
        </w:tc>
        <w:tc>
          <w:tcPr>
            <w:tcW w:w="0" w:type="auto"/>
            <w:shd w:val="clear" w:color="auto" w:fill="auto"/>
            <w:noWrap/>
            <w:vAlign w:val="center"/>
          </w:tcPr>
          <w:p w14:paraId="2B3E0CB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10</w:t>
            </w:r>
          </w:p>
        </w:tc>
        <w:tc>
          <w:tcPr>
            <w:tcW w:w="1515" w:type="dxa"/>
            <w:shd w:val="clear" w:color="auto" w:fill="auto"/>
            <w:noWrap/>
            <w:vAlign w:val="center"/>
          </w:tcPr>
          <w:p w14:paraId="096D01B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0.0000035</w:t>
            </w:r>
          </w:p>
        </w:tc>
      </w:tr>
      <w:tr w14:paraId="684E4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0" w:type="auto"/>
            <w:vMerge w:val="continue"/>
            <w:shd w:val="clear" w:color="auto" w:fill="auto"/>
            <w:noWrap/>
            <w:vAlign w:val="center"/>
          </w:tcPr>
          <w:p w14:paraId="14D0C5A9">
            <w:pPr>
              <w:jc w:val="center"/>
              <w:rPr>
                <w:rFonts w:hint="eastAsia" w:ascii="宋体" w:hAnsi="宋体" w:eastAsia="宋体" w:cs="宋体"/>
                <w:i w:val="0"/>
                <w:iCs w:val="0"/>
                <w:color w:val="000000"/>
                <w:sz w:val="21"/>
                <w:szCs w:val="21"/>
                <w:highlight w:val="none"/>
                <w:u w:val="none"/>
              </w:rPr>
            </w:pPr>
          </w:p>
        </w:tc>
        <w:tc>
          <w:tcPr>
            <w:tcW w:w="0" w:type="auto"/>
            <w:shd w:val="clear" w:color="auto" w:fill="auto"/>
            <w:noWrap/>
            <w:vAlign w:val="center"/>
          </w:tcPr>
          <w:p w14:paraId="0836AF4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H</w:t>
            </w:r>
            <w:r>
              <w:rPr>
                <w:rFonts w:hint="default" w:ascii="Times New Roman" w:hAnsi="Times New Roman" w:eastAsia="宋体" w:cs="Times New Roman"/>
                <w:i w:val="0"/>
                <w:iCs w:val="0"/>
                <w:color w:val="000000"/>
                <w:kern w:val="0"/>
                <w:sz w:val="21"/>
                <w:szCs w:val="21"/>
                <w:highlight w:val="none"/>
                <w:u w:val="none"/>
                <w:vertAlign w:val="subscript"/>
                <w:lang w:val="en-US" w:eastAsia="zh-CN" w:bidi="ar"/>
              </w:rPr>
              <w:t>2</w:t>
            </w:r>
            <w:r>
              <w:rPr>
                <w:rFonts w:hint="default" w:ascii="Times New Roman" w:hAnsi="Times New Roman" w:eastAsia="宋体" w:cs="Times New Roman"/>
                <w:i w:val="0"/>
                <w:iCs w:val="0"/>
                <w:color w:val="000000"/>
                <w:kern w:val="0"/>
                <w:sz w:val="21"/>
                <w:szCs w:val="21"/>
                <w:highlight w:val="none"/>
                <w:u w:val="none"/>
                <w:lang w:val="en-US" w:eastAsia="zh-CN" w:bidi="ar"/>
              </w:rPr>
              <w:t>S</w:t>
            </w:r>
          </w:p>
        </w:tc>
        <w:tc>
          <w:tcPr>
            <w:tcW w:w="0" w:type="auto"/>
            <w:shd w:val="clear" w:color="auto" w:fill="auto"/>
            <w:noWrap/>
            <w:vAlign w:val="center"/>
          </w:tcPr>
          <w:p w14:paraId="44C2091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lang w:val="en-US"/>
              </w:rPr>
            </w:pPr>
            <w:r>
              <w:rPr>
                <w:rFonts w:hint="eastAsia" w:cs="Times New Roman"/>
                <w:i w:val="0"/>
                <w:iCs w:val="0"/>
                <w:color w:val="000000"/>
                <w:kern w:val="0"/>
                <w:sz w:val="21"/>
                <w:szCs w:val="21"/>
                <w:highlight w:val="none"/>
                <w:u w:val="none"/>
                <w:lang w:val="en-US" w:eastAsia="zh-CN" w:bidi="ar"/>
              </w:rPr>
              <w:t>0.0004</w:t>
            </w:r>
          </w:p>
        </w:tc>
        <w:tc>
          <w:tcPr>
            <w:tcW w:w="0" w:type="auto"/>
            <w:shd w:val="clear" w:color="auto" w:fill="auto"/>
            <w:noWrap/>
            <w:vAlign w:val="center"/>
          </w:tcPr>
          <w:p w14:paraId="26DD19A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2.5</w:t>
            </w:r>
          </w:p>
        </w:tc>
        <w:tc>
          <w:tcPr>
            <w:tcW w:w="1515" w:type="dxa"/>
            <w:shd w:val="clear" w:color="auto" w:fill="auto"/>
            <w:noWrap/>
            <w:vAlign w:val="center"/>
          </w:tcPr>
          <w:p w14:paraId="40FD5DD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0.00016</w:t>
            </w:r>
          </w:p>
        </w:tc>
      </w:tr>
      <w:tr w14:paraId="5BF61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0" w:type="auto"/>
            <w:vMerge w:val="continue"/>
            <w:shd w:val="clear" w:color="auto" w:fill="auto"/>
            <w:noWrap/>
            <w:vAlign w:val="center"/>
          </w:tcPr>
          <w:p w14:paraId="1881D0AF">
            <w:pPr>
              <w:jc w:val="center"/>
              <w:rPr>
                <w:rFonts w:hint="eastAsia" w:ascii="宋体" w:hAnsi="宋体" w:eastAsia="宋体" w:cs="宋体"/>
                <w:i w:val="0"/>
                <w:iCs w:val="0"/>
                <w:color w:val="000000"/>
                <w:sz w:val="21"/>
                <w:szCs w:val="21"/>
                <w:highlight w:val="none"/>
                <w:u w:val="none"/>
              </w:rPr>
            </w:pPr>
          </w:p>
        </w:tc>
        <w:tc>
          <w:tcPr>
            <w:tcW w:w="0" w:type="auto"/>
            <w:shd w:val="clear" w:color="auto" w:fill="auto"/>
            <w:noWrap/>
            <w:vAlign w:val="center"/>
          </w:tcPr>
          <w:p w14:paraId="5BBEE80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NH</w:t>
            </w:r>
            <w:r>
              <w:rPr>
                <w:rFonts w:hint="default" w:ascii="Times New Roman" w:hAnsi="Times New Roman" w:eastAsia="宋体" w:cs="Times New Roman"/>
                <w:i w:val="0"/>
                <w:iCs w:val="0"/>
                <w:color w:val="000000"/>
                <w:kern w:val="0"/>
                <w:sz w:val="21"/>
                <w:szCs w:val="21"/>
                <w:highlight w:val="none"/>
                <w:u w:val="none"/>
                <w:vertAlign w:val="subscript"/>
                <w:lang w:val="en-US" w:eastAsia="zh-CN" w:bidi="ar"/>
              </w:rPr>
              <w:t>3</w:t>
            </w:r>
          </w:p>
        </w:tc>
        <w:tc>
          <w:tcPr>
            <w:tcW w:w="0" w:type="auto"/>
            <w:shd w:val="clear" w:color="auto" w:fill="auto"/>
            <w:noWrap/>
            <w:vAlign w:val="center"/>
          </w:tcPr>
          <w:p w14:paraId="31BCCA3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lang w:val="en-US"/>
              </w:rPr>
            </w:pPr>
            <w:r>
              <w:rPr>
                <w:rFonts w:hint="eastAsia" w:cs="Times New Roman"/>
                <w:i w:val="0"/>
                <w:iCs w:val="0"/>
                <w:color w:val="000000"/>
                <w:kern w:val="0"/>
                <w:sz w:val="21"/>
                <w:szCs w:val="21"/>
                <w:highlight w:val="none"/>
                <w:u w:val="none"/>
                <w:lang w:val="en-US" w:eastAsia="zh-CN" w:bidi="ar"/>
              </w:rPr>
              <w:t>0.000049</w:t>
            </w:r>
          </w:p>
        </w:tc>
        <w:tc>
          <w:tcPr>
            <w:tcW w:w="0" w:type="auto"/>
            <w:shd w:val="clear" w:color="auto" w:fill="auto"/>
            <w:noWrap/>
            <w:vAlign w:val="center"/>
          </w:tcPr>
          <w:p w14:paraId="7253B47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5</w:t>
            </w:r>
          </w:p>
        </w:tc>
        <w:tc>
          <w:tcPr>
            <w:tcW w:w="1515" w:type="dxa"/>
            <w:shd w:val="clear" w:color="auto" w:fill="auto"/>
            <w:noWrap/>
            <w:vAlign w:val="center"/>
          </w:tcPr>
          <w:p w14:paraId="5A413B3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0.0000098</w:t>
            </w:r>
          </w:p>
        </w:tc>
      </w:tr>
      <w:tr w14:paraId="1062B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951" w:type="dxa"/>
            <w:gridSpan w:val="4"/>
            <w:shd w:val="clear" w:color="auto" w:fill="auto"/>
            <w:vAlign w:val="center"/>
          </w:tcPr>
          <w:p w14:paraId="6923735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合计</w:t>
            </w:r>
          </w:p>
        </w:tc>
        <w:tc>
          <w:tcPr>
            <w:tcW w:w="1515" w:type="dxa"/>
            <w:shd w:val="clear" w:color="auto" w:fill="auto"/>
            <w:noWrap/>
            <w:vAlign w:val="center"/>
          </w:tcPr>
          <w:p w14:paraId="259D0CB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0.123606807</w:t>
            </w:r>
          </w:p>
        </w:tc>
      </w:tr>
    </w:tbl>
    <w:p w14:paraId="54C5C72F">
      <w:pPr>
        <w:widowControl/>
        <w:spacing w:line="360" w:lineRule="auto"/>
        <w:ind w:firstLine="0" w:firstLineChars="0"/>
        <w:jc w:val="center"/>
        <w:rPr>
          <w:rFonts w:hint="default"/>
          <w:highlight w:val="none"/>
        </w:rPr>
      </w:pPr>
    </w:p>
    <w:p w14:paraId="7EE72942">
      <w:pPr>
        <w:spacing w:line="360" w:lineRule="auto"/>
        <w:ind w:firstLine="480" w:firstLineChars="200"/>
        <w:rPr>
          <w:rFonts w:hint="eastAsia"/>
          <w:color w:val="0000FF"/>
          <w:sz w:val="24"/>
          <w:highlight w:val="none"/>
        </w:rPr>
      </w:pPr>
      <w:r>
        <w:rPr>
          <w:rFonts w:hint="eastAsia"/>
          <w:sz w:val="24"/>
          <w:highlight w:val="none"/>
        </w:rPr>
        <w:t>根据上表计算结果，本项目危险物质数量与临界量比值最终取值为</w:t>
      </w:r>
      <w:r>
        <w:rPr>
          <w:rFonts w:hint="eastAsia"/>
          <w:sz w:val="24"/>
          <w:highlight w:val="none"/>
          <w:lang w:val="en-US" w:eastAsia="zh-CN"/>
        </w:rPr>
        <w:t>0.124</w:t>
      </w:r>
      <w:r>
        <w:rPr>
          <w:rFonts w:hint="eastAsia"/>
          <w:sz w:val="24"/>
          <w:highlight w:val="none"/>
        </w:rPr>
        <w:t>，Q值划分为</w:t>
      </w:r>
      <w:r>
        <w:rPr>
          <w:rFonts w:hint="eastAsia"/>
          <w:sz w:val="24"/>
          <w:highlight w:val="none"/>
          <w:lang w:eastAsia="zh-CN"/>
        </w:rPr>
        <w:t>（</w:t>
      </w:r>
      <w:r>
        <w:rPr>
          <w:rFonts w:hint="eastAsia"/>
          <w:sz w:val="24"/>
          <w:highlight w:val="none"/>
        </w:rPr>
        <w:t>1</w:t>
      </w:r>
      <w:r>
        <w:rPr>
          <w:rFonts w:hint="eastAsia"/>
          <w:sz w:val="24"/>
          <w:highlight w:val="none"/>
          <w:lang w:eastAsia="zh-CN"/>
        </w:rPr>
        <w:t>）</w:t>
      </w:r>
      <w:r>
        <w:rPr>
          <w:rFonts w:hint="eastAsia"/>
          <w:sz w:val="24"/>
          <w:highlight w:val="none"/>
        </w:rPr>
        <w:t>1&lt;Q</w:t>
      </w:r>
      <w:r>
        <w:rPr>
          <w:rFonts w:hint="eastAsia"/>
          <w:sz w:val="24"/>
          <w:highlight w:val="none"/>
          <w:lang w:eastAsia="zh-CN"/>
        </w:rPr>
        <w:t>，</w:t>
      </w:r>
      <w:r>
        <w:rPr>
          <w:rFonts w:hint="eastAsia"/>
          <w:sz w:val="24"/>
          <w:highlight w:val="none"/>
          <w:lang w:val="en-US" w:eastAsia="zh-CN"/>
        </w:rPr>
        <w:t>项目环境风险为I</w:t>
      </w:r>
      <w:r>
        <w:rPr>
          <w:rFonts w:hint="eastAsia"/>
          <w:color w:val="0000FF"/>
          <w:sz w:val="24"/>
          <w:highlight w:val="none"/>
        </w:rPr>
        <w:t>。</w:t>
      </w:r>
    </w:p>
    <w:p w14:paraId="6D227852">
      <w:pPr>
        <w:pStyle w:val="43"/>
        <w:numPr>
          <w:ilvl w:val="0"/>
          <w:numId w:val="0"/>
        </w:numPr>
        <w:rPr>
          <w:rFonts w:hint="default" w:ascii="Times New Roman" w:hAnsi="Times New Roman" w:eastAsia="宋体" w:cs="Times New Roman"/>
          <w:b/>
          <w:bCs/>
          <w:sz w:val="24"/>
          <w:szCs w:val="24"/>
          <w:highlight w:val="none"/>
          <w:lang w:val="en-US" w:eastAsia="zh-CN"/>
        </w:rPr>
      </w:pPr>
      <w:bookmarkStart w:id="63" w:name="_Toc2985_WPSOffice_Level1"/>
      <w:r>
        <w:rPr>
          <w:rFonts w:hint="default" w:ascii="Times New Roman" w:hAnsi="Times New Roman" w:eastAsia="宋体" w:cs="Times New Roman"/>
          <w:b/>
          <w:bCs/>
          <w:sz w:val="24"/>
          <w:szCs w:val="24"/>
          <w:highlight w:val="none"/>
          <w:lang w:val="en-US" w:eastAsia="zh-CN"/>
        </w:rPr>
        <w:t>2.3.2</w:t>
      </w:r>
      <w:bookmarkEnd w:id="63"/>
      <w:r>
        <w:rPr>
          <w:rFonts w:hint="default" w:ascii="Times New Roman" w:hAnsi="Times New Roman" w:eastAsia="宋体" w:cs="Times New Roman"/>
          <w:b/>
          <w:bCs/>
          <w:sz w:val="24"/>
          <w:szCs w:val="24"/>
          <w:highlight w:val="none"/>
          <w:lang w:val="en-US" w:eastAsia="zh-CN"/>
        </w:rPr>
        <w:t>风险等级</w:t>
      </w:r>
    </w:p>
    <w:p w14:paraId="52FBAF07">
      <w:pPr>
        <w:spacing w:line="360" w:lineRule="auto"/>
        <w:ind w:firstLine="480" w:firstLineChars="200"/>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根据《建设项目环境风险评价技术导则》（HJ169-2018），本项目</w:t>
      </w:r>
      <w:r>
        <w:rPr>
          <w:rFonts w:hint="eastAsia" w:cs="Times New Roman"/>
          <w:sz w:val="24"/>
          <w:highlight w:val="none"/>
          <w:lang w:eastAsia="zh-CN"/>
        </w:rPr>
        <w:t>的</w:t>
      </w:r>
      <w:r>
        <w:rPr>
          <w:rFonts w:hint="default" w:ascii="Times New Roman" w:hAnsi="Times New Roman" w:eastAsia="宋体" w:cs="Times New Roman"/>
          <w:sz w:val="24"/>
          <w:highlight w:val="none"/>
        </w:rPr>
        <w:t>危险物质数量与临界量比值Q&lt;1，</w:t>
      </w:r>
      <w:r>
        <w:rPr>
          <w:rFonts w:hint="eastAsia" w:cs="Times New Roman"/>
          <w:sz w:val="24"/>
          <w:highlight w:val="none"/>
          <w:lang w:eastAsia="zh-CN"/>
        </w:rPr>
        <w:t>因此</w:t>
      </w:r>
      <w:r>
        <w:rPr>
          <w:rFonts w:hint="default" w:ascii="Times New Roman" w:hAnsi="Times New Roman" w:eastAsia="宋体" w:cs="Times New Roman"/>
          <w:sz w:val="24"/>
          <w:highlight w:val="none"/>
        </w:rPr>
        <w:t>该项目</w:t>
      </w:r>
      <w:r>
        <w:rPr>
          <w:rFonts w:hint="eastAsia" w:cs="Times New Roman"/>
          <w:sz w:val="24"/>
          <w:highlight w:val="none"/>
          <w:lang w:eastAsia="zh-CN"/>
        </w:rPr>
        <w:t>的</w:t>
      </w:r>
      <w:r>
        <w:rPr>
          <w:rFonts w:hint="default" w:ascii="Times New Roman" w:hAnsi="Times New Roman" w:eastAsia="宋体" w:cs="Times New Roman"/>
          <w:sz w:val="24"/>
          <w:highlight w:val="none"/>
        </w:rPr>
        <w:t>环境风险潜势为Ⅰ</w:t>
      </w:r>
      <w:r>
        <w:rPr>
          <w:rFonts w:hint="eastAsia" w:cs="Times New Roman"/>
          <w:sz w:val="24"/>
          <w:highlight w:val="none"/>
          <w:lang w:eastAsia="zh-CN"/>
        </w:rPr>
        <w:t>，</w:t>
      </w:r>
      <w:r>
        <w:rPr>
          <w:rFonts w:hint="default" w:ascii="Times New Roman" w:hAnsi="Times New Roman" w:eastAsia="宋体" w:cs="Times New Roman"/>
          <w:sz w:val="24"/>
          <w:highlight w:val="none"/>
        </w:rPr>
        <w:t>本次环境风险评价等级为简单分析，本项目环境风险评价工作等级的划分依据见下表。</w:t>
      </w:r>
    </w:p>
    <w:p w14:paraId="47B46EE4">
      <w:pPr>
        <w:widowControl/>
        <w:spacing w:line="360" w:lineRule="auto"/>
        <w:ind w:firstLine="0" w:firstLineChars="0"/>
        <w:jc w:val="center"/>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表</w:t>
      </w:r>
      <w:r>
        <w:rPr>
          <w:rFonts w:hint="default" w:ascii="Times New Roman" w:hAnsi="Times New Roman" w:eastAsia="宋体" w:cs="Times New Roman"/>
          <w:b/>
          <w:bCs/>
          <w:sz w:val="21"/>
          <w:szCs w:val="21"/>
          <w:highlight w:val="none"/>
          <w:lang w:val="en-US" w:eastAsia="zh-CN"/>
        </w:rPr>
        <w:t>2.3-2</w:t>
      </w:r>
      <w:r>
        <w:rPr>
          <w:rFonts w:hint="default" w:ascii="Times New Roman" w:hAnsi="Times New Roman" w:eastAsia="宋体" w:cs="Times New Roman"/>
          <w:b/>
          <w:bCs/>
          <w:sz w:val="21"/>
          <w:szCs w:val="21"/>
          <w:highlight w:val="none"/>
        </w:rPr>
        <w:t xml:space="preserve">   评价工作等级划分</w:t>
      </w:r>
    </w:p>
    <w:tbl>
      <w:tblPr>
        <w:tblStyle w:val="42"/>
        <w:tblW w:w="85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13"/>
        <w:gridCol w:w="1699"/>
        <w:gridCol w:w="1699"/>
        <w:gridCol w:w="1700"/>
        <w:gridCol w:w="1714"/>
      </w:tblGrid>
      <w:tr w14:paraId="6F0F5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1713" w:type="dxa"/>
            <w:vAlign w:val="center"/>
          </w:tcPr>
          <w:p w14:paraId="66A8E100">
            <w:pPr>
              <w:pStyle w:val="38"/>
              <w:rPr>
                <w:rFonts w:hint="default" w:ascii="Times New Roman" w:hAnsi="Times New Roman" w:cs="Times New Roman"/>
                <w:highlight w:val="none"/>
              </w:rPr>
            </w:pPr>
            <w:r>
              <w:rPr>
                <w:rFonts w:hint="default" w:ascii="Times New Roman" w:hAnsi="Times New Roman" w:cs="Times New Roman"/>
                <w:highlight w:val="none"/>
              </w:rPr>
              <w:t>环境风险潜势</w:t>
            </w:r>
          </w:p>
        </w:tc>
        <w:tc>
          <w:tcPr>
            <w:tcW w:w="1699" w:type="dxa"/>
            <w:vAlign w:val="center"/>
          </w:tcPr>
          <w:p w14:paraId="5FF4D86B">
            <w:pPr>
              <w:pStyle w:val="38"/>
              <w:rPr>
                <w:rFonts w:hint="default" w:ascii="Times New Roman" w:hAnsi="Times New Roman" w:cs="Times New Roman"/>
                <w:highlight w:val="none"/>
              </w:rPr>
            </w:pPr>
            <w:r>
              <w:rPr>
                <w:rFonts w:hint="default" w:ascii="Times New Roman" w:hAnsi="Times New Roman" w:cs="Times New Roman"/>
                <w:highlight w:val="none"/>
              </w:rPr>
              <w:t>Ⅳ、Ⅳ+</w:t>
            </w:r>
          </w:p>
        </w:tc>
        <w:tc>
          <w:tcPr>
            <w:tcW w:w="1699" w:type="dxa"/>
            <w:vAlign w:val="center"/>
          </w:tcPr>
          <w:p w14:paraId="1FFEB6BB">
            <w:pPr>
              <w:pStyle w:val="38"/>
              <w:rPr>
                <w:rFonts w:hint="default" w:ascii="Times New Roman" w:hAnsi="Times New Roman" w:cs="Times New Roman"/>
                <w:highlight w:val="none"/>
              </w:rPr>
            </w:pPr>
            <w:r>
              <w:rPr>
                <w:rFonts w:hint="default" w:ascii="Times New Roman" w:hAnsi="Times New Roman" w:cs="Times New Roman"/>
                <w:highlight w:val="none"/>
              </w:rPr>
              <w:t>Ⅲ</w:t>
            </w:r>
          </w:p>
        </w:tc>
        <w:tc>
          <w:tcPr>
            <w:tcW w:w="1700" w:type="dxa"/>
            <w:vAlign w:val="center"/>
          </w:tcPr>
          <w:p w14:paraId="43A3D00D">
            <w:pPr>
              <w:pStyle w:val="38"/>
              <w:rPr>
                <w:rFonts w:hint="default" w:ascii="Times New Roman" w:hAnsi="Times New Roman" w:cs="Times New Roman"/>
                <w:highlight w:val="none"/>
              </w:rPr>
            </w:pPr>
            <w:r>
              <w:rPr>
                <w:rFonts w:hint="default" w:ascii="Times New Roman" w:hAnsi="Times New Roman" w:cs="Times New Roman"/>
                <w:highlight w:val="none"/>
              </w:rPr>
              <w:t>Ⅱ</w:t>
            </w:r>
          </w:p>
        </w:tc>
        <w:tc>
          <w:tcPr>
            <w:tcW w:w="1714" w:type="dxa"/>
            <w:vAlign w:val="center"/>
          </w:tcPr>
          <w:p w14:paraId="41046F5F">
            <w:pPr>
              <w:pStyle w:val="38"/>
              <w:rPr>
                <w:rFonts w:hint="default" w:ascii="Times New Roman" w:hAnsi="Times New Roman" w:cs="Times New Roman"/>
                <w:highlight w:val="none"/>
              </w:rPr>
            </w:pPr>
            <w:r>
              <w:rPr>
                <w:rFonts w:hint="default" w:ascii="Times New Roman" w:hAnsi="Times New Roman" w:cs="Times New Roman"/>
                <w:highlight w:val="none"/>
              </w:rPr>
              <w:t>I</w:t>
            </w:r>
          </w:p>
        </w:tc>
      </w:tr>
      <w:tr w14:paraId="11B65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jc w:val="center"/>
        </w:trPr>
        <w:tc>
          <w:tcPr>
            <w:tcW w:w="1713" w:type="dxa"/>
            <w:vAlign w:val="center"/>
          </w:tcPr>
          <w:p w14:paraId="6ED47EBB">
            <w:pPr>
              <w:pStyle w:val="38"/>
              <w:rPr>
                <w:rFonts w:hint="default" w:ascii="Times New Roman" w:hAnsi="Times New Roman" w:cs="Times New Roman"/>
                <w:highlight w:val="none"/>
              </w:rPr>
            </w:pPr>
            <w:r>
              <w:rPr>
                <w:rFonts w:hint="default" w:ascii="Times New Roman" w:hAnsi="Times New Roman" w:cs="Times New Roman"/>
                <w:highlight w:val="none"/>
              </w:rPr>
              <w:t>评价工作等级</w:t>
            </w:r>
          </w:p>
        </w:tc>
        <w:tc>
          <w:tcPr>
            <w:tcW w:w="1699" w:type="dxa"/>
            <w:vAlign w:val="center"/>
          </w:tcPr>
          <w:p w14:paraId="76D87F71">
            <w:pPr>
              <w:pStyle w:val="38"/>
              <w:rPr>
                <w:rFonts w:hint="default" w:ascii="Times New Roman" w:hAnsi="Times New Roman" w:cs="Times New Roman"/>
                <w:highlight w:val="none"/>
              </w:rPr>
            </w:pPr>
            <w:r>
              <w:rPr>
                <w:rFonts w:hint="default" w:ascii="Times New Roman" w:hAnsi="Times New Roman" w:cs="Times New Roman"/>
                <w:highlight w:val="none"/>
              </w:rPr>
              <w:t>一</w:t>
            </w:r>
          </w:p>
        </w:tc>
        <w:tc>
          <w:tcPr>
            <w:tcW w:w="1699" w:type="dxa"/>
            <w:vAlign w:val="center"/>
          </w:tcPr>
          <w:p w14:paraId="790FA5B8">
            <w:pPr>
              <w:pStyle w:val="38"/>
              <w:rPr>
                <w:rFonts w:hint="default" w:ascii="Times New Roman" w:hAnsi="Times New Roman" w:cs="Times New Roman"/>
                <w:highlight w:val="none"/>
              </w:rPr>
            </w:pPr>
            <w:r>
              <w:rPr>
                <w:rFonts w:hint="default" w:ascii="Times New Roman" w:hAnsi="Times New Roman" w:cs="Times New Roman"/>
                <w:highlight w:val="none"/>
              </w:rPr>
              <w:t>二</w:t>
            </w:r>
          </w:p>
        </w:tc>
        <w:tc>
          <w:tcPr>
            <w:tcW w:w="1700" w:type="dxa"/>
            <w:vAlign w:val="center"/>
          </w:tcPr>
          <w:p w14:paraId="69F37AAE">
            <w:pPr>
              <w:pStyle w:val="38"/>
              <w:rPr>
                <w:rFonts w:hint="default" w:ascii="Times New Roman" w:hAnsi="Times New Roman" w:cs="Times New Roman"/>
                <w:highlight w:val="none"/>
              </w:rPr>
            </w:pPr>
            <w:r>
              <w:rPr>
                <w:rFonts w:hint="default" w:ascii="Times New Roman" w:hAnsi="Times New Roman" w:cs="Times New Roman"/>
                <w:highlight w:val="none"/>
              </w:rPr>
              <w:t>三</w:t>
            </w:r>
          </w:p>
        </w:tc>
        <w:tc>
          <w:tcPr>
            <w:tcW w:w="1714" w:type="dxa"/>
            <w:shd w:val="clear" w:color="auto" w:fill="D7D7D7"/>
            <w:vAlign w:val="center"/>
          </w:tcPr>
          <w:p w14:paraId="3BEDB50A">
            <w:pPr>
              <w:pStyle w:val="38"/>
              <w:rPr>
                <w:rFonts w:hint="default" w:ascii="Times New Roman" w:hAnsi="Times New Roman" w:cs="Times New Roman"/>
                <w:highlight w:val="none"/>
              </w:rPr>
            </w:pPr>
            <w:r>
              <w:rPr>
                <w:rFonts w:hint="default" w:ascii="Times New Roman" w:hAnsi="Times New Roman" w:cs="Times New Roman"/>
                <w:highlight w:val="none"/>
              </w:rPr>
              <w:t>简单分析 a</w:t>
            </w:r>
          </w:p>
        </w:tc>
      </w:tr>
      <w:tr w14:paraId="53F44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8525" w:type="dxa"/>
            <w:gridSpan w:val="5"/>
            <w:vAlign w:val="center"/>
          </w:tcPr>
          <w:p w14:paraId="0DD56D93">
            <w:pPr>
              <w:pStyle w:val="38"/>
              <w:jc w:val="left"/>
              <w:rPr>
                <w:rFonts w:hint="default" w:ascii="Times New Roman" w:hAnsi="Times New Roman" w:cs="Times New Roman"/>
                <w:highlight w:val="none"/>
              </w:rPr>
            </w:pPr>
            <w:r>
              <w:rPr>
                <w:rFonts w:hint="default" w:ascii="Times New Roman" w:hAnsi="Times New Roman" w:cs="Times New Roman"/>
                <w:sz w:val="20"/>
                <w:szCs w:val="20"/>
                <w:highlight w:val="none"/>
              </w:rPr>
              <w:t>a是相对于详细评价工作内容而言，在描述危险物质、环境影响途径、环境危害后果、风险防范措施等方面给出定性的说明。见附录A。</w:t>
            </w:r>
          </w:p>
        </w:tc>
      </w:tr>
    </w:tbl>
    <w:p w14:paraId="3664E59D">
      <w:pPr>
        <w:adjustRightInd w:val="0"/>
        <w:snapToGrid w:val="0"/>
        <w:spacing w:line="360" w:lineRule="auto"/>
        <w:ind w:firstLine="480" w:firstLineChars="200"/>
        <w:rPr>
          <w:rFonts w:hint="default" w:ascii="Times New Roman" w:hAnsi="Times New Roman" w:eastAsia="宋体" w:cs="Times New Roman"/>
          <w:sz w:val="24"/>
          <w:highlight w:val="none"/>
          <w:lang w:val="en-US" w:eastAsia="zh-CN"/>
        </w:rPr>
      </w:pPr>
      <w:bookmarkStart w:id="64" w:name="_Toc19983_WPSOffice_Level1"/>
      <w:r>
        <w:rPr>
          <w:rFonts w:hint="eastAsia" w:ascii="Times New Roman" w:hAnsi="Times New Roman" w:eastAsia="宋体" w:cs="Times New Roman"/>
          <w:sz w:val="24"/>
          <w:highlight w:val="none"/>
          <w:lang w:val="en-US" w:eastAsia="zh-CN"/>
        </w:rPr>
        <w:t>因此，本项目环境风险潜势为I，因此确定环境风险评价工作级别为简单分析，不设置环境风险评价范围</w:t>
      </w:r>
      <w:r>
        <w:rPr>
          <w:rFonts w:hint="eastAsia" w:cs="Times New Roman"/>
          <w:sz w:val="24"/>
          <w:highlight w:val="none"/>
          <w:lang w:val="en-US" w:eastAsia="zh-CN"/>
        </w:rPr>
        <w:t>。</w:t>
      </w:r>
    </w:p>
    <w:p w14:paraId="6C2D1B12">
      <w:pPr>
        <w:pStyle w:val="43"/>
        <w:numPr>
          <w:ilvl w:val="0"/>
          <w:numId w:val="0"/>
        </w:numPr>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2.3.4环境敏感</w:t>
      </w:r>
      <w:bookmarkEnd w:id="64"/>
      <w:r>
        <w:rPr>
          <w:rFonts w:hint="eastAsia" w:ascii="Times New Roman" w:hAnsi="Times New Roman" w:eastAsia="宋体" w:cs="Times New Roman"/>
          <w:b/>
          <w:bCs/>
          <w:sz w:val="24"/>
          <w:szCs w:val="24"/>
          <w:highlight w:val="none"/>
          <w:lang w:val="en-US" w:eastAsia="zh-CN"/>
        </w:rPr>
        <w:t>目标</w:t>
      </w:r>
    </w:p>
    <w:p w14:paraId="61766BEA">
      <w:pPr>
        <w:adjustRightInd w:val="0"/>
        <w:snapToGrid w:val="0"/>
        <w:spacing w:line="360" w:lineRule="auto"/>
        <w:ind w:firstLine="480" w:firstLineChars="200"/>
        <w:rPr>
          <w:rFonts w:hint="eastAsia" w:ascii="Times New Roman" w:hAnsi="Times New Roman" w:eastAsia="宋体" w:cs="Times New Roman"/>
          <w:sz w:val="24"/>
          <w:highlight w:val="none"/>
          <w:lang w:val="en-US" w:eastAsia="zh-CN"/>
        </w:rPr>
      </w:pPr>
      <w:r>
        <w:rPr>
          <w:rFonts w:hint="eastAsia" w:ascii="Times New Roman" w:hAnsi="Times New Roman" w:eastAsia="宋体" w:cs="Times New Roman"/>
          <w:sz w:val="24"/>
          <w:highlight w:val="none"/>
          <w:lang w:val="en-US" w:eastAsia="zh-CN"/>
        </w:rPr>
        <w:t>本项目位于鄂尔多斯市</w:t>
      </w:r>
      <w:r>
        <w:rPr>
          <w:rFonts w:hint="eastAsia" w:ascii="Times New Roman" w:hAnsi="Times New Roman" w:eastAsia="宋体" w:cs="Times New Roman"/>
          <w:bCs/>
          <w:sz w:val="24"/>
          <w:highlight w:val="none"/>
          <w:lang w:val="en-US" w:eastAsia="zh-CN"/>
        </w:rPr>
        <w:t>杭锦旗独贵塔拉工业园区</w:t>
      </w:r>
      <w:r>
        <w:rPr>
          <w:rFonts w:hint="eastAsia" w:cs="Times New Roman"/>
          <w:bCs/>
          <w:sz w:val="24"/>
          <w:highlight w:val="none"/>
          <w:lang w:val="en-US" w:eastAsia="zh-CN"/>
        </w:rPr>
        <w:t>南项目区</w:t>
      </w:r>
      <w:r>
        <w:rPr>
          <w:sz w:val="24"/>
          <w:highlight w:val="none"/>
        </w:rPr>
        <w:t>，</w:t>
      </w:r>
      <w:r>
        <w:rPr>
          <w:rFonts w:hint="eastAsia"/>
          <w:sz w:val="24"/>
          <w:highlight w:val="none"/>
        </w:rPr>
        <w:t>本项目</w:t>
      </w:r>
      <w:r>
        <w:rPr>
          <w:rFonts w:hint="eastAsia"/>
          <w:sz w:val="24"/>
          <w:highlight w:val="none"/>
          <w:lang w:val="en-US" w:eastAsia="zh-CN"/>
        </w:rPr>
        <w:t>新建管线部分</w:t>
      </w:r>
      <w:r>
        <w:rPr>
          <w:rFonts w:hint="eastAsia"/>
          <w:sz w:val="24"/>
          <w:highlight w:val="none"/>
        </w:rPr>
        <w:t>位于</w:t>
      </w:r>
      <w:r>
        <w:rPr>
          <w:rFonts w:hint="eastAsia"/>
          <w:sz w:val="24"/>
          <w:highlight w:val="none"/>
          <w:lang w:val="en-US" w:eastAsia="zh-CN"/>
        </w:rPr>
        <w:t>内蒙古伊泰化工有限责任公司内、部分位于内蒙古伊泰化工有限责任公司南厂界外，均为架空布</w:t>
      </w:r>
      <w:r>
        <w:rPr>
          <w:rFonts w:hint="eastAsia" w:ascii="Times New Roman" w:hAnsi="Times New Roman" w:eastAsia="宋体" w:cs="Times New Roman"/>
          <w:sz w:val="24"/>
          <w:highlight w:val="none"/>
          <w:lang w:val="en-US" w:eastAsia="zh-CN"/>
        </w:rPr>
        <w:t>设。管道中心线两侧200m范围内无村庄、居住区等环境敏感目标。</w:t>
      </w:r>
    </w:p>
    <w:p w14:paraId="69485D73">
      <w:pPr>
        <w:keepNext/>
        <w:keepLines/>
        <w:spacing w:before="240" w:beforeLines="100" w:line="360" w:lineRule="auto"/>
        <w:outlineLvl w:val="0"/>
        <w:rPr>
          <w:b/>
          <w:bCs/>
          <w:kern w:val="44"/>
          <w:sz w:val="32"/>
          <w:szCs w:val="32"/>
          <w:highlight w:val="none"/>
        </w:rPr>
      </w:pPr>
      <w:bookmarkStart w:id="65" w:name="_Toc24080_WPSOffice_Level1"/>
      <w:r>
        <w:rPr>
          <w:rFonts w:hint="eastAsia"/>
          <w:b/>
          <w:bCs/>
          <w:kern w:val="44"/>
          <w:sz w:val="32"/>
          <w:szCs w:val="32"/>
          <w:highlight w:val="none"/>
        </w:rPr>
        <w:t>3</w:t>
      </w:r>
      <w:r>
        <w:rPr>
          <w:rFonts w:hint="eastAsia"/>
          <w:b/>
          <w:bCs/>
          <w:kern w:val="44"/>
          <w:sz w:val="32"/>
          <w:szCs w:val="32"/>
          <w:highlight w:val="none"/>
          <w:lang w:val="en-US" w:eastAsia="zh-CN"/>
        </w:rPr>
        <w:t>.</w:t>
      </w:r>
      <w:r>
        <w:rPr>
          <w:rFonts w:hint="eastAsia"/>
          <w:b/>
          <w:bCs/>
          <w:kern w:val="44"/>
          <w:sz w:val="32"/>
          <w:szCs w:val="32"/>
          <w:highlight w:val="none"/>
        </w:rPr>
        <w:t>环境风险识别</w:t>
      </w:r>
      <w:bookmarkEnd w:id="65"/>
    </w:p>
    <w:p w14:paraId="64F59243">
      <w:pPr>
        <w:spacing w:line="360" w:lineRule="auto"/>
        <w:ind w:firstLine="480" w:firstLineChars="200"/>
        <w:rPr>
          <w:sz w:val="24"/>
          <w:highlight w:val="none"/>
        </w:rPr>
      </w:pPr>
      <w:r>
        <w:rPr>
          <w:sz w:val="24"/>
          <w:highlight w:val="none"/>
        </w:rPr>
        <w:t>风险识别包括物质危险性识别、生产系统危险性识别及危险物质向环境转移的途径识别。</w:t>
      </w:r>
    </w:p>
    <w:p w14:paraId="506F4592">
      <w:pPr>
        <w:spacing w:line="360" w:lineRule="auto"/>
        <w:ind w:firstLine="480" w:firstLineChars="200"/>
        <w:rPr>
          <w:sz w:val="24"/>
          <w:highlight w:val="none"/>
        </w:rPr>
      </w:pPr>
      <w:r>
        <w:rPr>
          <w:sz w:val="24"/>
          <w:highlight w:val="none"/>
        </w:rPr>
        <w:t>物质危险性识别，包括主要原辅材料、燃料、中间产品、副产品、最终产品污染物、火灾和爆炸伴生/次生物等。</w:t>
      </w:r>
    </w:p>
    <w:p w14:paraId="0E1F190A">
      <w:pPr>
        <w:spacing w:line="360" w:lineRule="auto"/>
        <w:ind w:firstLine="480" w:firstLineChars="200"/>
        <w:rPr>
          <w:sz w:val="24"/>
          <w:highlight w:val="none"/>
        </w:rPr>
      </w:pPr>
      <w:r>
        <w:rPr>
          <w:sz w:val="24"/>
          <w:highlight w:val="none"/>
        </w:rPr>
        <w:t>生产系统危险性识别，包括主要生产装置、储运设施、公用工程和辅助生产设施，以及环境保护设施等</w:t>
      </w:r>
    </w:p>
    <w:p w14:paraId="08FDE764">
      <w:pPr>
        <w:spacing w:line="360" w:lineRule="auto"/>
        <w:ind w:firstLine="480" w:firstLineChars="200"/>
        <w:rPr>
          <w:sz w:val="24"/>
          <w:highlight w:val="none"/>
        </w:rPr>
      </w:pPr>
      <w:r>
        <w:rPr>
          <w:sz w:val="24"/>
          <w:highlight w:val="none"/>
        </w:rPr>
        <w:t>危险物质向环境转移的途径识别，包括分析危险物质特性及可能的环境风险类型，识别危险物质影响环境的途径，分析可能影响的环境敏感目标。</w:t>
      </w:r>
    </w:p>
    <w:p w14:paraId="0471E04A">
      <w:pPr>
        <w:keepNext/>
        <w:keepLines/>
        <w:spacing w:line="360" w:lineRule="auto"/>
        <w:outlineLvl w:val="1"/>
        <w:rPr>
          <w:b/>
          <w:bCs/>
          <w:sz w:val="28"/>
          <w:szCs w:val="28"/>
          <w:highlight w:val="none"/>
        </w:rPr>
      </w:pPr>
      <w:bookmarkStart w:id="66" w:name="_Toc16704_WPSOffice_Level1"/>
      <w:r>
        <w:rPr>
          <w:rFonts w:hint="eastAsia"/>
          <w:b/>
          <w:bCs/>
          <w:sz w:val="28"/>
          <w:szCs w:val="28"/>
          <w:highlight w:val="none"/>
        </w:rPr>
        <w:t>3.1风险物质识别分析</w:t>
      </w:r>
      <w:bookmarkEnd w:id="66"/>
    </w:p>
    <w:p w14:paraId="391546A0">
      <w:pPr>
        <w:spacing w:line="360" w:lineRule="auto"/>
        <w:ind w:firstLine="480" w:firstLineChars="200"/>
        <w:rPr>
          <w:sz w:val="24"/>
          <w:highlight w:val="none"/>
        </w:rPr>
      </w:pPr>
      <w:bookmarkStart w:id="67" w:name="_Toc21606_WPSOffice_Level1"/>
      <w:r>
        <w:rPr>
          <w:rFonts w:hint="eastAsia"/>
          <w:sz w:val="24"/>
          <w:highlight w:val="none"/>
          <w:lang w:val="en-US" w:eastAsia="zh-CN"/>
        </w:rPr>
        <w:t>物质风险识别按《建设项目环境风险评价技术导则》（</w:t>
      </w:r>
      <w:r>
        <w:rPr>
          <w:rFonts w:hint="default"/>
          <w:sz w:val="24"/>
          <w:highlight w:val="none"/>
          <w:lang w:val="en-US" w:eastAsia="zh-CN"/>
        </w:rPr>
        <w:t>HJ169-2018</w:t>
      </w:r>
      <w:r>
        <w:rPr>
          <w:rFonts w:hint="eastAsia"/>
          <w:sz w:val="24"/>
          <w:highlight w:val="none"/>
          <w:lang w:val="en-US" w:eastAsia="zh-CN"/>
        </w:rPr>
        <w:t>）“附录</w:t>
      </w:r>
      <w:r>
        <w:rPr>
          <w:rFonts w:hint="default"/>
          <w:sz w:val="24"/>
          <w:highlight w:val="none"/>
          <w:lang w:val="en-US" w:eastAsia="zh-CN"/>
        </w:rPr>
        <w:t>B</w:t>
      </w:r>
      <w:r>
        <w:rPr>
          <w:rFonts w:hint="eastAsia"/>
          <w:sz w:val="24"/>
          <w:highlight w:val="none"/>
          <w:lang w:val="en-US" w:eastAsia="zh-CN"/>
        </w:rPr>
        <w:t>重点关注的危险物质及临界量”，对项目涉及的有毒有害、易燃易爆物质进行危险性识别，筛选出风险评价因子。</w:t>
      </w:r>
    </w:p>
    <w:p w14:paraId="7300FBA5">
      <w:pPr>
        <w:spacing w:line="360" w:lineRule="auto"/>
        <w:ind w:firstLine="480" w:firstLineChars="200"/>
        <w:rPr>
          <w:rFonts w:hint="eastAsia"/>
          <w:sz w:val="24"/>
          <w:highlight w:val="none"/>
          <w:lang w:val="en-US" w:eastAsia="zh-CN"/>
        </w:rPr>
      </w:pPr>
      <w:r>
        <w:rPr>
          <w:rFonts w:hint="eastAsia"/>
          <w:sz w:val="24"/>
          <w:highlight w:val="none"/>
          <w:lang w:val="en-US" w:eastAsia="zh-CN"/>
        </w:rPr>
        <w:t>本项目涉及的危险物质为一氧化碳、甲烷、乙烷、硫化氢、丁醇、乙酸乙酯、甲醇、正丙醇、乙酸、乙醛、氨气以及火灾和爆炸伴生</w:t>
      </w:r>
      <w:r>
        <w:rPr>
          <w:rFonts w:hint="default"/>
          <w:sz w:val="24"/>
          <w:highlight w:val="none"/>
          <w:lang w:val="en-US" w:eastAsia="zh-CN"/>
        </w:rPr>
        <w:t>/</w:t>
      </w:r>
      <w:r>
        <w:rPr>
          <w:rFonts w:hint="eastAsia"/>
          <w:sz w:val="24"/>
          <w:highlight w:val="none"/>
          <w:lang w:val="en-US" w:eastAsia="zh-CN"/>
        </w:rPr>
        <w:t>次生物一氧化碳。项目主要危险物质理化性质及危险特性见表3.2-1~3.2-11。本项目生产过程中涉及的危险物质分布情况见下表。</w:t>
      </w:r>
    </w:p>
    <w:p w14:paraId="76FCE2F4">
      <w:pPr>
        <w:widowControl/>
        <w:spacing w:line="360" w:lineRule="auto"/>
        <w:ind w:firstLine="0" w:firstLineChars="0"/>
        <w:jc w:val="center"/>
        <w:rPr>
          <w:rFonts w:hint="eastAsia" w:ascii="Times New Roman" w:hAnsi="Times New Roman" w:eastAsia="宋体" w:cs="Times New Roman"/>
          <w:b/>
          <w:bCs/>
          <w:sz w:val="21"/>
          <w:szCs w:val="21"/>
          <w:highlight w:val="none"/>
          <w:lang w:eastAsia="zh-CN"/>
        </w:rPr>
      </w:pPr>
      <w:r>
        <w:rPr>
          <w:rFonts w:hint="eastAsia" w:ascii="Times New Roman" w:hAnsi="Times New Roman" w:eastAsia="宋体" w:cs="Times New Roman"/>
          <w:b/>
          <w:bCs/>
          <w:sz w:val="21"/>
          <w:szCs w:val="21"/>
          <w:highlight w:val="none"/>
          <w:lang w:val="en-US" w:eastAsia="zh-CN"/>
        </w:rPr>
        <w:t xml:space="preserve">表3.1-1   </w:t>
      </w:r>
      <w:r>
        <w:rPr>
          <w:rFonts w:hint="eastAsia" w:ascii="Times New Roman" w:hAnsi="Times New Roman" w:eastAsia="宋体" w:cs="Times New Roman"/>
          <w:b/>
          <w:bCs/>
          <w:sz w:val="21"/>
          <w:szCs w:val="21"/>
          <w:highlight w:val="none"/>
          <w:lang w:eastAsia="zh-CN"/>
        </w:rPr>
        <w:t>主要危险物质及其分布一览表</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1" w:type="dxa"/>
          <w:bottom w:w="0" w:type="dxa"/>
          <w:right w:w="51" w:type="dxa"/>
        </w:tblCellMar>
      </w:tblPr>
      <w:tblGrid>
        <w:gridCol w:w="537"/>
        <w:gridCol w:w="2505"/>
        <w:gridCol w:w="5564"/>
      </w:tblGrid>
      <w:tr w14:paraId="57C8C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tblHeader/>
          <w:jc w:val="center"/>
        </w:trPr>
        <w:tc>
          <w:tcPr>
            <w:tcW w:w="312" w:type="pct"/>
            <w:vAlign w:val="center"/>
          </w:tcPr>
          <w:p w14:paraId="5B53FD91">
            <w:pPr>
              <w:pStyle w:val="56"/>
              <w:rPr>
                <w:rFonts w:cs="Times New Roman"/>
                <w:kern w:val="0"/>
                <w:highlight w:val="none"/>
              </w:rPr>
            </w:pPr>
            <w:r>
              <w:rPr>
                <w:rFonts w:cs="Times New Roman"/>
                <w:kern w:val="0"/>
                <w:highlight w:val="none"/>
              </w:rPr>
              <w:t>序号</w:t>
            </w:r>
          </w:p>
        </w:tc>
        <w:tc>
          <w:tcPr>
            <w:tcW w:w="1455" w:type="pct"/>
            <w:vAlign w:val="center"/>
          </w:tcPr>
          <w:p w14:paraId="4F809EA6">
            <w:pPr>
              <w:pStyle w:val="56"/>
              <w:rPr>
                <w:rFonts w:cs="Times New Roman"/>
                <w:kern w:val="0"/>
                <w:highlight w:val="none"/>
              </w:rPr>
            </w:pPr>
            <w:r>
              <w:rPr>
                <w:rFonts w:cs="Times New Roman"/>
                <w:kern w:val="0"/>
                <w:highlight w:val="none"/>
              </w:rPr>
              <w:t>装置/场所名称</w:t>
            </w:r>
          </w:p>
        </w:tc>
        <w:tc>
          <w:tcPr>
            <w:tcW w:w="3232" w:type="pct"/>
            <w:vAlign w:val="center"/>
          </w:tcPr>
          <w:p w14:paraId="0CAE8CC9">
            <w:pPr>
              <w:pStyle w:val="56"/>
              <w:rPr>
                <w:rFonts w:cs="Times New Roman"/>
                <w:kern w:val="0"/>
                <w:highlight w:val="none"/>
              </w:rPr>
            </w:pPr>
            <w:r>
              <w:rPr>
                <w:rFonts w:cs="Times New Roman"/>
                <w:kern w:val="0"/>
                <w:highlight w:val="none"/>
              </w:rPr>
              <w:t>主要危险物质</w:t>
            </w:r>
          </w:p>
        </w:tc>
      </w:tr>
      <w:tr w14:paraId="2B626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312" w:type="pct"/>
            <w:vAlign w:val="center"/>
          </w:tcPr>
          <w:p w14:paraId="700F37FE">
            <w:pPr>
              <w:pStyle w:val="56"/>
              <w:rPr>
                <w:rFonts w:hint="eastAsia" w:eastAsia="宋体" w:cs="Times New Roman"/>
                <w:kern w:val="0"/>
                <w:highlight w:val="none"/>
                <w:lang w:val="en-US" w:eastAsia="zh-CN"/>
              </w:rPr>
            </w:pPr>
            <w:r>
              <w:rPr>
                <w:rFonts w:hint="eastAsia" w:cs="Times New Roman"/>
                <w:kern w:val="0"/>
                <w:highlight w:val="none"/>
                <w:lang w:val="en-US" w:eastAsia="zh-CN"/>
              </w:rPr>
              <w:t>1</w:t>
            </w:r>
          </w:p>
        </w:tc>
        <w:tc>
          <w:tcPr>
            <w:tcW w:w="1455" w:type="pct"/>
            <w:vAlign w:val="center"/>
          </w:tcPr>
          <w:p w14:paraId="32BCA2D5">
            <w:pPr>
              <w:keepNext w:val="0"/>
              <w:keepLines w:val="0"/>
              <w:widowControl/>
              <w:suppressLineNumbers w:val="0"/>
              <w:jc w:val="center"/>
              <w:textAlignment w:val="center"/>
              <w:rPr>
                <w:rFonts w:hint="default" w:cs="Times New Roman"/>
                <w:kern w:val="0"/>
                <w:szCs w:val="21"/>
                <w:highlight w:val="none"/>
                <w:lang w:val="en-US"/>
              </w:rPr>
            </w:pPr>
            <w:r>
              <w:rPr>
                <w:rFonts w:hint="eastAsia" w:ascii="宋体" w:hAnsi="宋体" w:eastAsia="宋体" w:cs="宋体"/>
                <w:i w:val="0"/>
                <w:iCs w:val="0"/>
                <w:color w:val="000000"/>
                <w:kern w:val="0"/>
                <w:sz w:val="21"/>
                <w:szCs w:val="21"/>
                <w:highlight w:val="none"/>
                <w:u w:val="none"/>
                <w:lang w:val="en-US" w:eastAsia="zh-CN" w:bidi="ar"/>
              </w:rPr>
              <w:t>合成脱碳尾气</w:t>
            </w:r>
            <w:r>
              <w:rPr>
                <w:rFonts w:hint="eastAsia" w:ascii="宋体" w:hAnsi="宋体" w:cs="宋体"/>
                <w:i w:val="0"/>
                <w:iCs w:val="0"/>
                <w:color w:val="000000"/>
                <w:kern w:val="0"/>
                <w:sz w:val="21"/>
                <w:szCs w:val="21"/>
                <w:highlight w:val="none"/>
                <w:u w:val="none"/>
                <w:lang w:val="en-US" w:eastAsia="zh-CN" w:bidi="ar"/>
              </w:rPr>
              <w:t>管道</w:t>
            </w:r>
          </w:p>
        </w:tc>
        <w:tc>
          <w:tcPr>
            <w:tcW w:w="3232" w:type="pct"/>
            <w:vAlign w:val="center"/>
          </w:tcPr>
          <w:p w14:paraId="500EF25E">
            <w:pPr>
              <w:pStyle w:val="56"/>
              <w:rPr>
                <w:rFonts w:hint="default" w:eastAsia="宋体" w:cs="Times New Roman"/>
                <w:kern w:val="0"/>
                <w:highlight w:val="none"/>
                <w:lang w:val="en-US" w:eastAsia="zh-CN"/>
              </w:rPr>
            </w:pPr>
            <w:r>
              <w:rPr>
                <w:rFonts w:hint="eastAsia"/>
                <w:highlight w:val="none"/>
                <w:lang w:val="en-US" w:eastAsia="zh-CN"/>
              </w:rPr>
              <w:t>一氧化碳、甲烷、乙烷</w:t>
            </w:r>
          </w:p>
        </w:tc>
      </w:tr>
      <w:tr w14:paraId="12C82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312" w:type="pct"/>
            <w:vAlign w:val="center"/>
          </w:tcPr>
          <w:p w14:paraId="2498786B">
            <w:pPr>
              <w:pStyle w:val="56"/>
              <w:rPr>
                <w:rFonts w:hint="eastAsia" w:eastAsia="宋体" w:cs="Times New Roman"/>
                <w:kern w:val="0"/>
                <w:highlight w:val="none"/>
                <w:lang w:val="en-US" w:eastAsia="zh-CN"/>
              </w:rPr>
            </w:pPr>
            <w:r>
              <w:rPr>
                <w:rFonts w:hint="eastAsia" w:cs="Times New Roman"/>
                <w:kern w:val="0"/>
                <w:highlight w:val="none"/>
                <w:lang w:val="en-US" w:eastAsia="zh-CN"/>
              </w:rPr>
              <w:t>2</w:t>
            </w:r>
          </w:p>
        </w:tc>
        <w:tc>
          <w:tcPr>
            <w:tcW w:w="1455" w:type="pct"/>
            <w:vAlign w:val="bottom"/>
          </w:tcPr>
          <w:p w14:paraId="135DCFB3">
            <w:pPr>
              <w:keepNext w:val="0"/>
              <w:keepLines w:val="0"/>
              <w:widowControl/>
              <w:suppressLineNumbers w:val="0"/>
              <w:jc w:val="center"/>
              <w:textAlignment w:val="bottom"/>
              <w:rPr>
                <w:rFonts w:cs="Times New Roman"/>
                <w:kern w:val="0"/>
                <w:szCs w:val="21"/>
                <w:highlight w:val="none"/>
              </w:rPr>
            </w:pPr>
            <w:r>
              <w:rPr>
                <w:rFonts w:hint="eastAsia" w:ascii="宋体" w:hAnsi="宋体" w:eastAsia="宋体" w:cs="宋体"/>
                <w:i w:val="0"/>
                <w:iCs w:val="0"/>
                <w:color w:val="000000"/>
                <w:kern w:val="0"/>
                <w:sz w:val="21"/>
                <w:szCs w:val="21"/>
                <w:highlight w:val="none"/>
                <w:u w:val="none"/>
                <w:lang w:val="en-US" w:eastAsia="zh-CN" w:bidi="ar"/>
              </w:rPr>
              <w:t>未变换净化气</w:t>
            </w:r>
            <w:r>
              <w:rPr>
                <w:rFonts w:hint="eastAsia" w:ascii="宋体" w:hAnsi="宋体" w:cs="宋体"/>
                <w:i w:val="0"/>
                <w:iCs w:val="0"/>
                <w:color w:val="000000"/>
                <w:kern w:val="0"/>
                <w:sz w:val="21"/>
                <w:szCs w:val="21"/>
                <w:highlight w:val="none"/>
                <w:u w:val="none"/>
                <w:lang w:val="en-US" w:eastAsia="zh-CN" w:bidi="ar"/>
              </w:rPr>
              <w:t>管道</w:t>
            </w:r>
          </w:p>
        </w:tc>
        <w:tc>
          <w:tcPr>
            <w:tcW w:w="3232" w:type="pct"/>
            <w:vAlign w:val="center"/>
          </w:tcPr>
          <w:p w14:paraId="52FFAA31">
            <w:pPr>
              <w:pStyle w:val="56"/>
              <w:rPr>
                <w:rFonts w:hint="default" w:cs="Times New Roman"/>
                <w:kern w:val="0"/>
                <w:highlight w:val="none"/>
                <w:lang w:val="en-US" w:eastAsia="zh-CN"/>
              </w:rPr>
            </w:pPr>
            <w:r>
              <w:rPr>
                <w:rFonts w:hint="eastAsia" w:cs="Times New Roman"/>
                <w:kern w:val="0"/>
                <w:highlight w:val="none"/>
                <w:lang w:val="en-US" w:eastAsia="zh-CN"/>
              </w:rPr>
              <w:t>一氧化碳、甲烷</w:t>
            </w:r>
          </w:p>
        </w:tc>
      </w:tr>
      <w:tr w14:paraId="7C3E3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312" w:type="pct"/>
            <w:vAlign w:val="center"/>
          </w:tcPr>
          <w:p w14:paraId="5CD066FD">
            <w:pPr>
              <w:pStyle w:val="56"/>
              <w:rPr>
                <w:rFonts w:hint="eastAsia" w:eastAsia="宋体" w:cs="Times New Roman"/>
                <w:kern w:val="0"/>
                <w:highlight w:val="none"/>
                <w:lang w:val="en-US" w:eastAsia="zh-CN"/>
              </w:rPr>
            </w:pPr>
            <w:r>
              <w:rPr>
                <w:rFonts w:hint="eastAsia" w:cs="Times New Roman"/>
                <w:kern w:val="0"/>
                <w:highlight w:val="none"/>
                <w:lang w:val="en-US" w:eastAsia="zh-CN"/>
              </w:rPr>
              <w:t>3</w:t>
            </w:r>
          </w:p>
        </w:tc>
        <w:tc>
          <w:tcPr>
            <w:tcW w:w="1455" w:type="pct"/>
            <w:vAlign w:val="center"/>
          </w:tcPr>
          <w:p w14:paraId="3D99B0FD">
            <w:pPr>
              <w:keepNext w:val="0"/>
              <w:keepLines w:val="0"/>
              <w:widowControl/>
              <w:suppressLineNumbers w:val="0"/>
              <w:jc w:val="center"/>
              <w:textAlignment w:val="center"/>
              <w:rPr>
                <w:rFonts w:cs="Times New Roman"/>
                <w:kern w:val="0"/>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WRT</w:t>
            </w:r>
            <w:r>
              <w:rPr>
                <w:rStyle w:val="54"/>
                <w:sz w:val="21"/>
                <w:szCs w:val="21"/>
                <w:highlight w:val="none"/>
                <w:lang w:val="en-US" w:eastAsia="zh-CN" w:bidi="ar"/>
              </w:rPr>
              <w:t>甲烷气</w:t>
            </w:r>
            <w:r>
              <w:rPr>
                <w:rFonts w:hint="eastAsia" w:ascii="宋体" w:hAnsi="宋体" w:cs="宋体"/>
                <w:i w:val="0"/>
                <w:iCs w:val="0"/>
                <w:color w:val="000000"/>
                <w:kern w:val="0"/>
                <w:sz w:val="21"/>
                <w:szCs w:val="21"/>
                <w:highlight w:val="none"/>
                <w:u w:val="none"/>
                <w:lang w:val="en-US" w:eastAsia="zh-CN" w:bidi="ar"/>
              </w:rPr>
              <w:t>管道</w:t>
            </w:r>
          </w:p>
        </w:tc>
        <w:tc>
          <w:tcPr>
            <w:tcW w:w="3232" w:type="pct"/>
            <w:vAlign w:val="center"/>
          </w:tcPr>
          <w:p w14:paraId="65B70BAE">
            <w:pPr>
              <w:pStyle w:val="56"/>
              <w:rPr>
                <w:rFonts w:hint="default" w:eastAsia="宋体" w:cs="Times New Roman"/>
                <w:kern w:val="0"/>
                <w:highlight w:val="none"/>
                <w:lang w:val="en-US" w:eastAsia="zh-CN"/>
              </w:rPr>
            </w:pPr>
            <w:r>
              <w:rPr>
                <w:rFonts w:hint="eastAsia" w:cs="Times New Roman"/>
                <w:kern w:val="0"/>
                <w:highlight w:val="none"/>
                <w:lang w:val="en-US" w:eastAsia="zh-CN"/>
              </w:rPr>
              <w:t>甲烷、硫化氢</w:t>
            </w:r>
          </w:p>
        </w:tc>
      </w:tr>
      <w:tr w14:paraId="24EE7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312" w:type="pct"/>
            <w:vAlign w:val="center"/>
          </w:tcPr>
          <w:p w14:paraId="156359D0">
            <w:pPr>
              <w:pStyle w:val="56"/>
              <w:rPr>
                <w:rFonts w:hint="eastAsia" w:eastAsia="宋体" w:cs="Times New Roman"/>
                <w:kern w:val="0"/>
                <w:highlight w:val="none"/>
                <w:lang w:val="en-US" w:eastAsia="zh-CN"/>
              </w:rPr>
            </w:pPr>
            <w:r>
              <w:rPr>
                <w:rFonts w:hint="eastAsia" w:cs="Times New Roman"/>
                <w:kern w:val="0"/>
                <w:highlight w:val="none"/>
                <w:lang w:val="en-US" w:eastAsia="zh-CN"/>
              </w:rPr>
              <w:t>4</w:t>
            </w:r>
          </w:p>
        </w:tc>
        <w:tc>
          <w:tcPr>
            <w:tcW w:w="1455" w:type="pct"/>
            <w:vAlign w:val="center"/>
          </w:tcPr>
          <w:p w14:paraId="5806FDBC">
            <w:pPr>
              <w:keepNext w:val="0"/>
              <w:keepLines w:val="0"/>
              <w:widowControl/>
              <w:suppressLineNumbers w:val="0"/>
              <w:jc w:val="center"/>
              <w:textAlignment w:val="center"/>
              <w:rPr>
                <w:rFonts w:cs="Times New Roman"/>
                <w:kern w:val="0"/>
                <w:szCs w:val="21"/>
                <w:highlight w:val="none"/>
              </w:rPr>
            </w:pPr>
            <w:r>
              <w:rPr>
                <w:rFonts w:hint="eastAsia" w:ascii="宋体" w:hAnsi="宋体" w:eastAsia="宋体" w:cs="宋体"/>
                <w:i w:val="0"/>
                <w:iCs w:val="0"/>
                <w:color w:val="000000"/>
                <w:kern w:val="0"/>
                <w:sz w:val="21"/>
                <w:szCs w:val="21"/>
                <w:highlight w:val="none"/>
                <w:u w:val="none"/>
                <w:lang w:val="en-US" w:eastAsia="zh-CN" w:bidi="ar"/>
              </w:rPr>
              <w:t>厌氧沼气</w:t>
            </w:r>
            <w:r>
              <w:rPr>
                <w:rFonts w:hint="eastAsia" w:ascii="宋体" w:hAnsi="宋体" w:cs="宋体"/>
                <w:i w:val="0"/>
                <w:iCs w:val="0"/>
                <w:color w:val="000000"/>
                <w:kern w:val="0"/>
                <w:sz w:val="21"/>
                <w:szCs w:val="21"/>
                <w:highlight w:val="none"/>
                <w:u w:val="none"/>
                <w:lang w:val="en-US" w:eastAsia="zh-CN" w:bidi="ar"/>
              </w:rPr>
              <w:t>管道</w:t>
            </w:r>
          </w:p>
        </w:tc>
        <w:tc>
          <w:tcPr>
            <w:tcW w:w="3232" w:type="pct"/>
            <w:vAlign w:val="center"/>
          </w:tcPr>
          <w:p w14:paraId="2A6BF12C">
            <w:pPr>
              <w:pStyle w:val="56"/>
              <w:rPr>
                <w:rFonts w:hint="default" w:eastAsia="宋体" w:cs="Times New Roman"/>
                <w:kern w:val="0"/>
                <w:highlight w:val="none"/>
                <w:lang w:val="en-US" w:eastAsia="zh-CN"/>
              </w:rPr>
            </w:pPr>
            <w:r>
              <w:rPr>
                <w:rFonts w:hint="eastAsia" w:cs="Times New Roman"/>
                <w:kern w:val="0"/>
                <w:highlight w:val="none"/>
                <w:lang w:val="en-US" w:eastAsia="zh-CN"/>
              </w:rPr>
              <w:t>甲烷、硫化氢</w:t>
            </w:r>
          </w:p>
        </w:tc>
      </w:tr>
      <w:tr w14:paraId="5D042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312" w:type="pct"/>
            <w:vAlign w:val="center"/>
          </w:tcPr>
          <w:p w14:paraId="38D42A1F">
            <w:pPr>
              <w:pStyle w:val="56"/>
              <w:rPr>
                <w:rFonts w:hint="eastAsia" w:eastAsia="宋体" w:cs="Times New Roman"/>
                <w:kern w:val="0"/>
                <w:highlight w:val="none"/>
                <w:lang w:val="en-US" w:eastAsia="zh-CN"/>
              </w:rPr>
            </w:pPr>
            <w:r>
              <w:rPr>
                <w:rFonts w:hint="eastAsia" w:cs="Times New Roman"/>
                <w:kern w:val="0"/>
                <w:highlight w:val="none"/>
                <w:lang w:val="en-US" w:eastAsia="zh-CN"/>
              </w:rPr>
              <w:t>5</w:t>
            </w:r>
          </w:p>
        </w:tc>
        <w:tc>
          <w:tcPr>
            <w:tcW w:w="1455" w:type="pct"/>
            <w:vAlign w:val="center"/>
          </w:tcPr>
          <w:p w14:paraId="39ACE425">
            <w:pPr>
              <w:keepNext w:val="0"/>
              <w:keepLines w:val="0"/>
              <w:widowControl/>
              <w:suppressLineNumbers w:val="0"/>
              <w:jc w:val="center"/>
              <w:textAlignment w:val="center"/>
              <w:rPr>
                <w:rFonts w:cs="Times New Roman"/>
                <w:kern w:val="0"/>
                <w:szCs w:val="21"/>
                <w:highlight w:val="none"/>
              </w:rPr>
            </w:pPr>
            <w:r>
              <w:rPr>
                <w:rFonts w:hint="eastAsia" w:ascii="宋体" w:hAnsi="宋体" w:eastAsia="宋体" w:cs="宋体"/>
                <w:i w:val="0"/>
                <w:iCs w:val="0"/>
                <w:color w:val="000000"/>
                <w:kern w:val="0"/>
                <w:sz w:val="21"/>
                <w:szCs w:val="21"/>
                <w:highlight w:val="none"/>
                <w:u w:val="none"/>
                <w:lang w:val="en-US" w:eastAsia="zh-CN" w:bidi="ar"/>
              </w:rPr>
              <w:t>低压含烃火炬气</w:t>
            </w:r>
            <w:r>
              <w:rPr>
                <w:rFonts w:hint="eastAsia" w:ascii="宋体" w:hAnsi="宋体" w:cs="宋体"/>
                <w:i w:val="0"/>
                <w:iCs w:val="0"/>
                <w:color w:val="000000"/>
                <w:kern w:val="0"/>
                <w:sz w:val="21"/>
                <w:szCs w:val="21"/>
                <w:highlight w:val="none"/>
                <w:u w:val="none"/>
                <w:lang w:val="en-US" w:eastAsia="zh-CN" w:bidi="ar"/>
              </w:rPr>
              <w:t>管道</w:t>
            </w:r>
          </w:p>
        </w:tc>
        <w:tc>
          <w:tcPr>
            <w:tcW w:w="3232" w:type="pct"/>
            <w:vAlign w:val="center"/>
          </w:tcPr>
          <w:p w14:paraId="2811E743">
            <w:pPr>
              <w:pStyle w:val="56"/>
              <w:rPr>
                <w:rFonts w:hint="default" w:eastAsia="宋体" w:cs="Times New Roman"/>
                <w:kern w:val="0"/>
                <w:highlight w:val="none"/>
                <w:lang w:val="en-US" w:eastAsia="zh-CN"/>
              </w:rPr>
            </w:pPr>
            <w:r>
              <w:rPr>
                <w:rFonts w:hint="eastAsia" w:cs="Times New Roman"/>
                <w:kern w:val="0"/>
                <w:highlight w:val="none"/>
                <w:lang w:val="en-US" w:eastAsia="zh-CN"/>
              </w:rPr>
              <w:t>丁醇、乙酸乙酯、甲醇</w:t>
            </w:r>
          </w:p>
        </w:tc>
      </w:tr>
      <w:tr w14:paraId="6C152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312" w:type="pct"/>
            <w:vAlign w:val="center"/>
          </w:tcPr>
          <w:p w14:paraId="3C6072E0">
            <w:pPr>
              <w:pStyle w:val="56"/>
              <w:rPr>
                <w:rFonts w:hint="eastAsia" w:eastAsia="宋体" w:cs="Times New Roman"/>
                <w:kern w:val="0"/>
                <w:highlight w:val="none"/>
                <w:lang w:val="en-US" w:eastAsia="zh-CN"/>
              </w:rPr>
            </w:pPr>
            <w:r>
              <w:rPr>
                <w:rFonts w:hint="eastAsia" w:cs="Times New Roman"/>
                <w:kern w:val="0"/>
                <w:highlight w:val="none"/>
                <w:lang w:val="en-US" w:eastAsia="zh-CN"/>
              </w:rPr>
              <w:t>6</w:t>
            </w:r>
          </w:p>
        </w:tc>
        <w:tc>
          <w:tcPr>
            <w:tcW w:w="1455" w:type="pct"/>
            <w:vAlign w:val="center"/>
          </w:tcPr>
          <w:p w14:paraId="77E3DE76">
            <w:pPr>
              <w:keepNext w:val="0"/>
              <w:keepLines w:val="0"/>
              <w:widowControl/>
              <w:suppressLineNumbers w:val="0"/>
              <w:jc w:val="center"/>
              <w:textAlignment w:val="center"/>
              <w:rPr>
                <w:rFonts w:cs="Times New Roman"/>
                <w:kern w:val="0"/>
                <w:szCs w:val="21"/>
                <w:highlight w:val="none"/>
              </w:rPr>
            </w:pPr>
            <w:r>
              <w:rPr>
                <w:rFonts w:hint="eastAsia" w:ascii="宋体" w:hAnsi="宋体" w:eastAsia="宋体" w:cs="宋体"/>
                <w:i w:val="0"/>
                <w:iCs w:val="0"/>
                <w:color w:val="000000"/>
                <w:kern w:val="0"/>
                <w:sz w:val="21"/>
                <w:szCs w:val="21"/>
                <w:highlight w:val="none"/>
                <w:u w:val="none"/>
                <w:lang w:val="en-US" w:eastAsia="zh-CN" w:bidi="ar"/>
              </w:rPr>
              <w:t>湿酸火炬气</w:t>
            </w:r>
            <w:r>
              <w:rPr>
                <w:rFonts w:hint="eastAsia" w:ascii="宋体" w:hAnsi="宋体" w:cs="宋体"/>
                <w:i w:val="0"/>
                <w:iCs w:val="0"/>
                <w:color w:val="000000"/>
                <w:kern w:val="0"/>
                <w:sz w:val="21"/>
                <w:szCs w:val="21"/>
                <w:highlight w:val="none"/>
                <w:u w:val="none"/>
                <w:lang w:val="en-US" w:eastAsia="zh-CN" w:bidi="ar"/>
              </w:rPr>
              <w:t>管道</w:t>
            </w:r>
          </w:p>
        </w:tc>
        <w:tc>
          <w:tcPr>
            <w:tcW w:w="3232" w:type="pct"/>
            <w:vAlign w:val="center"/>
          </w:tcPr>
          <w:p w14:paraId="1E1B9DE8">
            <w:pPr>
              <w:pStyle w:val="56"/>
              <w:rPr>
                <w:rFonts w:hint="default" w:eastAsia="宋体" w:cs="Times New Roman"/>
                <w:kern w:val="0"/>
                <w:highlight w:val="none"/>
                <w:lang w:val="en-US" w:eastAsia="zh-CN"/>
              </w:rPr>
            </w:pPr>
            <w:r>
              <w:rPr>
                <w:rFonts w:hint="eastAsia" w:cs="Times New Roman"/>
                <w:kern w:val="0"/>
                <w:highlight w:val="none"/>
                <w:lang w:val="en-US" w:eastAsia="zh-CN"/>
              </w:rPr>
              <w:t>一氧化碳、硫化氢、甲烷</w:t>
            </w:r>
          </w:p>
        </w:tc>
      </w:tr>
      <w:tr w14:paraId="7DA6E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312" w:type="pct"/>
            <w:vAlign w:val="center"/>
          </w:tcPr>
          <w:p w14:paraId="262A6380">
            <w:pPr>
              <w:pStyle w:val="56"/>
              <w:rPr>
                <w:rFonts w:hint="eastAsia" w:eastAsia="宋体" w:cs="Times New Roman"/>
                <w:kern w:val="0"/>
                <w:highlight w:val="none"/>
                <w:lang w:val="en-US" w:eastAsia="zh-CN"/>
              </w:rPr>
            </w:pPr>
            <w:r>
              <w:rPr>
                <w:rFonts w:hint="eastAsia" w:cs="Times New Roman"/>
                <w:kern w:val="0"/>
                <w:highlight w:val="none"/>
                <w:lang w:val="en-US" w:eastAsia="zh-CN"/>
              </w:rPr>
              <w:t>7</w:t>
            </w:r>
          </w:p>
        </w:tc>
        <w:tc>
          <w:tcPr>
            <w:tcW w:w="1455" w:type="pct"/>
            <w:vAlign w:val="center"/>
          </w:tcPr>
          <w:p w14:paraId="6ADC066B">
            <w:pPr>
              <w:keepNext w:val="0"/>
              <w:keepLines w:val="0"/>
              <w:widowControl/>
              <w:suppressLineNumbers w:val="0"/>
              <w:jc w:val="center"/>
              <w:textAlignment w:val="center"/>
              <w:rPr>
                <w:rFonts w:cs="Times New Roman"/>
                <w:kern w:val="0"/>
                <w:szCs w:val="21"/>
                <w:highlight w:val="none"/>
              </w:rPr>
            </w:pPr>
            <w:r>
              <w:rPr>
                <w:rFonts w:hint="eastAsia" w:ascii="宋体" w:hAnsi="宋体" w:eastAsia="宋体" w:cs="宋体"/>
                <w:i w:val="0"/>
                <w:iCs w:val="0"/>
                <w:color w:val="000000"/>
                <w:kern w:val="0"/>
                <w:sz w:val="21"/>
                <w:szCs w:val="21"/>
                <w:highlight w:val="none"/>
                <w:u w:val="none"/>
                <w:lang w:val="en-US" w:eastAsia="zh-CN" w:bidi="ar"/>
              </w:rPr>
              <w:t>酸性气（脱硫脱碳再生气体）</w:t>
            </w:r>
            <w:r>
              <w:rPr>
                <w:rFonts w:hint="eastAsia" w:ascii="宋体" w:hAnsi="宋体" w:cs="宋体"/>
                <w:i w:val="0"/>
                <w:iCs w:val="0"/>
                <w:color w:val="000000"/>
                <w:kern w:val="0"/>
                <w:sz w:val="21"/>
                <w:szCs w:val="21"/>
                <w:highlight w:val="none"/>
                <w:u w:val="none"/>
                <w:lang w:val="en-US" w:eastAsia="zh-CN" w:bidi="ar"/>
              </w:rPr>
              <w:t>管道</w:t>
            </w:r>
          </w:p>
        </w:tc>
        <w:tc>
          <w:tcPr>
            <w:tcW w:w="3232" w:type="pct"/>
            <w:vAlign w:val="center"/>
          </w:tcPr>
          <w:p w14:paraId="4B2819BD">
            <w:pPr>
              <w:pStyle w:val="56"/>
              <w:rPr>
                <w:rFonts w:hint="default" w:eastAsia="宋体" w:cs="Times New Roman"/>
                <w:kern w:val="0"/>
                <w:highlight w:val="none"/>
                <w:lang w:val="en-US" w:eastAsia="zh-CN"/>
              </w:rPr>
            </w:pPr>
            <w:r>
              <w:rPr>
                <w:rFonts w:hint="eastAsia" w:cs="Times New Roman"/>
                <w:kern w:val="0"/>
                <w:highlight w:val="none"/>
                <w:lang w:val="en-US" w:eastAsia="zh-CN"/>
              </w:rPr>
              <w:t>硫化氢、甲烷</w:t>
            </w:r>
          </w:p>
        </w:tc>
      </w:tr>
      <w:tr w14:paraId="02D9C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312" w:type="pct"/>
            <w:vAlign w:val="center"/>
          </w:tcPr>
          <w:p w14:paraId="0B107872">
            <w:pPr>
              <w:pStyle w:val="56"/>
              <w:rPr>
                <w:rFonts w:hint="eastAsia" w:eastAsia="宋体" w:cs="Times New Roman"/>
                <w:kern w:val="0"/>
                <w:highlight w:val="none"/>
                <w:lang w:val="en-US" w:eastAsia="zh-CN"/>
              </w:rPr>
            </w:pPr>
            <w:r>
              <w:rPr>
                <w:rFonts w:hint="eastAsia" w:cs="Times New Roman"/>
                <w:kern w:val="0"/>
                <w:highlight w:val="none"/>
                <w:lang w:val="en-US" w:eastAsia="zh-CN"/>
              </w:rPr>
              <w:t>8</w:t>
            </w:r>
          </w:p>
        </w:tc>
        <w:tc>
          <w:tcPr>
            <w:tcW w:w="1455" w:type="pct"/>
            <w:vAlign w:val="center"/>
          </w:tcPr>
          <w:p w14:paraId="2C156FB9">
            <w:pPr>
              <w:keepNext w:val="0"/>
              <w:keepLines w:val="0"/>
              <w:widowControl/>
              <w:suppressLineNumbers w:val="0"/>
              <w:jc w:val="center"/>
              <w:textAlignment w:val="center"/>
              <w:rPr>
                <w:rFonts w:cs="Times New Roman"/>
                <w:kern w:val="0"/>
                <w:szCs w:val="21"/>
                <w:highlight w:val="none"/>
              </w:rPr>
            </w:pPr>
            <w:r>
              <w:rPr>
                <w:rFonts w:hint="eastAsia" w:ascii="宋体" w:hAnsi="宋体" w:eastAsia="宋体" w:cs="宋体"/>
                <w:i w:val="0"/>
                <w:iCs w:val="0"/>
                <w:color w:val="000000"/>
                <w:kern w:val="0"/>
                <w:sz w:val="21"/>
                <w:szCs w:val="21"/>
                <w:highlight w:val="none"/>
                <w:u w:val="none"/>
                <w:lang w:val="en-US" w:eastAsia="zh-CN" w:bidi="ar"/>
              </w:rPr>
              <w:t>尾气</w:t>
            </w:r>
            <w:r>
              <w:rPr>
                <w:rFonts w:hint="eastAsia" w:ascii="宋体" w:hAnsi="宋体" w:cs="宋体"/>
                <w:i w:val="0"/>
                <w:iCs w:val="0"/>
                <w:color w:val="000000"/>
                <w:kern w:val="0"/>
                <w:sz w:val="21"/>
                <w:szCs w:val="21"/>
                <w:highlight w:val="none"/>
                <w:u w:val="none"/>
                <w:lang w:val="en-US" w:eastAsia="zh-CN" w:bidi="ar"/>
              </w:rPr>
              <w:t>管道</w:t>
            </w:r>
          </w:p>
        </w:tc>
        <w:tc>
          <w:tcPr>
            <w:tcW w:w="3232" w:type="pct"/>
            <w:vAlign w:val="center"/>
          </w:tcPr>
          <w:p w14:paraId="47FCF2EA">
            <w:pPr>
              <w:pStyle w:val="56"/>
              <w:rPr>
                <w:rFonts w:hint="eastAsia" w:eastAsia="宋体" w:cs="Times New Roman"/>
                <w:kern w:val="0"/>
                <w:highlight w:val="none"/>
                <w:lang w:val="en-US" w:eastAsia="zh-CN"/>
              </w:rPr>
            </w:pPr>
            <w:r>
              <w:rPr>
                <w:rFonts w:hint="eastAsia" w:cs="Times New Roman"/>
                <w:kern w:val="0"/>
                <w:highlight w:val="none"/>
                <w:lang w:val="en-US" w:eastAsia="zh-CN"/>
              </w:rPr>
              <w:t>甲烷</w:t>
            </w:r>
          </w:p>
        </w:tc>
      </w:tr>
      <w:tr w14:paraId="465C7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312" w:type="pct"/>
            <w:vAlign w:val="center"/>
          </w:tcPr>
          <w:p w14:paraId="0E34FB65">
            <w:pPr>
              <w:pStyle w:val="56"/>
              <w:rPr>
                <w:rFonts w:hint="eastAsia" w:eastAsia="宋体" w:cs="Times New Roman"/>
                <w:kern w:val="0"/>
                <w:highlight w:val="none"/>
                <w:lang w:val="en-US" w:eastAsia="zh-CN"/>
              </w:rPr>
            </w:pPr>
            <w:r>
              <w:rPr>
                <w:rFonts w:hint="eastAsia" w:cs="Times New Roman"/>
                <w:kern w:val="0"/>
                <w:highlight w:val="none"/>
                <w:lang w:val="en-US" w:eastAsia="zh-CN"/>
              </w:rPr>
              <w:t>9</w:t>
            </w:r>
          </w:p>
        </w:tc>
        <w:tc>
          <w:tcPr>
            <w:tcW w:w="1455" w:type="pct"/>
            <w:vAlign w:val="bottom"/>
          </w:tcPr>
          <w:p w14:paraId="322327D6">
            <w:pPr>
              <w:keepNext w:val="0"/>
              <w:keepLines w:val="0"/>
              <w:widowControl/>
              <w:suppressLineNumbers w:val="0"/>
              <w:jc w:val="center"/>
              <w:textAlignment w:val="bottom"/>
              <w:rPr>
                <w:rFonts w:cs="Times New Roman"/>
                <w:kern w:val="0"/>
                <w:szCs w:val="21"/>
                <w:highlight w:val="none"/>
              </w:rPr>
            </w:pPr>
            <w:r>
              <w:rPr>
                <w:rFonts w:hint="eastAsia" w:ascii="宋体" w:hAnsi="宋体" w:eastAsia="宋体" w:cs="宋体"/>
                <w:i w:val="0"/>
                <w:iCs w:val="0"/>
                <w:color w:val="000000"/>
                <w:kern w:val="0"/>
                <w:sz w:val="21"/>
                <w:szCs w:val="21"/>
                <w:highlight w:val="none"/>
                <w:u w:val="none"/>
                <w:lang w:val="en-US" w:eastAsia="zh-CN" w:bidi="ar"/>
              </w:rPr>
              <w:t>富甲烷气</w:t>
            </w:r>
            <w:r>
              <w:rPr>
                <w:rFonts w:hint="eastAsia" w:ascii="宋体" w:hAnsi="宋体" w:cs="宋体"/>
                <w:i w:val="0"/>
                <w:iCs w:val="0"/>
                <w:color w:val="000000"/>
                <w:kern w:val="0"/>
                <w:sz w:val="21"/>
                <w:szCs w:val="21"/>
                <w:highlight w:val="none"/>
                <w:u w:val="none"/>
                <w:lang w:val="en-US" w:eastAsia="zh-CN" w:bidi="ar"/>
              </w:rPr>
              <w:t>管道</w:t>
            </w:r>
          </w:p>
        </w:tc>
        <w:tc>
          <w:tcPr>
            <w:tcW w:w="3232" w:type="pct"/>
            <w:vAlign w:val="center"/>
          </w:tcPr>
          <w:p w14:paraId="2E287842">
            <w:pPr>
              <w:pStyle w:val="56"/>
              <w:rPr>
                <w:rFonts w:hint="default" w:eastAsia="宋体" w:cs="Times New Roman"/>
                <w:kern w:val="0"/>
                <w:highlight w:val="none"/>
                <w:lang w:val="en-US" w:eastAsia="zh-CN"/>
              </w:rPr>
            </w:pPr>
            <w:r>
              <w:rPr>
                <w:rFonts w:hint="eastAsia" w:cs="Times New Roman"/>
                <w:kern w:val="0"/>
                <w:highlight w:val="none"/>
                <w:lang w:val="en-US" w:eastAsia="zh-CN"/>
              </w:rPr>
              <w:t>甲烷、硫化氢</w:t>
            </w:r>
          </w:p>
        </w:tc>
      </w:tr>
      <w:tr w14:paraId="663E0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312" w:type="pct"/>
            <w:vAlign w:val="center"/>
          </w:tcPr>
          <w:p w14:paraId="628393D4">
            <w:pPr>
              <w:pStyle w:val="56"/>
              <w:rPr>
                <w:rFonts w:hint="default" w:eastAsia="宋体" w:cs="Times New Roman"/>
                <w:kern w:val="0"/>
                <w:highlight w:val="none"/>
                <w:lang w:val="en-US" w:eastAsia="zh-CN"/>
              </w:rPr>
            </w:pPr>
            <w:r>
              <w:rPr>
                <w:rFonts w:hint="eastAsia" w:cs="Times New Roman"/>
                <w:kern w:val="0"/>
                <w:highlight w:val="none"/>
                <w:lang w:val="en-US" w:eastAsia="zh-CN"/>
              </w:rPr>
              <w:t>10</w:t>
            </w:r>
          </w:p>
        </w:tc>
        <w:tc>
          <w:tcPr>
            <w:tcW w:w="1455" w:type="pct"/>
            <w:vAlign w:val="center"/>
          </w:tcPr>
          <w:p w14:paraId="5F15BF3D">
            <w:pPr>
              <w:keepNext w:val="0"/>
              <w:keepLines w:val="0"/>
              <w:widowControl/>
              <w:suppressLineNumbers w:val="0"/>
              <w:jc w:val="center"/>
              <w:textAlignment w:val="center"/>
              <w:rPr>
                <w:rFonts w:cs="Times New Roman"/>
                <w:kern w:val="0"/>
                <w:szCs w:val="21"/>
                <w:highlight w:val="none"/>
              </w:rPr>
            </w:pPr>
            <w:r>
              <w:rPr>
                <w:rFonts w:hint="eastAsia" w:ascii="宋体" w:hAnsi="宋体" w:eastAsia="宋体" w:cs="宋体"/>
                <w:i w:val="0"/>
                <w:iCs w:val="0"/>
                <w:color w:val="000000"/>
                <w:kern w:val="0"/>
                <w:sz w:val="21"/>
                <w:szCs w:val="21"/>
                <w:highlight w:val="none"/>
                <w:u w:val="none"/>
                <w:lang w:val="en-US" w:eastAsia="zh-CN" w:bidi="ar"/>
              </w:rPr>
              <w:t>真空尾气</w:t>
            </w:r>
            <w:r>
              <w:rPr>
                <w:rFonts w:hint="eastAsia" w:ascii="宋体" w:hAnsi="宋体" w:cs="宋体"/>
                <w:i w:val="0"/>
                <w:iCs w:val="0"/>
                <w:color w:val="000000"/>
                <w:kern w:val="0"/>
                <w:sz w:val="21"/>
                <w:szCs w:val="21"/>
                <w:highlight w:val="none"/>
                <w:u w:val="none"/>
                <w:lang w:val="en-US" w:eastAsia="zh-CN" w:bidi="ar"/>
              </w:rPr>
              <w:t>管道</w:t>
            </w:r>
          </w:p>
        </w:tc>
        <w:tc>
          <w:tcPr>
            <w:tcW w:w="3232" w:type="pct"/>
            <w:vAlign w:val="center"/>
          </w:tcPr>
          <w:p w14:paraId="27F32EBC">
            <w:pPr>
              <w:pStyle w:val="56"/>
              <w:rPr>
                <w:rFonts w:hint="default" w:eastAsia="宋体" w:cs="Times New Roman"/>
                <w:kern w:val="0"/>
                <w:highlight w:val="none"/>
                <w:lang w:val="en-US" w:eastAsia="zh-CN"/>
              </w:rPr>
            </w:pPr>
            <w:r>
              <w:rPr>
                <w:rFonts w:hint="eastAsia" w:cs="Times New Roman"/>
                <w:kern w:val="0"/>
                <w:highlight w:val="none"/>
                <w:lang w:val="en-US" w:eastAsia="zh-CN"/>
              </w:rPr>
              <w:t>甲醇、丁醇、正丙醇、乙酸、乙酸乙酯、甲烷、硫化氢、氨气</w:t>
            </w:r>
          </w:p>
        </w:tc>
      </w:tr>
    </w:tbl>
    <w:p w14:paraId="59E9EBA8">
      <w:pPr>
        <w:keepNext/>
        <w:keepLines/>
        <w:spacing w:line="360" w:lineRule="auto"/>
        <w:outlineLvl w:val="1"/>
        <w:rPr>
          <w:b/>
          <w:bCs/>
          <w:sz w:val="28"/>
          <w:szCs w:val="28"/>
          <w:highlight w:val="none"/>
        </w:rPr>
      </w:pPr>
      <w:r>
        <w:rPr>
          <w:rFonts w:hint="eastAsia"/>
          <w:b/>
          <w:bCs/>
          <w:sz w:val="28"/>
          <w:szCs w:val="28"/>
          <w:highlight w:val="none"/>
        </w:rPr>
        <w:t>3.</w:t>
      </w:r>
      <w:r>
        <w:rPr>
          <w:rFonts w:hint="eastAsia"/>
          <w:b/>
          <w:bCs/>
          <w:sz w:val="28"/>
          <w:szCs w:val="28"/>
          <w:highlight w:val="none"/>
          <w:lang w:val="en-US" w:eastAsia="zh-CN"/>
        </w:rPr>
        <w:t>2物质危险性</w:t>
      </w:r>
      <w:r>
        <w:rPr>
          <w:rFonts w:hint="eastAsia"/>
          <w:b/>
          <w:bCs/>
          <w:sz w:val="28"/>
          <w:szCs w:val="28"/>
          <w:highlight w:val="none"/>
        </w:rPr>
        <w:t>分析</w:t>
      </w:r>
    </w:p>
    <w:p w14:paraId="59B09559">
      <w:pPr>
        <w:spacing w:line="360" w:lineRule="auto"/>
        <w:ind w:firstLine="480" w:firstLineChars="200"/>
        <w:rPr>
          <w:rFonts w:hint="eastAsia"/>
          <w:sz w:val="24"/>
          <w:highlight w:val="none"/>
          <w:lang w:val="en-US" w:eastAsia="zh-CN"/>
        </w:rPr>
      </w:pPr>
      <w:r>
        <w:rPr>
          <w:rFonts w:hint="eastAsia"/>
          <w:sz w:val="24"/>
          <w:highlight w:val="none"/>
          <w:lang w:val="en-US" w:eastAsia="zh-CN"/>
        </w:rPr>
        <w:t>（1）生产过程中涉及的主要危险物质</w:t>
      </w:r>
    </w:p>
    <w:p w14:paraId="2BA87CA2">
      <w:pPr>
        <w:spacing w:line="360" w:lineRule="auto"/>
        <w:ind w:firstLine="480" w:firstLineChars="200"/>
        <w:rPr>
          <w:rFonts w:hint="eastAsia"/>
          <w:sz w:val="24"/>
          <w:highlight w:val="none"/>
          <w:lang w:val="en-US" w:eastAsia="zh-CN"/>
        </w:rPr>
      </w:pPr>
      <w:r>
        <w:rPr>
          <w:rFonts w:hint="eastAsia"/>
          <w:sz w:val="24"/>
          <w:highlight w:val="none"/>
          <w:lang w:val="en-US" w:eastAsia="zh-CN"/>
        </w:rPr>
        <w:t>根据导则附录B辨识，本项目原辅材料中属于危险物质的有：一氧化碳、甲烷、乙烷、硫化氢、丁醇、乙酸乙酯、甲醇、正丙醇、乙酸、乙醛、氨气等。</w:t>
      </w:r>
    </w:p>
    <w:p w14:paraId="70D01D6D">
      <w:pPr>
        <w:spacing w:line="360" w:lineRule="auto"/>
        <w:ind w:firstLine="480" w:firstLineChars="200"/>
        <w:rPr>
          <w:rFonts w:hint="eastAsia"/>
          <w:sz w:val="24"/>
          <w:highlight w:val="none"/>
          <w:lang w:val="en-US" w:eastAsia="zh-CN"/>
        </w:rPr>
      </w:pPr>
      <w:r>
        <w:rPr>
          <w:rFonts w:hint="eastAsia"/>
          <w:sz w:val="24"/>
          <w:highlight w:val="none"/>
          <w:lang w:val="en-US" w:eastAsia="zh-CN"/>
        </w:rPr>
        <w:t>根据《中国严格限制的有毒化学品名录（2020年）》《优先控制化学品名录（第一批）》《优先控制化学品名录（第二批）》《易制毒化学品的分类和品种目录（2018年）》等文件要求，对本项目生产过程中涉及的主要危险物质的危害特性进行辨识。主要物料的危险有害特性见3.2-1~3.2-11。</w:t>
      </w:r>
    </w:p>
    <w:p w14:paraId="12138889">
      <w:pPr>
        <w:spacing w:line="360" w:lineRule="auto"/>
        <w:ind w:firstLine="480" w:firstLineChars="200"/>
        <w:rPr>
          <w:rFonts w:hint="eastAsia"/>
          <w:sz w:val="24"/>
          <w:highlight w:val="none"/>
          <w:lang w:val="en-US" w:eastAsia="zh-CN"/>
        </w:rPr>
      </w:pPr>
      <w:r>
        <w:rPr>
          <w:rFonts w:hint="eastAsia"/>
          <w:sz w:val="24"/>
          <w:highlight w:val="none"/>
          <w:lang w:val="en-US" w:eastAsia="zh-CN"/>
        </w:rPr>
        <w:t>（2）火灾和爆炸伴生/次生物</w:t>
      </w:r>
    </w:p>
    <w:p w14:paraId="6C81425D">
      <w:pPr>
        <w:spacing w:line="360" w:lineRule="auto"/>
        <w:ind w:firstLine="480" w:firstLineChars="200"/>
        <w:rPr>
          <w:rFonts w:hint="eastAsia"/>
          <w:sz w:val="24"/>
          <w:highlight w:val="none"/>
          <w:lang w:val="en-US" w:eastAsia="zh-CN"/>
        </w:rPr>
      </w:pPr>
      <w:r>
        <w:rPr>
          <w:rFonts w:hint="eastAsia"/>
          <w:sz w:val="24"/>
          <w:highlight w:val="none"/>
          <w:lang w:val="en-US" w:eastAsia="zh-CN"/>
        </w:rPr>
        <w:t>本项目</w:t>
      </w:r>
      <w:r>
        <w:rPr>
          <w:rFonts w:ascii="Arial" w:hAnsi="Arial" w:eastAsia="宋体" w:cs="Arial"/>
          <w:i w:val="0"/>
          <w:iCs w:val="0"/>
          <w:caps w:val="0"/>
          <w:color w:val="222222"/>
          <w:spacing w:val="0"/>
          <w:sz w:val="24"/>
          <w:szCs w:val="24"/>
          <w:shd w:val="clear" w:fill="FFFFFF"/>
        </w:rPr>
        <w:t>火灾和爆炸事故直接产生的</w:t>
      </w:r>
      <w:r>
        <w:rPr>
          <w:rFonts w:hint="eastAsia"/>
          <w:sz w:val="24"/>
          <w:highlight w:val="none"/>
          <w:lang w:val="en-US" w:eastAsia="zh-CN"/>
        </w:rPr>
        <w:t>气态伴生/次生污染物主要包括易燃/可燃物质燃烧产生的CO、SO</w:t>
      </w:r>
      <w:r>
        <w:rPr>
          <w:rFonts w:hint="eastAsia"/>
          <w:sz w:val="24"/>
          <w:highlight w:val="none"/>
          <w:vertAlign w:val="subscript"/>
          <w:lang w:val="en-US" w:eastAsia="zh-CN"/>
        </w:rPr>
        <w:t>2</w:t>
      </w:r>
      <w:r>
        <w:rPr>
          <w:rFonts w:hint="eastAsia"/>
          <w:sz w:val="24"/>
          <w:highlight w:val="none"/>
          <w:lang w:val="en-US" w:eastAsia="zh-CN"/>
        </w:rPr>
        <w:t>、烟尘等有毒有害气体及黑烟。火灾爆炸事故应急处置过程中产生的消防废水。</w:t>
      </w:r>
    </w:p>
    <w:p w14:paraId="7158108B">
      <w:pPr>
        <w:spacing w:line="360" w:lineRule="auto"/>
        <w:jc w:val="center"/>
        <w:rPr>
          <w:rFonts w:hint="default" w:ascii="Times New Roman" w:hAnsi="Times New Roman" w:eastAsia="宋体" w:cs="Times New Roman"/>
          <w:b/>
          <w:bCs/>
          <w:sz w:val="21"/>
          <w:szCs w:val="21"/>
          <w:highlight w:val="none"/>
        </w:rPr>
      </w:pPr>
      <w:r>
        <w:rPr>
          <w:rFonts w:hint="eastAsia" w:cs="Times New Roman"/>
          <w:b/>
          <w:bCs/>
          <w:sz w:val="21"/>
          <w:szCs w:val="21"/>
          <w:highlight w:val="none"/>
          <w:lang w:val="en-US" w:eastAsia="zh-CN"/>
        </w:rPr>
        <w:t xml:space="preserve">表3.2-1   </w:t>
      </w:r>
      <w:r>
        <w:rPr>
          <w:rFonts w:hint="default" w:ascii="Times New Roman" w:hAnsi="Times New Roman" w:eastAsia="宋体" w:cs="Times New Roman"/>
          <w:b/>
          <w:bCs/>
          <w:sz w:val="21"/>
          <w:szCs w:val="21"/>
          <w:highlight w:val="none"/>
        </w:rPr>
        <w:t>硫化氢理化性质与危险特性一览表</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33"/>
        <w:gridCol w:w="1313"/>
        <w:gridCol w:w="656"/>
        <w:gridCol w:w="606"/>
        <w:gridCol w:w="1033"/>
        <w:gridCol w:w="650"/>
        <w:gridCol w:w="2169"/>
        <w:gridCol w:w="605"/>
        <w:gridCol w:w="1155"/>
      </w:tblGrid>
      <w:tr w14:paraId="7152D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restart"/>
            <w:tcMar>
              <w:left w:w="108" w:type="dxa"/>
              <w:right w:w="108" w:type="dxa"/>
            </w:tcMar>
            <w:vAlign w:val="center"/>
          </w:tcPr>
          <w:p w14:paraId="72B77F25">
            <w:pPr>
              <w:jc w:val="center"/>
              <w:rPr>
                <w:bCs/>
                <w:szCs w:val="21"/>
                <w:highlight w:val="none"/>
              </w:rPr>
            </w:pPr>
            <w:r>
              <w:rPr>
                <w:bCs/>
                <w:szCs w:val="21"/>
                <w:highlight w:val="none"/>
              </w:rPr>
              <w:t>标识</w:t>
            </w:r>
          </w:p>
        </w:tc>
        <w:tc>
          <w:tcPr>
            <w:tcW w:w="752" w:type="pct"/>
            <w:tcMar>
              <w:left w:w="108" w:type="dxa"/>
              <w:right w:w="108" w:type="dxa"/>
            </w:tcMar>
            <w:vAlign w:val="center"/>
          </w:tcPr>
          <w:p w14:paraId="361AFCEF">
            <w:pPr>
              <w:jc w:val="center"/>
              <w:rPr>
                <w:bCs/>
                <w:szCs w:val="21"/>
                <w:highlight w:val="none"/>
              </w:rPr>
            </w:pPr>
            <w:r>
              <w:rPr>
                <w:bCs/>
                <w:szCs w:val="21"/>
                <w:highlight w:val="none"/>
              </w:rPr>
              <w:t>中文名称：</w:t>
            </w:r>
          </w:p>
        </w:tc>
        <w:tc>
          <w:tcPr>
            <w:tcW w:w="3941" w:type="pct"/>
            <w:gridSpan w:val="7"/>
            <w:tcMar>
              <w:left w:w="108" w:type="dxa"/>
              <w:right w:w="108" w:type="dxa"/>
            </w:tcMar>
            <w:vAlign w:val="center"/>
          </w:tcPr>
          <w:p w14:paraId="15604C8D">
            <w:pPr>
              <w:jc w:val="center"/>
              <w:rPr>
                <w:bCs/>
                <w:szCs w:val="21"/>
                <w:highlight w:val="none"/>
              </w:rPr>
            </w:pPr>
            <w:r>
              <w:rPr>
                <w:bCs/>
                <w:szCs w:val="21"/>
                <w:highlight w:val="none"/>
              </w:rPr>
              <w:t>硫化氢</w:t>
            </w:r>
          </w:p>
        </w:tc>
      </w:tr>
      <w:tr w14:paraId="14AC6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continue"/>
            <w:tcMar>
              <w:left w:w="108" w:type="dxa"/>
              <w:right w:w="108" w:type="dxa"/>
            </w:tcMar>
            <w:vAlign w:val="center"/>
          </w:tcPr>
          <w:p w14:paraId="4BFAC4A7">
            <w:pPr>
              <w:jc w:val="center"/>
              <w:rPr>
                <w:bCs/>
                <w:szCs w:val="21"/>
                <w:highlight w:val="none"/>
              </w:rPr>
            </w:pPr>
          </w:p>
        </w:tc>
        <w:tc>
          <w:tcPr>
            <w:tcW w:w="752" w:type="pct"/>
            <w:tcMar>
              <w:left w:w="108" w:type="dxa"/>
              <w:right w:w="108" w:type="dxa"/>
            </w:tcMar>
            <w:vAlign w:val="center"/>
          </w:tcPr>
          <w:p w14:paraId="7D18E883">
            <w:pPr>
              <w:jc w:val="center"/>
              <w:rPr>
                <w:bCs/>
                <w:szCs w:val="21"/>
                <w:highlight w:val="none"/>
              </w:rPr>
            </w:pPr>
            <w:r>
              <w:rPr>
                <w:bCs/>
                <w:szCs w:val="21"/>
                <w:highlight w:val="none"/>
              </w:rPr>
              <w:t>英文名称：</w:t>
            </w:r>
          </w:p>
        </w:tc>
        <w:tc>
          <w:tcPr>
            <w:tcW w:w="3941" w:type="pct"/>
            <w:gridSpan w:val="7"/>
            <w:tcMar>
              <w:left w:w="108" w:type="dxa"/>
              <w:right w:w="108" w:type="dxa"/>
            </w:tcMar>
            <w:vAlign w:val="center"/>
          </w:tcPr>
          <w:p w14:paraId="2B31CCAC">
            <w:pPr>
              <w:jc w:val="center"/>
              <w:rPr>
                <w:bCs/>
                <w:szCs w:val="21"/>
                <w:highlight w:val="none"/>
              </w:rPr>
            </w:pPr>
            <w:r>
              <w:rPr>
                <w:bCs/>
                <w:szCs w:val="21"/>
                <w:highlight w:val="none"/>
              </w:rPr>
              <w:t>hydrogen sulfide;sulfur hydride</w:t>
            </w:r>
          </w:p>
        </w:tc>
      </w:tr>
      <w:tr w14:paraId="42DED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continue"/>
            <w:tcMar>
              <w:left w:w="108" w:type="dxa"/>
              <w:right w:w="108" w:type="dxa"/>
            </w:tcMar>
            <w:vAlign w:val="center"/>
          </w:tcPr>
          <w:p w14:paraId="70ED3A46">
            <w:pPr>
              <w:jc w:val="center"/>
              <w:rPr>
                <w:bCs/>
                <w:szCs w:val="21"/>
                <w:highlight w:val="none"/>
              </w:rPr>
            </w:pPr>
          </w:p>
        </w:tc>
        <w:tc>
          <w:tcPr>
            <w:tcW w:w="752" w:type="pct"/>
            <w:tcMar>
              <w:left w:w="108" w:type="dxa"/>
              <w:right w:w="108" w:type="dxa"/>
            </w:tcMar>
            <w:vAlign w:val="center"/>
          </w:tcPr>
          <w:p w14:paraId="6184EB0B">
            <w:pPr>
              <w:jc w:val="center"/>
              <w:rPr>
                <w:bCs/>
                <w:szCs w:val="21"/>
                <w:highlight w:val="none"/>
              </w:rPr>
            </w:pPr>
            <w:r>
              <w:rPr>
                <w:bCs/>
                <w:szCs w:val="21"/>
                <w:highlight w:val="none"/>
              </w:rPr>
              <w:t>分子式：</w:t>
            </w:r>
          </w:p>
        </w:tc>
        <w:tc>
          <w:tcPr>
            <w:tcW w:w="1315" w:type="pct"/>
            <w:gridSpan w:val="3"/>
            <w:tcMar>
              <w:left w:w="108" w:type="dxa"/>
              <w:right w:w="108" w:type="dxa"/>
            </w:tcMar>
            <w:vAlign w:val="center"/>
          </w:tcPr>
          <w:p w14:paraId="38A9C252">
            <w:pPr>
              <w:jc w:val="center"/>
              <w:rPr>
                <w:bCs/>
                <w:szCs w:val="21"/>
                <w:highlight w:val="none"/>
              </w:rPr>
            </w:pPr>
            <w:r>
              <w:rPr>
                <w:bCs/>
                <w:szCs w:val="21"/>
                <w:highlight w:val="none"/>
              </w:rPr>
              <w:t>H</w:t>
            </w:r>
            <w:r>
              <w:rPr>
                <w:bCs/>
                <w:szCs w:val="21"/>
                <w:highlight w:val="none"/>
                <w:vertAlign w:val="subscript"/>
              </w:rPr>
              <w:t>2</w:t>
            </w:r>
            <w:r>
              <w:rPr>
                <w:bCs/>
                <w:szCs w:val="21"/>
                <w:highlight w:val="none"/>
              </w:rPr>
              <w:t>S</w:t>
            </w:r>
          </w:p>
        </w:tc>
        <w:tc>
          <w:tcPr>
            <w:tcW w:w="1616" w:type="pct"/>
            <w:gridSpan w:val="2"/>
            <w:tcMar>
              <w:left w:w="108" w:type="dxa"/>
              <w:right w:w="108" w:type="dxa"/>
            </w:tcMar>
            <w:vAlign w:val="center"/>
          </w:tcPr>
          <w:p w14:paraId="3C424DD6">
            <w:pPr>
              <w:jc w:val="center"/>
              <w:rPr>
                <w:bCs/>
                <w:szCs w:val="21"/>
                <w:highlight w:val="none"/>
              </w:rPr>
            </w:pPr>
            <w:r>
              <w:rPr>
                <w:bCs/>
                <w:szCs w:val="21"/>
                <w:highlight w:val="none"/>
              </w:rPr>
              <w:t>相对分子质量</w:t>
            </w:r>
          </w:p>
        </w:tc>
        <w:tc>
          <w:tcPr>
            <w:tcW w:w="1009" w:type="pct"/>
            <w:gridSpan w:val="2"/>
            <w:tcMar>
              <w:left w:w="108" w:type="dxa"/>
              <w:right w:w="108" w:type="dxa"/>
            </w:tcMar>
            <w:vAlign w:val="center"/>
          </w:tcPr>
          <w:p w14:paraId="22949113">
            <w:pPr>
              <w:jc w:val="center"/>
              <w:rPr>
                <w:bCs/>
                <w:szCs w:val="21"/>
                <w:highlight w:val="none"/>
              </w:rPr>
            </w:pPr>
            <w:r>
              <w:rPr>
                <w:bCs/>
                <w:szCs w:val="21"/>
                <w:highlight w:val="none"/>
              </w:rPr>
              <w:t>34.08</w:t>
            </w:r>
          </w:p>
        </w:tc>
      </w:tr>
      <w:tr w14:paraId="1A9AB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continue"/>
            <w:tcMar>
              <w:left w:w="108" w:type="dxa"/>
              <w:right w:w="108" w:type="dxa"/>
            </w:tcMar>
            <w:vAlign w:val="center"/>
          </w:tcPr>
          <w:p w14:paraId="490D1E6E">
            <w:pPr>
              <w:jc w:val="center"/>
              <w:rPr>
                <w:bCs/>
                <w:szCs w:val="21"/>
                <w:highlight w:val="none"/>
              </w:rPr>
            </w:pPr>
          </w:p>
        </w:tc>
        <w:tc>
          <w:tcPr>
            <w:tcW w:w="752" w:type="pct"/>
            <w:tcMar>
              <w:left w:w="108" w:type="dxa"/>
              <w:right w:w="108" w:type="dxa"/>
            </w:tcMar>
            <w:vAlign w:val="center"/>
          </w:tcPr>
          <w:p w14:paraId="1CCD46DE">
            <w:pPr>
              <w:jc w:val="center"/>
              <w:rPr>
                <w:bCs/>
                <w:szCs w:val="21"/>
                <w:highlight w:val="none"/>
              </w:rPr>
            </w:pPr>
            <w:r>
              <w:rPr>
                <w:bCs/>
                <w:szCs w:val="21"/>
                <w:highlight w:val="none"/>
              </w:rPr>
              <w:t>用 途：</w:t>
            </w:r>
          </w:p>
        </w:tc>
        <w:tc>
          <w:tcPr>
            <w:tcW w:w="3941" w:type="pct"/>
            <w:gridSpan w:val="7"/>
            <w:tcMar>
              <w:left w:w="108" w:type="dxa"/>
              <w:right w:w="108" w:type="dxa"/>
            </w:tcMar>
            <w:vAlign w:val="center"/>
          </w:tcPr>
          <w:p w14:paraId="573EEFD3">
            <w:pPr>
              <w:jc w:val="center"/>
              <w:rPr>
                <w:bCs/>
                <w:szCs w:val="21"/>
                <w:highlight w:val="none"/>
              </w:rPr>
            </w:pPr>
            <w:r>
              <w:rPr>
                <w:bCs/>
                <w:szCs w:val="21"/>
                <w:highlight w:val="none"/>
              </w:rPr>
              <w:t>用于制造无机硫化合物，还用于化学分析如鉴定金属离子</w:t>
            </w:r>
            <w:r>
              <w:rPr>
                <w:rFonts w:hint="eastAsia"/>
                <w:bCs/>
                <w:szCs w:val="21"/>
                <w:highlight w:val="none"/>
                <w:lang w:eastAsia="zh-CN"/>
              </w:rPr>
              <w:t>等</w:t>
            </w:r>
            <w:r>
              <w:rPr>
                <w:bCs/>
                <w:szCs w:val="21"/>
                <w:highlight w:val="none"/>
              </w:rPr>
              <w:t>。</w:t>
            </w:r>
          </w:p>
        </w:tc>
      </w:tr>
      <w:tr w14:paraId="6CFEE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restart"/>
            <w:tcMar>
              <w:left w:w="108" w:type="dxa"/>
              <w:right w:w="108" w:type="dxa"/>
            </w:tcMar>
            <w:vAlign w:val="center"/>
          </w:tcPr>
          <w:p w14:paraId="3A14257D">
            <w:pPr>
              <w:jc w:val="center"/>
              <w:rPr>
                <w:bCs/>
                <w:szCs w:val="21"/>
                <w:highlight w:val="none"/>
              </w:rPr>
            </w:pPr>
            <w:r>
              <w:rPr>
                <w:bCs/>
                <w:szCs w:val="21"/>
                <w:highlight w:val="none"/>
              </w:rPr>
              <w:t>危险概述</w:t>
            </w:r>
          </w:p>
        </w:tc>
        <w:tc>
          <w:tcPr>
            <w:tcW w:w="752" w:type="pct"/>
            <w:tcMar>
              <w:left w:w="108" w:type="dxa"/>
              <w:right w:w="108" w:type="dxa"/>
            </w:tcMar>
            <w:vAlign w:val="center"/>
          </w:tcPr>
          <w:p w14:paraId="52EE81D8">
            <w:pPr>
              <w:jc w:val="center"/>
              <w:rPr>
                <w:bCs/>
                <w:szCs w:val="21"/>
                <w:highlight w:val="none"/>
              </w:rPr>
            </w:pPr>
            <w:r>
              <w:rPr>
                <w:bCs/>
                <w:szCs w:val="21"/>
                <w:highlight w:val="none"/>
              </w:rPr>
              <w:t>概 述：</w:t>
            </w:r>
          </w:p>
        </w:tc>
        <w:tc>
          <w:tcPr>
            <w:tcW w:w="3941" w:type="pct"/>
            <w:gridSpan w:val="7"/>
            <w:tcMar>
              <w:left w:w="108" w:type="dxa"/>
              <w:right w:w="108" w:type="dxa"/>
            </w:tcMar>
            <w:vAlign w:val="center"/>
          </w:tcPr>
          <w:p w14:paraId="056B1EC2">
            <w:pPr>
              <w:jc w:val="center"/>
              <w:rPr>
                <w:bCs/>
                <w:szCs w:val="21"/>
                <w:highlight w:val="none"/>
              </w:rPr>
            </w:pPr>
            <w:r>
              <w:rPr>
                <w:bCs/>
                <w:szCs w:val="21"/>
                <w:highlight w:val="none"/>
              </w:rPr>
              <w:t>极易燃气体，内装加压气体；遇热可分解爆炸，吸入致命。</w:t>
            </w:r>
          </w:p>
        </w:tc>
      </w:tr>
      <w:tr w14:paraId="74C5B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continue"/>
            <w:tcMar>
              <w:left w:w="108" w:type="dxa"/>
              <w:right w:w="108" w:type="dxa"/>
            </w:tcMar>
            <w:vAlign w:val="center"/>
          </w:tcPr>
          <w:p w14:paraId="2062D4BF">
            <w:pPr>
              <w:jc w:val="center"/>
              <w:rPr>
                <w:bCs/>
                <w:szCs w:val="21"/>
                <w:highlight w:val="none"/>
              </w:rPr>
            </w:pPr>
          </w:p>
        </w:tc>
        <w:tc>
          <w:tcPr>
            <w:tcW w:w="752" w:type="pct"/>
            <w:tcMar>
              <w:left w:w="108" w:type="dxa"/>
              <w:right w:w="108" w:type="dxa"/>
            </w:tcMar>
            <w:vAlign w:val="center"/>
          </w:tcPr>
          <w:p w14:paraId="480A03B7">
            <w:pPr>
              <w:jc w:val="center"/>
              <w:rPr>
                <w:bCs/>
                <w:szCs w:val="21"/>
                <w:highlight w:val="none"/>
              </w:rPr>
            </w:pPr>
            <w:r>
              <w:rPr>
                <w:bCs/>
                <w:szCs w:val="21"/>
                <w:highlight w:val="none"/>
              </w:rPr>
              <w:t>危险性类别：</w:t>
            </w:r>
          </w:p>
        </w:tc>
        <w:tc>
          <w:tcPr>
            <w:tcW w:w="3941" w:type="pct"/>
            <w:gridSpan w:val="7"/>
            <w:tcMar>
              <w:left w:w="108" w:type="dxa"/>
              <w:right w:w="108" w:type="dxa"/>
            </w:tcMar>
            <w:vAlign w:val="center"/>
          </w:tcPr>
          <w:p w14:paraId="0C81D866">
            <w:pPr>
              <w:jc w:val="center"/>
              <w:rPr>
                <w:rFonts w:hint="eastAsia" w:eastAsia="宋体"/>
                <w:bCs/>
                <w:szCs w:val="21"/>
                <w:highlight w:val="none"/>
                <w:lang w:eastAsia="zh-CN"/>
              </w:rPr>
            </w:pPr>
            <w:r>
              <w:rPr>
                <w:bCs/>
                <w:szCs w:val="21"/>
                <w:highlight w:val="none"/>
              </w:rPr>
              <w:t>易燃气体，类别1；加压气体；急性毒性－吸入，类别2；危害水生环境－急性危害，类别1</w:t>
            </w:r>
            <w:r>
              <w:rPr>
                <w:rFonts w:hint="eastAsia"/>
                <w:bCs/>
                <w:szCs w:val="21"/>
                <w:highlight w:val="none"/>
                <w:lang w:eastAsia="zh-CN"/>
              </w:rPr>
              <w:t>。</w:t>
            </w:r>
          </w:p>
        </w:tc>
      </w:tr>
      <w:tr w14:paraId="4F9AC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continue"/>
            <w:tcMar>
              <w:left w:w="108" w:type="dxa"/>
              <w:right w:w="108" w:type="dxa"/>
            </w:tcMar>
            <w:vAlign w:val="center"/>
          </w:tcPr>
          <w:p w14:paraId="708ED76B">
            <w:pPr>
              <w:jc w:val="center"/>
              <w:rPr>
                <w:bCs/>
                <w:szCs w:val="21"/>
                <w:highlight w:val="none"/>
              </w:rPr>
            </w:pPr>
          </w:p>
        </w:tc>
        <w:tc>
          <w:tcPr>
            <w:tcW w:w="752" w:type="pct"/>
            <w:vMerge w:val="restart"/>
            <w:tcMar>
              <w:left w:w="108" w:type="dxa"/>
              <w:right w:w="108" w:type="dxa"/>
            </w:tcMar>
            <w:vAlign w:val="center"/>
          </w:tcPr>
          <w:p w14:paraId="7D0437F3">
            <w:pPr>
              <w:jc w:val="center"/>
              <w:rPr>
                <w:bCs/>
                <w:szCs w:val="21"/>
                <w:highlight w:val="none"/>
              </w:rPr>
            </w:pPr>
            <w:r>
              <w:rPr>
                <w:bCs/>
                <w:szCs w:val="21"/>
                <w:highlight w:val="none"/>
              </w:rPr>
              <w:t>防范说明：</w:t>
            </w:r>
          </w:p>
        </w:tc>
        <w:tc>
          <w:tcPr>
            <w:tcW w:w="3941" w:type="pct"/>
            <w:gridSpan w:val="7"/>
            <w:tcMar>
              <w:left w:w="108" w:type="dxa"/>
              <w:right w:w="108" w:type="dxa"/>
            </w:tcMar>
            <w:vAlign w:val="center"/>
          </w:tcPr>
          <w:p w14:paraId="3473333D">
            <w:pPr>
              <w:jc w:val="center"/>
              <w:rPr>
                <w:bCs/>
                <w:szCs w:val="21"/>
                <w:highlight w:val="none"/>
              </w:rPr>
            </w:pPr>
            <w:r>
              <w:rPr>
                <w:bCs/>
                <w:szCs w:val="21"/>
                <w:highlight w:val="none"/>
              </w:rPr>
              <w:t>预防措施：远离热源、火花、明火、热表面</w:t>
            </w:r>
            <w:r>
              <w:rPr>
                <w:rFonts w:hint="eastAsia"/>
                <w:bCs/>
                <w:szCs w:val="21"/>
                <w:highlight w:val="none"/>
                <w:lang w:eastAsia="zh-CN"/>
              </w:rPr>
              <w:t>等</w:t>
            </w:r>
            <w:r>
              <w:rPr>
                <w:bCs/>
                <w:szCs w:val="21"/>
                <w:highlight w:val="none"/>
              </w:rPr>
              <w:t>。禁止吸烟。避免吸入气体。仅在室外或通风良好处操作。戴呼吸防护器具。禁止进入环境。</w:t>
            </w:r>
            <w:r>
              <w:rPr>
                <w:bCs/>
                <w:szCs w:val="21"/>
                <w:highlight w:val="none"/>
              </w:rPr>
              <w:br w:type="textWrapping"/>
            </w:r>
            <w:r>
              <w:rPr>
                <w:bCs/>
                <w:szCs w:val="21"/>
                <w:highlight w:val="none"/>
              </w:rPr>
              <w:t>事故响应：遇火着</w:t>
            </w:r>
            <w:r>
              <w:rPr>
                <w:rFonts w:hint="eastAsia"/>
                <w:bCs/>
                <w:szCs w:val="21"/>
                <w:highlight w:val="none"/>
                <w:lang w:eastAsia="zh-CN"/>
              </w:rPr>
              <w:t>火</w:t>
            </w:r>
            <w:r>
              <w:rPr>
                <w:bCs/>
                <w:szCs w:val="21"/>
                <w:highlight w:val="none"/>
              </w:rPr>
              <w:t>：切勿灭火，除非漏气能够安全地制止。如果没有危险，清除一切</w:t>
            </w:r>
            <w:r>
              <w:rPr>
                <w:rFonts w:hint="eastAsia"/>
                <w:bCs/>
                <w:szCs w:val="21"/>
                <w:highlight w:val="none"/>
                <w:lang w:eastAsia="zh-CN"/>
              </w:rPr>
              <w:t>火</w:t>
            </w:r>
            <w:r>
              <w:rPr>
                <w:bCs/>
                <w:szCs w:val="21"/>
                <w:highlight w:val="none"/>
              </w:rPr>
              <w:t>源。将患者转移到空气新鲜处、休息，保持利于呼吸的体位，立即呼叫中毒控制中心或就医。收集泄漏物。</w:t>
            </w:r>
            <w:r>
              <w:rPr>
                <w:bCs/>
                <w:szCs w:val="21"/>
                <w:highlight w:val="none"/>
              </w:rPr>
              <w:br w:type="textWrapping"/>
            </w:r>
            <w:r>
              <w:rPr>
                <w:bCs/>
                <w:szCs w:val="21"/>
                <w:highlight w:val="none"/>
              </w:rPr>
              <w:t>安全储存：日晒。存放于通风良好的地方。保持容器密闭。上锁保管。</w:t>
            </w:r>
            <w:r>
              <w:rPr>
                <w:bCs/>
                <w:szCs w:val="21"/>
                <w:highlight w:val="none"/>
              </w:rPr>
              <w:br w:type="textWrapping"/>
            </w:r>
            <w:r>
              <w:rPr>
                <w:bCs/>
                <w:szCs w:val="21"/>
                <w:highlight w:val="none"/>
              </w:rPr>
              <w:t>废弃处置：本品及内装物、容器依据国家和</w:t>
            </w:r>
            <w:r>
              <w:rPr>
                <w:rFonts w:hint="eastAsia"/>
                <w:bCs/>
                <w:szCs w:val="21"/>
                <w:highlight w:val="none"/>
                <w:lang w:eastAsia="zh-CN"/>
              </w:rPr>
              <w:t>地方性法规</w:t>
            </w:r>
            <w:r>
              <w:rPr>
                <w:bCs/>
                <w:szCs w:val="21"/>
                <w:highlight w:val="none"/>
              </w:rPr>
              <w:t>处置。</w:t>
            </w:r>
          </w:p>
        </w:tc>
      </w:tr>
      <w:tr w14:paraId="763D6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continue"/>
            <w:tcMar>
              <w:left w:w="108" w:type="dxa"/>
              <w:right w:w="108" w:type="dxa"/>
            </w:tcMar>
            <w:vAlign w:val="center"/>
          </w:tcPr>
          <w:p w14:paraId="08836D6A">
            <w:pPr>
              <w:jc w:val="center"/>
              <w:rPr>
                <w:bCs/>
                <w:szCs w:val="21"/>
                <w:highlight w:val="none"/>
              </w:rPr>
            </w:pPr>
          </w:p>
        </w:tc>
        <w:tc>
          <w:tcPr>
            <w:tcW w:w="752" w:type="pct"/>
            <w:vMerge w:val="continue"/>
            <w:tcMar>
              <w:left w:w="108" w:type="dxa"/>
              <w:right w:w="108" w:type="dxa"/>
            </w:tcMar>
            <w:vAlign w:val="center"/>
          </w:tcPr>
          <w:p w14:paraId="66A22A7B">
            <w:pPr>
              <w:jc w:val="center"/>
              <w:rPr>
                <w:bCs/>
                <w:szCs w:val="21"/>
                <w:highlight w:val="none"/>
              </w:rPr>
            </w:pPr>
          </w:p>
        </w:tc>
        <w:tc>
          <w:tcPr>
            <w:tcW w:w="3941" w:type="pct"/>
            <w:gridSpan w:val="7"/>
            <w:tcMar>
              <w:left w:w="108" w:type="dxa"/>
              <w:right w:w="108" w:type="dxa"/>
            </w:tcMar>
            <w:vAlign w:val="center"/>
          </w:tcPr>
          <w:p w14:paraId="497849C1">
            <w:pPr>
              <w:jc w:val="center"/>
              <w:rPr>
                <w:bCs/>
                <w:szCs w:val="21"/>
                <w:highlight w:val="none"/>
              </w:rPr>
            </w:pPr>
            <w:r>
              <w:rPr>
                <w:bCs/>
                <w:szCs w:val="21"/>
                <w:highlight w:val="none"/>
              </w:rPr>
              <w:t>物理和化学危险：极易燃烧，与空气混合能形成爆炸性混合物。</w:t>
            </w:r>
          </w:p>
        </w:tc>
      </w:tr>
      <w:tr w14:paraId="59481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continue"/>
            <w:tcMar>
              <w:left w:w="108" w:type="dxa"/>
              <w:right w:w="108" w:type="dxa"/>
            </w:tcMar>
            <w:vAlign w:val="center"/>
          </w:tcPr>
          <w:p w14:paraId="095F733B">
            <w:pPr>
              <w:jc w:val="center"/>
              <w:rPr>
                <w:bCs/>
                <w:szCs w:val="21"/>
                <w:highlight w:val="none"/>
              </w:rPr>
            </w:pPr>
          </w:p>
        </w:tc>
        <w:tc>
          <w:tcPr>
            <w:tcW w:w="752" w:type="pct"/>
            <w:vMerge w:val="continue"/>
            <w:tcMar>
              <w:left w:w="108" w:type="dxa"/>
              <w:right w:w="108" w:type="dxa"/>
            </w:tcMar>
            <w:vAlign w:val="center"/>
          </w:tcPr>
          <w:p w14:paraId="0AABFDC7">
            <w:pPr>
              <w:jc w:val="center"/>
              <w:rPr>
                <w:bCs/>
                <w:szCs w:val="21"/>
                <w:highlight w:val="none"/>
              </w:rPr>
            </w:pPr>
          </w:p>
        </w:tc>
        <w:tc>
          <w:tcPr>
            <w:tcW w:w="3941" w:type="pct"/>
            <w:gridSpan w:val="7"/>
            <w:tcMar>
              <w:left w:w="108" w:type="dxa"/>
              <w:right w:w="108" w:type="dxa"/>
            </w:tcMar>
            <w:vAlign w:val="center"/>
          </w:tcPr>
          <w:p w14:paraId="0F8A6F7E">
            <w:pPr>
              <w:jc w:val="center"/>
              <w:rPr>
                <w:bCs/>
                <w:szCs w:val="21"/>
                <w:highlight w:val="none"/>
              </w:rPr>
            </w:pPr>
            <w:r>
              <w:rPr>
                <w:bCs/>
                <w:szCs w:val="21"/>
                <w:highlight w:val="none"/>
              </w:rPr>
              <w:t>本品是强烈的神经毒物，对黏膜有强烈刺激作用。吸入中毒：接触者表现为眼圈出现潮红、羞明、流泪、结膜充血、咽喉灼热感、咳嗽等和上呼吸道感染表现，或头痛头晕、乏力、恶心等神经系统症状，脱离接触并在短时间内消失。具有下列情况之一者</w:t>
            </w:r>
            <w:r>
              <w:rPr>
                <w:rFonts w:hint="eastAsia"/>
                <w:bCs/>
                <w:szCs w:val="21"/>
                <w:highlight w:val="none"/>
                <w:lang w:eastAsia="zh-CN"/>
              </w:rPr>
              <w:t>为</w:t>
            </w:r>
            <w:r>
              <w:rPr>
                <w:bCs/>
                <w:szCs w:val="21"/>
                <w:highlight w:val="none"/>
              </w:rPr>
              <w:t>急性轻度中毒：出现明显的头痛、头晕、乏力等症状，并出现轻度至中度意识障碍；出现急性气管炎、支气管炎或支气管周围炎。具有下列情况之一者为中度中毒：意识障碍或昏迷；出现急性支气管肺炎。具有下列情况之一者为重度中毒：意识障碍或昏迷达深昏迷或植物状态；肺水肿；多器官衰竭；死亡。浓度限值1000mg/m</w:t>
            </w:r>
            <w:r>
              <w:rPr>
                <w:bCs/>
                <w:szCs w:val="21"/>
                <w:highlight w:val="none"/>
                <w:vertAlign w:val="superscript"/>
              </w:rPr>
              <w:t>3</w:t>
            </w:r>
            <w:r>
              <w:rPr>
                <w:bCs/>
                <w:szCs w:val="21"/>
                <w:highlight w:val="none"/>
              </w:rPr>
              <w:t>以上接触硫化氢时可在数秒内突然昏迷，呼吸和心跳停止，发生电击死亡。严重中毒可留有神经、精神后遗症。慢性影响长期接触低浓度的硫化氢，可引起神经衰弱综合征和植物神经功能紊乱等。</w:t>
            </w:r>
          </w:p>
        </w:tc>
      </w:tr>
      <w:tr w14:paraId="316B8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continue"/>
            <w:tcMar>
              <w:left w:w="108" w:type="dxa"/>
              <w:right w:w="108" w:type="dxa"/>
            </w:tcMar>
            <w:vAlign w:val="center"/>
          </w:tcPr>
          <w:p w14:paraId="162FFFB4">
            <w:pPr>
              <w:jc w:val="center"/>
              <w:rPr>
                <w:bCs/>
                <w:szCs w:val="21"/>
                <w:highlight w:val="none"/>
              </w:rPr>
            </w:pPr>
          </w:p>
        </w:tc>
        <w:tc>
          <w:tcPr>
            <w:tcW w:w="752" w:type="pct"/>
            <w:vMerge w:val="continue"/>
            <w:tcMar>
              <w:left w:w="108" w:type="dxa"/>
              <w:right w:w="108" w:type="dxa"/>
            </w:tcMar>
            <w:vAlign w:val="center"/>
          </w:tcPr>
          <w:p w14:paraId="2D10E4DE">
            <w:pPr>
              <w:jc w:val="center"/>
              <w:rPr>
                <w:bCs/>
                <w:szCs w:val="21"/>
                <w:highlight w:val="none"/>
              </w:rPr>
            </w:pPr>
          </w:p>
        </w:tc>
        <w:tc>
          <w:tcPr>
            <w:tcW w:w="723" w:type="pct"/>
            <w:gridSpan w:val="2"/>
            <w:tcMar>
              <w:left w:w="108" w:type="dxa"/>
              <w:right w:w="108" w:type="dxa"/>
            </w:tcMar>
            <w:vAlign w:val="center"/>
          </w:tcPr>
          <w:p w14:paraId="77A028C0">
            <w:pPr>
              <w:jc w:val="center"/>
              <w:rPr>
                <w:bCs/>
                <w:szCs w:val="21"/>
                <w:highlight w:val="none"/>
              </w:rPr>
            </w:pPr>
            <w:r>
              <w:rPr>
                <w:bCs/>
                <w:szCs w:val="21"/>
                <w:highlight w:val="none"/>
              </w:rPr>
              <w:t>健康危害：</w:t>
            </w:r>
          </w:p>
        </w:tc>
        <w:tc>
          <w:tcPr>
            <w:tcW w:w="3217" w:type="pct"/>
            <w:gridSpan w:val="5"/>
            <w:tcMar>
              <w:left w:w="108" w:type="dxa"/>
              <w:right w:w="108" w:type="dxa"/>
            </w:tcMar>
            <w:vAlign w:val="center"/>
          </w:tcPr>
          <w:p w14:paraId="077819A8">
            <w:pPr>
              <w:jc w:val="center"/>
              <w:rPr>
                <w:bCs/>
                <w:szCs w:val="21"/>
                <w:highlight w:val="none"/>
              </w:rPr>
            </w:pPr>
            <w:r>
              <w:rPr>
                <w:bCs/>
                <w:szCs w:val="21"/>
                <w:highlight w:val="none"/>
              </w:rPr>
              <w:t>对水生物毒性非常大。</w:t>
            </w:r>
          </w:p>
        </w:tc>
      </w:tr>
      <w:tr w14:paraId="134A3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continue"/>
            <w:tcMar>
              <w:left w:w="108" w:type="dxa"/>
              <w:right w:w="108" w:type="dxa"/>
            </w:tcMar>
            <w:vAlign w:val="center"/>
          </w:tcPr>
          <w:p w14:paraId="7F0CDD9E">
            <w:pPr>
              <w:jc w:val="center"/>
              <w:rPr>
                <w:bCs/>
                <w:szCs w:val="21"/>
                <w:highlight w:val="none"/>
              </w:rPr>
            </w:pPr>
          </w:p>
        </w:tc>
        <w:tc>
          <w:tcPr>
            <w:tcW w:w="752" w:type="pct"/>
            <w:vMerge w:val="continue"/>
            <w:tcMar>
              <w:left w:w="108" w:type="dxa"/>
              <w:right w:w="108" w:type="dxa"/>
            </w:tcMar>
            <w:vAlign w:val="center"/>
          </w:tcPr>
          <w:p w14:paraId="5BF9F5F3">
            <w:pPr>
              <w:jc w:val="center"/>
              <w:rPr>
                <w:bCs/>
                <w:szCs w:val="21"/>
                <w:highlight w:val="none"/>
              </w:rPr>
            </w:pPr>
          </w:p>
        </w:tc>
        <w:tc>
          <w:tcPr>
            <w:tcW w:w="723" w:type="pct"/>
            <w:gridSpan w:val="2"/>
            <w:tcMar>
              <w:left w:w="108" w:type="dxa"/>
              <w:right w:w="108" w:type="dxa"/>
            </w:tcMar>
            <w:vAlign w:val="center"/>
          </w:tcPr>
          <w:p w14:paraId="7B455D67">
            <w:pPr>
              <w:jc w:val="center"/>
              <w:rPr>
                <w:bCs/>
                <w:szCs w:val="21"/>
                <w:highlight w:val="none"/>
              </w:rPr>
            </w:pPr>
            <w:r>
              <w:rPr>
                <w:bCs/>
                <w:szCs w:val="21"/>
                <w:highlight w:val="none"/>
              </w:rPr>
              <w:t>环境危害：</w:t>
            </w:r>
          </w:p>
        </w:tc>
        <w:tc>
          <w:tcPr>
            <w:tcW w:w="3217" w:type="pct"/>
            <w:gridSpan w:val="5"/>
            <w:tcMar>
              <w:left w:w="108" w:type="dxa"/>
              <w:right w:w="108" w:type="dxa"/>
            </w:tcMar>
            <w:vAlign w:val="center"/>
          </w:tcPr>
          <w:p w14:paraId="71049F10">
            <w:pPr>
              <w:jc w:val="center"/>
              <w:rPr>
                <w:bCs/>
                <w:szCs w:val="21"/>
                <w:highlight w:val="none"/>
              </w:rPr>
            </w:pPr>
            <w:r>
              <w:rPr>
                <w:bCs/>
                <w:szCs w:val="21"/>
                <w:highlight w:val="none"/>
              </w:rPr>
              <w:t>对水生物毒性非常大。</w:t>
            </w:r>
          </w:p>
        </w:tc>
      </w:tr>
      <w:tr w14:paraId="6E35A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continue"/>
            <w:tcMar>
              <w:left w:w="108" w:type="dxa"/>
              <w:right w:w="108" w:type="dxa"/>
            </w:tcMar>
            <w:vAlign w:val="center"/>
          </w:tcPr>
          <w:p w14:paraId="5D3D42A9">
            <w:pPr>
              <w:jc w:val="center"/>
              <w:rPr>
                <w:bCs/>
                <w:szCs w:val="21"/>
                <w:highlight w:val="none"/>
              </w:rPr>
            </w:pPr>
          </w:p>
        </w:tc>
        <w:tc>
          <w:tcPr>
            <w:tcW w:w="1476" w:type="pct"/>
            <w:gridSpan w:val="3"/>
            <w:tcMar>
              <w:left w:w="108" w:type="dxa"/>
              <w:right w:w="108" w:type="dxa"/>
            </w:tcMar>
            <w:vAlign w:val="center"/>
          </w:tcPr>
          <w:p w14:paraId="70CFD9D4">
            <w:pPr>
              <w:jc w:val="center"/>
              <w:rPr>
                <w:bCs/>
                <w:szCs w:val="21"/>
                <w:highlight w:val="none"/>
              </w:rPr>
            </w:pPr>
            <w:r>
              <w:rPr>
                <w:bCs/>
                <w:szCs w:val="21"/>
                <w:highlight w:val="none"/>
              </w:rPr>
              <w:t>成分/组成信息</w:t>
            </w:r>
          </w:p>
        </w:tc>
        <w:tc>
          <w:tcPr>
            <w:tcW w:w="3217" w:type="pct"/>
            <w:gridSpan w:val="5"/>
            <w:tcMar>
              <w:left w:w="108" w:type="dxa"/>
              <w:right w:w="108" w:type="dxa"/>
            </w:tcMar>
            <w:vAlign w:val="center"/>
          </w:tcPr>
          <w:p w14:paraId="72B1F1C6">
            <w:pPr>
              <w:jc w:val="center"/>
              <w:rPr>
                <w:bCs/>
                <w:szCs w:val="21"/>
                <w:highlight w:val="none"/>
              </w:rPr>
            </w:pPr>
            <w:r>
              <w:rPr>
                <w:bCs/>
                <w:szCs w:val="21"/>
                <w:highlight w:val="none"/>
              </w:rPr>
              <w:t>物质</w:t>
            </w:r>
            <w:r>
              <w:rPr>
                <w:rFonts w:hint="eastAsia"/>
                <w:bCs/>
                <w:szCs w:val="21"/>
                <w:highlight w:val="none"/>
                <w:lang w:eastAsia="zh-CN"/>
              </w:rPr>
              <w:t>□</w:t>
            </w:r>
            <w:r>
              <w:rPr>
                <w:bCs/>
                <w:szCs w:val="21"/>
                <w:highlight w:val="none"/>
              </w:rPr>
              <w:t>混合物：</w:t>
            </w:r>
          </w:p>
        </w:tc>
      </w:tr>
      <w:tr w14:paraId="6C6AA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continue"/>
            <w:tcMar>
              <w:left w:w="108" w:type="dxa"/>
              <w:right w:w="108" w:type="dxa"/>
            </w:tcMar>
            <w:vAlign w:val="center"/>
          </w:tcPr>
          <w:p w14:paraId="24DA5B77">
            <w:pPr>
              <w:jc w:val="center"/>
              <w:rPr>
                <w:bCs/>
                <w:szCs w:val="21"/>
                <w:highlight w:val="none"/>
              </w:rPr>
            </w:pPr>
          </w:p>
        </w:tc>
        <w:tc>
          <w:tcPr>
            <w:tcW w:w="752" w:type="pct"/>
            <w:vMerge w:val="restart"/>
            <w:tcMar>
              <w:left w:w="108" w:type="dxa"/>
              <w:right w:w="108" w:type="dxa"/>
            </w:tcMar>
            <w:vAlign w:val="center"/>
          </w:tcPr>
          <w:p w14:paraId="58B7AC5A">
            <w:pPr>
              <w:jc w:val="center"/>
              <w:rPr>
                <w:bCs/>
                <w:szCs w:val="21"/>
                <w:highlight w:val="none"/>
              </w:rPr>
            </w:pPr>
            <w:r>
              <w:rPr>
                <w:bCs/>
                <w:szCs w:val="21"/>
                <w:highlight w:val="none"/>
              </w:rPr>
              <w:t>急救措施</w:t>
            </w:r>
          </w:p>
        </w:tc>
        <w:tc>
          <w:tcPr>
            <w:tcW w:w="723" w:type="pct"/>
            <w:gridSpan w:val="2"/>
            <w:tcMar>
              <w:left w:w="108" w:type="dxa"/>
              <w:right w:w="108" w:type="dxa"/>
            </w:tcMar>
            <w:vAlign w:val="center"/>
          </w:tcPr>
          <w:p w14:paraId="5D861103">
            <w:pPr>
              <w:jc w:val="center"/>
              <w:rPr>
                <w:bCs/>
                <w:szCs w:val="21"/>
                <w:highlight w:val="none"/>
              </w:rPr>
            </w:pPr>
            <w:r>
              <w:rPr>
                <w:bCs/>
                <w:szCs w:val="21"/>
                <w:highlight w:val="none"/>
              </w:rPr>
              <w:t>吸入：</w:t>
            </w:r>
          </w:p>
        </w:tc>
        <w:tc>
          <w:tcPr>
            <w:tcW w:w="3217" w:type="pct"/>
            <w:gridSpan w:val="5"/>
            <w:tcMar>
              <w:left w:w="108" w:type="dxa"/>
              <w:right w:w="108" w:type="dxa"/>
            </w:tcMar>
            <w:vAlign w:val="center"/>
          </w:tcPr>
          <w:p w14:paraId="036AF4AA">
            <w:pPr>
              <w:jc w:val="center"/>
              <w:rPr>
                <w:rFonts w:hint="eastAsia" w:eastAsia="宋体"/>
                <w:bCs/>
                <w:szCs w:val="21"/>
                <w:highlight w:val="none"/>
                <w:lang w:eastAsia="zh-CN"/>
              </w:rPr>
            </w:pPr>
            <w:r>
              <w:rPr>
                <w:bCs/>
                <w:szCs w:val="21"/>
                <w:highlight w:val="none"/>
              </w:rPr>
              <w:t>迅速脱离现场至空气新鲜处。保持呼吸道通畅。</w:t>
            </w:r>
            <w:r>
              <w:rPr>
                <w:rFonts w:hint="eastAsia"/>
                <w:bCs/>
                <w:szCs w:val="21"/>
                <w:highlight w:val="none"/>
                <w:lang w:eastAsia="zh-CN"/>
              </w:rPr>
              <w:t>如果患者感到</w:t>
            </w:r>
            <w:r>
              <w:rPr>
                <w:bCs/>
                <w:szCs w:val="21"/>
                <w:highlight w:val="none"/>
              </w:rPr>
              <w:t>呼吸困难，</w:t>
            </w:r>
            <w:r>
              <w:rPr>
                <w:rFonts w:hint="eastAsia"/>
                <w:bCs/>
                <w:szCs w:val="21"/>
                <w:highlight w:val="none"/>
                <w:lang w:eastAsia="zh-CN"/>
              </w:rPr>
              <w:t>应该</w:t>
            </w:r>
            <w:r>
              <w:rPr>
                <w:bCs/>
                <w:szCs w:val="21"/>
                <w:highlight w:val="none"/>
              </w:rPr>
              <w:t>给</w:t>
            </w:r>
            <w:r>
              <w:rPr>
                <w:rFonts w:hint="eastAsia"/>
                <w:bCs/>
                <w:szCs w:val="21"/>
                <w:highlight w:val="none"/>
                <w:lang w:eastAsia="zh-CN"/>
              </w:rPr>
              <w:t>患者</w:t>
            </w:r>
            <w:r>
              <w:rPr>
                <w:bCs/>
                <w:szCs w:val="21"/>
                <w:highlight w:val="none"/>
              </w:rPr>
              <w:t>输氧。如呼吸心跳停止，立即进行心肺复苏术（避免口对口人工呼吸）。就医</w:t>
            </w:r>
            <w:r>
              <w:rPr>
                <w:rFonts w:hint="eastAsia"/>
                <w:bCs/>
                <w:szCs w:val="21"/>
                <w:highlight w:val="none"/>
                <w:lang w:eastAsia="zh-CN"/>
              </w:rPr>
              <w:t>。</w:t>
            </w:r>
          </w:p>
        </w:tc>
      </w:tr>
      <w:tr w14:paraId="199C2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continue"/>
            <w:tcMar>
              <w:left w:w="108" w:type="dxa"/>
              <w:right w:w="108" w:type="dxa"/>
            </w:tcMar>
            <w:vAlign w:val="center"/>
          </w:tcPr>
          <w:p w14:paraId="6F3959BD">
            <w:pPr>
              <w:jc w:val="center"/>
              <w:rPr>
                <w:bCs/>
                <w:szCs w:val="21"/>
                <w:highlight w:val="none"/>
              </w:rPr>
            </w:pPr>
          </w:p>
        </w:tc>
        <w:tc>
          <w:tcPr>
            <w:tcW w:w="752" w:type="pct"/>
            <w:vMerge w:val="continue"/>
            <w:tcMar>
              <w:left w:w="108" w:type="dxa"/>
              <w:right w:w="108" w:type="dxa"/>
            </w:tcMar>
            <w:vAlign w:val="center"/>
          </w:tcPr>
          <w:p w14:paraId="7D973A98">
            <w:pPr>
              <w:jc w:val="center"/>
              <w:rPr>
                <w:bCs/>
                <w:szCs w:val="21"/>
                <w:highlight w:val="none"/>
              </w:rPr>
            </w:pPr>
          </w:p>
        </w:tc>
        <w:tc>
          <w:tcPr>
            <w:tcW w:w="723" w:type="pct"/>
            <w:gridSpan w:val="2"/>
            <w:tcMar>
              <w:left w:w="108" w:type="dxa"/>
              <w:right w:w="108" w:type="dxa"/>
            </w:tcMar>
            <w:vAlign w:val="center"/>
          </w:tcPr>
          <w:p w14:paraId="69B763BF">
            <w:pPr>
              <w:jc w:val="center"/>
              <w:rPr>
                <w:bCs/>
                <w:szCs w:val="21"/>
                <w:highlight w:val="none"/>
              </w:rPr>
            </w:pPr>
            <w:r>
              <w:rPr>
                <w:bCs/>
                <w:szCs w:val="21"/>
                <w:highlight w:val="none"/>
              </w:rPr>
              <w:t>皮肤接触：</w:t>
            </w:r>
          </w:p>
        </w:tc>
        <w:tc>
          <w:tcPr>
            <w:tcW w:w="3217" w:type="pct"/>
            <w:gridSpan w:val="5"/>
            <w:tcMar>
              <w:left w:w="108" w:type="dxa"/>
              <w:right w:w="108" w:type="dxa"/>
            </w:tcMar>
            <w:vAlign w:val="center"/>
          </w:tcPr>
          <w:p w14:paraId="221D5C1F">
            <w:pPr>
              <w:jc w:val="center"/>
              <w:rPr>
                <w:bCs/>
                <w:szCs w:val="21"/>
                <w:highlight w:val="none"/>
              </w:rPr>
            </w:pPr>
            <w:r>
              <w:rPr>
                <w:bCs/>
                <w:szCs w:val="21"/>
                <w:highlight w:val="none"/>
              </w:rPr>
              <w:t>立即脱去污染衣着，用流动清水彻底冲洗就医。</w:t>
            </w:r>
          </w:p>
        </w:tc>
      </w:tr>
      <w:tr w14:paraId="072FD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continue"/>
            <w:tcMar>
              <w:left w:w="108" w:type="dxa"/>
              <w:right w:w="108" w:type="dxa"/>
            </w:tcMar>
            <w:vAlign w:val="center"/>
          </w:tcPr>
          <w:p w14:paraId="2F40D723">
            <w:pPr>
              <w:jc w:val="center"/>
              <w:rPr>
                <w:bCs/>
                <w:szCs w:val="21"/>
                <w:highlight w:val="none"/>
              </w:rPr>
            </w:pPr>
          </w:p>
        </w:tc>
        <w:tc>
          <w:tcPr>
            <w:tcW w:w="752" w:type="pct"/>
            <w:vMerge w:val="continue"/>
            <w:tcMar>
              <w:left w:w="108" w:type="dxa"/>
              <w:right w:w="108" w:type="dxa"/>
            </w:tcMar>
            <w:vAlign w:val="center"/>
          </w:tcPr>
          <w:p w14:paraId="446319C0">
            <w:pPr>
              <w:jc w:val="center"/>
              <w:rPr>
                <w:bCs/>
                <w:szCs w:val="21"/>
                <w:highlight w:val="none"/>
              </w:rPr>
            </w:pPr>
          </w:p>
        </w:tc>
        <w:tc>
          <w:tcPr>
            <w:tcW w:w="723" w:type="pct"/>
            <w:gridSpan w:val="2"/>
            <w:tcMar>
              <w:left w:w="108" w:type="dxa"/>
              <w:right w:w="108" w:type="dxa"/>
            </w:tcMar>
            <w:vAlign w:val="center"/>
          </w:tcPr>
          <w:p w14:paraId="7B72B140">
            <w:pPr>
              <w:jc w:val="center"/>
              <w:rPr>
                <w:bCs/>
                <w:szCs w:val="21"/>
                <w:highlight w:val="none"/>
              </w:rPr>
            </w:pPr>
            <w:r>
              <w:rPr>
                <w:bCs/>
                <w:szCs w:val="21"/>
                <w:highlight w:val="none"/>
              </w:rPr>
              <w:t>眼睛接触：</w:t>
            </w:r>
          </w:p>
        </w:tc>
        <w:tc>
          <w:tcPr>
            <w:tcW w:w="3217" w:type="pct"/>
            <w:gridSpan w:val="5"/>
            <w:tcMar>
              <w:left w:w="108" w:type="dxa"/>
              <w:right w:w="108" w:type="dxa"/>
            </w:tcMar>
            <w:vAlign w:val="center"/>
          </w:tcPr>
          <w:p w14:paraId="2E16F4A2">
            <w:pPr>
              <w:jc w:val="center"/>
              <w:rPr>
                <w:bCs/>
                <w:szCs w:val="21"/>
                <w:highlight w:val="none"/>
              </w:rPr>
            </w:pPr>
            <w:r>
              <w:rPr>
                <w:bCs/>
                <w:szCs w:val="21"/>
                <w:highlight w:val="none"/>
              </w:rPr>
              <w:t>立即分开眼睑，用流动清水和生理盐水彻底冲洗5~10min</w:t>
            </w:r>
            <w:r>
              <w:rPr>
                <w:rFonts w:hint="eastAsia"/>
                <w:bCs/>
                <w:szCs w:val="21"/>
                <w:highlight w:val="none"/>
                <w:lang w:eastAsia="zh-CN"/>
              </w:rPr>
              <w:t>，</w:t>
            </w:r>
            <w:r>
              <w:rPr>
                <w:bCs/>
                <w:szCs w:val="21"/>
                <w:highlight w:val="none"/>
              </w:rPr>
              <w:t>就医。</w:t>
            </w:r>
          </w:p>
        </w:tc>
      </w:tr>
      <w:tr w14:paraId="4F818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continue"/>
            <w:tcMar>
              <w:left w:w="108" w:type="dxa"/>
              <w:right w:w="108" w:type="dxa"/>
            </w:tcMar>
            <w:vAlign w:val="center"/>
          </w:tcPr>
          <w:p w14:paraId="2D3DB84C">
            <w:pPr>
              <w:jc w:val="center"/>
              <w:rPr>
                <w:bCs/>
                <w:szCs w:val="21"/>
                <w:highlight w:val="none"/>
              </w:rPr>
            </w:pPr>
          </w:p>
        </w:tc>
        <w:tc>
          <w:tcPr>
            <w:tcW w:w="752" w:type="pct"/>
            <w:vMerge w:val="continue"/>
            <w:tcMar>
              <w:left w:w="108" w:type="dxa"/>
              <w:right w:w="108" w:type="dxa"/>
            </w:tcMar>
            <w:vAlign w:val="center"/>
          </w:tcPr>
          <w:p w14:paraId="4E2D01A5">
            <w:pPr>
              <w:jc w:val="center"/>
              <w:rPr>
                <w:bCs/>
                <w:szCs w:val="21"/>
                <w:highlight w:val="none"/>
              </w:rPr>
            </w:pPr>
          </w:p>
        </w:tc>
        <w:tc>
          <w:tcPr>
            <w:tcW w:w="723" w:type="pct"/>
            <w:gridSpan w:val="2"/>
            <w:tcMar>
              <w:left w:w="108" w:type="dxa"/>
              <w:right w:w="108" w:type="dxa"/>
            </w:tcMar>
            <w:vAlign w:val="center"/>
          </w:tcPr>
          <w:p w14:paraId="3F481C00">
            <w:pPr>
              <w:jc w:val="center"/>
              <w:rPr>
                <w:rFonts w:hint="default"/>
                <w:bCs/>
                <w:szCs w:val="21"/>
                <w:highlight w:val="none"/>
                <w:lang w:val="en-US" w:eastAsia="zh-CN"/>
              </w:rPr>
            </w:pPr>
            <w:r>
              <w:rPr>
                <w:rFonts w:hint="eastAsia"/>
                <w:bCs/>
                <w:szCs w:val="21"/>
                <w:highlight w:val="none"/>
                <w:lang w:val="en-US" w:eastAsia="zh-CN"/>
              </w:rPr>
              <w:t>食入</w:t>
            </w:r>
          </w:p>
        </w:tc>
        <w:tc>
          <w:tcPr>
            <w:tcW w:w="3217" w:type="pct"/>
            <w:gridSpan w:val="5"/>
            <w:tcMar>
              <w:left w:w="108" w:type="dxa"/>
              <w:right w:w="108" w:type="dxa"/>
            </w:tcMar>
            <w:vAlign w:val="center"/>
          </w:tcPr>
          <w:p w14:paraId="774358FE">
            <w:pPr>
              <w:jc w:val="center"/>
              <w:rPr>
                <w:rFonts w:hint="eastAsia"/>
                <w:bCs/>
                <w:szCs w:val="21"/>
                <w:highlight w:val="none"/>
                <w:lang w:val="en-US" w:eastAsia="zh-CN"/>
              </w:rPr>
            </w:pPr>
            <w:r>
              <w:rPr>
                <w:rFonts w:hint="eastAsia"/>
                <w:bCs/>
                <w:szCs w:val="21"/>
                <w:highlight w:val="none"/>
                <w:lang w:val="en-US" w:eastAsia="zh-CN"/>
              </w:rPr>
              <w:t>/</w:t>
            </w:r>
          </w:p>
        </w:tc>
      </w:tr>
      <w:tr w14:paraId="33BC2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continue"/>
            <w:tcMar>
              <w:left w:w="108" w:type="dxa"/>
              <w:right w:w="108" w:type="dxa"/>
            </w:tcMar>
            <w:vAlign w:val="center"/>
          </w:tcPr>
          <w:p w14:paraId="5BAE84CE">
            <w:pPr>
              <w:jc w:val="center"/>
              <w:rPr>
                <w:bCs/>
                <w:szCs w:val="21"/>
                <w:highlight w:val="none"/>
              </w:rPr>
            </w:pPr>
          </w:p>
        </w:tc>
        <w:tc>
          <w:tcPr>
            <w:tcW w:w="752" w:type="pct"/>
            <w:tcMar>
              <w:left w:w="108" w:type="dxa"/>
              <w:right w:w="108" w:type="dxa"/>
            </w:tcMar>
            <w:vAlign w:val="center"/>
          </w:tcPr>
          <w:p w14:paraId="40877D7E">
            <w:pPr>
              <w:jc w:val="center"/>
              <w:rPr>
                <w:bCs/>
                <w:szCs w:val="21"/>
                <w:highlight w:val="none"/>
              </w:rPr>
            </w:pPr>
            <w:r>
              <w:rPr>
                <w:bCs/>
                <w:szCs w:val="21"/>
                <w:highlight w:val="none"/>
              </w:rPr>
              <w:t>灭火剂：</w:t>
            </w:r>
          </w:p>
        </w:tc>
        <w:tc>
          <w:tcPr>
            <w:tcW w:w="3941" w:type="pct"/>
            <w:gridSpan w:val="7"/>
            <w:tcMar>
              <w:left w:w="108" w:type="dxa"/>
              <w:right w:w="108" w:type="dxa"/>
            </w:tcMar>
            <w:vAlign w:val="center"/>
          </w:tcPr>
          <w:p w14:paraId="451E0CAB">
            <w:pPr>
              <w:jc w:val="center"/>
              <w:rPr>
                <w:bCs/>
                <w:szCs w:val="21"/>
                <w:highlight w:val="none"/>
              </w:rPr>
            </w:pPr>
            <w:r>
              <w:rPr>
                <w:bCs/>
                <w:szCs w:val="21"/>
                <w:highlight w:val="none"/>
              </w:rPr>
              <w:t>用雾状水、抗溶性泡沫、干粉</w:t>
            </w:r>
            <w:r>
              <w:rPr>
                <w:rFonts w:hint="eastAsia"/>
                <w:bCs/>
                <w:szCs w:val="21"/>
                <w:highlight w:val="none"/>
                <w:lang w:eastAsia="zh-CN"/>
              </w:rPr>
              <w:t>等方式</w:t>
            </w:r>
            <w:r>
              <w:rPr>
                <w:bCs/>
                <w:szCs w:val="21"/>
                <w:highlight w:val="none"/>
              </w:rPr>
              <w:t>灭火。</w:t>
            </w:r>
          </w:p>
        </w:tc>
      </w:tr>
      <w:tr w14:paraId="52B89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continue"/>
            <w:tcMar>
              <w:left w:w="108" w:type="dxa"/>
              <w:right w:w="108" w:type="dxa"/>
            </w:tcMar>
            <w:vAlign w:val="center"/>
          </w:tcPr>
          <w:p w14:paraId="7582B617">
            <w:pPr>
              <w:jc w:val="center"/>
              <w:rPr>
                <w:bCs/>
                <w:szCs w:val="21"/>
                <w:highlight w:val="none"/>
              </w:rPr>
            </w:pPr>
          </w:p>
        </w:tc>
        <w:tc>
          <w:tcPr>
            <w:tcW w:w="752" w:type="pct"/>
            <w:tcMar>
              <w:left w:w="108" w:type="dxa"/>
              <w:right w:w="108" w:type="dxa"/>
            </w:tcMar>
            <w:vAlign w:val="center"/>
          </w:tcPr>
          <w:p w14:paraId="7AE5CBA8">
            <w:pPr>
              <w:jc w:val="center"/>
              <w:rPr>
                <w:bCs/>
                <w:szCs w:val="21"/>
                <w:highlight w:val="none"/>
              </w:rPr>
            </w:pPr>
            <w:r>
              <w:rPr>
                <w:bCs/>
                <w:szCs w:val="21"/>
                <w:highlight w:val="none"/>
              </w:rPr>
              <w:t>特别危险性：</w:t>
            </w:r>
          </w:p>
        </w:tc>
        <w:tc>
          <w:tcPr>
            <w:tcW w:w="3941" w:type="pct"/>
            <w:gridSpan w:val="7"/>
            <w:tcMar>
              <w:left w:w="108" w:type="dxa"/>
              <w:right w:w="108" w:type="dxa"/>
            </w:tcMar>
            <w:vAlign w:val="center"/>
          </w:tcPr>
          <w:p w14:paraId="08521A47">
            <w:pPr>
              <w:jc w:val="center"/>
              <w:rPr>
                <w:bCs/>
                <w:szCs w:val="21"/>
                <w:highlight w:val="none"/>
              </w:rPr>
            </w:pPr>
            <w:r>
              <w:rPr>
                <w:bCs/>
                <w:szCs w:val="21"/>
                <w:highlight w:val="none"/>
              </w:rPr>
              <w:t>与浓硝酸、发烟硝酸或其他强氧化剂发生剧烈反应，引起爆炸。气体比空气重，沿地面扩散并易积存于低洼处，遇火源会着火回燃。燃烧</w:t>
            </w:r>
            <w:r>
              <w:rPr>
                <w:rFonts w:hint="eastAsia"/>
                <w:bCs/>
                <w:szCs w:val="21"/>
                <w:highlight w:val="none"/>
                <w:lang w:eastAsia="zh-CN"/>
              </w:rPr>
              <w:t>会</w:t>
            </w:r>
            <w:r>
              <w:rPr>
                <w:bCs/>
                <w:szCs w:val="21"/>
                <w:highlight w:val="none"/>
              </w:rPr>
              <w:t>生成有害的氧化硫。</w:t>
            </w:r>
          </w:p>
        </w:tc>
      </w:tr>
      <w:tr w14:paraId="2BFFE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continue"/>
            <w:tcMar>
              <w:left w:w="108" w:type="dxa"/>
              <w:right w:w="108" w:type="dxa"/>
            </w:tcMar>
            <w:vAlign w:val="center"/>
          </w:tcPr>
          <w:p w14:paraId="096A6438">
            <w:pPr>
              <w:jc w:val="center"/>
              <w:rPr>
                <w:bCs/>
                <w:szCs w:val="21"/>
                <w:highlight w:val="none"/>
              </w:rPr>
            </w:pPr>
          </w:p>
        </w:tc>
        <w:tc>
          <w:tcPr>
            <w:tcW w:w="4694" w:type="pct"/>
            <w:gridSpan w:val="8"/>
            <w:tcMar>
              <w:left w:w="108" w:type="dxa"/>
              <w:right w:w="108" w:type="dxa"/>
            </w:tcMar>
            <w:vAlign w:val="center"/>
          </w:tcPr>
          <w:p w14:paraId="498DC6BB">
            <w:pPr>
              <w:jc w:val="center"/>
              <w:rPr>
                <w:bCs/>
                <w:szCs w:val="21"/>
                <w:highlight w:val="none"/>
              </w:rPr>
            </w:pPr>
            <w:r>
              <w:rPr>
                <w:bCs/>
                <w:szCs w:val="21"/>
                <w:highlight w:val="none"/>
              </w:rPr>
              <w:t>注意事项及防护措施：切断气源。若不能切断气源则不允许熄灭泄漏处的火焰。消防人员必须佩戴空气呼吸器、穿全身防火防毒服，在上风向灭火。尽可能将容器从火场移至空旷处。喷水保持火场容器冷却，直至灭火结束。</w:t>
            </w:r>
          </w:p>
        </w:tc>
      </w:tr>
      <w:tr w14:paraId="2DAEE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95" w:hRule="atLeast"/>
          <w:jc w:val="center"/>
        </w:trPr>
        <w:tc>
          <w:tcPr>
            <w:tcW w:w="305" w:type="pct"/>
            <w:tcMar>
              <w:left w:w="108" w:type="dxa"/>
              <w:right w:w="108" w:type="dxa"/>
            </w:tcMar>
            <w:vAlign w:val="center"/>
          </w:tcPr>
          <w:p w14:paraId="3DDCDAEA">
            <w:pPr>
              <w:jc w:val="center"/>
              <w:rPr>
                <w:bCs/>
                <w:szCs w:val="21"/>
                <w:highlight w:val="none"/>
              </w:rPr>
            </w:pPr>
            <w:r>
              <w:rPr>
                <w:bCs/>
                <w:szCs w:val="21"/>
                <w:highlight w:val="none"/>
              </w:rPr>
              <w:t>泄漏应急</w:t>
            </w:r>
          </w:p>
          <w:p w14:paraId="17356E1B">
            <w:pPr>
              <w:jc w:val="center"/>
              <w:rPr>
                <w:bCs/>
                <w:szCs w:val="21"/>
                <w:highlight w:val="none"/>
              </w:rPr>
            </w:pPr>
            <w:r>
              <w:rPr>
                <w:bCs/>
                <w:szCs w:val="21"/>
                <w:highlight w:val="none"/>
              </w:rPr>
              <w:t>处理</w:t>
            </w:r>
          </w:p>
        </w:tc>
        <w:tc>
          <w:tcPr>
            <w:tcW w:w="4694" w:type="pct"/>
            <w:gridSpan w:val="8"/>
            <w:tcMar>
              <w:left w:w="108" w:type="dxa"/>
              <w:right w:w="108" w:type="dxa"/>
            </w:tcMar>
            <w:vAlign w:val="center"/>
          </w:tcPr>
          <w:p w14:paraId="6E302617">
            <w:pPr>
              <w:jc w:val="center"/>
              <w:rPr>
                <w:bCs/>
                <w:szCs w:val="21"/>
                <w:highlight w:val="none"/>
              </w:rPr>
            </w:pPr>
            <w:r>
              <w:rPr>
                <w:bCs/>
                <w:szCs w:val="21"/>
                <w:highlight w:val="none"/>
              </w:rPr>
              <w:t>作业人员防护措施、防护装备和应急处置程序：消除所有点火源。根据气体扩散的影响区域划定警戒区，无关人员从侧风、上风向撤离至安全区。建议应急处理人员戴正压自给式呼吸器，内置式正压自给式呼吸器的全封闭防化服，戴防化学品手套。如果是液化气体泄漏，还应注意防冻伤。作业时使用的所有设备应接地。尽可能切断泄漏源。若可能翻转容器，使之逸出气体而非液体。喷雾状水抑制</w:t>
            </w:r>
            <w:r>
              <w:rPr>
                <w:rFonts w:hint="eastAsia"/>
                <w:bCs/>
                <w:szCs w:val="21"/>
                <w:highlight w:val="none"/>
                <w:lang w:eastAsia="zh-CN"/>
              </w:rPr>
              <w:t>蒸汽</w:t>
            </w:r>
            <w:r>
              <w:rPr>
                <w:bCs/>
                <w:szCs w:val="21"/>
                <w:highlight w:val="none"/>
              </w:rPr>
              <w:t>或改变</w:t>
            </w:r>
            <w:r>
              <w:rPr>
                <w:rFonts w:hint="eastAsia"/>
                <w:bCs/>
                <w:szCs w:val="21"/>
                <w:highlight w:val="none"/>
                <w:lang w:eastAsia="zh-CN"/>
              </w:rPr>
              <w:t>蒸汽</w:t>
            </w:r>
            <w:r>
              <w:rPr>
                <w:bCs/>
                <w:szCs w:val="21"/>
                <w:highlight w:val="none"/>
              </w:rPr>
              <w:t>流向。避免水流接触泄漏物。禁止用水直接冲击泄漏物或泄漏源。</w:t>
            </w:r>
            <w:r>
              <w:rPr>
                <w:bCs/>
                <w:szCs w:val="21"/>
                <w:highlight w:val="none"/>
              </w:rPr>
              <w:br w:type="textWrapping"/>
            </w:r>
            <w:r>
              <w:rPr>
                <w:bCs/>
                <w:szCs w:val="21"/>
                <w:highlight w:val="none"/>
              </w:rPr>
              <w:t>环境保护措施：</w:t>
            </w:r>
            <w:r>
              <w:rPr>
                <w:rFonts w:hint="eastAsia"/>
                <w:bCs/>
                <w:szCs w:val="21"/>
                <w:highlight w:val="none"/>
                <w:lang w:eastAsia="zh-CN"/>
              </w:rPr>
              <w:t>防止气体通过下水道、通风系统和有限空间等方式等方式</w:t>
            </w:r>
            <w:r>
              <w:rPr>
                <w:bCs/>
                <w:szCs w:val="21"/>
                <w:highlight w:val="none"/>
              </w:rPr>
              <w:t>扩散。泄漏化学品的收容、清除方法及所使用的处置材料：隔离泄漏区直至气体散尽。可考虑引燃泄漏物。</w:t>
            </w:r>
          </w:p>
        </w:tc>
      </w:tr>
      <w:tr w14:paraId="6277B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restart"/>
            <w:tcMar>
              <w:left w:w="108" w:type="dxa"/>
              <w:right w:w="108" w:type="dxa"/>
            </w:tcMar>
            <w:vAlign w:val="center"/>
          </w:tcPr>
          <w:p w14:paraId="47407FC6">
            <w:pPr>
              <w:jc w:val="center"/>
              <w:rPr>
                <w:bCs/>
                <w:szCs w:val="21"/>
                <w:highlight w:val="none"/>
              </w:rPr>
            </w:pPr>
            <w:r>
              <w:rPr>
                <w:bCs/>
                <w:szCs w:val="21"/>
                <w:highlight w:val="none"/>
              </w:rPr>
              <w:t>操作与储存</w:t>
            </w:r>
          </w:p>
        </w:tc>
        <w:tc>
          <w:tcPr>
            <w:tcW w:w="1129" w:type="pct"/>
            <w:gridSpan w:val="2"/>
            <w:tcMar>
              <w:left w:w="108" w:type="dxa"/>
              <w:right w:w="108" w:type="dxa"/>
            </w:tcMar>
            <w:vAlign w:val="center"/>
          </w:tcPr>
          <w:p w14:paraId="5F6FE6C0">
            <w:pPr>
              <w:jc w:val="center"/>
              <w:rPr>
                <w:bCs/>
                <w:szCs w:val="21"/>
                <w:highlight w:val="none"/>
              </w:rPr>
            </w:pPr>
            <w:r>
              <w:rPr>
                <w:bCs/>
                <w:szCs w:val="21"/>
                <w:highlight w:val="none"/>
              </w:rPr>
              <w:t>操作注意事项：</w:t>
            </w:r>
          </w:p>
        </w:tc>
        <w:tc>
          <w:tcPr>
            <w:tcW w:w="3565" w:type="pct"/>
            <w:gridSpan w:val="6"/>
            <w:tcMar>
              <w:left w:w="108" w:type="dxa"/>
              <w:right w:w="108" w:type="dxa"/>
            </w:tcMar>
            <w:vAlign w:val="center"/>
          </w:tcPr>
          <w:p w14:paraId="563225E3">
            <w:pPr>
              <w:jc w:val="center"/>
              <w:rPr>
                <w:bCs/>
                <w:szCs w:val="21"/>
                <w:highlight w:val="none"/>
              </w:rPr>
            </w:pPr>
            <w:r>
              <w:rPr>
                <w:bCs/>
                <w:szCs w:val="21"/>
                <w:highlight w:val="none"/>
              </w:rPr>
              <w:t>加压储，提供充分局部排风或全面通风。操作人员必须经过专门培训，严格遵守操作规程。建议操作人员佩戴过滤式防毒面具（半面罩）戴化学安全防护眼镜，穿防静电工作服。戴防化学品类手套。远离火种、热源。工作场所须</w:t>
            </w:r>
            <w:r>
              <w:rPr>
                <w:rFonts w:hint="eastAsia"/>
                <w:bCs/>
                <w:szCs w:val="21"/>
                <w:highlight w:val="none"/>
                <w:lang w:eastAsia="zh-CN"/>
              </w:rPr>
              <w:t>避免</w:t>
            </w:r>
            <w:r>
              <w:rPr>
                <w:bCs/>
                <w:szCs w:val="21"/>
                <w:highlight w:val="none"/>
              </w:rPr>
              <w:t>吸烟。使用防爆的通风系统设备。防止气体泄漏到工作场所空气中。避免与氧化剂、碱类接触。在传统过程中，铜瓶和容器必须接地和接零，防止产生静电。搬运时要轻装轻卸，不得</w:t>
            </w:r>
            <w:r>
              <w:rPr>
                <w:rFonts w:hint="eastAsia"/>
                <w:bCs/>
                <w:szCs w:val="21"/>
                <w:highlight w:val="none"/>
                <w:lang w:eastAsia="zh-CN"/>
              </w:rPr>
              <w:t>使</w:t>
            </w:r>
            <w:r>
              <w:rPr>
                <w:bCs/>
                <w:szCs w:val="21"/>
                <w:highlight w:val="none"/>
              </w:rPr>
              <w:t>铜瓶或部件破损。配备相应种类和数量的消防器材及泄漏应急处理设备。</w:t>
            </w:r>
          </w:p>
        </w:tc>
      </w:tr>
      <w:tr w14:paraId="5BA89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continue"/>
            <w:tcMar>
              <w:left w:w="108" w:type="dxa"/>
              <w:right w:w="108" w:type="dxa"/>
            </w:tcMar>
            <w:vAlign w:val="center"/>
          </w:tcPr>
          <w:p w14:paraId="488EAB0C">
            <w:pPr>
              <w:jc w:val="center"/>
              <w:rPr>
                <w:bCs/>
                <w:szCs w:val="21"/>
                <w:highlight w:val="none"/>
              </w:rPr>
            </w:pPr>
          </w:p>
        </w:tc>
        <w:tc>
          <w:tcPr>
            <w:tcW w:w="1129" w:type="pct"/>
            <w:gridSpan w:val="2"/>
            <w:tcMar>
              <w:left w:w="108" w:type="dxa"/>
              <w:right w:w="108" w:type="dxa"/>
            </w:tcMar>
            <w:vAlign w:val="center"/>
          </w:tcPr>
          <w:p w14:paraId="03665BBC">
            <w:pPr>
              <w:jc w:val="center"/>
              <w:rPr>
                <w:bCs/>
                <w:szCs w:val="21"/>
                <w:highlight w:val="none"/>
              </w:rPr>
            </w:pPr>
            <w:r>
              <w:rPr>
                <w:bCs/>
                <w:szCs w:val="21"/>
                <w:highlight w:val="none"/>
              </w:rPr>
              <w:t>储存注意事项：</w:t>
            </w:r>
          </w:p>
        </w:tc>
        <w:tc>
          <w:tcPr>
            <w:tcW w:w="3565" w:type="pct"/>
            <w:gridSpan w:val="6"/>
            <w:tcMar>
              <w:left w:w="108" w:type="dxa"/>
              <w:right w:w="108" w:type="dxa"/>
            </w:tcMar>
            <w:vAlign w:val="center"/>
          </w:tcPr>
          <w:p w14:paraId="12E98A51">
            <w:pPr>
              <w:jc w:val="center"/>
              <w:rPr>
                <w:bCs/>
                <w:szCs w:val="21"/>
                <w:highlight w:val="none"/>
              </w:rPr>
            </w:pPr>
            <w:r>
              <w:rPr>
                <w:bCs/>
                <w:szCs w:val="21"/>
                <w:highlight w:val="none"/>
              </w:rPr>
              <w:t>储存于阴凉、通风的易燃气体专用库房远离火种、热源。库温不宜超过30℃。保持容器密闭。应与氧化剂、碱类分开存放，切勿混放，采用防爆型照明、通风设施。禁止使用会产生火花的机械设备和工具。储区应</w:t>
            </w:r>
            <w:r>
              <w:rPr>
                <w:rFonts w:hint="eastAsia"/>
                <w:bCs/>
                <w:szCs w:val="21"/>
                <w:highlight w:val="none"/>
                <w:lang w:eastAsia="zh-CN"/>
              </w:rPr>
              <w:t>配备</w:t>
            </w:r>
            <w:r>
              <w:rPr>
                <w:bCs/>
                <w:szCs w:val="21"/>
                <w:highlight w:val="none"/>
              </w:rPr>
              <w:t>泄漏应急处理设备。</w:t>
            </w:r>
          </w:p>
        </w:tc>
      </w:tr>
      <w:tr w14:paraId="10086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restart"/>
            <w:tcMar>
              <w:left w:w="108" w:type="dxa"/>
              <w:right w:w="108" w:type="dxa"/>
            </w:tcMar>
            <w:vAlign w:val="center"/>
          </w:tcPr>
          <w:p w14:paraId="1215B9DD">
            <w:pPr>
              <w:jc w:val="center"/>
              <w:rPr>
                <w:bCs/>
                <w:szCs w:val="21"/>
                <w:highlight w:val="none"/>
              </w:rPr>
            </w:pPr>
            <w:r>
              <w:rPr>
                <w:bCs/>
                <w:szCs w:val="21"/>
                <w:highlight w:val="none"/>
              </w:rPr>
              <w:t>接触控制和防护</w:t>
            </w:r>
          </w:p>
        </w:tc>
        <w:tc>
          <w:tcPr>
            <w:tcW w:w="1129" w:type="pct"/>
            <w:gridSpan w:val="2"/>
            <w:tcMar>
              <w:left w:w="108" w:type="dxa"/>
              <w:right w:w="108" w:type="dxa"/>
            </w:tcMar>
            <w:vAlign w:val="center"/>
          </w:tcPr>
          <w:p w14:paraId="47198585">
            <w:pPr>
              <w:jc w:val="center"/>
              <w:rPr>
                <w:bCs/>
                <w:szCs w:val="21"/>
                <w:highlight w:val="none"/>
              </w:rPr>
            </w:pPr>
            <w:r>
              <w:rPr>
                <w:bCs/>
                <w:szCs w:val="21"/>
                <w:highlight w:val="none"/>
              </w:rPr>
              <w:t>职业接触限值：</w:t>
            </w:r>
          </w:p>
        </w:tc>
        <w:tc>
          <w:tcPr>
            <w:tcW w:w="1312" w:type="pct"/>
            <w:gridSpan w:val="3"/>
            <w:tcMar>
              <w:left w:w="108" w:type="dxa"/>
              <w:right w:w="108" w:type="dxa"/>
            </w:tcMar>
            <w:vAlign w:val="center"/>
          </w:tcPr>
          <w:p w14:paraId="19CE76C0">
            <w:pPr>
              <w:jc w:val="center"/>
              <w:rPr>
                <w:bCs/>
                <w:szCs w:val="21"/>
                <w:highlight w:val="none"/>
              </w:rPr>
            </w:pPr>
            <w:r>
              <w:rPr>
                <w:bCs/>
                <w:szCs w:val="21"/>
                <w:highlight w:val="none"/>
              </w:rPr>
              <w:t>MAC:100mg/m</w:t>
            </w:r>
            <w:r>
              <w:rPr>
                <w:bCs/>
                <w:szCs w:val="21"/>
                <w:highlight w:val="none"/>
                <w:vertAlign w:val="superscript"/>
              </w:rPr>
              <w:t>3</w:t>
            </w:r>
          </w:p>
        </w:tc>
        <w:tc>
          <w:tcPr>
            <w:tcW w:w="1590" w:type="pct"/>
            <w:gridSpan w:val="2"/>
            <w:tcMar>
              <w:left w:w="108" w:type="dxa"/>
              <w:right w:w="108" w:type="dxa"/>
            </w:tcMar>
            <w:vAlign w:val="center"/>
          </w:tcPr>
          <w:p w14:paraId="5F1A88F4">
            <w:pPr>
              <w:jc w:val="center"/>
              <w:rPr>
                <w:bCs/>
                <w:szCs w:val="21"/>
                <w:highlight w:val="none"/>
              </w:rPr>
            </w:pPr>
            <w:r>
              <w:rPr>
                <w:bCs/>
                <w:szCs w:val="21"/>
                <w:highlight w:val="none"/>
              </w:rPr>
              <w:t>生物接触限值：</w:t>
            </w:r>
          </w:p>
        </w:tc>
        <w:tc>
          <w:tcPr>
            <w:tcW w:w="662" w:type="pct"/>
            <w:tcMar>
              <w:left w:w="108" w:type="dxa"/>
              <w:right w:w="108" w:type="dxa"/>
            </w:tcMar>
            <w:vAlign w:val="center"/>
          </w:tcPr>
          <w:p w14:paraId="45653E0F">
            <w:pPr>
              <w:jc w:val="center"/>
              <w:rPr>
                <w:bCs/>
                <w:szCs w:val="21"/>
                <w:highlight w:val="none"/>
              </w:rPr>
            </w:pPr>
            <w:r>
              <w:rPr>
                <w:bCs/>
                <w:szCs w:val="21"/>
                <w:highlight w:val="none"/>
              </w:rPr>
              <w:t>未制定标准</w:t>
            </w:r>
          </w:p>
        </w:tc>
      </w:tr>
      <w:tr w14:paraId="33AE0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continue"/>
            <w:tcMar>
              <w:left w:w="108" w:type="dxa"/>
              <w:right w:w="108" w:type="dxa"/>
            </w:tcMar>
            <w:vAlign w:val="center"/>
          </w:tcPr>
          <w:p w14:paraId="2FCFCCFD">
            <w:pPr>
              <w:jc w:val="center"/>
              <w:rPr>
                <w:bCs/>
                <w:szCs w:val="21"/>
                <w:highlight w:val="none"/>
              </w:rPr>
            </w:pPr>
          </w:p>
        </w:tc>
        <w:tc>
          <w:tcPr>
            <w:tcW w:w="1129" w:type="pct"/>
            <w:gridSpan w:val="2"/>
            <w:tcMar>
              <w:left w:w="108" w:type="dxa"/>
              <w:right w:w="108" w:type="dxa"/>
            </w:tcMar>
            <w:vAlign w:val="center"/>
          </w:tcPr>
          <w:p w14:paraId="0A810089">
            <w:pPr>
              <w:jc w:val="center"/>
              <w:rPr>
                <w:bCs/>
                <w:szCs w:val="21"/>
                <w:highlight w:val="none"/>
              </w:rPr>
            </w:pPr>
            <w:r>
              <w:rPr>
                <w:bCs/>
                <w:szCs w:val="21"/>
                <w:highlight w:val="none"/>
              </w:rPr>
              <w:t>监测方法：</w:t>
            </w:r>
          </w:p>
        </w:tc>
        <w:tc>
          <w:tcPr>
            <w:tcW w:w="3565" w:type="pct"/>
            <w:gridSpan w:val="6"/>
            <w:tcMar>
              <w:left w:w="108" w:type="dxa"/>
              <w:right w:w="108" w:type="dxa"/>
            </w:tcMar>
            <w:vAlign w:val="center"/>
          </w:tcPr>
          <w:p w14:paraId="75E8C64C">
            <w:pPr>
              <w:jc w:val="center"/>
              <w:rPr>
                <w:rFonts w:hint="eastAsia" w:eastAsia="宋体"/>
                <w:bCs/>
                <w:szCs w:val="21"/>
                <w:highlight w:val="none"/>
                <w:lang w:eastAsia="zh-CN"/>
              </w:rPr>
            </w:pPr>
            <w:r>
              <w:rPr>
                <w:bCs/>
                <w:szCs w:val="21"/>
                <w:highlight w:val="none"/>
              </w:rPr>
              <w:t>空气中有毒物质测定方法：硝酸银比色法。生物检测方法：未制定标准</w:t>
            </w:r>
            <w:r>
              <w:rPr>
                <w:rFonts w:hint="eastAsia"/>
                <w:bCs/>
                <w:szCs w:val="21"/>
                <w:highlight w:val="none"/>
                <w:lang w:eastAsia="zh-CN"/>
              </w:rPr>
              <w:t>。</w:t>
            </w:r>
          </w:p>
        </w:tc>
      </w:tr>
      <w:tr w14:paraId="4394D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continue"/>
            <w:tcMar>
              <w:left w:w="108" w:type="dxa"/>
              <w:right w:w="108" w:type="dxa"/>
            </w:tcMar>
            <w:vAlign w:val="center"/>
          </w:tcPr>
          <w:p w14:paraId="560A4C71">
            <w:pPr>
              <w:jc w:val="center"/>
              <w:rPr>
                <w:bCs/>
                <w:szCs w:val="21"/>
                <w:highlight w:val="none"/>
              </w:rPr>
            </w:pPr>
          </w:p>
        </w:tc>
        <w:tc>
          <w:tcPr>
            <w:tcW w:w="1129" w:type="pct"/>
            <w:gridSpan w:val="2"/>
            <w:tcMar>
              <w:left w:w="108" w:type="dxa"/>
              <w:right w:w="108" w:type="dxa"/>
            </w:tcMar>
            <w:vAlign w:val="center"/>
          </w:tcPr>
          <w:p w14:paraId="2F734193">
            <w:pPr>
              <w:jc w:val="center"/>
              <w:rPr>
                <w:bCs/>
                <w:szCs w:val="21"/>
                <w:highlight w:val="none"/>
              </w:rPr>
            </w:pPr>
            <w:r>
              <w:rPr>
                <w:bCs/>
                <w:szCs w:val="21"/>
                <w:highlight w:val="none"/>
              </w:rPr>
              <w:t>工程控制：</w:t>
            </w:r>
          </w:p>
        </w:tc>
        <w:tc>
          <w:tcPr>
            <w:tcW w:w="3565" w:type="pct"/>
            <w:gridSpan w:val="6"/>
            <w:tcMar>
              <w:left w:w="108" w:type="dxa"/>
              <w:right w:w="108" w:type="dxa"/>
            </w:tcMar>
            <w:vAlign w:val="center"/>
          </w:tcPr>
          <w:p w14:paraId="69F56A18">
            <w:pPr>
              <w:jc w:val="center"/>
              <w:rPr>
                <w:rFonts w:hint="eastAsia" w:eastAsia="宋体"/>
                <w:bCs/>
                <w:szCs w:val="21"/>
                <w:highlight w:val="none"/>
                <w:lang w:eastAsia="zh-CN"/>
              </w:rPr>
            </w:pPr>
            <w:r>
              <w:rPr>
                <w:bCs/>
                <w:szCs w:val="21"/>
                <w:highlight w:val="none"/>
              </w:rPr>
              <w:t>局部加密</w:t>
            </w:r>
            <w:r>
              <w:rPr>
                <w:rFonts w:hint="eastAsia"/>
                <w:bCs/>
                <w:szCs w:val="21"/>
                <w:highlight w:val="none"/>
                <w:lang w:eastAsia="zh-CN"/>
              </w:rPr>
              <w:t>封</w:t>
            </w:r>
            <w:r>
              <w:rPr>
                <w:bCs/>
                <w:szCs w:val="21"/>
                <w:highlight w:val="none"/>
              </w:rPr>
              <w:t>闭，提供充分的局部排风和全面通风。提供安全的淋浴和洗眼设备</w:t>
            </w:r>
            <w:r>
              <w:rPr>
                <w:rFonts w:hint="eastAsia"/>
                <w:bCs/>
                <w:szCs w:val="21"/>
                <w:highlight w:val="none"/>
                <w:lang w:eastAsia="zh-CN"/>
              </w:rPr>
              <w:t>。</w:t>
            </w:r>
          </w:p>
        </w:tc>
      </w:tr>
      <w:tr w14:paraId="1AF06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continue"/>
            <w:tcMar>
              <w:left w:w="108" w:type="dxa"/>
              <w:right w:w="108" w:type="dxa"/>
            </w:tcMar>
            <w:vAlign w:val="center"/>
          </w:tcPr>
          <w:p w14:paraId="2B06A372">
            <w:pPr>
              <w:jc w:val="center"/>
              <w:rPr>
                <w:bCs/>
                <w:szCs w:val="21"/>
                <w:highlight w:val="none"/>
              </w:rPr>
            </w:pPr>
          </w:p>
        </w:tc>
        <w:tc>
          <w:tcPr>
            <w:tcW w:w="1129" w:type="pct"/>
            <w:gridSpan w:val="2"/>
            <w:tcMar>
              <w:left w:w="108" w:type="dxa"/>
              <w:right w:w="108" w:type="dxa"/>
            </w:tcMar>
            <w:vAlign w:val="center"/>
          </w:tcPr>
          <w:p w14:paraId="427155CB">
            <w:pPr>
              <w:jc w:val="center"/>
              <w:rPr>
                <w:bCs/>
                <w:szCs w:val="21"/>
                <w:highlight w:val="none"/>
              </w:rPr>
            </w:pPr>
            <w:r>
              <w:rPr>
                <w:bCs/>
                <w:szCs w:val="21"/>
                <w:highlight w:val="none"/>
              </w:rPr>
              <w:t>个体防护装备：</w:t>
            </w:r>
          </w:p>
        </w:tc>
        <w:tc>
          <w:tcPr>
            <w:tcW w:w="3565" w:type="pct"/>
            <w:gridSpan w:val="6"/>
            <w:tcMar>
              <w:left w:w="108" w:type="dxa"/>
              <w:right w:w="108" w:type="dxa"/>
            </w:tcMar>
            <w:vAlign w:val="center"/>
          </w:tcPr>
          <w:p w14:paraId="5C4C1684">
            <w:pPr>
              <w:jc w:val="center"/>
              <w:rPr>
                <w:bCs/>
                <w:szCs w:val="21"/>
                <w:highlight w:val="none"/>
              </w:rPr>
            </w:pPr>
            <w:r>
              <w:rPr>
                <w:bCs/>
                <w:szCs w:val="21"/>
                <w:highlight w:val="none"/>
              </w:rPr>
              <w:t>呼吸系统防护：</w:t>
            </w:r>
            <w:r>
              <w:rPr>
                <w:rFonts w:hint="eastAsia"/>
                <w:bCs/>
                <w:szCs w:val="21"/>
                <w:highlight w:val="none"/>
                <w:lang w:eastAsia="zh-CN"/>
              </w:rPr>
              <w:t>在</w:t>
            </w:r>
            <w:r>
              <w:rPr>
                <w:bCs/>
                <w:szCs w:val="21"/>
                <w:highlight w:val="none"/>
              </w:rPr>
              <w:t>空气中浓度超标</w:t>
            </w:r>
            <w:r>
              <w:rPr>
                <w:rFonts w:hint="eastAsia"/>
                <w:bCs/>
                <w:szCs w:val="21"/>
                <w:highlight w:val="none"/>
                <w:lang w:eastAsia="zh-CN"/>
              </w:rPr>
              <w:t>的情况下，应</w:t>
            </w:r>
            <w:r>
              <w:rPr>
                <w:bCs/>
                <w:szCs w:val="21"/>
                <w:highlight w:val="none"/>
              </w:rPr>
              <w:t>佩戴过滤式防毒面具（半面罩）。紧急事态抢救或撤离时，建议佩戴空气呼吸器。</w:t>
            </w:r>
            <w:r>
              <w:rPr>
                <w:bCs/>
                <w:szCs w:val="21"/>
                <w:highlight w:val="none"/>
              </w:rPr>
              <w:br w:type="textWrapping"/>
            </w:r>
            <w:r>
              <w:rPr>
                <w:bCs/>
                <w:szCs w:val="21"/>
                <w:highlight w:val="none"/>
              </w:rPr>
              <w:t>眼睛防护：佩戴化学安全防护眼镜。</w:t>
            </w:r>
            <w:r>
              <w:rPr>
                <w:bCs/>
                <w:szCs w:val="21"/>
                <w:highlight w:val="none"/>
              </w:rPr>
              <w:br w:type="textWrapping"/>
            </w:r>
            <w:r>
              <w:rPr>
                <w:bCs/>
                <w:szCs w:val="21"/>
                <w:highlight w:val="none"/>
              </w:rPr>
              <w:t>皮肤与身体防护：穿防静电工作服。</w:t>
            </w:r>
            <w:r>
              <w:rPr>
                <w:bCs/>
                <w:szCs w:val="21"/>
                <w:highlight w:val="none"/>
              </w:rPr>
              <w:br w:type="textWrapping"/>
            </w:r>
            <w:r>
              <w:rPr>
                <w:bCs/>
                <w:szCs w:val="21"/>
                <w:highlight w:val="none"/>
              </w:rPr>
              <w:t>手防护：戴化学品类手套。</w:t>
            </w:r>
          </w:p>
        </w:tc>
      </w:tr>
      <w:tr w14:paraId="0E752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restart"/>
            <w:tcMar>
              <w:left w:w="108" w:type="dxa"/>
              <w:right w:w="108" w:type="dxa"/>
            </w:tcMar>
            <w:vAlign w:val="center"/>
          </w:tcPr>
          <w:p w14:paraId="04E90711">
            <w:pPr>
              <w:jc w:val="center"/>
              <w:rPr>
                <w:bCs/>
                <w:szCs w:val="21"/>
                <w:highlight w:val="none"/>
              </w:rPr>
            </w:pPr>
            <w:r>
              <w:rPr>
                <w:bCs/>
                <w:szCs w:val="21"/>
                <w:highlight w:val="none"/>
              </w:rPr>
              <w:t>理化特性</w:t>
            </w:r>
          </w:p>
        </w:tc>
        <w:tc>
          <w:tcPr>
            <w:tcW w:w="1129" w:type="pct"/>
            <w:gridSpan w:val="2"/>
            <w:tcMar>
              <w:left w:w="108" w:type="dxa"/>
              <w:right w:w="108" w:type="dxa"/>
            </w:tcMar>
            <w:vAlign w:val="center"/>
          </w:tcPr>
          <w:p w14:paraId="67654A7D">
            <w:pPr>
              <w:jc w:val="center"/>
              <w:rPr>
                <w:bCs/>
                <w:szCs w:val="21"/>
                <w:highlight w:val="none"/>
              </w:rPr>
            </w:pPr>
            <w:r>
              <w:rPr>
                <w:bCs/>
                <w:szCs w:val="21"/>
                <w:highlight w:val="none"/>
              </w:rPr>
              <w:t>外观与性状：</w:t>
            </w:r>
          </w:p>
        </w:tc>
        <w:tc>
          <w:tcPr>
            <w:tcW w:w="3565" w:type="pct"/>
            <w:gridSpan w:val="6"/>
            <w:tcMar>
              <w:left w:w="108" w:type="dxa"/>
              <w:right w:w="108" w:type="dxa"/>
            </w:tcMar>
            <w:vAlign w:val="center"/>
          </w:tcPr>
          <w:p w14:paraId="0FDDBE8C">
            <w:pPr>
              <w:jc w:val="center"/>
              <w:rPr>
                <w:rFonts w:hint="eastAsia" w:eastAsia="宋体"/>
                <w:bCs/>
                <w:szCs w:val="21"/>
                <w:highlight w:val="none"/>
                <w:lang w:eastAsia="zh-CN"/>
              </w:rPr>
            </w:pPr>
            <w:r>
              <w:rPr>
                <w:bCs/>
                <w:szCs w:val="21"/>
                <w:highlight w:val="none"/>
              </w:rPr>
              <w:t>无色，有臭味的气体</w:t>
            </w:r>
            <w:r>
              <w:rPr>
                <w:rFonts w:hint="eastAsia"/>
                <w:bCs/>
                <w:szCs w:val="21"/>
                <w:highlight w:val="none"/>
                <w:lang w:eastAsia="zh-CN"/>
              </w:rPr>
              <w:t>。</w:t>
            </w:r>
          </w:p>
        </w:tc>
      </w:tr>
      <w:tr w14:paraId="24E12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continue"/>
            <w:tcMar>
              <w:left w:w="108" w:type="dxa"/>
              <w:right w:w="108" w:type="dxa"/>
            </w:tcMar>
            <w:vAlign w:val="center"/>
          </w:tcPr>
          <w:p w14:paraId="6035D59B">
            <w:pPr>
              <w:jc w:val="center"/>
              <w:rPr>
                <w:bCs/>
                <w:szCs w:val="21"/>
                <w:highlight w:val="none"/>
              </w:rPr>
            </w:pPr>
          </w:p>
        </w:tc>
        <w:tc>
          <w:tcPr>
            <w:tcW w:w="1129" w:type="pct"/>
            <w:gridSpan w:val="2"/>
            <w:tcMar>
              <w:left w:w="108" w:type="dxa"/>
              <w:right w:w="108" w:type="dxa"/>
            </w:tcMar>
            <w:vAlign w:val="center"/>
          </w:tcPr>
          <w:p w14:paraId="26D71A66">
            <w:pPr>
              <w:jc w:val="center"/>
              <w:rPr>
                <w:bCs/>
                <w:szCs w:val="21"/>
                <w:highlight w:val="none"/>
              </w:rPr>
            </w:pPr>
            <w:r>
              <w:rPr>
                <w:bCs/>
                <w:szCs w:val="21"/>
                <w:highlight w:val="none"/>
              </w:rPr>
              <w:t>pH值：</w:t>
            </w:r>
          </w:p>
        </w:tc>
        <w:tc>
          <w:tcPr>
            <w:tcW w:w="1312" w:type="pct"/>
            <w:gridSpan w:val="3"/>
            <w:tcMar>
              <w:left w:w="108" w:type="dxa"/>
              <w:right w:w="108" w:type="dxa"/>
            </w:tcMar>
            <w:vAlign w:val="center"/>
          </w:tcPr>
          <w:p w14:paraId="31377491">
            <w:pPr>
              <w:jc w:val="center"/>
              <w:rPr>
                <w:bCs/>
                <w:szCs w:val="21"/>
                <w:highlight w:val="none"/>
              </w:rPr>
            </w:pPr>
            <w:r>
              <w:rPr>
                <w:bCs/>
                <w:szCs w:val="21"/>
                <w:highlight w:val="none"/>
              </w:rPr>
              <w:t>4.5（1%水溶液）</w:t>
            </w:r>
          </w:p>
        </w:tc>
        <w:tc>
          <w:tcPr>
            <w:tcW w:w="1590" w:type="pct"/>
            <w:gridSpan w:val="2"/>
            <w:tcMar>
              <w:left w:w="108" w:type="dxa"/>
              <w:right w:w="108" w:type="dxa"/>
            </w:tcMar>
            <w:vAlign w:val="center"/>
          </w:tcPr>
          <w:p w14:paraId="36E925C4">
            <w:pPr>
              <w:jc w:val="center"/>
              <w:rPr>
                <w:bCs/>
                <w:szCs w:val="21"/>
                <w:highlight w:val="none"/>
              </w:rPr>
            </w:pPr>
            <w:r>
              <w:rPr>
                <w:bCs/>
                <w:szCs w:val="21"/>
                <w:highlight w:val="none"/>
              </w:rPr>
              <w:t>熔点（℃）：</w:t>
            </w:r>
          </w:p>
        </w:tc>
        <w:tc>
          <w:tcPr>
            <w:tcW w:w="662" w:type="pct"/>
            <w:tcMar>
              <w:left w:w="108" w:type="dxa"/>
              <w:right w:w="108" w:type="dxa"/>
            </w:tcMar>
            <w:vAlign w:val="center"/>
          </w:tcPr>
          <w:p w14:paraId="3BA726C6">
            <w:pPr>
              <w:jc w:val="center"/>
              <w:rPr>
                <w:bCs/>
                <w:szCs w:val="21"/>
                <w:highlight w:val="none"/>
              </w:rPr>
            </w:pPr>
            <w:r>
              <w:rPr>
                <w:bCs/>
                <w:szCs w:val="21"/>
                <w:highlight w:val="none"/>
              </w:rPr>
              <w:t>-85.5</w:t>
            </w:r>
          </w:p>
        </w:tc>
      </w:tr>
      <w:tr w14:paraId="4EF7E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continue"/>
            <w:tcMar>
              <w:left w:w="108" w:type="dxa"/>
              <w:right w:w="108" w:type="dxa"/>
            </w:tcMar>
            <w:vAlign w:val="center"/>
          </w:tcPr>
          <w:p w14:paraId="43E1F14F">
            <w:pPr>
              <w:jc w:val="center"/>
              <w:rPr>
                <w:bCs/>
                <w:szCs w:val="21"/>
                <w:highlight w:val="none"/>
              </w:rPr>
            </w:pPr>
          </w:p>
        </w:tc>
        <w:tc>
          <w:tcPr>
            <w:tcW w:w="1129" w:type="pct"/>
            <w:gridSpan w:val="2"/>
            <w:tcMar>
              <w:left w:w="108" w:type="dxa"/>
              <w:right w:w="108" w:type="dxa"/>
            </w:tcMar>
            <w:vAlign w:val="center"/>
          </w:tcPr>
          <w:p w14:paraId="5C2E5618">
            <w:pPr>
              <w:jc w:val="center"/>
              <w:rPr>
                <w:bCs/>
                <w:szCs w:val="21"/>
                <w:highlight w:val="none"/>
              </w:rPr>
            </w:pPr>
            <w:r>
              <w:rPr>
                <w:bCs/>
                <w:szCs w:val="21"/>
                <w:highlight w:val="none"/>
              </w:rPr>
              <w:t>沸点（℃）：</w:t>
            </w:r>
          </w:p>
        </w:tc>
        <w:tc>
          <w:tcPr>
            <w:tcW w:w="1312" w:type="pct"/>
            <w:gridSpan w:val="3"/>
            <w:tcMar>
              <w:left w:w="108" w:type="dxa"/>
              <w:right w:w="108" w:type="dxa"/>
            </w:tcMar>
            <w:vAlign w:val="center"/>
          </w:tcPr>
          <w:p w14:paraId="3F62CEB5">
            <w:pPr>
              <w:jc w:val="center"/>
              <w:rPr>
                <w:bCs/>
                <w:szCs w:val="21"/>
                <w:highlight w:val="none"/>
              </w:rPr>
            </w:pPr>
            <w:r>
              <w:rPr>
                <w:bCs/>
                <w:szCs w:val="21"/>
                <w:highlight w:val="none"/>
              </w:rPr>
              <w:t>-60.3</w:t>
            </w:r>
          </w:p>
        </w:tc>
        <w:tc>
          <w:tcPr>
            <w:tcW w:w="1590" w:type="pct"/>
            <w:gridSpan w:val="2"/>
            <w:tcMar>
              <w:left w:w="108" w:type="dxa"/>
              <w:right w:w="108" w:type="dxa"/>
            </w:tcMar>
            <w:vAlign w:val="center"/>
          </w:tcPr>
          <w:p w14:paraId="44A1CC23">
            <w:pPr>
              <w:jc w:val="center"/>
              <w:rPr>
                <w:bCs/>
                <w:szCs w:val="21"/>
                <w:highlight w:val="none"/>
              </w:rPr>
            </w:pPr>
            <w:r>
              <w:rPr>
                <w:bCs/>
                <w:szCs w:val="21"/>
                <w:highlight w:val="none"/>
              </w:rPr>
              <w:t>相对水密度（空气=1）：</w:t>
            </w:r>
          </w:p>
        </w:tc>
        <w:tc>
          <w:tcPr>
            <w:tcW w:w="662" w:type="pct"/>
            <w:tcMar>
              <w:left w:w="108" w:type="dxa"/>
              <w:right w:w="108" w:type="dxa"/>
            </w:tcMar>
            <w:vAlign w:val="center"/>
          </w:tcPr>
          <w:p w14:paraId="03D10461">
            <w:pPr>
              <w:jc w:val="center"/>
              <w:rPr>
                <w:bCs/>
                <w:szCs w:val="21"/>
                <w:highlight w:val="none"/>
              </w:rPr>
            </w:pPr>
            <w:r>
              <w:rPr>
                <w:bCs/>
                <w:szCs w:val="21"/>
                <w:highlight w:val="none"/>
              </w:rPr>
              <w:t>1.54</w:t>
            </w:r>
          </w:p>
        </w:tc>
      </w:tr>
      <w:tr w14:paraId="6A797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continue"/>
            <w:tcMar>
              <w:left w:w="108" w:type="dxa"/>
              <w:right w:w="108" w:type="dxa"/>
            </w:tcMar>
            <w:vAlign w:val="center"/>
          </w:tcPr>
          <w:p w14:paraId="75F20095">
            <w:pPr>
              <w:jc w:val="center"/>
              <w:rPr>
                <w:bCs/>
                <w:szCs w:val="21"/>
                <w:highlight w:val="none"/>
              </w:rPr>
            </w:pPr>
          </w:p>
        </w:tc>
        <w:tc>
          <w:tcPr>
            <w:tcW w:w="1129" w:type="pct"/>
            <w:gridSpan w:val="2"/>
            <w:tcMar>
              <w:left w:w="108" w:type="dxa"/>
              <w:right w:w="108" w:type="dxa"/>
            </w:tcMar>
            <w:vAlign w:val="center"/>
          </w:tcPr>
          <w:p w14:paraId="6EA2C2C3">
            <w:pPr>
              <w:jc w:val="center"/>
              <w:rPr>
                <w:bCs/>
                <w:szCs w:val="21"/>
                <w:highlight w:val="none"/>
              </w:rPr>
            </w:pPr>
            <w:r>
              <w:rPr>
                <w:bCs/>
                <w:szCs w:val="21"/>
                <w:highlight w:val="none"/>
              </w:rPr>
              <w:t>相对空气密度（空气=1）：</w:t>
            </w:r>
          </w:p>
        </w:tc>
        <w:tc>
          <w:tcPr>
            <w:tcW w:w="3565" w:type="pct"/>
            <w:gridSpan w:val="6"/>
            <w:tcMar>
              <w:left w:w="108" w:type="dxa"/>
              <w:right w:w="108" w:type="dxa"/>
            </w:tcMar>
            <w:vAlign w:val="center"/>
          </w:tcPr>
          <w:p w14:paraId="4DFD63C3">
            <w:pPr>
              <w:jc w:val="center"/>
              <w:rPr>
                <w:bCs/>
                <w:szCs w:val="21"/>
                <w:highlight w:val="none"/>
              </w:rPr>
            </w:pPr>
            <w:r>
              <w:rPr>
                <w:bCs/>
                <w:szCs w:val="21"/>
                <w:highlight w:val="none"/>
              </w:rPr>
              <w:t>1.19</w:t>
            </w:r>
          </w:p>
        </w:tc>
      </w:tr>
      <w:tr w14:paraId="52091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continue"/>
            <w:tcMar>
              <w:left w:w="108" w:type="dxa"/>
              <w:right w:w="108" w:type="dxa"/>
            </w:tcMar>
            <w:vAlign w:val="center"/>
          </w:tcPr>
          <w:p w14:paraId="402FD8A3">
            <w:pPr>
              <w:jc w:val="center"/>
              <w:rPr>
                <w:bCs/>
                <w:szCs w:val="21"/>
                <w:highlight w:val="none"/>
              </w:rPr>
            </w:pPr>
          </w:p>
        </w:tc>
        <w:tc>
          <w:tcPr>
            <w:tcW w:w="1129" w:type="pct"/>
            <w:gridSpan w:val="2"/>
            <w:tcMar>
              <w:left w:w="108" w:type="dxa"/>
              <w:right w:w="108" w:type="dxa"/>
            </w:tcMar>
            <w:vAlign w:val="center"/>
          </w:tcPr>
          <w:p w14:paraId="65FFA00C">
            <w:pPr>
              <w:jc w:val="center"/>
              <w:rPr>
                <w:bCs/>
                <w:szCs w:val="21"/>
                <w:highlight w:val="none"/>
              </w:rPr>
            </w:pPr>
            <w:r>
              <w:rPr>
                <w:bCs/>
                <w:szCs w:val="21"/>
                <w:highlight w:val="none"/>
              </w:rPr>
              <w:t>饱和</w:t>
            </w:r>
            <w:r>
              <w:rPr>
                <w:rFonts w:hint="eastAsia"/>
                <w:bCs/>
                <w:szCs w:val="21"/>
                <w:highlight w:val="none"/>
                <w:lang w:eastAsia="zh-CN"/>
              </w:rPr>
              <w:t>蒸汽</w:t>
            </w:r>
            <w:r>
              <w:rPr>
                <w:bCs/>
                <w:szCs w:val="21"/>
                <w:highlight w:val="none"/>
              </w:rPr>
              <w:t>压（kPa）：</w:t>
            </w:r>
          </w:p>
        </w:tc>
        <w:tc>
          <w:tcPr>
            <w:tcW w:w="3565" w:type="pct"/>
            <w:gridSpan w:val="6"/>
            <w:tcMar>
              <w:left w:w="108" w:type="dxa"/>
              <w:right w:w="108" w:type="dxa"/>
            </w:tcMar>
            <w:vAlign w:val="center"/>
          </w:tcPr>
          <w:p w14:paraId="404F3B62">
            <w:pPr>
              <w:jc w:val="center"/>
              <w:rPr>
                <w:rFonts w:hint="eastAsia" w:eastAsia="宋体"/>
                <w:bCs/>
                <w:szCs w:val="21"/>
                <w:highlight w:val="none"/>
                <w:lang w:eastAsia="zh-CN"/>
              </w:rPr>
            </w:pPr>
            <w:r>
              <w:rPr>
                <w:bCs/>
                <w:szCs w:val="21"/>
                <w:highlight w:val="none"/>
              </w:rPr>
              <w:t>2026.5</w:t>
            </w:r>
            <w:r>
              <w:rPr>
                <w:rFonts w:hint="eastAsia"/>
                <w:bCs/>
                <w:szCs w:val="21"/>
                <w:highlight w:val="none"/>
                <w:lang w:eastAsia="zh-CN"/>
              </w:rPr>
              <w:t>（</w:t>
            </w:r>
            <w:r>
              <w:rPr>
                <w:bCs/>
                <w:szCs w:val="21"/>
                <w:highlight w:val="none"/>
              </w:rPr>
              <w:t>25.5℃</w:t>
            </w:r>
            <w:r>
              <w:rPr>
                <w:rFonts w:hint="eastAsia"/>
                <w:bCs/>
                <w:szCs w:val="21"/>
                <w:highlight w:val="none"/>
                <w:lang w:eastAsia="zh-CN"/>
              </w:rPr>
              <w:t>）</w:t>
            </w:r>
          </w:p>
        </w:tc>
      </w:tr>
      <w:tr w14:paraId="6883D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continue"/>
            <w:tcMar>
              <w:left w:w="108" w:type="dxa"/>
              <w:right w:w="108" w:type="dxa"/>
            </w:tcMar>
            <w:vAlign w:val="center"/>
          </w:tcPr>
          <w:p w14:paraId="0C24F783">
            <w:pPr>
              <w:jc w:val="center"/>
              <w:rPr>
                <w:bCs/>
                <w:szCs w:val="21"/>
                <w:highlight w:val="none"/>
              </w:rPr>
            </w:pPr>
          </w:p>
        </w:tc>
        <w:tc>
          <w:tcPr>
            <w:tcW w:w="1129" w:type="pct"/>
            <w:gridSpan w:val="2"/>
            <w:tcMar>
              <w:left w:w="108" w:type="dxa"/>
              <w:right w:w="108" w:type="dxa"/>
            </w:tcMar>
            <w:vAlign w:val="center"/>
          </w:tcPr>
          <w:p w14:paraId="7A868966">
            <w:pPr>
              <w:jc w:val="center"/>
              <w:rPr>
                <w:bCs/>
                <w:szCs w:val="21"/>
                <w:highlight w:val="none"/>
              </w:rPr>
            </w:pPr>
            <w:r>
              <w:rPr>
                <w:bCs/>
                <w:szCs w:val="21"/>
                <w:highlight w:val="none"/>
              </w:rPr>
              <w:t>燃烧热（kJ/mol）：</w:t>
            </w:r>
          </w:p>
        </w:tc>
        <w:tc>
          <w:tcPr>
            <w:tcW w:w="1312" w:type="pct"/>
            <w:gridSpan w:val="3"/>
            <w:tcMar>
              <w:left w:w="108" w:type="dxa"/>
              <w:right w:w="108" w:type="dxa"/>
            </w:tcMar>
            <w:vAlign w:val="center"/>
          </w:tcPr>
          <w:p w14:paraId="0DDB9637">
            <w:pPr>
              <w:jc w:val="center"/>
              <w:rPr>
                <w:bCs/>
                <w:szCs w:val="21"/>
                <w:highlight w:val="none"/>
              </w:rPr>
            </w:pPr>
            <w:r>
              <w:rPr>
                <w:bCs/>
                <w:szCs w:val="21"/>
                <w:highlight w:val="none"/>
              </w:rPr>
              <w:t>无资料</w:t>
            </w:r>
          </w:p>
        </w:tc>
        <w:tc>
          <w:tcPr>
            <w:tcW w:w="1590" w:type="pct"/>
            <w:gridSpan w:val="2"/>
            <w:tcMar>
              <w:left w:w="108" w:type="dxa"/>
              <w:right w:w="108" w:type="dxa"/>
            </w:tcMar>
            <w:vAlign w:val="center"/>
          </w:tcPr>
          <w:p w14:paraId="0C16F681">
            <w:pPr>
              <w:jc w:val="center"/>
              <w:rPr>
                <w:bCs/>
                <w:szCs w:val="21"/>
                <w:highlight w:val="none"/>
              </w:rPr>
            </w:pPr>
            <w:r>
              <w:rPr>
                <w:bCs/>
                <w:szCs w:val="21"/>
                <w:highlight w:val="none"/>
              </w:rPr>
              <w:t>临界温度（℃）：</w:t>
            </w:r>
          </w:p>
        </w:tc>
        <w:tc>
          <w:tcPr>
            <w:tcW w:w="662" w:type="pct"/>
            <w:tcMar>
              <w:left w:w="108" w:type="dxa"/>
              <w:right w:w="108" w:type="dxa"/>
            </w:tcMar>
            <w:vAlign w:val="center"/>
          </w:tcPr>
          <w:p w14:paraId="62F4A0FC">
            <w:pPr>
              <w:jc w:val="center"/>
              <w:rPr>
                <w:bCs/>
                <w:szCs w:val="21"/>
                <w:highlight w:val="none"/>
              </w:rPr>
            </w:pPr>
            <w:r>
              <w:rPr>
                <w:bCs/>
                <w:szCs w:val="21"/>
                <w:highlight w:val="none"/>
              </w:rPr>
              <w:t>100.4</w:t>
            </w:r>
          </w:p>
        </w:tc>
      </w:tr>
      <w:tr w14:paraId="15CA6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continue"/>
            <w:tcMar>
              <w:left w:w="108" w:type="dxa"/>
              <w:right w:w="108" w:type="dxa"/>
            </w:tcMar>
            <w:vAlign w:val="center"/>
          </w:tcPr>
          <w:p w14:paraId="41557513">
            <w:pPr>
              <w:jc w:val="center"/>
              <w:rPr>
                <w:bCs/>
                <w:szCs w:val="21"/>
                <w:highlight w:val="none"/>
              </w:rPr>
            </w:pPr>
          </w:p>
        </w:tc>
        <w:tc>
          <w:tcPr>
            <w:tcW w:w="1129" w:type="pct"/>
            <w:gridSpan w:val="2"/>
            <w:tcMar>
              <w:left w:w="108" w:type="dxa"/>
              <w:right w:w="108" w:type="dxa"/>
            </w:tcMar>
            <w:vAlign w:val="center"/>
          </w:tcPr>
          <w:p w14:paraId="7AD3A647">
            <w:pPr>
              <w:jc w:val="center"/>
              <w:rPr>
                <w:bCs/>
                <w:szCs w:val="21"/>
                <w:highlight w:val="none"/>
              </w:rPr>
            </w:pPr>
            <w:r>
              <w:rPr>
                <w:bCs/>
                <w:szCs w:val="21"/>
                <w:highlight w:val="none"/>
              </w:rPr>
              <w:t>临界压力（MPa）：</w:t>
            </w:r>
          </w:p>
        </w:tc>
        <w:tc>
          <w:tcPr>
            <w:tcW w:w="1312" w:type="pct"/>
            <w:gridSpan w:val="3"/>
            <w:tcMar>
              <w:left w:w="108" w:type="dxa"/>
              <w:right w:w="108" w:type="dxa"/>
            </w:tcMar>
            <w:vAlign w:val="center"/>
          </w:tcPr>
          <w:p w14:paraId="6AC64C3E">
            <w:pPr>
              <w:jc w:val="center"/>
              <w:rPr>
                <w:bCs/>
                <w:szCs w:val="21"/>
                <w:highlight w:val="none"/>
              </w:rPr>
            </w:pPr>
            <w:r>
              <w:rPr>
                <w:bCs/>
                <w:szCs w:val="21"/>
                <w:highlight w:val="none"/>
              </w:rPr>
              <w:t>9.01</w:t>
            </w:r>
          </w:p>
        </w:tc>
        <w:tc>
          <w:tcPr>
            <w:tcW w:w="1590" w:type="pct"/>
            <w:gridSpan w:val="2"/>
            <w:tcMar>
              <w:left w:w="108" w:type="dxa"/>
              <w:right w:w="108" w:type="dxa"/>
            </w:tcMar>
            <w:vAlign w:val="center"/>
          </w:tcPr>
          <w:p w14:paraId="05673D97">
            <w:pPr>
              <w:jc w:val="center"/>
              <w:rPr>
                <w:bCs/>
                <w:szCs w:val="21"/>
                <w:highlight w:val="none"/>
              </w:rPr>
            </w:pPr>
            <w:r>
              <w:rPr>
                <w:bCs/>
                <w:szCs w:val="21"/>
                <w:highlight w:val="none"/>
              </w:rPr>
              <w:t>辛醇/水分配系数：</w:t>
            </w:r>
          </w:p>
        </w:tc>
        <w:tc>
          <w:tcPr>
            <w:tcW w:w="662" w:type="pct"/>
            <w:tcMar>
              <w:left w:w="108" w:type="dxa"/>
              <w:right w:w="108" w:type="dxa"/>
            </w:tcMar>
            <w:vAlign w:val="center"/>
          </w:tcPr>
          <w:p w14:paraId="79CEF104">
            <w:pPr>
              <w:jc w:val="center"/>
              <w:rPr>
                <w:bCs/>
                <w:szCs w:val="21"/>
                <w:highlight w:val="none"/>
              </w:rPr>
            </w:pPr>
            <w:r>
              <w:rPr>
                <w:bCs/>
                <w:szCs w:val="21"/>
                <w:highlight w:val="none"/>
              </w:rPr>
              <w:t>0.23</w:t>
            </w:r>
          </w:p>
        </w:tc>
      </w:tr>
      <w:tr w14:paraId="79C35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continue"/>
            <w:tcMar>
              <w:left w:w="108" w:type="dxa"/>
              <w:right w:w="108" w:type="dxa"/>
            </w:tcMar>
            <w:vAlign w:val="center"/>
          </w:tcPr>
          <w:p w14:paraId="60F100FB">
            <w:pPr>
              <w:jc w:val="center"/>
              <w:rPr>
                <w:bCs/>
                <w:szCs w:val="21"/>
                <w:highlight w:val="none"/>
              </w:rPr>
            </w:pPr>
          </w:p>
        </w:tc>
        <w:tc>
          <w:tcPr>
            <w:tcW w:w="1129" w:type="pct"/>
            <w:gridSpan w:val="2"/>
            <w:tcMar>
              <w:left w:w="108" w:type="dxa"/>
              <w:right w:w="108" w:type="dxa"/>
            </w:tcMar>
            <w:vAlign w:val="center"/>
          </w:tcPr>
          <w:p w14:paraId="3CF6DF17">
            <w:pPr>
              <w:jc w:val="center"/>
              <w:rPr>
                <w:bCs/>
                <w:szCs w:val="21"/>
                <w:highlight w:val="none"/>
              </w:rPr>
            </w:pPr>
            <w:r>
              <w:rPr>
                <w:bCs/>
                <w:szCs w:val="21"/>
                <w:highlight w:val="none"/>
              </w:rPr>
              <w:t>闪点（℃）：</w:t>
            </w:r>
          </w:p>
        </w:tc>
        <w:tc>
          <w:tcPr>
            <w:tcW w:w="1312" w:type="pct"/>
            <w:gridSpan w:val="3"/>
            <w:tcMar>
              <w:left w:w="108" w:type="dxa"/>
              <w:right w:w="108" w:type="dxa"/>
            </w:tcMar>
            <w:vAlign w:val="center"/>
          </w:tcPr>
          <w:p w14:paraId="068D04E3">
            <w:pPr>
              <w:jc w:val="center"/>
              <w:rPr>
                <w:bCs/>
                <w:szCs w:val="21"/>
                <w:highlight w:val="none"/>
              </w:rPr>
            </w:pPr>
            <w:r>
              <w:rPr>
                <w:bCs/>
                <w:szCs w:val="21"/>
                <w:highlight w:val="none"/>
              </w:rPr>
              <w:t>-106</w:t>
            </w:r>
          </w:p>
        </w:tc>
        <w:tc>
          <w:tcPr>
            <w:tcW w:w="1590" w:type="pct"/>
            <w:gridSpan w:val="2"/>
            <w:tcMar>
              <w:left w:w="108" w:type="dxa"/>
              <w:right w:w="108" w:type="dxa"/>
            </w:tcMar>
            <w:vAlign w:val="center"/>
          </w:tcPr>
          <w:p w14:paraId="06E24DE7">
            <w:pPr>
              <w:jc w:val="center"/>
              <w:rPr>
                <w:bCs/>
                <w:szCs w:val="21"/>
                <w:highlight w:val="none"/>
              </w:rPr>
            </w:pPr>
            <w:r>
              <w:rPr>
                <w:bCs/>
                <w:szCs w:val="21"/>
                <w:highlight w:val="none"/>
              </w:rPr>
              <w:t>自燃温度（℃）：</w:t>
            </w:r>
          </w:p>
        </w:tc>
        <w:tc>
          <w:tcPr>
            <w:tcW w:w="662" w:type="pct"/>
            <w:tcMar>
              <w:left w:w="108" w:type="dxa"/>
              <w:right w:w="108" w:type="dxa"/>
            </w:tcMar>
            <w:vAlign w:val="center"/>
          </w:tcPr>
          <w:p w14:paraId="7DE3C96D">
            <w:pPr>
              <w:jc w:val="center"/>
              <w:rPr>
                <w:bCs/>
                <w:szCs w:val="21"/>
                <w:highlight w:val="none"/>
              </w:rPr>
            </w:pPr>
            <w:r>
              <w:rPr>
                <w:bCs/>
                <w:szCs w:val="21"/>
                <w:highlight w:val="none"/>
              </w:rPr>
              <w:t>260</w:t>
            </w:r>
          </w:p>
        </w:tc>
      </w:tr>
      <w:tr w14:paraId="45CF6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continue"/>
            <w:tcMar>
              <w:left w:w="108" w:type="dxa"/>
              <w:right w:w="108" w:type="dxa"/>
            </w:tcMar>
            <w:vAlign w:val="center"/>
          </w:tcPr>
          <w:p w14:paraId="53462CAC">
            <w:pPr>
              <w:jc w:val="center"/>
              <w:rPr>
                <w:bCs/>
                <w:szCs w:val="21"/>
                <w:highlight w:val="none"/>
              </w:rPr>
            </w:pPr>
          </w:p>
        </w:tc>
        <w:tc>
          <w:tcPr>
            <w:tcW w:w="1129" w:type="pct"/>
            <w:gridSpan w:val="2"/>
            <w:tcMar>
              <w:left w:w="108" w:type="dxa"/>
              <w:right w:w="108" w:type="dxa"/>
            </w:tcMar>
            <w:vAlign w:val="center"/>
          </w:tcPr>
          <w:p w14:paraId="625C9599">
            <w:pPr>
              <w:jc w:val="center"/>
              <w:rPr>
                <w:bCs/>
                <w:szCs w:val="21"/>
                <w:highlight w:val="none"/>
              </w:rPr>
            </w:pPr>
            <w:r>
              <w:rPr>
                <w:bCs/>
                <w:szCs w:val="21"/>
                <w:highlight w:val="none"/>
              </w:rPr>
              <w:t>爆炸上限（%）：</w:t>
            </w:r>
          </w:p>
        </w:tc>
        <w:tc>
          <w:tcPr>
            <w:tcW w:w="1312" w:type="pct"/>
            <w:gridSpan w:val="3"/>
            <w:tcMar>
              <w:left w:w="108" w:type="dxa"/>
              <w:right w:w="108" w:type="dxa"/>
            </w:tcMar>
            <w:vAlign w:val="center"/>
          </w:tcPr>
          <w:p w14:paraId="542D4579">
            <w:pPr>
              <w:jc w:val="center"/>
              <w:rPr>
                <w:bCs/>
                <w:szCs w:val="21"/>
                <w:highlight w:val="none"/>
              </w:rPr>
            </w:pPr>
            <w:r>
              <w:rPr>
                <w:bCs/>
                <w:szCs w:val="21"/>
                <w:highlight w:val="none"/>
              </w:rPr>
              <w:t>4.3</w:t>
            </w:r>
          </w:p>
        </w:tc>
        <w:tc>
          <w:tcPr>
            <w:tcW w:w="1590" w:type="pct"/>
            <w:gridSpan w:val="2"/>
            <w:tcMar>
              <w:left w:w="108" w:type="dxa"/>
              <w:right w:w="108" w:type="dxa"/>
            </w:tcMar>
            <w:vAlign w:val="center"/>
          </w:tcPr>
          <w:p w14:paraId="4A9DCC56">
            <w:pPr>
              <w:jc w:val="center"/>
              <w:rPr>
                <w:bCs/>
                <w:szCs w:val="21"/>
                <w:highlight w:val="none"/>
              </w:rPr>
            </w:pPr>
            <w:r>
              <w:rPr>
                <w:bCs/>
                <w:szCs w:val="21"/>
                <w:highlight w:val="none"/>
              </w:rPr>
              <w:t>爆炸上限（%）：</w:t>
            </w:r>
          </w:p>
        </w:tc>
        <w:tc>
          <w:tcPr>
            <w:tcW w:w="662" w:type="pct"/>
            <w:tcMar>
              <w:left w:w="108" w:type="dxa"/>
              <w:right w:w="108" w:type="dxa"/>
            </w:tcMar>
            <w:vAlign w:val="center"/>
          </w:tcPr>
          <w:p w14:paraId="03F38521">
            <w:pPr>
              <w:jc w:val="center"/>
              <w:rPr>
                <w:bCs/>
                <w:szCs w:val="21"/>
                <w:highlight w:val="none"/>
              </w:rPr>
            </w:pPr>
            <w:r>
              <w:rPr>
                <w:bCs/>
                <w:szCs w:val="21"/>
                <w:highlight w:val="none"/>
              </w:rPr>
              <w:t>46.0</w:t>
            </w:r>
          </w:p>
        </w:tc>
      </w:tr>
      <w:tr w14:paraId="24EFF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restart"/>
            <w:tcMar>
              <w:left w:w="108" w:type="dxa"/>
              <w:right w:w="108" w:type="dxa"/>
            </w:tcMar>
            <w:vAlign w:val="center"/>
          </w:tcPr>
          <w:p w14:paraId="1AAA6E69">
            <w:pPr>
              <w:jc w:val="center"/>
              <w:rPr>
                <w:bCs/>
                <w:szCs w:val="21"/>
                <w:highlight w:val="none"/>
              </w:rPr>
            </w:pPr>
            <w:r>
              <w:rPr>
                <w:bCs/>
                <w:szCs w:val="21"/>
                <w:highlight w:val="none"/>
              </w:rPr>
              <w:t>稳定性和反应性</w:t>
            </w:r>
          </w:p>
        </w:tc>
        <w:tc>
          <w:tcPr>
            <w:tcW w:w="1129" w:type="pct"/>
            <w:gridSpan w:val="2"/>
            <w:tcMar>
              <w:left w:w="108" w:type="dxa"/>
              <w:right w:w="108" w:type="dxa"/>
            </w:tcMar>
            <w:vAlign w:val="center"/>
          </w:tcPr>
          <w:p w14:paraId="400F47AB">
            <w:pPr>
              <w:jc w:val="center"/>
              <w:rPr>
                <w:bCs/>
                <w:szCs w:val="21"/>
                <w:highlight w:val="none"/>
              </w:rPr>
            </w:pPr>
            <w:r>
              <w:rPr>
                <w:bCs/>
                <w:szCs w:val="21"/>
                <w:highlight w:val="none"/>
              </w:rPr>
              <w:t>稳定性：</w:t>
            </w:r>
          </w:p>
        </w:tc>
        <w:tc>
          <w:tcPr>
            <w:tcW w:w="3565" w:type="pct"/>
            <w:gridSpan w:val="6"/>
            <w:tcMar>
              <w:left w:w="108" w:type="dxa"/>
              <w:right w:w="108" w:type="dxa"/>
            </w:tcMar>
            <w:vAlign w:val="center"/>
          </w:tcPr>
          <w:p w14:paraId="4A3E5EC6">
            <w:pPr>
              <w:jc w:val="center"/>
              <w:rPr>
                <w:bCs/>
                <w:szCs w:val="21"/>
                <w:highlight w:val="none"/>
              </w:rPr>
            </w:pPr>
            <w:r>
              <w:rPr>
                <w:bCs/>
                <w:szCs w:val="21"/>
                <w:highlight w:val="none"/>
              </w:rPr>
              <w:t>稳定</w:t>
            </w:r>
          </w:p>
        </w:tc>
      </w:tr>
      <w:tr w14:paraId="5CCFE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continue"/>
            <w:tcMar>
              <w:left w:w="108" w:type="dxa"/>
              <w:right w:w="108" w:type="dxa"/>
            </w:tcMar>
            <w:vAlign w:val="center"/>
          </w:tcPr>
          <w:p w14:paraId="57B8069D">
            <w:pPr>
              <w:jc w:val="center"/>
              <w:rPr>
                <w:bCs/>
                <w:szCs w:val="21"/>
                <w:highlight w:val="none"/>
              </w:rPr>
            </w:pPr>
          </w:p>
        </w:tc>
        <w:tc>
          <w:tcPr>
            <w:tcW w:w="1129" w:type="pct"/>
            <w:gridSpan w:val="2"/>
            <w:tcMar>
              <w:left w:w="108" w:type="dxa"/>
              <w:right w:w="108" w:type="dxa"/>
            </w:tcMar>
            <w:vAlign w:val="center"/>
          </w:tcPr>
          <w:p w14:paraId="4B0CC586">
            <w:pPr>
              <w:jc w:val="center"/>
              <w:rPr>
                <w:bCs/>
                <w:szCs w:val="21"/>
                <w:highlight w:val="none"/>
              </w:rPr>
            </w:pPr>
            <w:r>
              <w:rPr>
                <w:bCs/>
                <w:szCs w:val="21"/>
                <w:highlight w:val="none"/>
              </w:rPr>
              <w:t>危险反应：</w:t>
            </w:r>
          </w:p>
        </w:tc>
        <w:tc>
          <w:tcPr>
            <w:tcW w:w="3565" w:type="pct"/>
            <w:gridSpan w:val="6"/>
            <w:tcMar>
              <w:left w:w="108" w:type="dxa"/>
              <w:right w:w="108" w:type="dxa"/>
            </w:tcMar>
            <w:vAlign w:val="center"/>
          </w:tcPr>
          <w:p w14:paraId="6AC11BFB">
            <w:pPr>
              <w:jc w:val="center"/>
              <w:rPr>
                <w:bCs/>
                <w:szCs w:val="21"/>
                <w:highlight w:val="none"/>
              </w:rPr>
            </w:pPr>
            <w:r>
              <w:rPr>
                <w:bCs/>
                <w:szCs w:val="21"/>
                <w:highlight w:val="none"/>
              </w:rPr>
              <w:t>与强氧化剂等禁配物接触，有发生火灾和爆炸的危险。</w:t>
            </w:r>
          </w:p>
        </w:tc>
      </w:tr>
      <w:tr w14:paraId="6F409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continue"/>
            <w:tcMar>
              <w:left w:w="108" w:type="dxa"/>
              <w:right w:w="108" w:type="dxa"/>
            </w:tcMar>
            <w:vAlign w:val="center"/>
          </w:tcPr>
          <w:p w14:paraId="1D735198">
            <w:pPr>
              <w:jc w:val="center"/>
              <w:rPr>
                <w:bCs/>
                <w:szCs w:val="21"/>
                <w:highlight w:val="none"/>
              </w:rPr>
            </w:pPr>
          </w:p>
        </w:tc>
        <w:tc>
          <w:tcPr>
            <w:tcW w:w="1129" w:type="pct"/>
            <w:gridSpan w:val="2"/>
            <w:tcMar>
              <w:left w:w="108" w:type="dxa"/>
              <w:right w:w="108" w:type="dxa"/>
            </w:tcMar>
            <w:vAlign w:val="center"/>
          </w:tcPr>
          <w:p w14:paraId="20576E83">
            <w:pPr>
              <w:jc w:val="center"/>
              <w:rPr>
                <w:bCs/>
                <w:szCs w:val="21"/>
                <w:highlight w:val="none"/>
              </w:rPr>
            </w:pPr>
            <w:r>
              <w:rPr>
                <w:bCs/>
                <w:szCs w:val="21"/>
                <w:highlight w:val="none"/>
              </w:rPr>
              <w:t>避免接触的条件：</w:t>
            </w:r>
          </w:p>
        </w:tc>
        <w:tc>
          <w:tcPr>
            <w:tcW w:w="3565" w:type="pct"/>
            <w:gridSpan w:val="6"/>
            <w:tcMar>
              <w:left w:w="108" w:type="dxa"/>
              <w:right w:w="108" w:type="dxa"/>
            </w:tcMar>
            <w:vAlign w:val="center"/>
          </w:tcPr>
          <w:p w14:paraId="14F517E5">
            <w:pPr>
              <w:jc w:val="center"/>
              <w:rPr>
                <w:bCs/>
                <w:szCs w:val="21"/>
                <w:highlight w:val="none"/>
              </w:rPr>
            </w:pPr>
            <w:r>
              <w:rPr>
                <w:bCs/>
                <w:szCs w:val="21"/>
                <w:highlight w:val="none"/>
              </w:rPr>
              <w:t>无资料</w:t>
            </w:r>
          </w:p>
        </w:tc>
      </w:tr>
      <w:tr w14:paraId="593BA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continue"/>
            <w:tcMar>
              <w:left w:w="108" w:type="dxa"/>
              <w:right w:w="108" w:type="dxa"/>
            </w:tcMar>
            <w:vAlign w:val="center"/>
          </w:tcPr>
          <w:p w14:paraId="7C05D628">
            <w:pPr>
              <w:jc w:val="center"/>
              <w:rPr>
                <w:bCs/>
                <w:szCs w:val="21"/>
                <w:highlight w:val="none"/>
              </w:rPr>
            </w:pPr>
          </w:p>
        </w:tc>
        <w:tc>
          <w:tcPr>
            <w:tcW w:w="1129" w:type="pct"/>
            <w:gridSpan w:val="2"/>
            <w:tcMar>
              <w:left w:w="108" w:type="dxa"/>
              <w:right w:w="108" w:type="dxa"/>
            </w:tcMar>
            <w:vAlign w:val="center"/>
          </w:tcPr>
          <w:p w14:paraId="2CD6CEA1">
            <w:pPr>
              <w:jc w:val="center"/>
              <w:rPr>
                <w:bCs/>
                <w:szCs w:val="21"/>
                <w:highlight w:val="none"/>
              </w:rPr>
            </w:pPr>
            <w:r>
              <w:rPr>
                <w:bCs/>
                <w:szCs w:val="21"/>
                <w:highlight w:val="none"/>
              </w:rPr>
              <w:t>禁配物：</w:t>
            </w:r>
          </w:p>
        </w:tc>
        <w:tc>
          <w:tcPr>
            <w:tcW w:w="3565" w:type="pct"/>
            <w:gridSpan w:val="6"/>
            <w:tcMar>
              <w:left w:w="108" w:type="dxa"/>
              <w:right w:w="108" w:type="dxa"/>
            </w:tcMar>
            <w:vAlign w:val="center"/>
          </w:tcPr>
          <w:p w14:paraId="6EEA7EB0">
            <w:pPr>
              <w:jc w:val="center"/>
              <w:rPr>
                <w:bCs/>
                <w:szCs w:val="21"/>
                <w:highlight w:val="none"/>
              </w:rPr>
            </w:pPr>
            <w:r>
              <w:rPr>
                <w:bCs/>
                <w:szCs w:val="21"/>
                <w:highlight w:val="none"/>
              </w:rPr>
              <w:t>强氧化剂、碱类</w:t>
            </w:r>
          </w:p>
        </w:tc>
      </w:tr>
      <w:tr w14:paraId="342BD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 w:hRule="atLeast"/>
          <w:jc w:val="center"/>
        </w:trPr>
        <w:tc>
          <w:tcPr>
            <w:tcW w:w="305" w:type="pct"/>
            <w:vMerge w:val="continue"/>
            <w:tcMar>
              <w:left w:w="108" w:type="dxa"/>
              <w:right w:w="108" w:type="dxa"/>
            </w:tcMar>
            <w:vAlign w:val="center"/>
          </w:tcPr>
          <w:p w14:paraId="6EE3D396">
            <w:pPr>
              <w:jc w:val="center"/>
              <w:rPr>
                <w:bCs/>
                <w:szCs w:val="21"/>
                <w:highlight w:val="none"/>
              </w:rPr>
            </w:pPr>
          </w:p>
        </w:tc>
        <w:tc>
          <w:tcPr>
            <w:tcW w:w="1129" w:type="pct"/>
            <w:gridSpan w:val="2"/>
            <w:tcMar>
              <w:left w:w="108" w:type="dxa"/>
              <w:right w:w="108" w:type="dxa"/>
            </w:tcMar>
            <w:vAlign w:val="center"/>
          </w:tcPr>
          <w:p w14:paraId="2A0CE2D9">
            <w:pPr>
              <w:jc w:val="center"/>
              <w:rPr>
                <w:bCs/>
                <w:szCs w:val="21"/>
                <w:highlight w:val="none"/>
              </w:rPr>
            </w:pPr>
            <w:r>
              <w:rPr>
                <w:bCs/>
                <w:szCs w:val="21"/>
                <w:highlight w:val="none"/>
              </w:rPr>
              <w:t>危险的分解产物：</w:t>
            </w:r>
          </w:p>
        </w:tc>
        <w:tc>
          <w:tcPr>
            <w:tcW w:w="3565" w:type="pct"/>
            <w:gridSpan w:val="6"/>
            <w:tcMar>
              <w:left w:w="108" w:type="dxa"/>
              <w:right w:w="108" w:type="dxa"/>
            </w:tcMar>
            <w:vAlign w:val="center"/>
          </w:tcPr>
          <w:p w14:paraId="7EAF84FC">
            <w:pPr>
              <w:jc w:val="center"/>
              <w:rPr>
                <w:bCs/>
                <w:szCs w:val="21"/>
                <w:highlight w:val="none"/>
              </w:rPr>
            </w:pPr>
            <w:r>
              <w:rPr>
                <w:bCs/>
                <w:szCs w:val="21"/>
                <w:highlight w:val="none"/>
              </w:rPr>
              <w:t>无资料</w:t>
            </w:r>
          </w:p>
        </w:tc>
      </w:tr>
      <w:tr w14:paraId="39B39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restart"/>
            <w:tcMar>
              <w:left w:w="108" w:type="dxa"/>
              <w:right w:w="108" w:type="dxa"/>
            </w:tcMar>
            <w:vAlign w:val="center"/>
          </w:tcPr>
          <w:p w14:paraId="5819A9DB">
            <w:pPr>
              <w:jc w:val="center"/>
              <w:rPr>
                <w:bCs/>
                <w:szCs w:val="21"/>
                <w:highlight w:val="none"/>
              </w:rPr>
            </w:pPr>
            <w:r>
              <w:rPr>
                <w:bCs/>
                <w:szCs w:val="21"/>
                <w:highlight w:val="none"/>
              </w:rPr>
              <w:t>毒理学信息</w:t>
            </w:r>
          </w:p>
        </w:tc>
        <w:tc>
          <w:tcPr>
            <w:tcW w:w="1129" w:type="pct"/>
            <w:gridSpan w:val="2"/>
            <w:tcMar>
              <w:left w:w="108" w:type="dxa"/>
              <w:right w:w="108" w:type="dxa"/>
            </w:tcMar>
            <w:vAlign w:val="center"/>
          </w:tcPr>
          <w:p w14:paraId="3A232BF9">
            <w:pPr>
              <w:jc w:val="center"/>
              <w:rPr>
                <w:bCs/>
                <w:szCs w:val="21"/>
                <w:highlight w:val="none"/>
              </w:rPr>
            </w:pPr>
            <w:r>
              <w:rPr>
                <w:bCs/>
                <w:szCs w:val="21"/>
                <w:highlight w:val="none"/>
              </w:rPr>
              <w:t>急性中毒：</w:t>
            </w:r>
          </w:p>
        </w:tc>
        <w:tc>
          <w:tcPr>
            <w:tcW w:w="3565" w:type="pct"/>
            <w:gridSpan w:val="6"/>
            <w:tcMar>
              <w:left w:w="108" w:type="dxa"/>
              <w:right w:w="108" w:type="dxa"/>
            </w:tcMar>
            <w:vAlign w:val="center"/>
          </w:tcPr>
          <w:p w14:paraId="26EBF110">
            <w:pPr>
              <w:jc w:val="center"/>
              <w:rPr>
                <w:bCs/>
                <w:szCs w:val="21"/>
                <w:highlight w:val="none"/>
              </w:rPr>
            </w:pPr>
            <w:r>
              <w:rPr>
                <w:bCs/>
                <w:szCs w:val="21"/>
                <w:highlight w:val="none"/>
              </w:rPr>
              <w:t>LD50:8mg/m</w:t>
            </w:r>
            <w:r>
              <w:rPr>
                <w:bCs/>
                <w:szCs w:val="21"/>
                <w:highlight w:val="none"/>
                <w:vertAlign w:val="superscript"/>
              </w:rPr>
              <w:t>3</w:t>
            </w:r>
            <w:r>
              <w:rPr>
                <w:bCs/>
                <w:szCs w:val="21"/>
                <w:highlight w:val="none"/>
              </w:rPr>
              <w:t xml:space="preserve"> </w:t>
            </w:r>
            <w:r>
              <w:rPr>
                <w:rFonts w:hint="eastAsia"/>
                <w:bCs/>
                <w:szCs w:val="21"/>
                <w:highlight w:val="none"/>
                <w:lang w:eastAsia="zh-CN"/>
              </w:rPr>
              <w:t>（</w:t>
            </w:r>
            <w:r>
              <w:rPr>
                <w:bCs/>
                <w:szCs w:val="21"/>
                <w:highlight w:val="none"/>
              </w:rPr>
              <w:t>444ppm</w:t>
            </w:r>
            <w:r>
              <w:rPr>
                <w:rFonts w:hint="eastAsia"/>
                <w:bCs/>
                <w:szCs w:val="21"/>
                <w:highlight w:val="none"/>
                <w:lang w:eastAsia="zh-CN"/>
              </w:rPr>
              <w:t>）</w:t>
            </w:r>
            <w:r>
              <w:rPr>
                <w:bCs/>
                <w:szCs w:val="21"/>
                <w:highlight w:val="none"/>
              </w:rPr>
              <w:t>（大鼠吸入） LCLo：（人吸入30min）600ppm</w:t>
            </w:r>
          </w:p>
        </w:tc>
      </w:tr>
      <w:tr w14:paraId="26A0E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continue"/>
            <w:tcMar>
              <w:left w:w="108" w:type="dxa"/>
              <w:right w:w="108" w:type="dxa"/>
            </w:tcMar>
            <w:vAlign w:val="center"/>
          </w:tcPr>
          <w:p w14:paraId="72BC1E94">
            <w:pPr>
              <w:jc w:val="center"/>
              <w:rPr>
                <w:bCs/>
                <w:szCs w:val="21"/>
                <w:highlight w:val="none"/>
              </w:rPr>
            </w:pPr>
          </w:p>
        </w:tc>
        <w:tc>
          <w:tcPr>
            <w:tcW w:w="1129" w:type="pct"/>
            <w:gridSpan w:val="2"/>
            <w:tcMar>
              <w:left w:w="108" w:type="dxa"/>
              <w:right w:w="108" w:type="dxa"/>
            </w:tcMar>
            <w:vAlign w:val="center"/>
          </w:tcPr>
          <w:p w14:paraId="6C521CFF">
            <w:pPr>
              <w:jc w:val="center"/>
              <w:rPr>
                <w:bCs/>
                <w:szCs w:val="21"/>
                <w:highlight w:val="none"/>
              </w:rPr>
            </w:pPr>
            <w:r>
              <w:rPr>
                <w:bCs/>
                <w:szCs w:val="21"/>
                <w:highlight w:val="none"/>
              </w:rPr>
              <w:t>皮肤刺激或腐蚀：</w:t>
            </w:r>
          </w:p>
        </w:tc>
        <w:tc>
          <w:tcPr>
            <w:tcW w:w="1312" w:type="pct"/>
            <w:gridSpan w:val="3"/>
            <w:tcMar>
              <w:left w:w="108" w:type="dxa"/>
              <w:right w:w="108" w:type="dxa"/>
            </w:tcMar>
            <w:vAlign w:val="center"/>
          </w:tcPr>
          <w:p w14:paraId="1B3B0BCC">
            <w:pPr>
              <w:jc w:val="center"/>
              <w:rPr>
                <w:bCs/>
                <w:szCs w:val="21"/>
                <w:highlight w:val="none"/>
              </w:rPr>
            </w:pPr>
            <w:r>
              <w:rPr>
                <w:bCs/>
                <w:szCs w:val="21"/>
                <w:highlight w:val="none"/>
              </w:rPr>
              <w:t>无资料</w:t>
            </w:r>
          </w:p>
        </w:tc>
        <w:tc>
          <w:tcPr>
            <w:tcW w:w="1590" w:type="pct"/>
            <w:gridSpan w:val="2"/>
            <w:tcMar>
              <w:left w:w="108" w:type="dxa"/>
              <w:right w:w="108" w:type="dxa"/>
            </w:tcMar>
            <w:vAlign w:val="center"/>
          </w:tcPr>
          <w:p w14:paraId="45F56C09">
            <w:pPr>
              <w:jc w:val="center"/>
              <w:rPr>
                <w:bCs/>
                <w:szCs w:val="21"/>
                <w:highlight w:val="none"/>
              </w:rPr>
            </w:pPr>
            <w:r>
              <w:rPr>
                <w:bCs/>
                <w:szCs w:val="21"/>
                <w:highlight w:val="none"/>
              </w:rPr>
              <w:t>眼睛刺激或腐蚀：</w:t>
            </w:r>
          </w:p>
        </w:tc>
        <w:tc>
          <w:tcPr>
            <w:tcW w:w="662" w:type="pct"/>
            <w:tcMar>
              <w:left w:w="108" w:type="dxa"/>
              <w:right w:w="108" w:type="dxa"/>
            </w:tcMar>
            <w:vAlign w:val="center"/>
          </w:tcPr>
          <w:p w14:paraId="5D86F27C">
            <w:pPr>
              <w:jc w:val="center"/>
              <w:rPr>
                <w:bCs/>
                <w:szCs w:val="21"/>
                <w:highlight w:val="none"/>
              </w:rPr>
            </w:pPr>
            <w:r>
              <w:rPr>
                <w:bCs/>
                <w:szCs w:val="21"/>
                <w:highlight w:val="none"/>
              </w:rPr>
              <w:t>无资料</w:t>
            </w:r>
          </w:p>
        </w:tc>
      </w:tr>
      <w:tr w14:paraId="26158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continue"/>
            <w:tcMar>
              <w:left w:w="108" w:type="dxa"/>
              <w:right w:w="108" w:type="dxa"/>
            </w:tcMar>
            <w:vAlign w:val="center"/>
          </w:tcPr>
          <w:p w14:paraId="2073209B">
            <w:pPr>
              <w:jc w:val="center"/>
              <w:rPr>
                <w:bCs/>
                <w:szCs w:val="21"/>
                <w:highlight w:val="none"/>
              </w:rPr>
            </w:pPr>
          </w:p>
        </w:tc>
        <w:tc>
          <w:tcPr>
            <w:tcW w:w="1129" w:type="pct"/>
            <w:gridSpan w:val="2"/>
            <w:tcMar>
              <w:left w:w="108" w:type="dxa"/>
              <w:right w:w="108" w:type="dxa"/>
            </w:tcMar>
            <w:vAlign w:val="center"/>
          </w:tcPr>
          <w:p w14:paraId="146D7E0E">
            <w:pPr>
              <w:jc w:val="center"/>
              <w:rPr>
                <w:bCs/>
                <w:szCs w:val="21"/>
                <w:highlight w:val="none"/>
              </w:rPr>
            </w:pPr>
            <w:r>
              <w:rPr>
                <w:bCs/>
                <w:szCs w:val="21"/>
                <w:highlight w:val="none"/>
              </w:rPr>
              <w:t>呼吸</w:t>
            </w:r>
            <w:r>
              <w:rPr>
                <w:rFonts w:hint="eastAsia"/>
                <w:bCs/>
                <w:szCs w:val="21"/>
                <w:highlight w:val="none"/>
                <w:lang w:eastAsia="zh-CN"/>
              </w:rPr>
              <w:t>道</w:t>
            </w:r>
            <w:r>
              <w:rPr>
                <w:bCs/>
                <w:szCs w:val="21"/>
                <w:highlight w:val="none"/>
              </w:rPr>
              <w:t>或皮肤过敏：</w:t>
            </w:r>
          </w:p>
        </w:tc>
        <w:tc>
          <w:tcPr>
            <w:tcW w:w="1312" w:type="pct"/>
            <w:gridSpan w:val="3"/>
            <w:tcMar>
              <w:left w:w="108" w:type="dxa"/>
              <w:right w:w="108" w:type="dxa"/>
            </w:tcMar>
            <w:vAlign w:val="center"/>
          </w:tcPr>
          <w:p w14:paraId="7C2F55FE">
            <w:pPr>
              <w:jc w:val="center"/>
              <w:rPr>
                <w:bCs/>
                <w:szCs w:val="21"/>
                <w:highlight w:val="none"/>
              </w:rPr>
            </w:pPr>
            <w:r>
              <w:rPr>
                <w:bCs/>
                <w:szCs w:val="21"/>
                <w:highlight w:val="none"/>
              </w:rPr>
              <w:t>无资料</w:t>
            </w:r>
          </w:p>
        </w:tc>
        <w:tc>
          <w:tcPr>
            <w:tcW w:w="1590" w:type="pct"/>
            <w:gridSpan w:val="2"/>
            <w:tcMar>
              <w:left w:w="108" w:type="dxa"/>
              <w:right w:w="108" w:type="dxa"/>
            </w:tcMar>
            <w:vAlign w:val="center"/>
          </w:tcPr>
          <w:p w14:paraId="53A16407">
            <w:pPr>
              <w:jc w:val="center"/>
              <w:rPr>
                <w:bCs/>
                <w:szCs w:val="21"/>
                <w:highlight w:val="none"/>
              </w:rPr>
            </w:pPr>
            <w:r>
              <w:rPr>
                <w:bCs/>
                <w:szCs w:val="21"/>
                <w:highlight w:val="none"/>
              </w:rPr>
              <w:t>生殖细胞</w:t>
            </w:r>
            <w:r>
              <w:rPr>
                <w:rFonts w:hint="eastAsia"/>
                <w:bCs/>
                <w:szCs w:val="21"/>
                <w:highlight w:val="none"/>
                <w:lang w:eastAsia="zh-CN"/>
              </w:rPr>
              <w:t>致</w:t>
            </w:r>
            <w:r>
              <w:rPr>
                <w:bCs/>
                <w:szCs w:val="21"/>
                <w:highlight w:val="none"/>
              </w:rPr>
              <w:t>突变性：</w:t>
            </w:r>
          </w:p>
        </w:tc>
        <w:tc>
          <w:tcPr>
            <w:tcW w:w="662" w:type="pct"/>
            <w:tcMar>
              <w:left w:w="108" w:type="dxa"/>
              <w:right w:w="108" w:type="dxa"/>
            </w:tcMar>
            <w:vAlign w:val="center"/>
          </w:tcPr>
          <w:p w14:paraId="06E21BC9">
            <w:pPr>
              <w:jc w:val="center"/>
              <w:rPr>
                <w:bCs/>
                <w:szCs w:val="21"/>
                <w:highlight w:val="none"/>
              </w:rPr>
            </w:pPr>
            <w:r>
              <w:rPr>
                <w:bCs/>
                <w:szCs w:val="21"/>
                <w:highlight w:val="none"/>
              </w:rPr>
              <w:t>无资料</w:t>
            </w:r>
          </w:p>
        </w:tc>
      </w:tr>
      <w:tr w14:paraId="06FA9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continue"/>
            <w:tcMar>
              <w:left w:w="108" w:type="dxa"/>
              <w:right w:w="108" w:type="dxa"/>
            </w:tcMar>
            <w:vAlign w:val="center"/>
          </w:tcPr>
          <w:p w14:paraId="14F99B7F">
            <w:pPr>
              <w:jc w:val="center"/>
              <w:rPr>
                <w:bCs/>
                <w:szCs w:val="21"/>
                <w:highlight w:val="none"/>
              </w:rPr>
            </w:pPr>
          </w:p>
        </w:tc>
        <w:tc>
          <w:tcPr>
            <w:tcW w:w="1129" w:type="pct"/>
            <w:gridSpan w:val="2"/>
            <w:tcMar>
              <w:left w:w="108" w:type="dxa"/>
              <w:right w:w="108" w:type="dxa"/>
            </w:tcMar>
            <w:vAlign w:val="center"/>
          </w:tcPr>
          <w:p w14:paraId="4B37AE80">
            <w:pPr>
              <w:jc w:val="center"/>
              <w:rPr>
                <w:bCs/>
                <w:szCs w:val="21"/>
                <w:highlight w:val="none"/>
              </w:rPr>
            </w:pPr>
            <w:r>
              <w:rPr>
                <w:bCs/>
                <w:szCs w:val="21"/>
                <w:highlight w:val="none"/>
              </w:rPr>
              <w:t>致癌性：</w:t>
            </w:r>
          </w:p>
        </w:tc>
        <w:tc>
          <w:tcPr>
            <w:tcW w:w="1312" w:type="pct"/>
            <w:gridSpan w:val="3"/>
            <w:tcMar>
              <w:left w:w="108" w:type="dxa"/>
              <w:right w:w="108" w:type="dxa"/>
            </w:tcMar>
            <w:vAlign w:val="center"/>
          </w:tcPr>
          <w:p w14:paraId="0046CF7D">
            <w:pPr>
              <w:jc w:val="center"/>
              <w:rPr>
                <w:bCs/>
                <w:szCs w:val="21"/>
                <w:highlight w:val="none"/>
              </w:rPr>
            </w:pPr>
            <w:r>
              <w:rPr>
                <w:bCs/>
                <w:szCs w:val="21"/>
                <w:highlight w:val="none"/>
              </w:rPr>
              <w:t>无资料</w:t>
            </w:r>
          </w:p>
        </w:tc>
        <w:tc>
          <w:tcPr>
            <w:tcW w:w="1590" w:type="pct"/>
            <w:gridSpan w:val="2"/>
            <w:tcMar>
              <w:left w:w="108" w:type="dxa"/>
              <w:right w:w="108" w:type="dxa"/>
            </w:tcMar>
            <w:vAlign w:val="center"/>
          </w:tcPr>
          <w:p w14:paraId="71F8AE38">
            <w:pPr>
              <w:jc w:val="center"/>
              <w:rPr>
                <w:bCs/>
                <w:szCs w:val="21"/>
                <w:highlight w:val="none"/>
              </w:rPr>
            </w:pPr>
            <w:r>
              <w:rPr>
                <w:bCs/>
                <w:szCs w:val="21"/>
                <w:highlight w:val="none"/>
              </w:rPr>
              <w:t>生殖毒性：</w:t>
            </w:r>
          </w:p>
        </w:tc>
        <w:tc>
          <w:tcPr>
            <w:tcW w:w="662" w:type="pct"/>
            <w:tcMar>
              <w:left w:w="108" w:type="dxa"/>
              <w:right w:w="108" w:type="dxa"/>
            </w:tcMar>
            <w:vAlign w:val="center"/>
          </w:tcPr>
          <w:p w14:paraId="578C488D">
            <w:pPr>
              <w:jc w:val="center"/>
              <w:rPr>
                <w:bCs/>
                <w:szCs w:val="21"/>
                <w:highlight w:val="none"/>
              </w:rPr>
            </w:pPr>
            <w:r>
              <w:rPr>
                <w:bCs/>
                <w:szCs w:val="21"/>
                <w:highlight w:val="none"/>
              </w:rPr>
              <w:t>无资料</w:t>
            </w:r>
          </w:p>
        </w:tc>
      </w:tr>
      <w:tr w14:paraId="3B696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continue"/>
            <w:tcMar>
              <w:left w:w="108" w:type="dxa"/>
              <w:right w:w="108" w:type="dxa"/>
            </w:tcMar>
            <w:vAlign w:val="center"/>
          </w:tcPr>
          <w:p w14:paraId="53E5B7B5">
            <w:pPr>
              <w:jc w:val="center"/>
              <w:rPr>
                <w:bCs/>
                <w:szCs w:val="21"/>
                <w:highlight w:val="none"/>
              </w:rPr>
            </w:pPr>
          </w:p>
        </w:tc>
        <w:tc>
          <w:tcPr>
            <w:tcW w:w="1129" w:type="pct"/>
            <w:gridSpan w:val="2"/>
            <w:tcMar>
              <w:left w:w="108" w:type="dxa"/>
              <w:right w:w="108" w:type="dxa"/>
            </w:tcMar>
            <w:vAlign w:val="center"/>
          </w:tcPr>
          <w:p w14:paraId="287ECEA8">
            <w:pPr>
              <w:jc w:val="center"/>
              <w:rPr>
                <w:bCs/>
                <w:szCs w:val="21"/>
                <w:highlight w:val="none"/>
              </w:rPr>
            </w:pPr>
            <w:r>
              <w:rPr>
                <w:bCs/>
                <w:szCs w:val="21"/>
                <w:highlight w:val="none"/>
              </w:rPr>
              <w:t>特异性靶器官系统毒性——一次接触：</w:t>
            </w:r>
          </w:p>
        </w:tc>
        <w:tc>
          <w:tcPr>
            <w:tcW w:w="3565" w:type="pct"/>
            <w:gridSpan w:val="6"/>
            <w:tcMar>
              <w:left w:w="108" w:type="dxa"/>
              <w:right w:w="108" w:type="dxa"/>
            </w:tcMar>
            <w:vAlign w:val="center"/>
          </w:tcPr>
          <w:p w14:paraId="2E693992">
            <w:pPr>
              <w:jc w:val="center"/>
              <w:rPr>
                <w:bCs/>
                <w:szCs w:val="21"/>
                <w:highlight w:val="none"/>
              </w:rPr>
            </w:pPr>
            <w:r>
              <w:rPr>
                <w:bCs/>
                <w:szCs w:val="21"/>
                <w:highlight w:val="none"/>
              </w:rPr>
              <w:t>无资料</w:t>
            </w:r>
          </w:p>
        </w:tc>
      </w:tr>
      <w:tr w14:paraId="10932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305" w:type="pct"/>
            <w:vMerge w:val="continue"/>
            <w:tcMar>
              <w:left w:w="108" w:type="dxa"/>
              <w:right w:w="108" w:type="dxa"/>
            </w:tcMar>
            <w:vAlign w:val="center"/>
          </w:tcPr>
          <w:p w14:paraId="2A8F1C08">
            <w:pPr>
              <w:jc w:val="center"/>
              <w:rPr>
                <w:bCs/>
                <w:szCs w:val="21"/>
                <w:highlight w:val="none"/>
              </w:rPr>
            </w:pPr>
          </w:p>
        </w:tc>
        <w:tc>
          <w:tcPr>
            <w:tcW w:w="1129" w:type="pct"/>
            <w:gridSpan w:val="2"/>
            <w:tcMar>
              <w:left w:w="108" w:type="dxa"/>
              <w:right w:w="108" w:type="dxa"/>
            </w:tcMar>
            <w:vAlign w:val="center"/>
          </w:tcPr>
          <w:p w14:paraId="2EE06657">
            <w:pPr>
              <w:jc w:val="center"/>
              <w:rPr>
                <w:bCs/>
                <w:szCs w:val="21"/>
                <w:highlight w:val="none"/>
              </w:rPr>
            </w:pPr>
            <w:r>
              <w:rPr>
                <w:bCs/>
                <w:szCs w:val="21"/>
                <w:highlight w:val="none"/>
              </w:rPr>
              <w:t>特异性靶器官系统毒性——反复接触：</w:t>
            </w:r>
          </w:p>
        </w:tc>
        <w:tc>
          <w:tcPr>
            <w:tcW w:w="3565" w:type="pct"/>
            <w:gridSpan w:val="6"/>
            <w:tcMar>
              <w:left w:w="108" w:type="dxa"/>
              <w:right w:w="108" w:type="dxa"/>
            </w:tcMar>
            <w:vAlign w:val="center"/>
          </w:tcPr>
          <w:p w14:paraId="647EDF14">
            <w:pPr>
              <w:jc w:val="center"/>
              <w:rPr>
                <w:bCs/>
                <w:szCs w:val="21"/>
                <w:highlight w:val="none"/>
              </w:rPr>
            </w:pPr>
            <w:r>
              <w:rPr>
                <w:bCs/>
                <w:szCs w:val="21"/>
                <w:highlight w:val="none"/>
              </w:rPr>
              <w:t>家兔吸入0.01mg/L，每天2h，3个月，引起中枢神经系统的功能改变，气管、支气管黏膜刺激症状，大脑皮层出现病理改变；小鼠长期接触低浓度硫化氢，有小气道损害。</w:t>
            </w:r>
          </w:p>
        </w:tc>
      </w:tr>
      <w:tr w14:paraId="7AD89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continue"/>
            <w:tcMar>
              <w:left w:w="108" w:type="dxa"/>
              <w:right w:w="108" w:type="dxa"/>
            </w:tcMar>
            <w:vAlign w:val="center"/>
          </w:tcPr>
          <w:p w14:paraId="1998D880">
            <w:pPr>
              <w:jc w:val="center"/>
              <w:rPr>
                <w:bCs/>
                <w:szCs w:val="21"/>
                <w:highlight w:val="none"/>
              </w:rPr>
            </w:pPr>
          </w:p>
        </w:tc>
        <w:tc>
          <w:tcPr>
            <w:tcW w:w="1129" w:type="pct"/>
            <w:gridSpan w:val="2"/>
            <w:tcMar>
              <w:left w:w="108" w:type="dxa"/>
              <w:right w:w="108" w:type="dxa"/>
            </w:tcMar>
            <w:vAlign w:val="center"/>
          </w:tcPr>
          <w:p w14:paraId="62CD7D79">
            <w:pPr>
              <w:jc w:val="center"/>
              <w:rPr>
                <w:bCs/>
                <w:szCs w:val="21"/>
                <w:highlight w:val="none"/>
              </w:rPr>
            </w:pPr>
            <w:r>
              <w:rPr>
                <w:bCs/>
                <w:szCs w:val="21"/>
                <w:highlight w:val="none"/>
              </w:rPr>
              <w:t>吸入危害：</w:t>
            </w:r>
          </w:p>
        </w:tc>
        <w:tc>
          <w:tcPr>
            <w:tcW w:w="3565" w:type="pct"/>
            <w:gridSpan w:val="6"/>
            <w:tcMar>
              <w:left w:w="108" w:type="dxa"/>
              <w:right w:w="108" w:type="dxa"/>
            </w:tcMar>
            <w:vAlign w:val="center"/>
          </w:tcPr>
          <w:p w14:paraId="73315A5C">
            <w:pPr>
              <w:jc w:val="center"/>
              <w:rPr>
                <w:bCs/>
                <w:szCs w:val="21"/>
                <w:highlight w:val="none"/>
              </w:rPr>
            </w:pPr>
            <w:r>
              <w:rPr>
                <w:bCs/>
                <w:szCs w:val="21"/>
                <w:highlight w:val="none"/>
              </w:rPr>
              <w:t>无资料</w:t>
            </w:r>
          </w:p>
        </w:tc>
      </w:tr>
      <w:tr w14:paraId="7265E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restart"/>
            <w:tcMar>
              <w:left w:w="108" w:type="dxa"/>
              <w:right w:w="108" w:type="dxa"/>
            </w:tcMar>
            <w:vAlign w:val="center"/>
          </w:tcPr>
          <w:p w14:paraId="6DDAB455">
            <w:pPr>
              <w:jc w:val="center"/>
              <w:rPr>
                <w:bCs/>
                <w:szCs w:val="21"/>
                <w:highlight w:val="none"/>
              </w:rPr>
            </w:pPr>
            <w:r>
              <w:rPr>
                <w:bCs/>
                <w:szCs w:val="21"/>
                <w:highlight w:val="none"/>
              </w:rPr>
              <w:t>生态学信息</w:t>
            </w:r>
          </w:p>
        </w:tc>
        <w:tc>
          <w:tcPr>
            <w:tcW w:w="1129" w:type="pct"/>
            <w:gridSpan w:val="2"/>
            <w:tcMar>
              <w:left w:w="108" w:type="dxa"/>
              <w:right w:w="108" w:type="dxa"/>
            </w:tcMar>
            <w:vAlign w:val="center"/>
          </w:tcPr>
          <w:p w14:paraId="723AFD7E">
            <w:pPr>
              <w:jc w:val="center"/>
              <w:rPr>
                <w:bCs/>
                <w:szCs w:val="21"/>
                <w:highlight w:val="none"/>
              </w:rPr>
            </w:pPr>
            <w:r>
              <w:rPr>
                <w:bCs/>
                <w:szCs w:val="21"/>
                <w:highlight w:val="none"/>
              </w:rPr>
              <w:t>生态毒性：</w:t>
            </w:r>
          </w:p>
        </w:tc>
        <w:tc>
          <w:tcPr>
            <w:tcW w:w="3565" w:type="pct"/>
            <w:gridSpan w:val="6"/>
            <w:tcMar>
              <w:left w:w="108" w:type="dxa"/>
              <w:right w:w="108" w:type="dxa"/>
            </w:tcMar>
            <w:vAlign w:val="center"/>
          </w:tcPr>
          <w:p w14:paraId="699D3CB8">
            <w:pPr>
              <w:jc w:val="center"/>
              <w:rPr>
                <w:bCs/>
                <w:szCs w:val="21"/>
                <w:highlight w:val="none"/>
              </w:rPr>
            </w:pPr>
            <w:r>
              <w:rPr>
                <w:bCs/>
                <w:szCs w:val="21"/>
                <w:highlight w:val="none"/>
              </w:rPr>
              <w:t>TLm:0.0071~0.55mg/L</w:t>
            </w:r>
            <w:r>
              <w:rPr>
                <w:rFonts w:hint="eastAsia"/>
                <w:bCs/>
                <w:szCs w:val="21"/>
                <w:highlight w:val="none"/>
                <w:lang w:eastAsia="zh-CN"/>
              </w:rPr>
              <w:t>（</w:t>
            </w:r>
            <w:r>
              <w:rPr>
                <w:bCs/>
                <w:szCs w:val="21"/>
                <w:highlight w:val="none"/>
              </w:rPr>
              <w:t>96h</w:t>
            </w:r>
            <w:r>
              <w:rPr>
                <w:rFonts w:hint="eastAsia"/>
                <w:bCs/>
                <w:szCs w:val="21"/>
                <w:highlight w:val="none"/>
                <w:lang w:eastAsia="zh-CN"/>
              </w:rPr>
              <w:t>）</w:t>
            </w:r>
            <w:r>
              <w:rPr>
                <w:bCs/>
                <w:szCs w:val="21"/>
                <w:highlight w:val="none"/>
              </w:rPr>
              <w:t>（黑头果鱼）；0.0448~0.0478mg/L</w:t>
            </w:r>
            <w:r>
              <w:rPr>
                <w:rFonts w:hint="eastAsia"/>
                <w:bCs/>
                <w:szCs w:val="21"/>
                <w:highlight w:val="none"/>
                <w:lang w:eastAsia="zh-CN"/>
              </w:rPr>
              <w:t>（</w:t>
            </w:r>
            <w:r>
              <w:rPr>
                <w:bCs/>
                <w:szCs w:val="21"/>
                <w:highlight w:val="none"/>
              </w:rPr>
              <w:t>96h</w:t>
            </w:r>
            <w:r>
              <w:rPr>
                <w:rFonts w:hint="eastAsia"/>
                <w:bCs/>
                <w:szCs w:val="21"/>
                <w:highlight w:val="none"/>
                <w:lang w:eastAsia="zh-CN"/>
              </w:rPr>
              <w:t>）</w:t>
            </w:r>
            <w:r>
              <w:rPr>
                <w:bCs/>
                <w:szCs w:val="21"/>
                <w:highlight w:val="none"/>
              </w:rPr>
              <w:t>（蓝太阳鱼）</w:t>
            </w:r>
          </w:p>
        </w:tc>
      </w:tr>
      <w:tr w14:paraId="730AA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continue"/>
            <w:tcMar>
              <w:left w:w="108" w:type="dxa"/>
              <w:right w:w="108" w:type="dxa"/>
            </w:tcMar>
            <w:vAlign w:val="center"/>
          </w:tcPr>
          <w:p w14:paraId="7067AFC7">
            <w:pPr>
              <w:jc w:val="center"/>
              <w:rPr>
                <w:bCs/>
                <w:szCs w:val="21"/>
                <w:highlight w:val="none"/>
              </w:rPr>
            </w:pPr>
          </w:p>
        </w:tc>
        <w:tc>
          <w:tcPr>
            <w:tcW w:w="1129" w:type="pct"/>
            <w:gridSpan w:val="2"/>
            <w:tcMar>
              <w:left w:w="108" w:type="dxa"/>
              <w:right w:w="108" w:type="dxa"/>
            </w:tcMar>
            <w:vAlign w:val="center"/>
          </w:tcPr>
          <w:p w14:paraId="33475C76">
            <w:pPr>
              <w:jc w:val="center"/>
              <w:rPr>
                <w:bCs/>
                <w:szCs w:val="21"/>
                <w:highlight w:val="none"/>
              </w:rPr>
            </w:pPr>
            <w:r>
              <w:rPr>
                <w:bCs/>
                <w:szCs w:val="21"/>
                <w:highlight w:val="none"/>
              </w:rPr>
              <w:t>持久性和降解性：</w:t>
            </w:r>
          </w:p>
        </w:tc>
        <w:tc>
          <w:tcPr>
            <w:tcW w:w="3565" w:type="pct"/>
            <w:gridSpan w:val="6"/>
            <w:tcMar>
              <w:left w:w="108" w:type="dxa"/>
              <w:right w:w="108" w:type="dxa"/>
            </w:tcMar>
            <w:vAlign w:val="center"/>
          </w:tcPr>
          <w:p w14:paraId="3B11A2B7">
            <w:pPr>
              <w:jc w:val="center"/>
              <w:rPr>
                <w:bCs/>
                <w:szCs w:val="21"/>
                <w:highlight w:val="none"/>
              </w:rPr>
            </w:pPr>
            <w:r>
              <w:rPr>
                <w:bCs/>
                <w:szCs w:val="21"/>
                <w:highlight w:val="none"/>
              </w:rPr>
              <w:t>生物</w:t>
            </w:r>
            <w:r>
              <w:rPr>
                <w:rFonts w:hint="eastAsia"/>
                <w:bCs/>
                <w:szCs w:val="21"/>
                <w:highlight w:val="none"/>
                <w:lang w:eastAsia="zh-CN"/>
              </w:rPr>
              <w:t>可</w:t>
            </w:r>
            <w:r>
              <w:rPr>
                <w:bCs/>
                <w:szCs w:val="21"/>
                <w:highlight w:val="none"/>
              </w:rPr>
              <w:t>降解性：无资料</w:t>
            </w:r>
            <w:r>
              <w:rPr>
                <w:bCs/>
                <w:szCs w:val="21"/>
                <w:highlight w:val="none"/>
              </w:rPr>
              <w:br w:type="textWrapping"/>
            </w:r>
            <w:r>
              <w:rPr>
                <w:bCs/>
                <w:szCs w:val="21"/>
                <w:highlight w:val="none"/>
              </w:rPr>
              <w:t>非生物</w:t>
            </w:r>
            <w:r>
              <w:rPr>
                <w:rFonts w:hint="eastAsia"/>
                <w:bCs/>
                <w:szCs w:val="21"/>
                <w:highlight w:val="none"/>
                <w:lang w:eastAsia="zh-CN"/>
              </w:rPr>
              <w:t>可</w:t>
            </w:r>
            <w:r>
              <w:rPr>
                <w:bCs/>
                <w:szCs w:val="21"/>
                <w:highlight w:val="none"/>
              </w:rPr>
              <w:t>降解性：无资料</w:t>
            </w:r>
          </w:p>
        </w:tc>
      </w:tr>
      <w:tr w14:paraId="2FF84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continue"/>
            <w:tcMar>
              <w:left w:w="108" w:type="dxa"/>
              <w:right w:w="108" w:type="dxa"/>
            </w:tcMar>
            <w:vAlign w:val="center"/>
          </w:tcPr>
          <w:p w14:paraId="23165BA1">
            <w:pPr>
              <w:jc w:val="center"/>
              <w:rPr>
                <w:bCs/>
                <w:szCs w:val="21"/>
                <w:highlight w:val="none"/>
              </w:rPr>
            </w:pPr>
          </w:p>
        </w:tc>
        <w:tc>
          <w:tcPr>
            <w:tcW w:w="1129" w:type="pct"/>
            <w:gridSpan w:val="2"/>
            <w:tcMar>
              <w:left w:w="108" w:type="dxa"/>
              <w:right w:w="108" w:type="dxa"/>
            </w:tcMar>
            <w:vAlign w:val="center"/>
          </w:tcPr>
          <w:p w14:paraId="24CBC0DC">
            <w:pPr>
              <w:jc w:val="center"/>
              <w:rPr>
                <w:bCs/>
                <w:szCs w:val="21"/>
                <w:highlight w:val="none"/>
              </w:rPr>
            </w:pPr>
            <w:r>
              <w:rPr>
                <w:bCs/>
                <w:szCs w:val="21"/>
                <w:highlight w:val="none"/>
              </w:rPr>
              <w:t>潜在的生物累积性：</w:t>
            </w:r>
          </w:p>
        </w:tc>
        <w:tc>
          <w:tcPr>
            <w:tcW w:w="3565" w:type="pct"/>
            <w:gridSpan w:val="6"/>
            <w:tcMar>
              <w:left w:w="108" w:type="dxa"/>
              <w:right w:w="108" w:type="dxa"/>
            </w:tcMar>
            <w:vAlign w:val="center"/>
          </w:tcPr>
          <w:p w14:paraId="0CE1AA6B">
            <w:pPr>
              <w:jc w:val="center"/>
              <w:rPr>
                <w:bCs/>
                <w:szCs w:val="21"/>
                <w:highlight w:val="none"/>
              </w:rPr>
            </w:pPr>
            <w:r>
              <w:rPr>
                <w:bCs/>
                <w:szCs w:val="21"/>
                <w:highlight w:val="none"/>
              </w:rPr>
              <w:t>无资料</w:t>
            </w:r>
          </w:p>
        </w:tc>
      </w:tr>
      <w:tr w14:paraId="668AF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continue"/>
            <w:tcMar>
              <w:left w:w="108" w:type="dxa"/>
              <w:right w:w="108" w:type="dxa"/>
            </w:tcMar>
            <w:vAlign w:val="center"/>
          </w:tcPr>
          <w:p w14:paraId="72738031">
            <w:pPr>
              <w:jc w:val="center"/>
              <w:rPr>
                <w:bCs/>
                <w:szCs w:val="21"/>
                <w:highlight w:val="none"/>
              </w:rPr>
            </w:pPr>
          </w:p>
        </w:tc>
        <w:tc>
          <w:tcPr>
            <w:tcW w:w="1129" w:type="pct"/>
            <w:gridSpan w:val="2"/>
            <w:tcMar>
              <w:left w:w="108" w:type="dxa"/>
              <w:right w:w="108" w:type="dxa"/>
            </w:tcMar>
            <w:vAlign w:val="center"/>
          </w:tcPr>
          <w:p w14:paraId="221AC186">
            <w:pPr>
              <w:jc w:val="center"/>
              <w:rPr>
                <w:bCs/>
                <w:szCs w:val="21"/>
                <w:highlight w:val="none"/>
              </w:rPr>
            </w:pPr>
            <w:r>
              <w:rPr>
                <w:bCs/>
                <w:szCs w:val="21"/>
                <w:highlight w:val="none"/>
              </w:rPr>
              <w:t>土壤的迁移性：</w:t>
            </w:r>
          </w:p>
        </w:tc>
        <w:tc>
          <w:tcPr>
            <w:tcW w:w="3565" w:type="pct"/>
            <w:gridSpan w:val="6"/>
            <w:tcMar>
              <w:left w:w="108" w:type="dxa"/>
              <w:right w:w="108" w:type="dxa"/>
            </w:tcMar>
            <w:vAlign w:val="center"/>
          </w:tcPr>
          <w:p w14:paraId="289867EE">
            <w:pPr>
              <w:jc w:val="center"/>
              <w:rPr>
                <w:bCs/>
                <w:szCs w:val="21"/>
                <w:highlight w:val="none"/>
              </w:rPr>
            </w:pPr>
            <w:r>
              <w:rPr>
                <w:bCs/>
                <w:szCs w:val="21"/>
                <w:highlight w:val="none"/>
              </w:rPr>
              <w:t>无资料</w:t>
            </w:r>
          </w:p>
        </w:tc>
      </w:tr>
      <w:tr w14:paraId="7CF30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restart"/>
            <w:tcMar>
              <w:left w:w="108" w:type="dxa"/>
              <w:right w:w="108" w:type="dxa"/>
            </w:tcMar>
            <w:vAlign w:val="center"/>
          </w:tcPr>
          <w:p w14:paraId="771EB83B">
            <w:pPr>
              <w:jc w:val="center"/>
              <w:rPr>
                <w:bCs/>
                <w:szCs w:val="21"/>
                <w:highlight w:val="none"/>
              </w:rPr>
            </w:pPr>
            <w:r>
              <w:rPr>
                <w:bCs/>
                <w:szCs w:val="21"/>
                <w:highlight w:val="none"/>
              </w:rPr>
              <w:t>废弃处置</w:t>
            </w:r>
          </w:p>
        </w:tc>
        <w:tc>
          <w:tcPr>
            <w:tcW w:w="1129" w:type="pct"/>
            <w:gridSpan w:val="2"/>
            <w:tcMar>
              <w:left w:w="108" w:type="dxa"/>
              <w:right w:w="108" w:type="dxa"/>
            </w:tcMar>
            <w:vAlign w:val="center"/>
          </w:tcPr>
          <w:p w14:paraId="6EAF952B">
            <w:pPr>
              <w:jc w:val="center"/>
              <w:rPr>
                <w:bCs/>
                <w:szCs w:val="21"/>
                <w:highlight w:val="none"/>
              </w:rPr>
            </w:pPr>
            <w:r>
              <w:rPr>
                <w:bCs/>
                <w:szCs w:val="21"/>
                <w:highlight w:val="none"/>
              </w:rPr>
              <w:t>废弃化学品：</w:t>
            </w:r>
          </w:p>
        </w:tc>
        <w:tc>
          <w:tcPr>
            <w:tcW w:w="3565" w:type="pct"/>
            <w:gridSpan w:val="6"/>
            <w:tcMar>
              <w:left w:w="108" w:type="dxa"/>
              <w:right w:w="108" w:type="dxa"/>
            </w:tcMar>
            <w:vAlign w:val="center"/>
          </w:tcPr>
          <w:p w14:paraId="313EE7B0">
            <w:pPr>
              <w:jc w:val="center"/>
              <w:rPr>
                <w:rFonts w:hint="eastAsia" w:eastAsia="宋体"/>
                <w:bCs/>
                <w:szCs w:val="21"/>
                <w:highlight w:val="none"/>
                <w:lang w:eastAsia="zh-CN"/>
              </w:rPr>
            </w:pPr>
            <w:r>
              <w:rPr>
                <w:bCs/>
                <w:szCs w:val="21"/>
                <w:highlight w:val="none"/>
              </w:rPr>
              <w:t>用焚烧法处置。焚烧炉排出的硫氧化物通过洗涤器除去</w:t>
            </w:r>
            <w:r>
              <w:rPr>
                <w:rFonts w:hint="eastAsia"/>
                <w:bCs/>
                <w:szCs w:val="21"/>
                <w:highlight w:val="none"/>
                <w:lang w:eastAsia="zh-CN"/>
              </w:rPr>
              <w:t>。</w:t>
            </w:r>
          </w:p>
        </w:tc>
      </w:tr>
      <w:tr w14:paraId="4F71E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continue"/>
            <w:tcMar>
              <w:left w:w="108" w:type="dxa"/>
              <w:right w:w="108" w:type="dxa"/>
            </w:tcMar>
            <w:vAlign w:val="center"/>
          </w:tcPr>
          <w:p w14:paraId="02CDF4DF">
            <w:pPr>
              <w:jc w:val="center"/>
              <w:rPr>
                <w:bCs/>
                <w:szCs w:val="21"/>
                <w:highlight w:val="none"/>
              </w:rPr>
            </w:pPr>
          </w:p>
        </w:tc>
        <w:tc>
          <w:tcPr>
            <w:tcW w:w="1129" w:type="pct"/>
            <w:gridSpan w:val="2"/>
            <w:tcMar>
              <w:left w:w="108" w:type="dxa"/>
              <w:right w:w="108" w:type="dxa"/>
            </w:tcMar>
            <w:vAlign w:val="center"/>
          </w:tcPr>
          <w:p w14:paraId="6437F23A">
            <w:pPr>
              <w:jc w:val="center"/>
              <w:rPr>
                <w:bCs/>
                <w:szCs w:val="21"/>
                <w:highlight w:val="none"/>
              </w:rPr>
            </w:pPr>
            <w:r>
              <w:rPr>
                <w:bCs/>
                <w:szCs w:val="21"/>
                <w:highlight w:val="none"/>
              </w:rPr>
              <w:t>污染包装物：</w:t>
            </w:r>
          </w:p>
        </w:tc>
        <w:tc>
          <w:tcPr>
            <w:tcW w:w="3565" w:type="pct"/>
            <w:gridSpan w:val="6"/>
            <w:tcMar>
              <w:left w:w="108" w:type="dxa"/>
              <w:right w:w="108" w:type="dxa"/>
            </w:tcMar>
            <w:vAlign w:val="center"/>
          </w:tcPr>
          <w:p w14:paraId="6C60479C">
            <w:pPr>
              <w:jc w:val="center"/>
              <w:rPr>
                <w:rFonts w:hint="eastAsia" w:eastAsia="宋体"/>
                <w:bCs/>
                <w:szCs w:val="21"/>
                <w:highlight w:val="none"/>
                <w:lang w:eastAsia="zh-CN"/>
              </w:rPr>
            </w:pPr>
            <w:r>
              <w:rPr>
                <w:bCs/>
                <w:szCs w:val="21"/>
                <w:highlight w:val="none"/>
              </w:rPr>
              <w:t>将容器返还生产商或按照国家和</w:t>
            </w:r>
            <w:r>
              <w:rPr>
                <w:rFonts w:hint="eastAsia"/>
                <w:bCs/>
                <w:szCs w:val="21"/>
                <w:highlight w:val="none"/>
                <w:lang w:eastAsia="zh-CN"/>
              </w:rPr>
              <w:t>地方性法规</w:t>
            </w:r>
            <w:r>
              <w:rPr>
                <w:bCs/>
                <w:szCs w:val="21"/>
                <w:highlight w:val="none"/>
              </w:rPr>
              <w:t>处置</w:t>
            </w:r>
            <w:r>
              <w:rPr>
                <w:rFonts w:hint="eastAsia"/>
                <w:bCs/>
                <w:szCs w:val="21"/>
                <w:highlight w:val="none"/>
                <w:lang w:eastAsia="zh-CN"/>
              </w:rPr>
              <w:t>。</w:t>
            </w:r>
          </w:p>
        </w:tc>
      </w:tr>
      <w:tr w14:paraId="35CA8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5" w:type="pct"/>
            <w:vMerge w:val="continue"/>
            <w:tcMar>
              <w:left w:w="108" w:type="dxa"/>
              <w:right w:w="108" w:type="dxa"/>
            </w:tcMar>
            <w:vAlign w:val="center"/>
          </w:tcPr>
          <w:p w14:paraId="538D92FC">
            <w:pPr>
              <w:jc w:val="center"/>
              <w:rPr>
                <w:bCs/>
                <w:szCs w:val="21"/>
                <w:highlight w:val="none"/>
              </w:rPr>
            </w:pPr>
          </w:p>
        </w:tc>
        <w:tc>
          <w:tcPr>
            <w:tcW w:w="1129" w:type="pct"/>
            <w:gridSpan w:val="2"/>
            <w:tcMar>
              <w:left w:w="108" w:type="dxa"/>
              <w:right w:w="108" w:type="dxa"/>
            </w:tcMar>
            <w:vAlign w:val="center"/>
          </w:tcPr>
          <w:p w14:paraId="4E71364E">
            <w:pPr>
              <w:jc w:val="center"/>
              <w:rPr>
                <w:bCs/>
                <w:szCs w:val="21"/>
                <w:highlight w:val="none"/>
              </w:rPr>
            </w:pPr>
            <w:r>
              <w:rPr>
                <w:bCs/>
                <w:szCs w:val="21"/>
                <w:highlight w:val="none"/>
              </w:rPr>
              <w:t>废弃注意事项：</w:t>
            </w:r>
          </w:p>
        </w:tc>
        <w:tc>
          <w:tcPr>
            <w:tcW w:w="3565" w:type="pct"/>
            <w:gridSpan w:val="6"/>
            <w:tcMar>
              <w:left w:w="108" w:type="dxa"/>
              <w:right w:w="108" w:type="dxa"/>
            </w:tcMar>
            <w:vAlign w:val="center"/>
          </w:tcPr>
          <w:p w14:paraId="777CD4E9">
            <w:pPr>
              <w:jc w:val="center"/>
              <w:rPr>
                <w:bCs/>
                <w:szCs w:val="21"/>
                <w:highlight w:val="none"/>
              </w:rPr>
            </w:pPr>
            <w:r>
              <w:rPr>
                <w:bCs/>
                <w:szCs w:val="21"/>
                <w:highlight w:val="none"/>
              </w:rPr>
              <w:t>处置前应参阅国家有关部门</w:t>
            </w:r>
            <w:r>
              <w:rPr>
                <w:rFonts w:hint="eastAsia"/>
                <w:bCs/>
                <w:szCs w:val="21"/>
                <w:highlight w:val="none"/>
                <w:lang w:eastAsia="zh-CN"/>
              </w:rPr>
              <w:t>和</w:t>
            </w:r>
            <w:r>
              <w:rPr>
                <w:bCs/>
                <w:szCs w:val="21"/>
                <w:highlight w:val="none"/>
              </w:rPr>
              <w:t>地方有关法规。把倒空的容器归还厂商或在规定场所掩埋。</w:t>
            </w:r>
          </w:p>
        </w:tc>
      </w:tr>
    </w:tbl>
    <w:p w14:paraId="04C87981">
      <w:pPr>
        <w:spacing w:line="360" w:lineRule="auto"/>
        <w:jc w:val="center"/>
        <w:rPr>
          <w:rFonts w:hint="default" w:ascii="Times New Roman" w:hAnsi="Times New Roman" w:eastAsia="宋体" w:cs="Times New Roman"/>
          <w:b/>
          <w:bCs/>
          <w:sz w:val="21"/>
          <w:szCs w:val="21"/>
          <w:highlight w:val="none"/>
        </w:rPr>
      </w:pPr>
      <w:r>
        <w:rPr>
          <w:rFonts w:hint="eastAsia" w:cs="Times New Roman"/>
          <w:b/>
          <w:bCs/>
          <w:sz w:val="21"/>
          <w:szCs w:val="21"/>
          <w:highlight w:val="none"/>
          <w:lang w:val="en-US" w:eastAsia="zh-CN"/>
        </w:rPr>
        <w:t xml:space="preserve">表3.2-2   </w:t>
      </w:r>
      <w:r>
        <w:rPr>
          <w:rFonts w:hint="default" w:ascii="Times New Roman" w:hAnsi="Times New Roman" w:eastAsia="宋体" w:cs="Times New Roman"/>
          <w:b/>
          <w:bCs/>
          <w:sz w:val="21"/>
          <w:szCs w:val="21"/>
          <w:highlight w:val="none"/>
        </w:rPr>
        <w:t>一氧化碳的理化性质及危险特性表</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805"/>
        <w:gridCol w:w="1153"/>
        <w:gridCol w:w="1820"/>
        <w:gridCol w:w="873"/>
        <w:gridCol w:w="1435"/>
        <w:gridCol w:w="1634"/>
      </w:tblGrid>
      <w:tr w14:paraId="014BD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gridSpan w:val="6"/>
            <w:tcMar>
              <w:left w:w="108" w:type="dxa"/>
              <w:right w:w="108" w:type="dxa"/>
            </w:tcMar>
            <w:vAlign w:val="center"/>
          </w:tcPr>
          <w:p w14:paraId="0A72156D">
            <w:pPr>
              <w:jc w:val="center"/>
              <w:rPr>
                <w:bCs/>
                <w:szCs w:val="21"/>
                <w:highlight w:val="none"/>
              </w:rPr>
            </w:pPr>
            <w:r>
              <w:rPr>
                <w:bCs/>
                <w:szCs w:val="21"/>
                <w:highlight w:val="none"/>
              </w:rPr>
              <w:t>物质名称：一氧化碳；</w:t>
            </w:r>
          </w:p>
        </w:tc>
      </w:tr>
      <w:tr w14:paraId="5A54A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gridSpan w:val="6"/>
            <w:tcMar>
              <w:left w:w="108" w:type="dxa"/>
              <w:right w:w="108" w:type="dxa"/>
            </w:tcMar>
            <w:vAlign w:val="center"/>
          </w:tcPr>
          <w:p w14:paraId="605F8F7F">
            <w:pPr>
              <w:jc w:val="center"/>
              <w:rPr>
                <w:bCs/>
                <w:szCs w:val="21"/>
                <w:highlight w:val="none"/>
              </w:rPr>
            </w:pPr>
            <w:r>
              <w:rPr>
                <w:bCs/>
                <w:szCs w:val="21"/>
                <w:highlight w:val="none"/>
              </w:rPr>
              <w:t>物化特性</w:t>
            </w:r>
          </w:p>
        </w:tc>
      </w:tr>
      <w:tr w14:paraId="32C8F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Mar>
              <w:left w:w="108" w:type="dxa"/>
              <w:right w:w="108" w:type="dxa"/>
            </w:tcMar>
            <w:vAlign w:val="center"/>
          </w:tcPr>
          <w:p w14:paraId="3C33A62A">
            <w:pPr>
              <w:jc w:val="center"/>
              <w:rPr>
                <w:bCs/>
                <w:szCs w:val="21"/>
                <w:highlight w:val="none"/>
              </w:rPr>
            </w:pPr>
            <w:r>
              <w:rPr>
                <w:bCs/>
                <w:szCs w:val="21"/>
                <w:highlight w:val="none"/>
              </w:rPr>
              <w:t>沸点（℃）</w:t>
            </w:r>
          </w:p>
        </w:tc>
        <w:tc>
          <w:tcPr>
            <w:tcW w:w="0" w:type="auto"/>
            <w:tcMar>
              <w:left w:w="108" w:type="dxa"/>
              <w:right w:w="108" w:type="dxa"/>
            </w:tcMar>
            <w:vAlign w:val="center"/>
          </w:tcPr>
          <w:p w14:paraId="241F0F3F">
            <w:pPr>
              <w:jc w:val="center"/>
              <w:rPr>
                <w:bCs/>
                <w:szCs w:val="21"/>
                <w:highlight w:val="none"/>
              </w:rPr>
            </w:pPr>
            <w:r>
              <w:rPr>
                <w:bCs/>
                <w:szCs w:val="21"/>
                <w:highlight w:val="none"/>
              </w:rPr>
              <w:t>-191.4</w:t>
            </w:r>
          </w:p>
        </w:tc>
        <w:tc>
          <w:tcPr>
            <w:tcW w:w="0" w:type="auto"/>
            <w:tcMar>
              <w:left w:w="108" w:type="dxa"/>
              <w:right w:w="108" w:type="dxa"/>
            </w:tcMar>
            <w:vAlign w:val="center"/>
          </w:tcPr>
          <w:p w14:paraId="40179C0A">
            <w:pPr>
              <w:jc w:val="center"/>
              <w:rPr>
                <w:bCs/>
                <w:szCs w:val="21"/>
                <w:highlight w:val="none"/>
              </w:rPr>
            </w:pPr>
            <w:r>
              <w:rPr>
                <w:bCs/>
                <w:szCs w:val="21"/>
                <w:highlight w:val="none"/>
              </w:rPr>
              <w:t>比重（水=1）</w:t>
            </w:r>
          </w:p>
        </w:tc>
        <w:tc>
          <w:tcPr>
            <w:tcW w:w="0" w:type="auto"/>
            <w:gridSpan w:val="3"/>
            <w:tcMar>
              <w:left w:w="108" w:type="dxa"/>
              <w:right w:w="108" w:type="dxa"/>
            </w:tcMar>
            <w:vAlign w:val="center"/>
          </w:tcPr>
          <w:p w14:paraId="1A4F95EB">
            <w:pPr>
              <w:jc w:val="center"/>
              <w:rPr>
                <w:bCs/>
                <w:szCs w:val="21"/>
                <w:highlight w:val="none"/>
              </w:rPr>
            </w:pPr>
            <w:r>
              <w:rPr>
                <w:bCs/>
                <w:szCs w:val="21"/>
                <w:highlight w:val="none"/>
              </w:rPr>
              <w:t>0.79</w:t>
            </w:r>
          </w:p>
        </w:tc>
      </w:tr>
      <w:tr w14:paraId="003DD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Mar>
              <w:left w:w="108" w:type="dxa"/>
              <w:right w:w="108" w:type="dxa"/>
            </w:tcMar>
            <w:vAlign w:val="center"/>
          </w:tcPr>
          <w:p w14:paraId="4E47552B">
            <w:pPr>
              <w:jc w:val="center"/>
              <w:rPr>
                <w:bCs/>
                <w:szCs w:val="21"/>
                <w:highlight w:val="none"/>
              </w:rPr>
            </w:pPr>
            <w:r>
              <w:rPr>
                <w:bCs/>
                <w:szCs w:val="21"/>
                <w:highlight w:val="none"/>
              </w:rPr>
              <w:t>饱和</w:t>
            </w:r>
            <w:r>
              <w:rPr>
                <w:rFonts w:hint="eastAsia"/>
                <w:bCs/>
                <w:szCs w:val="21"/>
                <w:highlight w:val="none"/>
                <w:lang w:eastAsia="zh-CN"/>
              </w:rPr>
              <w:t>蒸汽</w:t>
            </w:r>
            <w:r>
              <w:rPr>
                <w:bCs/>
                <w:szCs w:val="21"/>
                <w:highlight w:val="none"/>
              </w:rPr>
              <w:t>压（kPa）</w:t>
            </w:r>
          </w:p>
        </w:tc>
        <w:tc>
          <w:tcPr>
            <w:tcW w:w="0" w:type="auto"/>
            <w:tcMar>
              <w:left w:w="108" w:type="dxa"/>
              <w:right w:w="108" w:type="dxa"/>
            </w:tcMar>
            <w:vAlign w:val="center"/>
          </w:tcPr>
          <w:p w14:paraId="0477E791">
            <w:pPr>
              <w:jc w:val="center"/>
              <w:rPr>
                <w:bCs/>
                <w:szCs w:val="21"/>
                <w:highlight w:val="none"/>
              </w:rPr>
            </w:pPr>
            <w:r>
              <w:rPr>
                <w:bCs/>
                <w:szCs w:val="21"/>
                <w:highlight w:val="none"/>
              </w:rPr>
              <w:t>无资料</w:t>
            </w:r>
          </w:p>
        </w:tc>
        <w:tc>
          <w:tcPr>
            <w:tcW w:w="0" w:type="auto"/>
            <w:tcMar>
              <w:left w:w="108" w:type="dxa"/>
              <w:right w:w="108" w:type="dxa"/>
            </w:tcMar>
            <w:vAlign w:val="center"/>
          </w:tcPr>
          <w:p w14:paraId="34CC8C5E">
            <w:pPr>
              <w:jc w:val="center"/>
              <w:rPr>
                <w:bCs/>
                <w:szCs w:val="21"/>
                <w:highlight w:val="none"/>
              </w:rPr>
            </w:pPr>
            <w:r>
              <w:rPr>
                <w:bCs/>
                <w:szCs w:val="21"/>
                <w:highlight w:val="none"/>
              </w:rPr>
              <w:t>熔点（℃）</w:t>
            </w:r>
          </w:p>
        </w:tc>
        <w:tc>
          <w:tcPr>
            <w:tcW w:w="0" w:type="auto"/>
            <w:gridSpan w:val="3"/>
            <w:tcMar>
              <w:left w:w="108" w:type="dxa"/>
              <w:right w:w="108" w:type="dxa"/>
            </w:tcMar>
            <w:vAlign w:val="center"/>
          </w:tcPr>
          <w:p w14:paraId="75E0024C">
            <w:pPr>
              <w:jc w:val="center"/>
              <w:rPr>
                <w:bCs/>
                <w:szCs w:val="21"/>
                <w:highlight w:val="none"/>
              </w:rPr>
            </w:pPr>
            <w:r>
              <w:rPr>
                <w:bCs/>
                <w:szCs w:val="21"/>
                <w:highlight w:val="none"/>
              </w:rPr>
              <w:t>-199.1</w:t>
            </w:r>
          </w:p>
        </w:tc>
      </w:tr>
      <w:tr w14:paraId="0A03A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Mar>
              <w:left w:w="108" w:type="dxa"/>
              <w:right w:w="108" w:type="dxa"/>
            </w:tcMar>
            <w:vAlign w:val="center"/>
          </w:tcPr>
          <w:p w14:paraId="6EBA2230">
            <w:pPr>
              <w:jc w:val="center"/>
              <w:rPr>
                <w:bCs/>
                <w:szCs w:val="21"/>
                <w:highlight w:val="none"/>
              </w:rPr>
            </w:pPr>
            <w:r>
              <w:rPr>
                <w:rFonts w:hint="eastAsia"/>
                <w:bCs/>
                <w:szCs w:val="21"/>
                <w:highlight w:val="none"/>
                <w:lang w:eastAsia="zh-CN"/>
              </w:rPr>
              <w:t>蒸汽</w:t>
            </w:r>
            <w:r>
              <w:rPr>
                <w:bCs/>
                <w:szCs w:val="21"/>
                <w:highlight w:val="none"/>
              </w:rPr>
              <w:t>密度（空气=1）</w:t>
            </w:r>
          </w:p>
        </w:tc>
        <w:tc>
          <w:tcPr>
            <w:tcW w:w="0" w:type="auto"/>
            <w:tcMar>
              <w:left w:w="108" w:type="dxa"/>
              <w:right w:w="108" w:type="dxa"/>
            </w:tcMar>
            <w:vAlign w:val="center"/>
          </w:tcPr>
          <w:p w14:paraId="249D86FA">
            <w:pPr>
              <w:jc w:val="center"/>
              <w:rPr>
                <w:bCs/>
                <w:szCs w:val="21"/>
                <w:highlight w:val="none"/>
              </w:rPr>
            </w:pPr>
            <w:r>
              <w:rPr>
                <w:bCs/>
                <w:szCs w:val="21"/>
                <w:highlight w:val="none"/>
              </w:rPr>
              <w:t>0.97</w:t>
            </w:r>
          </w:p>
        </w:tc>
        <w:tc>
          <w:tcPr>
            <w:tcW w:w="0" w:type="auto"/>
            <w:tcMar>
              <w:left w:w="108" w:type="dxa"/>
              <w:right w:w="108" w:type="dxa"/>
            </w:tcMar>
            <w:vAlign w:val="center"/>
          </w:tcPr>
          <w:p w14:paraId="52216A18">
            <w:pPr>
              <w:jc w:val="center"/>
              <w:rPr>
                <w:bCs/>
                <w:szCs w:val="21"/>
                <w:highlight w:val="none"/>
              </w:rPr>
            </w:pPr>
            <w:r>
              <w:rPr>
                <w:bCs/>
                <w:szCs w:val="21"/>
                <w:highlight w:val="none"/>
              </w:rPr>
              <w:t>溶解性</w:t>
            </w:r>
          </w:p>
        </w:tc>
        <w:tc>
          <w:tcPr>
            <w:tcW w:w="0" w:type="auto"/>
            <w:gridSpan w:val="3"/>
            <w:tcMar>
              <w:left w:w="108" w:type="dxa"/>
              <w:right w:w="108" w:type="dxa"/>
            </w:tcMar>
            <w:vAlign w:val="center"/>
          </w:tcPr>
          <w:p w14:paraId="5C0484F5">
            <w:pPr>
              <w:jc w:val="center"/>
              <w:rPr>
                <w:rFonts w:hint="eastAsia" w:eastAsia="宋体"/>
                <w:bCs/>
                <w:szCs w:val="21"/>
                <w:highlight w:val="none"/>
                <w:lang w:eastAsia="zh-CN"/>
              </w:rPr>
            </w:pPr>
            <w:r>
              <w:rPr>
                <w:bCs/>
                <w:szCs w:val="21"/>
                <w:highlight w:val="none"/>
              </w:rPr>
              <w:t>微溶于水，溶于乙醇、苯等多数有机溶剂</w:t>
            </w:r>
            <w:r>
              <w:rPr>
                <w:rFonts w:hint="eastAsia"/>
                <w:bCs/>
                <w:szCs w:val="21"/>
                <w:highlight w:val="none"/>
                <w:lang w:eastAsia="zh-CN"/>
              </w:rPr>
              <w:t>。</w:t>
            </w:r>
          </w:p>
        </w:tc>
      </w:tr>
      <w:tr w14:paraId="593B1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Mar>
              <w:left w:w="108" w:type="dxa"/>
              <w:right w:w="108" w:type="dxa"/>
            </w:tcMar>
            <w:vAlign w:val="center"/>
          </w:tcPr>
          <w:p w14:paraId="6410F49D">
            <w:pPr>
              <w:jc w:val="center"/>
              <w:rPr>
                <w:bCs/>
                <w:szCs w:val="21"/>
                <w:highlight w:val="none"/>
              </w:rPr>
            </w:pPr>
            <w:r>
              <w:rPr>
                <w:bCs/>
                <w:szCs w:val="21"/>
                <w:highlight w:val="none"/>
              </w:rPr>
              <w:t>外观与气味</w:t>
            </w:r>
          </w:p>
        </w:tc>
        <w:tc>
          <w:tcPr>
            <w:tcW w:w="0" w:type="auto"/>
            <w:gridSpan w:val="5"/>
            <w:tcMar>
              <w:left w:w="108" w:type="dxa"/>
              <w:right w:w="108" w:type="dxa"/>
            </w:tcMar>
            <w:vAlign w:val="center"/>
          </w:tcPr>
          <w:p w14:paraId="6555013B">
            <w:pPr>
              <w:jc w:val="center"/>
              <w:rPr>
                <w:bCs/>
                <w:szCs w:val="21"/>
                <w:highlight w:val="none"/>
              </w:rPr>
            </w:pPr>
            <w:r>
              <w:rPr>
                <w:bCs/>
                <w:szCs w:val="21"/>
                <w:highlight w:val="none"/>
              </w:rPr>
              <w:t>无色无臭气体。</w:t>
            </w:r>
          </w:p>
        </w:tc>
      </w:tr>
      <w:tr w14:paraId="1CDC2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gridSpan w:val="6"/>
            <w:tcMar>
              <w:left w:w="108" w:type="dxa"/>
              <w:right w:w="108" w:type="dxa"/>
            </w:tcMar>
            <w:vAlign w:val="center"/>
          </w:tcPr>
          <w:p w14:paraId="27E460BC">
            <w:pPr>
              <w:jc w:val="center"/>
              <w:rPr>
                <w:bCs/>
                <w:szCs w:val="21"/>
                <w:highlight w:val="none"/>
              </w:rPr>
            </w:pPr>
            <w:r>
              <w:rPr>
                <w:bCs/>
                <w:szCs w:val="21"/>
                <w:highlight w:val="none"/>
              </w:rPr>
              <w:t>火灾爆炸危险数据</w:t>
            </w:r>
          </w:p>
        </w:tc>
      </w:tr>
      <w:tr w14:paraId="12816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Mar>
              <w:left w:w="108" w:type="dxa"/>
              <w:right w:w="108" w:type="dxa"/>
            </w:tcMar>
            <w:vAlign w:val="center"/>
          </w:tcPr>
          <w:p w14:paraId="7D791E44">
            <w:pPr>
              <w:jc w:val="center"/>
              <w:rPr>
                <w:bCs/>
                <w:szCs w:val="21"/>
                <w:highlight w:val="none"/>
              </w:rPr>
            </w:pPr>
            <w:r>
              <w:rPr>
                <w:bCs/>
                <w:szCs w:val="21"/>
                <w:highlight w:val="none"/>
              </w:rPr>
              <w:t>闪点（℃）</w:t>
            </w:r>
          </w:p>
        </w:tc>
        <w:tc>
          <w:tcPr>
            <w:tcW w:w="0" w:type="auto"/>
            <w:tcMar>
              <w:left w:w="108" w:type="dxa"/>
              <w:right w:w="108" w:type="dxa"/>
            </w:tcMar>
            <w:vAlign w:val="center"/>
          </w:tcPr>
          <w:p w14:paraId="47E592EA">
            <w:pPr>
              <w:jc w:val="center"/>
              <w:rPr>
                <w:bCs/>
                <w:szCs w:val="21"/>
                <w:highlight w:val="none"/>
              </w:rPr>
            </w:pPr>
            <w:r>
              <w:rPr>
                <w:bCs/>
                <w:szCs w:val="21"/>
                <w:highlight w:val="none"/>
              </w:rPr>
              <w:t>&lt; -50</w:t>
            </w:r>
          </w:p>
        </w:tc>
        <w:tc>
          <w:tcPr>
            <w:tcW w:w="0" w:type="auto"/>
            <w:tcMar>
              <w:left w:w="108" w:type="dxa"/>
              <w:right w:w="108" w:type="dxa"/>
            </w:tcMar>
            <w:vAlign w:val="center"/>
          </w:tcPr>
          <w:p w14:paraId="7A82D09A">
            <w:pPr>
              <w:jc w:val="center"/>
              <w:rPr>
                <w:bCs/>
                <w:szCs w:val="21"/>
                <w:highlight w:val="none"/>
              </w:rPr>
            </w:pPr>
            <w:r>
              <w:rPr>
                <w:bCs/>
                <w:szCs w:val="21"/>
                <w:highlight w:val="none"/>
              </w:rPr>
              <w:t>爆炸极限%（V/V）</w:t>
            </w:r>
          </w:p>
        </w:tc>
        <w:tc>
          <w:tcPr>
            <w:tcW w:w="0" w:type="auto"/>
            <w:gridSpan w:val="3"/>
            <w:tcMar>
              <w:left w:w="108" w:type="dxa"/>
              <w:right w:w="108" w:type="dxa"/>
            </w:tcMar>
            <w:vAlign w:val="center"/>
          </w:tcPr>
          <w:p w14:paraId="2D78C55A">
            <w:pPr>
              <w:jc w:val="center"/>
              <w:rPr>
                <w:bCs/>
                <w:szCs w:val="21"/>
                <w:highlight w:val="none"/>
              </w:rPr>
            </w:pPr>
            <w:r>
              <w:rPr>
                <w:bCs/>
                <w:szCs w:val="21"/>
                <w:highlight w:val="none"/>
              </w:rPr>
              <w:t>爆炸上限：74.2 爆炸下限：12.5</w:t>
            </w:r>
          </w:p>
        </w:tc>
      </w:tr>
      <w:tr w14:paraId="1B991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gridSpan w:val="6"/>
            <w:tcMar>
              <w:left w:w="108" w:type="dxa"/>
              <w:right w:w="108" w:type="dxa"/>
            </w:tcMar>
            <w:vAlign w:val="center"/>
          </w:tcPr>
          <w:p w14:paraId="39D0FDA5">
            <w:pPr>
              <w:jc w:val="center"/>
              <w:rPr>
                <w:bCs/>
                <w:szCs w:val="21"/>
                <w:highlight w:val="none"/>
              </w:rPr>
            </w:pPr>
            <w:r>
              <w:rPr>
                <w:bCs/>
                <w:szCs w:val="21"/>
                <w:highlight w:val="none"/>
              </w:rPr>
              <w:t>灭火剂</w:t>
            </w:r>
          </w:p>
        </w:tc>
      </w:tr>
      <w:tr w14:paraId="0DF85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gridSpan w:val="6"/>
            <w:tcMar>
              <w:left w:w="108" w:type="dxa"/>
              <w:right w:w="108" w:type="dxa"/>
            </w:tcMar>
            <w:vAlign w:val="center"/>
          </w:tcPr>
          <w:p w14:paraId="01BD694A">
            <w:pPr>
              <w:jc w:val="center"/>
              <w:rPr>
                <w:bCs/>
                <w:szCs w:val="21"/>
                <w:highlight w:val="none"/>
              </w:rPr>
            </w:pPr>
            <w:r>
              <w:rPr>
                <w:bCs/>
                <w:szCs w:val="21"/>
                <w:highlight w:val="none"/>
              </w:rPr>
              <w:t>雾状水、泡沫、二氧化碳、干粉</w:t>
            </w:r>
            <w:r>
              <w:rPr>
                <w:rFonts w:hint="eastAsia"/>
                <w:bCs/>
                <w:szCs w:val="21"/>
                <w:highlight w:val="none"/>
                <w:lang w:eastAsia="zh-CN"/>
              </w:rPr>
              <w:t>等</w:t>
            </w:r>
            <w:r>
              <w:rPr>
                <w:bCs/>
                <w:szCs w:val="21"/>
                <w:highlight w:val="none"/>
              </w:rPr>
              <w:t>。</w:t>
            </w:r>
          </w:p>
        </w:tc>
      </w:tr>
      <w:tr w14:paraId="01B30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gridSpan w:val="6"/>
            <w:tcMar>
              <w:left w:w="108" w:type="dxa"/>
              <w:right w:w="108" w:type="dxa"/>
            </w:tcMar>
            <w:vAlign w:val="center"/>
          </w:tcPr>
          <w:p w14:paraId="556328AB">
            <w:pPr>
              <w:jc w:val="center"/>
              <w:rPr>
                <w:bCs/>
                <w:szCs w:val="21"/>
                <w:highlight w:val="none"/>
              </w:rPr>
            </w:pPr>
            <w:r>
              <w:rPr>
                <w:bCs/>
                <w:szCs w:val="21"/>
                <w:highlight w:val="none"/>
              </w:rPr>
              <w:t>灭火方法</w:t>
            </w:r>
          </w:p>
        </w:tc>
      </w:tr>
      <w:tr w14:paraId="6EF46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gridSpan w:val="6"/>
            <w:tcMar>
              <w:left w:w="108" w:type="dxa"/>
              <w:right w:w="108" w:type="dxa"/>
            </w:tcMar>
            <w:vAlign w:val="center"/>
          </w:tcPr>
          <w:p w14:paraId="1F032476">
            <w:pPr>
              <w:jc w:val="center"/>
              <w:rPr>
                <w:bCs/>
                <w:szCs w:val="21"/>
                <w:highlight w:val="none"/>
              </w:rPr>
            </w:pPr>
            <w:r>
              <w:rPr>
                <w:bCs/>
                <w:szCs w:val="21"/>
                <w:highlight w:val="none"/>
              </w:rPr>
              <w:t>切断气源。若不能切断气源，则不允许熄灭泄漏处的火焰。喷水冷却容器，可能的话将容器从火场移至空旷处。</w:t>
            </w:r>
          </w:p>
        </w:tc>
      </w:tr>
      <w:tr w14:paraId="4090A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gridSpan w:val="6"/>
            <w:tcMar>
              <w:left w:w="108" w:type="dxa"/>
              <w:right w:w="108" w:type="dxa"/>
            </w:tcMar>
            <w:vAlign w:val="center"/>
          </w:tcPr>
          <w:p w14:paraId="071A1BB7">
            <w:pPr>
              <w:jc w:val="center"/>
              <w:rPr>
                <w:bCs/>
                <w:szCs w:val="21"/>
                <w:highlight w:val="none"/>
              </w:rPr>
            </w:pPr>
            <w:r>
              <w:rPr>
                <w:bCs/>
                <w:szCs w:val="21"/>
                <w:highlight w:val="none"/>
              </w:rPr>
              <w:t>危险特性</w:t>
            </w:r>
          </w:p>
        </w:tc>
      </w:tr>
      <w:tr w14:paraId="63919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gridSpan w:val="6"/>
            <w:tcMar>
              <w:left w:w="108" w:type="dxa"/>
              <w:right w:w="108" w:type="dxa"/>
            </w:tcMar>
            <w:vAlign w:val="center"/>
          </w:tcPr>
          <w:p w14:paraId="1DCF8072">
            <w:pPr>
              <w:jc w:val="center"/>
              <w:rPr>
                <w:bCs/>
                <w:szCs w:val="21"/>
                <w:highlight w:val="none"/>
              </w:rPr>
            </w:pPr>
            <w:r>
              <w:rPr>
                <w:bCs/>
                <w:szCs w:val="21"/>
                <w:highlight w:val="none"/>
              </w:rPr>
              <w:t>是一种易燃易爆气体。与空气混合能形成爆炸性混合物。遇明火、高热能引起燃烧爆炸。</w:t>
            </w:r>
          </w:p>
        </w:tc>
      </w:tr>
      <w:tr w14:paraId="50391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gridSpan w:val="6"/>
            <w:tcMar>
              <w:left w:w="108" w:type="dxa"/>
              <w:right w:w="108" w:type="dxa"/>
            </w:tcMar>
            <w:vAlign w:val="center"/>
          </w:tcPr>
          <w:p w14:paraId="6C9E2892">
            <w:pPr>
              <w:jc w:val="center"/>
              <w:rPr>
                <w:bCs/>
                <w:szCs w:val="21"/>
                <w:highlight w:val="none"/>
              </w:rPr>
            </w:pPr>
            <w:r>
              <w:rPr>
                <w:bCs/>
                <w:szCs w:val="21"/>
                <w:highlight w:val="none"/>
              </w:rPr>
              <w:t>反应活性数据</w:t>
            </w:r>
          </w:p>
        </w:tc>
      </w:tr>
      <w:tr w14:paraId="0C5A8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tcMar>
              <w:left w:w="108" w:type="dxa"/>
              <w:right w:w="108" w:type="dxa"/>
            </w:tcMar>
            <w:vAlign w:val="center"/>
          </w:tcPr>
          <w:p w14:paraId="02078590">
            <w:pPr>
              <w:jc w:val="center"/>
              <w:rPr>
                <w:bCs/>
                <w:szCs w:val="21"/>
                <w:highlight w:val="none"/>
              </w:rPr>
            </w:pPr>
            <w:r>
              <w:rPr>
                <w:bCs/>
                <w:szCs w:val="21"/>
                <w:highlight w:val="none"/>
              </w:rPr>
              <w:t>稳定性</w:t>
            </w:r>
          </w:p>
        </w:tc>
        <w:tc>
          <w:tcPr>
            <w:tcW w:w="0" w:type="auto"/>
            <w:tcMar>
              <w:left w:w="108" w:type="dxa"/>
              <w:right w:w="108" w:type="dxa"/>
            </w:tcMar>
            <w:vAlign w:val="center"/>
          </w:tcPr>
          <w:p w14:paraId="7F4BCB30">
            <w:pPr>
              <w:jc w:val="center"/>
              <w:rPr>
                <w:bCs/>
                <w:szCs w:val="21"/>
                <w:highlight w:val="none"/>
              </w:rPr>
            </w:pPr>
            <w:r>
              <w:rPr>
                <w:bCs/>
                <w:szCs w:val="21"/>
                <w:highlight w:val="none"/>
              </w:rPr>
              <w:t>不稳定</w:t>
            </w:r>
          </w:p>
        </w:tc>
        <w:tc>
          <w:tcPr>
            <w:tcW w:w="0" w:type="auto"/>
            <w:tcMar>
              <w:left w:w="108" w:type="dxa"/>
              <w:right w:w="108" w:type="dxa"/>
            </w:tcMar>
            <w:vAlign w:val="center"/>
          </w:tcPr>
          <w:p w14:paraId="5995E812">
            <w:pPr>
              <w:jc w:val="center"/>
              <w:rPr>
                <w:bCs/>
                <w:szCs w:val="21"/>
                <w:highlight w:val="none"/>
              </w:rPr>
            </w:pPr>
            <w:r>
              <w:rPr>
                <w:bCs/>
                <w:szCs w:val="21"/>
                <w:highlight w:val="none"/>
              </w:rPr>
              <w:t>√</w:t>
            </w:r>
          </w:p>
        </w:tc>
        <w:tc>
          <w:tcPr>
            <w:tcW w:w="0" w:type="auto"/>
            <w:tcMar>
              <w:left w:w="108" w:type="dxa"/>
              <w:right w:w="108" w:type="dxa"/>
            </w:tcMar>
            <w:vAlign w:val="center"/>
          </w:tcPr>
          <w:p w14:paraId="154CBFBC">
            <w:pPr>
              <w:jc w:val="center"/>
              <w:rPr>
                <w:bCs/>
                <w:szCs w:val="21"/>
                <w:highlight w:val="none"/>
              </w:rPr>
            </w:pPr>
            <w:r>
              <w:rPr>
                <w:bCs/>
                <w:szCs w:val="21"/>
                <w:highlight w:val="none"/>
              </w:rPr>
              <w:t>避免条件</w:t>
            </w:r>
          </w:p>
        </w:tc>
        <w:tc>
          <w:tcPr>
            <w:tcW w:w="0" w:type="auto"/>
            <w:gridSpan w:val="2"/>
            <w:tcMar>
              <w:left w:w="108" w:type="dxa"/>
              <w:right w:w="108" w:type="dxa"/>
            </w:tcMar>
            <w:vAlign w:val="center"/>
          </w:tcPr>
          <w:p w14:paraId="1B19C57A">
            <w:pPr>
              <w:jc w:val="center"/>
              <w:rPr>
                <w:rFonts w:hint="default" w:eastAsia="宋体"/>
                <w:bCs/>
                <w:szCs w:val="21"/>
                <w:highlight w:val="none"/>
                <w:lang w:val="en-US" w:eastAsia="zh-CN"/>
              </w:rPr>
            </w:pPr>
            <w:r>
              <w:rPr>
                <w:rFonts w:hint="eastAsia"/>
                <w:bCs/>
                <w:szCs w:val="21"/>
                <w:highlight w:val="none"/>
                <w:lang w:val="en-US" w:eastAsia="zh-CN"/>
              </w:rPr>
              <w:t>/</w:t>
            </w:r>
          </w:p>
        </w:tc>
      </w:tr>
      <w:tr w14:paraId="352D3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701EA79B">
            <w:pPr>
              <w:jc w:val="center"/>
              <w:rPr>
                <w:bCs/>
                <w:szCs w:val="21"/>
                <w:highlight w:val="none"/>
              </w:rPr>
            </w:pPr>
          </w:p>
        </w:tc>
        <w:tc>
          <w:tcPr>
            <w:tcW w:w="0" w:type="auto"/>
            <w:tcMar>
              <w:left w:w="108" w:type="dxa"/>
              <w:right w:w="108" w:type="dxa"/>
            </w:tcMar>
            <w:vAlign w:val="center"/>
          </w:tcPr>
          <w:p w14:paraId="03BFE0C7">
            <w:pPr>
              <w:jc w:val="center"/>
              <w:rPr>
                <w:bCs/>
                <w:szCs w:val="21"/>
                <w:highlight w:val="none"/>
              </w:rPr>
            </w:pPr>
            <w:r>
              <w:rPr>
                <w:bCs/>
                <w:szCs w:val="21"/>
                <w:highlight w:val="none"/>
              </w:rPr>
              <w:t>稳定</w:t>
            </w:r>
          </w:p>
        </w:tc>
        <w:tc>
          <w:tcPr>
            <w:tcW w:w="0" w:type="auto"/>
            <w:tcMar>
              <w:left w:w="108" w:type="dxa"/>
              <w:right w:w="108" w:type="dxa"/>
            </w:tcMar>
            <w:vAlign w:val="center"/>
          </w:tcPr>
          <w:p w14:paraId="202188F8">
            <w:pPr>
              <w:jc w:val="center"/>
              <w:rPr>
                <w:rFonts w:hint="eastAsia" w:eastAsia="宋体"/>
                <w:bCs/>
                <w:szCs w:val="21"/>
                <w:highlight w:val="none"/>
                <w:lang w:val="en-US" w:eastAsia="zh-CN"/>
              </w:rPr>
            </w:pPr>
            <w:r>
              <w:rPr>
                <w:rFonts w:hint="eastAsia"/>
                <w:bCs/>
                <w:szCs w:val="21"/>
                <w:highlight w:val="none"/>
                <w:lang w:val="en-US" w:eastAsia="zh-CN"/>
              </w:rPr>
              <w:t>/</w:t>
            </w:r>
          </w:p>
        </w:tc>
        <w:tc>
          <w:tcPr>
            <w:tcW w:w="0" w:type="auto"/>
            <w:gridSpan w:val="3"/>
            <w:tcMar>
              <w:left w:w="108" w:type="dxa"/>
              <w:right w:w="108" w:type="dxa"/>
            </w:tcMar>
            <w:vAlign w:val="center"/>
          </w:tcPr>
          <w:p w14:paraId="0171BFC8">
            <w:pPr>
              <w:jc w:val="center"/>
              <w:rPr>
                <w:rFonts w:hint="eastAsia" w:eastAsia="宋体"/>
                <w:bCs/>
                <w:szCs w:val="21"/>
                <w:highlight w:val="none"/>
                <w:lang w:val="en-US" w:eastAsia="zh-CN"/>
              </w:rPr>
            </w:pPr>
            <w:r>
              <w:rPr>
                <w:rFonts w:hint="eastAsia"/>
                <w:bCs/>
                <w:szCs w:val="21"/>
                <w:highlight w:val="none"/>
                <w:lang w:val="en-US" w:eastAsia="zh-CN"/>
              </w:rPr>
              <w:t>/</w:t>
            </w:r>
          </w:p>
        </w:tc>
      </w:tr>
      <w:tr w14:paraId="347EB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tcMar>
              <w:left w:w="108" w:type="dxa"/>
              <w:right w:w="108" w:type="dxa"/>
            </w:tcMar>
            <w:vAlign w:val="center"/>
          </w:tcPr>
          <w:p w14:paraId="561DD3E6">
            <w:pPr>
              <w:jc w:val="center"/>
              <w:rPr>
                <w:bCs/>
                <w:szCs w:val="21"/>
                <w:highlight w:val="none"/>
              </w:rPr>
            </w:pPr>
            <w:r>
              <w:rPr>
                <w:bCs/>
                <w:szCs w:val="21"/>
                <w:highlight w:val="none"/>
              </w:rPr>
              <w:t>聚合危险性</w:t>
            </w:r>
          </w:p>
        </w:tc>
        <w:tc>
          <w:tcPr>
            <w:tcW w:w="0" w:type="auto"/>
            <w:tcMar>
              <w:left w:w="108" w:type="dxa"/>
              <w:right w:w="108" w:type="dxa"/>
            </w:tcMar>
            <w:vAlign w:val="center"/>
          </w:tcPr>
          <w:p w14:paraId="5EFA9C17">
            <w:pPr>
              <w:jc w:val="center"/>
              <w:rPr>
                <w:bCs/>
                <w:szCs w:val="21"/>
                <w:highlight w:val="none"/>
              </w:rPr>
            </w:pPr>
            <w:r>
              <w:rPr>
                <w:bCs/>
                <w:szCs w:val="21"/>
                <w:highlight w:val="none"/>
              </w:rPr>
              <w:t>可能存在</w:t>
            </w:r>
          </w:p>
        </w:tc>
        <w:tc>
          <w:tcPr>
            <w:tcW w:w="0" w:type="auto"/>
            <w:tcMar>
              <w:left w:w="108" w:type="dxa"/>
              <w:right w:w="108" w:type="dxa"/>
            </w:tcMar>
            <w:vAlign w:val="center"/>
          </w:tcPr>
          <w:p w14:paraId="34C37177">
            <w:pPr>
              <w:jc w:val="center"/>
              <w:rPr>
                <w:rFonts w:hint="eastAsia" w:eastAsia="宋体"/>
                <w:bCs/>
                <w:szCs w:val="21"/>
                <w:highlight w:val="none"/>
                <w:lang w:val="en-US" w:eastAsia="zh-CN"/>
              </w:rPr>
            </w:pPr>
            <w:r>
              <w:rPr>
                <w:rFonts w:hint="eastAsia"/>
                <w:bCs/>
                <w:szCs w:val="21"/>
                <w:highlight w:val="none"/>
                <w:lang w:val="en-US" w:eastAsia="zh-CN"/>
              </w:rPr>
              <w:t>/</w:t>
            </w:r>
          </w:p>
        </w:tc>
        <w:tc>
          <w:tcPr>
            <w:tcW w:w="0" w:type="auto"/>
            <w:tcMar>
              <w:left w:w="108" w:type="dxa"/>
              <w:right w:w="108" w:type="dxa"/>
            </w:tcMar>
            <w:vAlign w:val="center"/>
          </w:tcPr>
          <w:p w14:paraId="20FEB26F">
            <w:pPr>
              <w:jc w:val="center"/>
              <w:rPr>
                <w:bCs/>
                <w:szCs w:val="21"/>
                <w:highlight w:val="none"/>
              </w:rPr>
            </w:pPr>
            <w:r>
              <w:rPr>
                <w:bCs/>
                <w:szCs w:val="21"/>
                <w:highlight w:val="none"/>
              </w:rPr>
              <w:t>避免条件</w:t>
            </w:r>
          </w:p>
        </w:tc>
        <w:tc>
          <w:tcPr>
            <w:tcW w:w="0" w:type="auto"/>
            <w:gridSpan w:val="2"/>
            <w:tcMar>
              <w:left w:w="108" w:type="dxa"/>
              <w:right w:w="108" w:type="dxa"/>
            </w:tcMar>
            <w:vAlign w:val="center"/>
          </w:tcPr>
          <w:p w14:paraId="55C4390F">
            <w:pPr>
              <w:jc w:val="center"/>
              <w:rPr>
                <w:rFonts w:hint="eastAsia" w:eastAsia="宋体"/>
                <w:bCs/>
                <w:szCs w:val="21"/>
                <w:highlight w:val="none"/>
                <w:lang w:val="en-US" w:eastAsia="zh-CN"/>
              </w:rPr>
            </w:pPr>
            <w:r>
              <w:rPr>
                <w:rFonts w:hint="eastAsia"/>
                <w:bCs/>
                <w:szCs w:val="21"/>
                <w:highlight w:val="none"/>
                <w:lang w:val="en-US" w:eastAsia="zh-CN"/>
              </w:rPr>
              <w:t>/</w:t>
            </w:r>
          </w:p>
        </w:tc>
      </w:tr>
      <w:tr w14:paraId="29014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7FEC14A9">
            <w:pPr>
              <w:jc w:val="center"/>
              <w:rPr>
                <w:bCs/>
                <w:szCs w:val="21"/>
                <w:highlight w:val="none"/>
              </w:rPr>
            </w:pPr>
          </w:p>
        </w:tc>
        <w:tc>
          <w:tcPr>
            <w:tcW w:w="0" w:type="auto"/>
            <w:tcMar>
              <w:left w:w="108" w:type="dxa"/>
              <w:right w:w="108" w:type="dxa"/>
            </w:tcMar>
            <w:vAlign w:val="center"/>
          </w:tcPr>
          <w:p w14:paraId="5AFBA95A">
            <w:pPr>
              <w:jc w:val="center"/>
              <w:rPr>
                <w:bCs/>
                <w:szCs w:val="21"/>
                <w:highlight w:val="none"/>
              </w:rPr>
            </w:pPr>
            <w:r>
              <w:rPr>
                <w:bCs/>
                <w:szCs w:val="21"/>
                <w:highlight w:val="none"/>
              </w:rPr>
              <w:t>不存在</w:t>
            </w:r>
          </w:p>
        </w:tc>
        <w:tc>
          <w:tcPr>
            <w:tcW w:w="0" w:type="auto"/>
            <w:tcMar>
              <w:left w:w="108" w:type="dxa"/>
              <w:right w:w="108" w:type="dxa"/>
            </w:tcMar>
            <w:vAlign w:val="center"/>
          </w:tcPr>
          <w:p w14:paraId="7FE1903B">
            <w:pPr>
              <w:jc w:val="center"/>
              <w:rPr>
                <w:bCs/>
                <w:szCs w:val="21"/>
                <w:highlight w:val="none"/>
              </w:rPr>
            </w:pPr>
            <w:r>
              <w:rPr>
                <w:bCs/>
                <w:szCs w:val="21"/>
                <w:highlight w:val="none"/>
              </w:rPr>
              <w:t>√</w:t>
            </w:r>
          </w:p>
        </w:tc>
        <w:tc>
          <w:tcPr>
            <w:tcW w:w="0" w:type="auto"/>
            <w:gridSpan w:val="3"/>
            <w:tcMar>
              <w:left w:w="108" w:type="dxa"/>
              <w:right w:w="108" w:type="dxa"/>
            </w:tcMar>
            <w:vAlign w:val="center"/>
          </w:tcPr>
          <w:p w14:paraId="45DBA4BE">
            <w:pPr>
              <w:jc w:val="center"/>
              <w:rPr>
                <w:rFonts w:hint="eastAsia" w:eastAsia="宋体"/>
                <w:bCs/>
                <w:szCs w:val="21"/>
                <w:highlight w:val="none"/>
                <w:lang w:val="en-US" w:eastAsia="zh-CN"/>
              </w:rPr>
            </w:pPr>
            <w:r>
              <w:rPr>
                <w:rFonts w:hint="eastAsia"/>
                <w:bCs/>
                <w:szCs w:val="21"/>
                <w:highlight w:val="none"/>
                <w:lang w:val="en-US" w:eastAsia="zh-CN"/>
              </w:rPr>
              <w:t>/</w:t>
            </w:r>
          </w:p>
        </w:tc>
      </w:tr>
      <w:tr w14:paraId="3E227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Mar>
              <w:left w:w="108" w:type="dxa"/>
              <w:right w:w="108" w:type="dxa"/>
            </w:tcMar>
            <w:vAlign w:val="center"/>
          </w:tcPr>
          <w:p w14:paraId="577471D9">
            <w:pPr>
              <w:jc w:val="center"/>
              <w:rPr>
                <w:bCs/>
                <w:szCs w:val="21"/>
                <w:highlight w:val="none"/>
              </w:rPr>
            </w:pPr>
            <w:r>
              <w:rPr>
                <w:bCs/>
                <w:szCs w:val="21"/>
                <w:highlight w:val="none"/>
              </w:rPr>
              <w:t>禁忌物</w:t>
            </w:r>
          </w:p>
        </w:tc>
        <w:tc>
          <w:tcPr>
            <w:tcW w:w="0" w:type="auto"/>
            <w:gridSpan w:val="3"/>
            <w:tcMar>
              <w:left w:w="108" w:type="dxa"/>
              <w:right w:w="108" w:type="dxa"/>
            </w:tcMar>
            <w:vAlign w:val="center"/>
          </w:tcPr>
          <w:p w14:paraId="13BA6EA1">
            <w:pPr>
              <w:jc w:val="center"/>
              <w:rPr>
                <w:bCs/>
                <w:szCs w:val="21"/>
                <w:highlight w:val="none"/>
              </w:rPr>
            </w:pPr>
            <w:r>
              <w:rPr>
                <w:bCs/>
                <w:szCs w:val="21"/>
                <w:highlight w:val="none"/>
              </w:rPr>
              <w:t>强氧化剂、碱类</w:t>
            </w:r>
          </w:p>
        </w:tc>
        <w:tc>
          <w:tcPr>
            <w:tcW w:w="0" w:type="auto"/>
            <w:tcMar>
              <w:left w:w="108" w:type="dxa"/>
              <w:right w:w="108" w:type="dxa"/>
            </w:tcMar>
            <w:vAlign w:val="center"/>
          </w:tcPr>
          <w:p w14:paraId="4A4984F0">
            <w:pPr>
              <w:jc w:val="center"/>
              <w:rPr>
                <w:bCs/>
                <w:szCs w:val="21"/>
                <w:highlight w:val="none"/>
              </w:rPr>
            </w:pPr>
            <w:r>
              <w:rPr>
                <w:bCs/>
                <w:szCs w:val="21"/>
                <w:highlight w:val="none"/>
              </w:rPr>
              <w:t>燃烧（分解）产物</w:t>
            </w:r>
          </w:p>
        </w:tc>
        <w:tc>
          <w:tcPr>
            <w:tcW w:w="0" w:type="auto"/>
            <w:tcMar>
              <w:left w:w="108" w:type="dxa"/>
              <w:right w:w="108" w:type="dxa"/>
            </w:tcMar>
            <w:vAlign w:val="center"/>
          </w:tcPr>
          <w:p w14:paraId="184EF67D">
            <w:pPr>
              <w:jc w:val="center"/>
              <w:rPr>
                <w:bCs/>
                <w:szCs w:val="21"/>
                <w:highlight w:val="none"/>
              </w:rPr>
            </w:pPr>
            <w:r>
              <w:rPr>
                <w:bCs/>
                <w:szCs w:val="21"/>
                <w:highlight w:val="none"/>
              </w:rPr>
              <w:t>二氧化碳。</w:t>
            </w:r>
          </w:p>
        </w:tc>
      </w:tr>
      <w:tr w14:paraId="17179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gridSpan w:val="6"/>
            <w:tcMar>
              <w:left w:w="108" w:type="dxa"/>
              <w:right w:w="108" w:type="dxa"/>
            </w:tcMar>
            <w:vAlign w:val="center"/>
          </w:tcPr>
          <w:p w14:paraId="07873CF1">
            <w:pPr>
              <w:jc w:val="center"/>
              <w:rPr>
                <w:bCs/>
                <w:szCs w:val="21"/>
                <w:highlight w:val="none"/>
              </w:rPr>
            </w:pPr>
            <w:r>
              <w:rPr>
                <w:bCs/>
                <w:szCs w:val="21"/>
                <w:highlight w:val="none"/>
              </w:rPr>
              <w:t>健康危害数据</w:t>
            </w:r>
          </w:p>
        </w:tc>
      </w:tr>
      <w:tr w14:paraId="2B8D8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Mar>
              <w:left w:w="108" w:type="dxa"/>
              <w:right w:w="108" w:type="dxa"/>
            </w:tcMar>
            <w:vAlign w:val="center"/>
          </w:tcPr>
          <w:p w14:paraId="2A0DB8DD">
            <w:pPr>
              <w:jc w:val="center"/>
              <w:rPr>
                <w:bCs/>
                <w:szCs w:val="21"/>
                <w:highlight w:val="none"/>
              </w:rPr>
            </w:pPr>
            <w:r>
              <w:rPr>
                <w:bCs/>
                <w:szCs w:val="21"/>
                <w:highlight w:val="none"/>
              </w:rPr>
              <w:t>吸入途径</w:t>
            </w:r>
          </w:p>
        </w:tc>
        <w:tc>
          <w:tcPr>
            <w:tcW w:w="0" w:type="auto"/>
            <w:tcMar>
              <w:left w:w="108" w:type="dxa"/>
              <w:right w:w="108" w:type="dxa"/>
            </w:tcMar>
            <w:vAlign w:val="center"/>
          </w:tcPr>
          <w:p w14:paraId="5B80E517">
            <w:pPr>
              <w:jc w:val="center"/>
              <w:rPr>
                <w:bCs/>
                <w:szCs w:val="21"/>
                <w:highlight w:val="none"/>
              </w:rPr>
            </w:pPr>
            <w:r>
              <w:rPr>
                <w:bCs/>
                <w:szCs w:val="21"/>
                <w:highlight w:val="none"/>
              </w:rPr>
              <w:t>吸入</w:t>
            </w:r>
          </w:p>
        </w:tc>
        <w:tc>
          <w:tcPr>
            <w:tcW w:w="0" w:type="auto"/>
            <w:tcMar>
              <w:left w:w="108" w:type="dxa"/>
              <w:right w:w="108" w:type="dxa"/>
            </w:tcMar>
            <w:vAlign w:val="center"/>
          </w:tcPr>
          <w:p w14:paraId="3DB18F82">
            <w:pPr>
              <w:jc w:val="center"/>
              <w:rPr>
                <w:bCs/>
                <w:szCs w:val="21"/>
                <w:highlight w:val="none"/>
              </w:rPr>
            </w:pPr>
            <w:r>
              <w:rPr>
                <w:bCs/>
                <w:szCs w:val="21"/>
                <w:highlight w:val="none"/>
              </w:rPr>
              <w:t>√</w:t>
            </w:r>
          </w:p>
        </w:tc>
        <w:tc>
          <w:tcPr>
            <w:tcW w:w="0" w:type="auto"/>
            <w:tcMar>
              <w:left w:w="108" w:type="dxa"/>
              <w:right w:w="108" w:type="dxa"/>
            </w:tcMar>
            <w:vAlign w:val="center"/>
          </w:tcPr>
          <w:p w14:paraId="14216F19">
            <w:pPr>
              <w:jc w:val="center"/>
              <w:rPr>
                <w:bCs/>
                <w:szCs w:val="21"/>
                <w:highlight w:val="none"/>
              </w:rPr>
            </w:pPr>
            <w:r>
              <w:rPr>
                <w:bCs/>
                <w:szCs w:val="21"/>
                <w:highlight w:val="none"/>
              </w:rPr>
              <w:t>皮肤</w:t>
            </w:r>
          </w:p>
        </w:tc>
        <w:tc>
          <w:tcPr>
            <w:tcW w:w="0" w:type="auto"/>
            <w:tcMar>
              <w:left w:w="108" w:type="dxa"/>
              <w:right w:w="108" w:type="dxa"/>
            </w:tcMar>
            <w:vAlign w:val="center"/>
          </w:tcPr>
          <w:p w14:paraId="65613B7E">
            <w:pPr>
              <w:jc w:val="center"/>
              <w:rPr>
                <w:bCs/>
                <w:szCs w:val="21"/>
                <w:highlight w:val="none"/>
              </w:rPr>
            </w:pPr>
            <w:r>
              <w:rPr>
                <w:bCs/>
                <w:szCs w:val="21"/>
                <w:highlight w:val="none"/>
              </w:rPr>
              <w:t>√</w:t>
            </w:r>
          </w:p>
        </w:tc>
        <w:tc>
          <w:tcPr>
            <w:tcW w:w="0" w:type="auto"/>
            <w:tcMar>
              <w:left w:w="108" w:type="dxa"/>
              <w:right w:w="108" w:type="dxa"/>
            </w:tcMar>
            <w:vAlign w:val="center"/>
          </w:tcPr>
          <w:p w14:paraId="697E90ED">
            <w:pPr>
              <w:jc w:val="center"/>
              <w:rPr>
                <w:bCs/>
                <w:szCs w:val="21"/>
                <w:highlight w:val="none"/>
              </w:rPr>
            </w:pPr>
            <w:r>
              <w:rPr>
                <w:bCs/>
                <w:szCs w:val="21"/>
                <w:highlight w:val="none"/>
              </w:rPr>
              <w:t>口</w:t>
            </w:r>
          </w:p>
        </w:tc>
      </w:tr>
      <w:tr w14:paraId="79661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gridSpan w:val="6"/>
            <w:tcMar>
              <w:left w:w="108" w:type="dxa"/>
              <w:right w:w="108" w:type="dxa"/>
            </w:tcMar>
            <w:vAlign w:val="center"/>
          </w:tcPr>
          <w:p w14:paraId="1A9381C5">
            <w:pPr>
              <w:jc w:val="center"/>
              <w:rPr>
                <w:bCs/>
                <w:szCs w:val="21"/>
                <w:highlight w:val="none"/>
              </w:rPr>
            </w:pPr>
            <w:r>
              <w:rPr>
                <w:bCs/>
                <w:szCs w:val="21"/>
                <w:highlight w:val="none"/>
              </w:rPr>
              <w:t>急性中毒 Lca:2069mg/m</w:t>
            </w:r>
            <w:r>
              <w:rPr>
                <w:bCs/>
                <w:szCs w:val="21"/>
                <w:highlight w:val="none"/>
                <w:vertAlign w:val="superscript"/>
              </w:rPr>
              <w:t>3</w:t>
            </w:r>
            <w:r>
              <w:rPr>
                <w:bCs/>
                <w:szCs w:val="21"/>
                <w:highlight w:val="none"/>
              </w:rPr>
              <w:t>，4小时（大鼠吸入）</w:t>
            </w:r>
          </w:p>
        </w:tc>
      </w:tr>
      <w:tr w14:paraId="476A3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gridSpan w:val="6"/>
            <w:tcMar>
              <w:left w:w="108" w:type="dxa"/>
              <w:right w:w="108" w:type="dxa"/>
            </w:tcMar>
            <w:vAlign w:val="center"/>
          </w:tcPr>
          <w:p w14:paraId="657AE214">
            <w:pPr>
              <w:jc w:val="center"/>
              <w:rPr>
                <w:bCs/>
                <w:szCs w:val="21"/>
                <w:highlight w:val="none"/>
              </w:rPr>
            </w:pPr>
            <w:r>
              <w:rPr>
                <w:bCs/>
                <w:szCs w:val="21"/>
                <w:highlight w:val="none"/>
              </w:rPr>
              <w:t>健康危害：一氧化碳在血中与血红蛋白结合而造成组织缺氧。急性中毒：轻度中毒者出现头痛、头晕、耳鸣、心悸、恶心、呕吐、无力，血液氧含量和血红蛋白浓度可高于10%；中度中毒者除上述症状外，还有皮肤粘膜呈樱桃红色，脉快、</w:t>
            </w:r>
            <w:r>
              <w:rPr>
                <w:rFonts w:hint="eastAsia"/>
                <w:bCs/>
                <w:szCs w:val="21"/>
                <w:highlight w:val="none"/>
                <w:lang w:eastAsia="zh-CN"/>
              </w:rPr>
              <w:t>烦躁</w:t>
            </w:r>
            <w:r>
              <w:rPr>
                <w:bCs/>
                <w:szCs w:val="21"/>
                <w:highlight w:val="none"/>
              </w:rPr>
              <w:t>、步态不稳、浅至中度昏迷，血浆碳氧血红蛋白</w:t>
            </w:r>
            <w:r>
              <w:rPr>
                <w:rFonts w:hint="eastAsia"/>
                <w:bCs/>
                <w:szCs w:val="21"/>
                <w:highlight w:val="none"/>
                <w:lang w:eastAsia="zh-CN"/>
              </w:rPr>
              <w:t>浓</w:t>
            </w:r>
            <w:r>
              <w:rPr>
                <w:bCs/>
                <w:szCs w:val="21"/>
                <w:highlight w:val="none"/>
              </w:rPr>
              <w:t>度可高于30%；重度患者深度昏迷、瞳孔缩小、肌张力增强、频繁抽搐、大小便失禁、休克、肺水肿、严重心肌损害等，血液碳氧血红蛋白可高于50%。部分患者昏迷苏醒后，约经2~60天的重症监护期后，可能出现迟发性脑病，以意识精神障碍、锥体束或锥体外系损害为主。</w:t>
            </w:r>
            <w:r>
              <w:rPr>
                <w:bCs/>
                <w:szCs w:val="21"/>
                <w:highlight w:val="none"/>
              </w:rPr>
              <w:br w:type="textWrapping"/>
            </w:r>
            <w:r>
              <w:rPr>
                <w:bCs/>
                <w:szCs w:val="21"/>
                <w:highlight w:val="none"/>
              </w:rPr>
              <w:t>储运注意事项：储存于阴凉、通风的库房。远离火种、热源。库温不宜超过30℃。应与氧化剂、碱类、食用化学品分开存放，切忌混储。采用防爆照明、通风设施。禁止使用产生火花的机械设备和工具。储运设备应备有泄漏应急处理设备。运输时运输车辆应配备相应品种和数量的消防器材。装运该物品的车辆排气管等应配备火星熄灭装置，禁止使用易产生火花的机械设备和工具装卸。严防与氧化剂、碱类、食用化学品等混装混运。</w:t>
            </w:r>
          </w:p>
        </w:tc>
      </w:tr>
      <w:tr w14:paraId="70A3E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gridSpan w:val="6"/>
            <w:tcMar>
              <w:left w:w="108" w:type="dxa"/>
              <w:right w:w="108" w:type="dxa"/>
            </w:tcMar>
            <w:vAlign w:val="center"/>
          </w:tcPr>
          <w:p w14:paraId="2BB268B3">
            <w:pPr>
              <w:jc w:val="center"/>
              <w:rPr>
                <w:bCs/>
                <w:szCs w:val="21"/>
                <w:highlight w:val="none"/>
              </w:rPr>
            </w:pPr>
            <w:r>
              <w:rPr>
                <w:bCs/>
                <w:szCs w:val="21"/>
                <w:highlight w:val="none"/>
              </w:rPr>
              <w:t>泄漏应急处理：迅速撤离泄漏污染区人员至上风处，并立即隔离150m，严格限制出入。切断火源。建议应急处理人员穿戴自给正压呼吸器，穿消防静电工作服。尽可能切断泄漏源。合理通风，加速扩散。雾状水或泡沫</w:t>
            </w:r>
            <w:r>
              <w:rPr>
                <w:rFonts w:hint="eastAsia"/>
                <w:bCs/>
                <w:szCs w:val="21"/>
                <w:highlight w:val="none"/>
                <w:lang w:eastAsia="zh-CN"/>
              </w:rPr>
              <w:t>被</w:t>
            </w:r>
            <w:r>
              <w:rPr>
                <w:bCs/>
                <w:szCs w:val="21"/>
                <w:highlight w:val="none"/>
              </w:rPr>
              <w:t>稀释、溶解。构筑围堤或挖坑收容产生的大量废水。如有可能，将漏出气用风机送至空旷地方或设适当喷头烧掉。也可以用管路等至炉中、</w:t>
            </w:r>
            <w:r>
              <w:rPr>
                <w:rFonts w:hint="eastAsia"/>
                <w:bCs/>
                <w:szCs w:val="21"/>
                <w:highlight w:val="none"/>
                <w:lang w:val="en-US" w:eastAsia="zh-CN"/>
              </w:rPr>
              <w:t>凹地</w:t>
            </w:r>
            <w:r>
              <w:rPr>
                <w:bCs/>
                <w:szCs w:val="21"/>
                <w:highlight w:val="none"/>
              </w:rPr>
              <w:t>焚之。漏气容器要妥善处理，修复、检验后再用。</w:t>
            </w:r>
          </w:p>
        </w:tc>
      </w:tr>
      <w:tr w14:paraId="0DC26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gridSpan w:val="6"/>
            <w:tcMar>
              <w:left w:w="108" w:type="dxa"/>
              <w:right w:w="108" w:type="dxa"/>
            </w:tcMar>
            <w:vAlign w:val="center"/>
          </w:tcPr>
          <w:p w14:paraId="49A87ECB">
            <w:pPr>
              <w:jc w:val="center"/>
              <w:rPr>
                <w:bCs/>
                <w:szCs w:val="21"/>
                <w:highlight w:val="none"/>
              </w:rPr>
            </w:pPr>
            <w:r>
              <w:rPr>
                <w:bCs/>
                <w:szCs w:val="21"/>
                <w:highlight w:val="none"/>
              </w:rPr>
              <w:t>防护措施</w:t>
            </w:r>
          </w:p>
        </w:tc>
      </w:tr>
      <w:tr w14:paraId="00DE4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Mar>
              <w:left w:w="108" w:type="dxa"/>
              <w:right w:w="108" w:type="dxa"/>
            </w:tcMar>
            <w:vAlign w:val="center"/>
          </w:tcPr>
          <w:p w14:paraId="6182AC7F">
            <w:pPr>
              <w:jc w:val="center"/>
              <w:rPr>
                <w:bCs/>
                <w:szCs w:val="21"/>
                <w:highlight w:val="none"/>
              </w:rPr>
            </w:pPr>
            <w:r>
              <w:rPr>
                <w:bCs/>
                <w:szCs w:val="21"/>
                <w:highlight w:val="none"/>
              </w:rPr>
              <w:t>职业接触限值</w:t>
            </w:r>
          </w:p>
        </w:tc>
        <w:tc>
          <w:tcPr>
            <w:tcW w:w="0" w:type="auto"/>
            <w:gridSpan w:val="5"/>
            <w:tcMar>
              <w:left w:w="108" w:type="dxa"/>
              <w:right w:w="108" w:type="dxa"/>
            </w:tcMar>
            <w:vAlign w:val="center"/>
          </w:tcPr>
          <w:p w14:paraId="162A3246">
            <w:pPr>
              <w:jc w:val="center"/>
              <w:rPr>
                <w:bCs/>
                <w:szCs w:val="21"/>
                <w:highlight w:val="none"/>
              </w:rPr>
            </w:pPr>
            <w:r>
              <w:rPr>
                <w:bCs/>
                <w:szCs w:val="21"/>
                <w:highlight w:val="none"/>
              </w:rPr>
              <w:t>未制定标准。</w:t>
            </w:r>
          </w:p>
        </w:tc>
      </w:tr>
      <w:tr w14:paraId="431DA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Mar>
              <w:left w:w="108" w:type="dxa"/>
              <w:right w:w="108" w:type="dxa"/>
            </w:tcMar>
            <w:vAlign w:val="center"/>
          </w:tcPr>
          <w:p w14:paraId="0472C985">
            <w:pPr>
              <w:jc w:val="center"/>
              <w:rPr>
                <w:bCs/>
                <w:szCs w:val="21"/>
                <w:highlight w:val="none"/>
              </w:rPr>
            </w:pPr>
            <w:r>
              <w:rPr>
                <w:bCs/>
                <w:szCs w:val="21"/>
                <w:highlight w:val="none"/>
              </w:rPr>
              <w:t>工程控制</w:t>
            </w:r>
          </w:p>
        </w:tc>
        <w:tc>
          <w:tcPr>
            <w:tcW w:w="0" w:type="auto"/>
            <w:gridSpan w:val="5"/>
            <w:tcMar>
              <w:left w:w="108" w:type="dxa"/>
              <w:right w:w="108" w:type="dxa"/>
            </w:tcMar>
            <w:vAlign w:val="center"/>
          </w:tcPr>
          <w:p w14:paraId="1AD28474">
            <w:pPr>
              <w:jc w:val="center"/>
              <w:rPr>
                <w:bCs/>
                <w:szCs w:val="21"/>
                <w:highlight w:val="none"/>
              </w:rPr>
            </w:pPr>
            <w:r>
              <w:rPr>
                <w:bCs/>
                <w:szCs w:val="21"/>
                <w:highlight w:val="none"/>
              </w:rPr>
              <w:t>严加密闭，提供充分的局部排风和全面通风。生产生活用气必须分路。</w:t>
            </w:r>
          </w:p>
        </w:tc>
      </w:tr>
      <w:tr w14:paraId="5836B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Mar>
              <w:left w:w="108" w:type="dxa"/>
              <w:right w:w="108" w:type="dxa"/>
            </w:tcMar>
            <w:vAlign w:val="center"/>
          </w:tcPr>
          <w:p w14:paraId="533DBACD">
            <w:pPr>
              <w:jc w:val="center"/>
              <w:rPr>
                <w:bCs/>
                <w:szCs w:val="21"/>
                <w:highlight w:val="none"/>
              </w:rPr>
            </w:pPr>
            <w:r>
              <w:rPr>
                <w:bCs/>
                <w:szCs w:val="21"/>
                <w:highlight w:val="none"/>
              </w:rPr>
              <w:t>呼吸系统防护</w:t>
            </w:r>
          </w:p>
        </w:tc>
        <w:tc>
          <w:tcPr>
            <w:tcW w:w="0" w:type="auto"/>
            <w:gridSpan w:val="3"/>
            <w:tcMar>
              <w:left w:w="108" w:type="dxa"/>
              <w:right w:w="108" w:type="dxa"/>
            </w:tcMar>
            <w:vAlign w:val="center"/>
          </w:tcPr>
          <w:p w14:paraId="592E5D69">
            <w:pPr>
              <w:jc w:val="center"/>
              <w:rPr>
                <w:bCs/>
                <w:szCs w:val="21"/>
                <w:highlight w:val="none"/>
              </w:rPr>
            </w:pPr>
            <w:r>
              <w:rPr>
                <w:bCs/>
                <w:szCs w:val="21"/>
                <w:highlight w:val="none"/>
              </w:rPr>
              <w:t>空气中浓度超标时，</w:t>
            </w:r>
            <w:r>
              <w:rPr>
                <w:rFonts w:hint="eastAsia"/>
                <w:bCs/>
                <w:szCs w:val="21"/>
                <w:highlight w:val="none"/>
                <w:lang w:eastAsia="zh-CN"/>
              </w:rPr>
              <w:t>应</w:t>
            </w:r>
            <w:r>
              <w:rPr>
                <w:bCs/>
                <w:szCs w:val="21"/>
                <w:highlight w:val="none"/>
              </w:rPr>
              <w:t>佩戴自吸过滤式防毒面具（半面罩）。紧急事态抢救或撤离时，建议佩戴空气呼吸器、一氧化碳过滤式自救器</w:t>
            </w:r>
            <w:r>
              <w:rPr>
                <w:rFonts w:hint="eastAsia"/>
                <w:bCs/>
                <w:szCs w:val="21"/>
                <w:highlight w:val="none"/>
                <w:lang w:eastAsia="zh-CN"/>
              </w:rPr>
              <w:t>等</w:t>
            </w:r>
            <w:r>
              <w:rPr>
                <w:bCs/>
                <w:szCs w:val="21"/>
                <w:highlight w:val="none"/>
              </w:rPr>
              <w:t>。</w:t>
            </w:r>
          </w:p>
        </w:tc>
        <w:tc>
          <w:tcPr>
            <w:tcW w:w="0" w:type="auto"/>
            <w:tcMar>
              <w:left w:w="108" w:type="dxa"/>
              <w:right w:w="108" w:type="dxa"/>
            </w:tcMar>
            <w:vAlign w:val="center"/>
          </w:tcPr>
          <w:p w14:paraId="7D8A7A97">
            <w:pPr>
              <w:jc w:val="center"/>
              <w:rPr>
                <w:bCs/>
                <w:szCs w:val="21"/>
                <w:highlight w:val="none"/>
              </w:rPr>
            </w:pPr>
            <w:r>
              <w:rPr>
                <w:bCs/>
                <w:szCs w:val="21"/>
                <w:highlight w:val="none"/>
              </w:rPr>
              <w:t>身体防护</w:t>
            </w:r>
          </w:p>
        </w:tc>
        <w:tc>
          <w:tcPr>
            <w:tcW w:w="0" w:type="auto"/>
            <w:tcMar>
              <w:left w:w="108" w:type="dxa"/>
              <w:right w:w="108" w:type="dxa"/>
            </w:tcMar>
            <w:vAlign w:val="center"/>
          </w:tcPr>
          <w:p w14:paraId="4BDE5A73">
            <w:pPr>
              <w:jc w:val="center"/>
              <w:rPr>
                <w:bCs/>
                <w:szCs w:val="21"/>
                <w:highlight w:val="none"/>
              </w:rPr>
            </w:pPr>
            <w:r>
              <w:rPr>
                <w:bCs/>
                <w:szCs w:val="21"/>
                <w:highlight w:val="none"/>
              </w:rPr>
              <w:t>穿防静电工作服。</w:t>
            </w:r>
          </w:p>
        </w:tc>
      </w:tr>
      <w:tr w14:paraId="26A93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Mar>
              <w:left w:w="108" w:type="dxa"/>
              <w:right w:w="108" w:type="dxa"/>
            </w:tcMar>
            <w:vAlign w:val="center"/>
          </w:tcPr>
          <w:p w14:paraId="5E1F9D64">
            <w:pPr>
              <w:jc w:val="center"/>
              <w:rPr>
                <w:bCs/>
                <w:szCs w:val="21"/>
                <w:highlight w:val="none"/>
              </w:rPr>
            </w:pPr>
            <w:r>
              <w:rPr>
                <w:bCs/>
                <w:szCs w:val="21"/>
                <w:highlight w:val="none"/>
              </w:rPr>
              <w:t>手防护</w:t>
            </w:r>
          </w:p>
        </w:tc>
        <w:tc>
          <w:tcPr>
            <w:tcW w:w="0" w:type="auto"/>
            <w:gridSpan w:val="3"/>
            <w:tcMar>
              <w:left w:w="108" w:type="dxa"/>
              <w:right w:w="108" w:type="dxa"/>
            </w:tcMar>
            <w:vAlign w:val="center"/>
          </w:tcPr>
          <w:p w14:paraId="1377EF98">
            <w:pPr>
              <w:jc w:val="center"/>
              <w:rPr>
                <w:bCs/>
                <w:szCs w:val="21"/>
                <w:highlight w:val="none"/>
              </w:rPr>
            </w:pPr>
            <w:r>
              <w:rPr>
                <w:rFonts w:hint="eastAsia"/>
                <w:bCs/>
                <w:szCs w:val="21"/>
                <w:highlight w:val="none"/>
                <w:lang w:eastAsia="zh-CN"/>
              </w:rPr>
              <w:t>建议佩戴</w:t>
            </w:r>
            <w:r>
              <w:rPr>
                <w:bCs/>
                <w:szCs w:val="21"/>
                <w:highlight w:val="none"/>
              </w:rPr>
              <w:t>一般作业防护手套。</w:t>
            </w:r>
          </w:p>
        </w:tc>
        <w:tc>
          <w:tcPr>
            <w:tcW w:w="0" w:type="auto"/>
            <w:tcMar>
              <w:left w:w="108" w:type="dxa"/>
              <w:right w:w="108" w:type="dxa"/>
            </w:tcMar>
            <w:vAlign w:val="center"/>
          </w:tcPr>
          <w:p w14:paraId="7644C6AC">
            <w:pPr>
              <w:jc w:val="center"/>
              <w:rPr>
                <w:bCs/>
                <w:szCs w:val="21"/>
                <w:highlight w:val="none"/>
              </w:rPr>
            </w:pPr>
            <w:r>
              <w:rPr>
                <w:rFonts w:hint="eastAsia"/>
                <w:bCs/>
                <w:szCs w:val="21"/>
                <w:highlight w:val="none"/>
                <w:lang w:eastAsia="zh-CN"/>
              </w:rPr>
              <w:t>眼部</w:t>
            </w:r>
            <w:r>
              <w:rPr>
                <w:bCs/>
                <w:szCs w:val="21"/>
                <w:highlight w:val="none"/>
              </w:rPr>
              <w:t>防护</w:t>
            </w:r>
          </w:p>
        </w:tc>
        <w:tc>
          <w:tcPr>
            <w:tcW w:w="0" w:type="auto"/>
            <w:tcMar>
              <w:left w:w="108" w:type="dxa"/>
              <w:right w:w="108" w:type="dxa"/>
            </w:tcMar>
            <w:vAlign w:val="center"/>
          </w:tcPr>
          <w:p w14:paraId="22702D41">
            <w:pPr>
              <w:jc w:val="center"/>
              <w:rPr>
                <w:bCs/>
                <w:szCs w:val="21"/>
                <w:highlight w:val="none"/>
              </w:rPr>
            </w:pPr>
            <w:r>
              <w:rPr>
                <w:bCs/>
                <w:szCs w:val="21"/>
                <w:highlight w:val="none"/>
              </w:rPr>
              <w:t>一般</w:t>
            </w:r>
            <w:r>
              <w:rPr>
                <w:rFonts w:hint="eastAsia"/>
                <w:bCs/>
                <w:szCs w:val="21"/>
                <w:highlight w:val="none"/>
                <w:lang w:eastAsia="zh-CN"/>
              </w:rPr>
              <w:t>不需要</w:t>
            </w:r>
            <w:r>
              <w:rPr>
                <w:bCs/>
                <w:szCs w:val="21"/>
                <w:highlight w:val="none"/>
              </w:rPr>
              <w:t>特殊防护。</w:t>
            </w:r>
          </w:p>
        </w:tc>
      </w:tr>
      <w:tr w14:paraId="4CFEC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Mar>
              <w:left w:w="108" w:type="dxa"/>
              <w:right w:w="108" w:type="dxa"/>
            </w:tcMar>
            <w:vAlign w:val="center"/>
          </w:tcPr>
          <w:p w14:paraId="431E1C10">
            <w:pPr>
              <w:jc w:val="center"/>
              <w:rPr>
                <w:bCs/>
                <w:szCs w:val="21"/>
                <w:highlight w:val="none"/>
              </w:rPr>
            </w:pPr>
            <w:r>
              <w:rPr>
                <w:bCs/>
                <w:szCs w:val="21"/>
                <w:highlight w:val="none"/>
              </w:rPr>
              <w:t>其他</w:t>
            </w:r>
          </w:p>
        </w:tc>
        <w:tc>
          <w:tcPr>
            <w:tcW w:w="0" w:type="auto"/>
            <w:gridSpan w:val="5"/>
            <w:tcMar>
              <w:left w:w="108" w:type="dxa"/>
              <w:right w:w="108" w:type="dxa"/>
            </w:tcMar>
            <w:vAlign w:val="center"/>
          </w:tcPr>
          <w:p w14:paraId="2C8FF379">
            <w:pPr>
              <w:jc w:val="center"/>
              <w:rPr>
                <w:bCs/>
                <w:szCs w:val="21"/>
                <w:highlight w:val="none"/>
              </w:rPr>
            </w:pPr>
            <w:r>
              <w:rPr>
                <w:bCs/>
                <w:szCs w:val="21"/>
                <w:highlight w:val="none"/>
              </w:rPr>
              <w:t>工作现场严禁吸烟。实行就业前和定期的体检。避免高浓度吸入。进入罐、限制性空间或其</w:t>
            </w:r>
            <w:r>
              <w:rPr>
                <w:rFonts w:hint="eastAsia"/>
                <w:bCs/>
                <w:szCs w:val="21"/>
                <w:highlight w:val="none"/>
                <w:lang w:eastAsia="zh-CN"/>
              </w:rPr>
              <w:t>他</w:t>
            </w:r>
            <w:r>
              <w:rPr>
                <w:bCs/>
                <w:szCs w:val="21"/>
                <w:highlight w:val="none"/>
              </w:rPr>
              <w:t>高浓度</w:t>
            </w:r>
            <w:r>
              <w:rPr>
                <w:rFonts w:hint="eastAsia"/>
                <w:bCs/>
                <w:szCs w:val="21"/>
                <w:highlight w:val="none"/>
                <w:lang w:eastAsia="zh-CN"/>
              </w:rPr>
              <w:t>区域</w:t>
            </w:r>
            <w:r>
              <w:rPr>
                <w:bCs/>
                <w:szCs w:val="21"/>
                <w:highlight w:val="none"/>
              </w:rPr>
              <w:t>作业，须有人监护。</w:t>
            </w:r>
          </w:p>
        </w:tc>
      </w:tr>
    </w:tbl>
    <w:p w14:paraId="39AC1C50">
      <w:pPr>
        <w:spacing w:line="360" w:lineRule="auto"/>
        <w:jc w:val="center"/>
        <w:rPr>
          <w:rFonts w:hint="eastAsia" w:cs="Times New Roman"/>
          <w:b/>
          <w:bCs/>
          <w:sz w:val="21"/>
          <w:szCs w:val="21"/>
          <w:highlight w:val="none"/>
          <w:lang w:val="en-US" w:eastAsia="zh-CN"/>
        </w:rPr>
        <w:sectPr>
          <w:pgSz w:w="11906" w:h="16838"/>
          <w:pgMar w:top="1701" w:right="1701" w:bottom="1701" w:left="1701" w:header="851" w:footer="1077" w:gutter="0"/>
          <w:pgNumType w:fmt="decimal"/>
          <w:cols w:space="720" w:num="1"/>
          <w:docGrid w:linePitch="312" w:charSpace="0"/>
        </w:sectPr>
      </w:pPr>
    </w:p>
    <w:p w14:paraId="223DEBD9">
      <w:pPr>
        <w:spacing w:line="360" w:lineRule="auto"/>
        <w:jc w:val="center"/>
        <w:rPr>
          <w:rFonts w:hint="default" w:ascii="Times New Roman" w:hAnsi="Times New Roman" w:eastAsia="宋体" w:cs="Times New Roman"/>
          <w:b/>
          <w:bCs/>
          <w:sz w:val="21"/>
          <w:szCs w:val="21"/>
          <w:highlight w:val="none"/>
        </w:rPr>
      </w:pPr>
      <w:r>
        <w:rPr>
          <w:rFonts w:hint="eastAsia" w:cs="Times New Roman"/>
          <w:b/>
          <w:bCs/>
          <w:sz w:val="21"/>
          <w:szCs w:val="21"/>
          <w:highlight w:val="none"/>
          <w:lang w:val="en-US" w:eastAsia="zh-CN"/>
        </w:rPr>
        <w:t xml:space="preserve">表3.2-3   </w:t>
      </w:r>
      <w:r>
        <w:rPr>
          <w:rFonts w:hint="default" w:ascii="Times New Roman" w:hAnsi="Times New Roman" w:eastAsia="宋体" w:cs="Times New Roman"/>
          <w:b/>
          <w:bCs/>
          <w:sz w:val="21"/>
          <w:szCs w:val="21"/>
          <w:highlight w:val="none"/>
        </w:rPr>
        <w:t>甲烷</w:t>
      </w:r>
      <w:r>
        <w:rPr>
          <w:rFonts w:hint="eastAsia" w:cs="Times New Roman"/>
          <w:b/>
          <w:bCs/>
          <w:sz w:val="21"/>
          <w:szCs w:val="21"/>
          <w:highlight w:val="none"/>
          <w:lang w:eastAsia="zh-CN"/>
        </w:rPr>
        <w:t>的</w:t>
      </w:r>
      <w:r>
        <w:rPr>
          <w:rFonts w:hint="default" w:ascii="Times New Roman" w:hAnsi="Times New Roman" w:eastAsia="宋体" w:cs="Times New Roman"/>
          <w:b/>
          <w:bCs/>
          <w:sz w:val="21"/>
          <w:szCs w:val="21"/>
          <w:highlight w:val="none"/>
        </w:rPr>
        <w:t>理化性质及危险特性</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94"/>
        <w:gridCol w:w="1015"/>
        <w:gridCol w:w="925"/>
        <w:gridCol w:w="907"/>
        <w:gridCol w:w="2245"/>
        <w:gridCol w:w="1704"/>
        <w:gridCol w:w="1330"/>
      </w:tblGrid>
      <w:tr w14:paraId="3216C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restart"/>
            <w:tcMar>
              <w:left w:w="108" w:type="dxa"/>
              <w:right w:w="108" w:type="dxa"/>
            </w:tcMar>
            <w:vAlign w:val="center"/>
          </w:tcPr>
          <w:p w14:paraId="4CABE4C4">
            <w:pPr>
              <w:jc w:val="center"/>
              <w:rPr>
                <w:bCs/>
                <w:szCs w:val="21"/>
                <w:highlight w:val="none"/>
              </w:rPr>
            </w:pPr>
            <w:r>
              <w:rPr>
                <w:bCs/>
                <w:szCs w:val="21"/>
                <w:highlight w:val="none"/>
              </w:rPr>
              <w:t>标识</w:t>
            </w:r>
          </w:p>
        </w:tc>
        <w:tc>
          <w:tcPr>
            <w:tcW w:w="0" w:type="auto"/>
            <w:gridSpan w:val="4"/>
            <w:tcMar>
              <w:left w:w="108" w:type="dxa"/>
              <w:right w:w="108" w:type="dxa"/>
            </w:tcMar>
            <w:vAlign w:val="center"/>
          </w:tcPr>
          <w:p w14:paraId="77C960F1">
            <w:pPr>
              <w:jc w:val="center"/>
              <w:rPr>
                <w:bCs/>
                <w:szCs w:val="21"/>
                <w:highlight w:val="none"/>
              </w:rPr>
            </w:pPr>
            <w:r>
              <w:rPr>
                <w:bCs/>
                <w:szCs w:val="21"/>
                <w:highlight w:val="none"/>
              </w:rPr>
              <w:t>中文名：甲烷</w:t>
            </w:r>
          </w:p>
        </w:tc>
        <w:tc>
          <w:tcPr>
            <w:tcW w:w="0" w:type="auto"/>
            <w:gridSpan w:val="2"/>
            <w:tcMar>
              <w:left w:w="108" w:type="dxa"/>
              <w:right w:w="108" w:type="dxa"/>
            </w:tcMar>
            <w:vAlign w:val="center"/>
          </w:tcPr>
          <w:p w14:paraId="5F409C83">
            <w:pPr>
              <w:jc w:val="center"/>
              <w:rPr>
                <w:bCs/>
                <w:szCs w:val="21"/>
                <w:highlight w:val="none"/>
              </w:rPr>
            </w:pPr>
            <w:r>
              <w:rPr>
                <w:bCs/>
                <w:szCs w:val="21"/>
                <w:highlight w:val="none"/>
              </w:rPr>
              <w:t>危险化学品目录序号：1188</w:t>
            </w:r>
          </w:p>
        </w:tc>
      </w:tr>
      <w:tr w14:paraId="70D5F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Mar>
              <w:left w:w="108" w:type="dxa"/>
              <w:right w:w="108" w:type="dxa"/>
            </w:tcMar>
            <w:vAlign w:val="center"/>
          </w:tcPr>
          <w:p w14:paraId="283C4A6A">
            <w:pPr>
              <w:jc w:val="center"/>
              <w:rPr>
                <w:bCs/>
                <w:szCs w:val="21"/>
                <w:highlight w:val="none"/>
              </w:rPr>
            </w:pPr>
          </w:p>
        </w:tc>
        <w:tc>
          <w:tcPr>
            <w:tcW w:w="0" w:type="auto"/>
            <w:gridSpan w:val="4"/>
            <w:tcMar>
              <w:left w:w="108" w:type="dxa"/>
              <w:right w:w="108" w:type="dxa"/>
            </w:tcMar>
            <w:vAlign w:val="center"/>
          </w:tcPr>
          <w:p w14:paraId="3EACC148">
            <w:pPr>
              <w:jc w:val="center"/>
              <w:rPr>
                <w:bCs/>
                <w:szCs w:val="21"/>
                <w:highlight w:val="none"/>
              </w:rPr>
            </w:pPr>
            <w:r>
              <w:rPr>
                <w:bCs/>
                <w:szCs w:val="21"/>
                <w:highlight w:val="none"/>
              </w:rPr>
              <w:t>英文名：methane</w:t>
            </w:r>
          </w:p>
        </w:tc>
        <w:tc>
          <w:tcPr>
            <w:tcW w:w="0" w:type="auto"/>
            <w:gridSpan w:val="2"/>
            <w:tcMar>
              <w:left w:w="108" w:type="dxa"/>
              <w:right w:w="108" w:type="dxa"/>
            </w:tcMar>
            <w:vAlign w:val="center"/>
          </w:tcPr>
          <w:p w14:paraId="15F2517B">
            <w:pPr>
              <w:jc w:val="center"/>
              <w:rPr>
                <w:bCs/>
                <w:szCs w:val="21"/>
                <w:highlight w:val="none"/>
              </w:rPr>
            </w:pPr>
            <w:r>
              <w:rPr>
                <w:bCs/>
                <w:szCs w:val="21"/>
                <w:highlight w:val="none"/>
              </w:rPr>
              <w:t>UN 编号：1971</w:t>
            </w:r>
          </w:p>
        </w:tc>
      </w:tr>
      <w:tr w14:paraId="797D2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Mar>
              <w:left w:w="108" w:type="dxa"/>
              <w:right w:w="108" w:type="dxa"/>
            </w:tcMar>
            <w:vAlign w:val="center"/>
          </w:tcPr>
          <w:p w14:paraId="290BA295">
            <w:pPr>
              <w:jc w:val="center"/>
              <w:rPr>
                <w:bCs/>
                <w:szCs w:val="21"/>
                <w:highlight w:val="none"/>
              </w:rPr>
            </w:pPr>
          </w:p>
        </w:tc>
        <w:tc>
          <w:tcPr>
            <w:tcW w:w="0" w:type="auto"/>
            <w:gridSpan w:val="2"/>
            <w:tcMar>
              <w:left w:w="108" w:type="dxa"/>
              <w:right w:w="108" w:type="dxa"/>
            </w:tcMar>
            <w:vAlign w:val="center"/>
          </w:tcPr>
          <w:p w14:paraId="57785326">
            <w:pPr>
              <w:jc w:val="center"/>
              <w:rPr>
                <w:bCs/>
                <w:szCs w:val="21"/>
                <w:highlight w:val="none"/>
              </w:rPr>
            </w:pPr>
            <w:r>
              <w:rPr>
                <w:bCs/>
                <w:szCs w:val="21"/>
                <w:highlight w:val="none"/>
              </w:rPr>
              <w:t>分子式：CH</w:t>
            </w:r>
            <w:r>
              <w:rPr>
                <w:bCs/>
                <w:szCs w:val="21"/>
                <w:highlight w:val="none"/>
                <w:vertAlign w:val="subscript"/>
              </w:rPr>
              <w:t>4</w:t>
            </w:r>
          </w:p>
        </w:tc>
        <w:tc>
          <w:tcPr>
            <w:tcW w:w="0" w:type="auto"/>
            <w:gridSpan w:val="2"/>
            <w:tcMar>
              <w:left w:w="108" w:type="dxa"/>
              <w:right w:w="108" w:type="dxa"/>
            </w:tcMar>
            <w:vAlign w:val="center"/>
          </w:tcPr>
          <w:p w14:paraId="1B010A26">
            <w:pPr>
              <w:jc w:val="center"/>
              <w:rPr>
                <w:bCs/>
                <w:szCs w:val="21"/>
                <w:highlight w:val="none"/>
              </w:rPr>
            </w:pPr>
            <w:r>
              <w:rPr>
                <w:bCs/>
                <w:szCs w:val="21"/>
                <w:highlight w:val="none"/>
              </w:rPr>
              <w:t>分子量：16.04</w:t>
            </w:r>
          </w:p>
        </w:tc>
        <w:tc>
          <w:tcPr>
            <w:tcW w:w="0" w:type="auto"/>
            <w:gridSpan w:val="2"/>
            <w:tcMar>
              <w:left w:w="108" w:type="dxa"/>
              <w:right w:w="108" w:type="dxa"/>
            </w:tcMar>
            <w:vAlign w:val="center"/>
          </w:tcPr>
          <w:p w14:paraId="1FDB40D0">
            <w:pPr>
              <w:jc w:val="center"/>
              <w:rPr>
                <w:bCs/>
                <w:szCs w:val="21"/>
                <w:highlight w:val="none"/>
              </w:rPr>
            </w:pPr>
            <w:r>
              <w:rPr>
                <w:bCs/>
                <w:szCs w:val="21"/>
                <w:highlight w:val="none"/>
              </w:rPr>
              <w:t>CAS 号：74-82-8</w:t>
            </w:r>
          </w:p>
        </w:tc>
      </w:tr>
      <w:tr w14:paraId="43C15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restart"/>
            <w:tcMar>
              <w:left w:w="108" w:type="dxa"/>
              <w:right w:w="108" w:type="dxa"/>
            </w:tcMar>
            <w:vAlign w:val="center"/>
          </w:tcPr>
          <w:p w14:paraId="71494B13">
            <w:pPr>
              <w:jc w:val="center"/>
              <w:rPr>
                <w:bCs/>
                <w:szCs w:val="21"/>
                <w:highlight w:val="none"/>
              </w:rPr>
            </w:pPr>
            <w:r>
              <w:rPr>
                <w:bCs/>
                <w:szCs w:val="21"/>
                <w:highlight w:val="none"/>
              </w:rPr>
              <w:t>理化性质</w:t>
            </w:r>
          </w:p>
        </w:tc>
        <w:tc>
          <w:tcPr>
            <w:tcW w:w="0" w:type="auto"/>
            <w:tcMar>
              <w:left w:w="108" w:type="dxa"/>
              <w:right w:w="108" w:type="dxa"/>
            </w:tcMar>
            <w:vAlign w:val="center"/>
          </w:tcPr>
          <w:p w14:paraId="1A4839C6">
            <w:pPr>
              <w:jc w:val="center"/>
              <w:rPr>
                <w:bCs/>
                <w:szCs w:val="21"/>
                <w:highlight w:val="none"/>
              </w:rPr>
            </w:pPr>
            <w:r>
              <w:rPr>
                <w:bCs/>
                <w:szCs w:val="21"/>
                <w:highlight w:val="none"/>
              </w:rPr>
              <w:t>外观与状态</w:t>
            </w:r>
          </w:p>
        </w:tc>
        <w:tc>
          <w:tcPr>
            <w:tcW w:w="0" w:type="auto"/>
            <w:gridSpan w:val="5"/>
            <w:tcMar>
              <w:left w:w="108" w:type="dxa"/>
              <w:right w:w="108" w:type="dxa"/>
            </w:tcMar>
            <w:vAlign w:val="center"/>
          </w:tcPr>
          <w:p w14:paraId="265472A0">
            <w:pPr>
              <w:jc w:val="center"/>
              <w:rPr>
                <w:bCs/>
                <w:szCs w:val="21"/>
                <w:highlight w:val="none"/>
              </w:rPr>
            </w:pPr>
            <w:r>
              <w:rPr>
                <w:bCs/>
                <w:szCs w:val="21"/>
                <w:highlight w:val="none"/>
              </w:rPr>
              <w:t>无色无臭气体。</w:t>
            </w:r>
          </w:p>
        </w:tc>
      </w:tr>
      <w:tr w14:paraId="43C68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Mar>
              <w:left w:w="108" w:type="dxa"/>
              <w:right w:w="108" w:type="dxa"/>
            </w:tcMar>
            <w:vAlign w:val="center"/>
          </w:tcPr>
          <w:p w14:paraId="0DD232F3">
            <w:pPr>
              <w:jc w:val="center"/>
              <w:rPr>
                <w:bCs/>
                <w:szCs w:val="21"/>
                <w:highlight w:val="none"/>
              </w:rPr>
            </w:pPr>
          </w:p>
        </w:tc>
        <w:tc>
          <w:tcPr>
            <w:tcW w:w="0" w:type="auto"/>
            <w:tcMar>
              <w:left w:w="108" w:type="dxa"/>
              <w:right w:w="108" w:type="dxa"/>
            </w:tcMar>
            <w:vAlign w:val="center"/>
          </w:tcPr>
          <w:p w14:paraId="2A77967A">
            <w:pPr>
              <w:jc w:val="center"/>
              <w:rPr>
                <w:bCs/>
                <w:szCs w:val="21"/>
                <w:highlight w:val="none"/>
              </w:rPr>
            </w:pPr>
            <w:r>
              <w:rPr>
                <w:bCs/>
                <w:szCs w:val="21"/>
                <w:highlight w:val="none"/>
              </w:rPr>
              <w:t>熔点（℃）</w:t>
            </w:r>
          </w:p>
        </w:tc>
        <w:tc>
          <w:tcPr>
            <w:tcW w:w="0" w:type="auto"/>
            <w:gridSpan w:val="2"/>
            <w:tcMar>
              <w:left w:w="108" w:type="dxa"/>
              <w:right w:w="108" w:type="dxa"/>
            </w:tcMar>
            <w:vAlign w:val="center"/>
          </w:tcPr>
          <w:p w14:paraId="51BC640A">
            <w:pPr>
              <w:jc w:val="center"/>
              <w:rPr>
                <w:bCs/>
                <w:szCs w:val="21"/>
                <w:highlight w:val="none"/>
              </w:rPr>
            </w:pPr>
            <w:r>
              <w:rPr>
                <w:bCs/>
                <w:szCs w:val="21"/>
                <w:highlight w:val="none"/>
              </w:rPr>
              <w:t>-183</w:t>
            </w:r>
          </w:p>
        </w:tc>
        <w:tc>
          <w:tcPr>
            <w:tcW w:w="0" w:type="auto"/>
            <w:tcMar>
              <w:left w:w="108" w:type="dxa"/>
              <w:right w:w="108" w:type="dxa"/>
            </w:tcMar>
            <w:vAlign w:val="center"/>
          </w:tcPr>
          <w:p w14:paraId="230B4454">
            <w:pPr>
              <w:jc w:val="center"/>
              <w:rPr>
                <w:bCs/>
                <w:szCs w:val="21"/>
                <w:highlight w:val="none"/>
              </w:rPr>
            </w:pPr>
            <w:r>
              <w:rPr>
                <w:bCs/>
                <w:szCs w:val="21"/>
                <w:highlight w:val="none"/>
              </w:rPr>
              <w:t>密度（g/cm</w:t>
            </w:r>
            <w:r>
              <w:rPr>
                <w:bCs/>
                <w:szCs w:val="21"/>
                <w:highlight w:val="none"/>
                <w:vertAlign w:val="superscript"/>
              </w:rPr>
              <w:t>3</w:t>
            </w:r>
            <w:r>
              <w:rPr>
                <w:bCs/>
                <w:szCs w:val="21"/>
                <w:highlight w:val="none"/>
              </w:rPr>
              <w:t>）</w:t>
            </w:r>
          </w:p>
        </w:tc>
        <w:tc>
          <w:tcPr>
            <w:tcW w:w="0" w:type="auto"/>
            <w:gridSpan w:val="2"/>
            <w:tcMar>
              <w:left w:w="108" w:type="dxa"/>
              <w:right w:w="108" w:type="dxa"/>
            </w:tcMar>
            <w:vAlign w:val="center"/>
          </w:tcPr>
          <w:p w14:paraId="12470956">
            <w:pPr>
              <w:jc w:val="center"/>
              <w:rPr>
                <w:bCs/>
                <w:szCs w:val="21"/>
                <w:highlight w:val="none"/>
              </w:rPr>
            </w:pPr>
            <w:r>
              <w:rPr>
                <w:bCs/>
                <w:szCs w:val="21"/>
                <w:highlight w:val="none"/>
              </w:rPr>
              <w:t>0.716</w:t>
            </w:r>
          </w:p>
        </w:tc>
      </w:tr>
      <w:tr w14:paraId="3C546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Mar>
              <w:left w:w="108" w:type="dxa"/>
              <w:right w:w="108" w:type="dxa"/>
            </w:tcMar>
            <w:vAlign w:val="center"/>
          </w:tcPr>
          <w:p w14:paraId="751474A2">
            <w:pPr>
              <w:jc w:val="center"/>
              <w:rPr>
                <w:bCs/>
                <w:szCs w:val="21"/>
                <w:highlight w:val="none"/>
              </w:rPr>
            </w:pPr>
          </w:p>
        </w:tc>
        <w:tc>
          <w:tcPr>
            <w:tcW w:w="0" w:type="auto"/>
            <w:tcMar>
              <w:left w:w="108" w:type="dxa"/>
              <w:right w:w="108" w:type="dxa"/>
            </w:tcMar>
            <w:vAlign w:val="center"/>
          </w:tcPr>
          <w:p w14:paraId="6871EA52">
            <w:pPr>
              <w:jc w:val="center"/>
              <w:rPr>
                <w:bCs/>
                <w:szCs w:val="21"/>
                <w:highlight w:val="none"/>
              </w:rPr>
            </w:pPr>
            <w:r>
              <w:rPr>
                <w:bCs/>
                <w:szCs w:val="21"/>
                <w:highlight w:val="none"/>
              </w:rPr>
              <w:t>沸点（℃）</w:t>
            </w:r>
          </w:p>
        </w:tc>
        <w:tc>
          <w:tcPr>
            <w:tcW w:w="0" w:type="auto"/>
            <w:gridSpan w:val="2"/>
            <w:tcMar>
              <w:left w:w="108" w:type="dxa"/>
              <w:right w:w="108" w:type="dxa"/>
            </w:tcMar>
            <w:vAlign w:val="center"/>
          </w:tcPr>
          <w:p w14:paraId="21325F7B">
            <w:pPr>
              <w:jc w:val="center"/>
              <w:rPr>
                <w:bCs/>
                <w:szCs w:val="21"/>
                <w:highlight w:val="none"/>
              </w:rPr>
            </w:pPr>
            <w:r>
              <w:rPr>
                <w:bCs/>
                <w:szCs w:val="21"/>
                <w:highlight w:val="none"/>
              </w:rPr>
              <w:t>-161</w:t>
            </w:r>
          </w:p>
        </w:tc>
        <w:tc>
          <w:tcPr>
            <w:tcW w:w="0" w:type="auto"/>
            <w:tcMar>
              <w:left w:w="108" w:type="dxa"/>
              <w:right w:w="108" w:type="dxa"/>
            </w:tcMar>
            <w:vAlign w:val="center"/>
          </w:tcPr>
          <w:p w14:paraId="2F14173A">
            <w:pPr>
              <w:jc w:val="center"/>
              <w:rPr>
                <w:bCs/>
                <w:szCs w:val="21"/>
                <w:highlight w:val="none"/>
              </w:rPr>
            </w:pPr>
            <w:r>
              <w:rPr>
                <w:bCs/>
                <w:szCs w:val="21"/>
                <w:highlight w:val="none"/>
              </w:rPr>
              <w:t>饱和</w:t>
            </w:r>
            <w:r>
              <w:rPr>
                <w:rFonts w:hint="eastAsia"/>
                <w:bCs/>
                <w:szCs w:val="21"/>
                <w:highlight w:val="none"/>
                <w:lang w:eastAsia="zh-CN"/>
              </w:rPr>
              <w:t>蒸汽</w:t>
            </w:r>
            <w:r>
              <w:rPr>
                <w:bCs/>
                <w:szCs w:val="21"/>
                <w:highlight w:val="none"/>
              </w:rPr>
              <w:t>压（kPa）</w:t>
            </w:r>
          </w:p>
        </w:tc>
        <w:tc>
          <w:tcPr>
            <w:tcW w:w="0" w:type="auto"/>
            <w:gridSpan w:val="2"/>
            <w:tcMar>
              <w:left w:w="108" w:type="dxa"/>
              <w:right w:w="108" w:type="dxa"/>
            </w:tcMar>
            <w:vAlign w:val="center"/>
          </w:tcPr>
          <w:p w14:paraId="7D627901">
            <w:pPr>
              <w:jc w:val="center"/>
              <w:rPr>
                <w:bCs/>
                <w:szCs w:val="21"/>
                <w:highlight w:val="none"/>
              </w:rPr>
            </w:pPr>
            <w:r>
              <w:rPr>
                <w:bCs/>
                <w:szCs w:val="21"/>
                <w:highlight w:val="none"/>
              </w:rPr>
              <w:t>53.32/-168.8℃</w:t>
            </w:r>
          </w:p>
        </w:tc>
      </w:tr>
      <w:tr w14:paraId="72397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Mar>
              <w:left w:w="108" w:type="dxa"/>
              <w:right w:w="108" w:type="dxa"/>
            </w:tcMar>
            <w:vAlign w:val="center"/>
          </w:tcPr>
          <w:p w14:paraId="3A97EEF6">
            <w:pPr>
              <w:jc w:val="center"/>
              <w:rPr>
                <w:bCs/>
                <w:szCs w:val="21"/>
                <w:highlight w:val="none"/>
              </w:rPr>
            </w:pPr>
          </w:p>
        </w:tc>
        <w:tc>
          <w:tcPr>
            <w:tcW w:w="0" w:type="auto"/>
            <w:tcMar>
              <w:left w:w="108" w:type="dxa"/>
              <w:right w:w="108" w:type="dxa"/>
            </w:tcMar>
            <w:vAlign w:val="center"/>
          </w:tcPr>
          <w:p w14:paraId="74CEDC9B">
            <w:pPr>
              <w:jc w:val="center"/>
              <w:rPr>
                <w:bCs/>
                <w:szCs w:val="21"/>
                <w:highlight w:val="none"/>
              </w:rPr>
            </w:pPr>
            <w:r>
              <w:rPr>
                <w:bCs/>
                <w:szCs w:val="21"/>
                <w:highlight w:val="none"/>
              </w:rPr>
              <w:t>溶解性</w:t>
            </w:r>
          </w:p>
        </w:tc>
        <w:tc>
          <w:tcPr>
            <w:tcW w:w="0" w:type="auto"/>
            <w:gridSpan w:val="5"/>
            <w:tcMar>
              <w:left w:w="108" w:type="dxa"/>
              <w:right w:w="108" w:type="dxa"/>
            </w:tcMar>
            <w:vAlign w:val="center"/>
          </w:tcPr>
          <w:p w14:paraId="20B9B05A">
            <w:pPr>
              <w:jc w:val="center"/>
              <w:rPr>
                <w:bCs/>
                <w:szCs w:val="21"/>
                <w:highlight w:val="none"/>
              </w:rPr>
            </w:pPr>
            <w:r>
              <w:rPr>
                <w:bCs/>
                <w:szCs w:val="21"/>
                <w:highlight w:val="none"/>
              </w:rPr>
              <w:t>微溶于水，溶于乙醇、乙醚等有机溶剂。</w:t>
            </w:r>
          </w:p>
        </w:tc>
      </w:tr>
      <w:tr w14:paraId="40FBA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restart"/>
            <w:tcMar>
              <w:left w:w="108" w:type="dxa"/>
              <w:right w:w="108" w:type="dxa"/>
            </w:tcMar>
            <w:vAlign w:val="center"/>
          </w:tcPr>
          <w:p w14:paraId="5D7BA0BE">
            <w:pPr>
              <w:jc w:val="center"/>
              <w:rPr>
                <w:bCs/>
                <w:szCs w:val="21"/>
                <w:highlight w:val="none"/>
              </w:rPr>
            </w:pPr>
            <w:r>
              <w:rPr>
                <w:bCs/>
                <w:szCs w:val="21"/>
                <w:highlight w:val="none"/>
              </w:rPr>
              <w:t>毒性及健康危害</w:t>
            </w:r>
          </w:p>
        </w:tc>
        <w:tc>
          <w:tcPr>
            <w:tcW w:w="0" w:type="auto"/>
            <w:tcMar>
              <w:left w:w="108" w:type="dxa"/>
              <w:right w:w="108" w:type="dxa"/>
            </w:tcMar>
            <w:vAlign w:val="center"/>
          </w:tcPr>
          <w:p w14:paraId="5FD80659">
            <w:pPr>
              <w:jc w:val="center"/>
              <w:rPr>
                <w:bCs/>
                <w:szCs w:val="21"/>
                <w:highlight w:val="none"/>
              </w:rPr>
            </w:pPr>
            <w:r>
              <w:rPr>
                <w:bCs/>
                <w:szCs w:val="21"/>
                <w:highlight w:val="none"/>
              </w:rPr>
              <w:t>侵入途径</w:t>
            </w:r>
          </w:p>
        </w:tc>
        <w:tc>
          <w:tcPr>
            <w:tcW w:w="0" w:type="auto"/>
            <w:gridSpan w:val="5"/>
            <w:tcMar>
              <w:left w:w="108" w:type="dxa"/>
              <w:right w:w="108" w:type="dxa"/>
            </w:tcMar>
            <w:vAlign w:val="center"/>
          </w:tcPr>
          <w:p w14:paraId="2662B57F">
            <w:pPr>
              <w:jc w:val="center"/>
              <w:rPr>
                <w:bCs/>
                <w:szCs w:val="21"/>
                <w:highlight w:val="none"/>
              </w:rPr>
            </w:pPr>
            <w:r>
              <w:rPr>
                <w:bCs/>
                <w:szCs w:val="21"/>
                <w:highlight w:val="none"/>
              </w:rPr>
              <w:t>吸入、皮肤接触。</w:t>
            </w:r>
          </w:p>
        </w:tc>
      </w:tr>
      <w:tr w14:paraId="5794C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Mar>
              <w:left w:w="108" w:type="dxa"/>
              <w:right w:w="108" w:type="dxa"/>
            </w:tcMar>
            <w:vAlign w:val="center"/>
          </w:tcPr>
          <w:p w14:paraId="5078FE9B">
            <w:pPr>
              <w:jc w:val="center"/>
              <w:rPr>
                <w:bCs/>
                <w:szCs w:val="21"/>
                <w:highlight w:val="none"/>
              </w:rPr>
            </w:pPr>
          </w:p>
        </w:tc>
        <w:tc>
          <w:tcPr>
            <w:tcW w:w="0" w:type="auto"/>
            <w:tcMar>
              <w:left w:w="108" w:type="dxa"/>
              <w:right w:w="108" w:type="dxa"/>
            </w:tcMar>
            <w:vAlign w:val="center"/>
          </w:tcPr>
          <w:p w14:paraId="209A95E6">
            <w:pPr>
              <w:jc w:val="center"/>
              <w:rPr>
                <w:bCs/>
                <w:szCs w:val="21"/>
                <w:highlight w:val="none"/>
              </w:rPr>
            </w:pPr>
            <w:r>
              <w:rPr>
                <w:bCs/>
                <w:szCs w:val="21"/>
                <w:highlight w:val="none"/>
              </w:rPr>
              <w:t>毒性</w:t>
            </w:r>
          </w:p>
        </w:tc>
        <w:tc>
          <w:tcPr>
            <w:tcW w:w="0" w:type="auto"/>
            <w:gridSpan w:val="5"/>
            <w:tcMar>
              <w:left w:w="108" w:type="dxa"/>
              <w:right w:w="108" w:type="dxa"/>
            </w:tcMar>
            <w:vAlign w:val="center"/>
          </w:tcPr>
          <w:p w14:paraId="6B0B0D8A">
            <w:pPr>
              <w:jc w:val="center"/>
              <w:rPr>
                <w:bCs/>
                <w:szCs w:val="21"/>
                <w:highlight w:val="none"/>
              </w:rPr>
            </w:pPr>
            <w:r>
              <w:rPr>
                <w:bCs/>
                <w:szCs w:val="21"/>
                <w:highlight w:val="none"/>
              </w:rPr>
              <w:t>无资料</w:t>
            </w:r>
          </w:p>
        </w:tc>
      </w:tr>
      <w:tr w14:paraId="07331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Mar>
              <w:left w:w="108" w:type="dxa"/>
              <w:right w:w="108" w:type="dxa"/>
            </w:tcMar>
            <w:vAlign w:val="center"/>
          </w:tcPr>
          <w:p w14:paraId="6767B710">
            <w:pPr>
              <w:jc w:val="center"/>
              <w:rPr>
                <w:bCs/>
                <w:szCs w:val="21"/>
                <w:highlight w:val="none"/>
              </w:rPr>
            </w:pPr>
          </w:p>
        </w:tc>
        <w:tc>
          <w:tcPr>
            <w:tcW w:w="0" w:type="auto"/>
            <w:tcMar>
              <w:left w:w="108" w:type="dxa"/>
              <w:right w:w="108" w:type="dxa"/>
            </w:tcMar>
            <w:vAlign w:val="center"/>
          </w:tcPr>
          <w:p w14:paraId="696F4C2A">
            <w:pPr>
              <w:jc w:val="center"/>
              <w:rPr>
                <w:bCs/>
                <w:szCs w:val="21"/>
                <w:highlight w:val="none"/>
              </w:rPr>
            </w:pPr>
            <w:r>
              <w:rPr>
                <w:bCs/>
                <w:szCs w:val="21"/>
                <w:highlight w:val="none"/>
              </w:rPr>
              <w:t>健康危害</w:t>
            </w:r>
          </w:p>
        </w:tc>
        <w:tc>
          <w:tcPr>
            <w:tcW w:w="0" w:type="auto"/>
            <w:gridSpan w:val="5"/>
            <w:tcMar>
              <w:left w:w="108" w:type="dxa"/>
              <w:right w:w="108" w:type="dxa"/>
            </w:tcMar>
            <w:vAlign w:val="center"/>
          </w:tcPr>
          <w:p w14:paraId="5131E7DC">
            <w:pPr>
              <w:jc w:val="center"/>
              <w:rPr>
                <w:bCs/>
                <w:szCs w:val="21"/>
                <w:highlight w:val="none"/>
              </w:rPr>
            </w:pPr>
            <w:r>
              <w:rPr>
                <w:bCs/>
                <w:szCs w:val="21"/>
                <w:highlight w:val="none"/>
              </w:rPr>
              <w:t>甲烷对人基本无毒，但浓度过高时，使空气中氧含量明显降低，使人窒息。当空气中甲烷</w:t>
            </w:r>
            <w:r>
              <w:rPr>
                <w:rFonts w:hint="eastAsia"/>
                <w:bCs/>
                <w:szCs w:val="21"/>
                <w:highlight w:val="none"/>
                <w:lang w:eastAsia="zh-CN"/>
              </w:rPr>
              <w:t>含量</w:t>
            </w:r>
            <w:r>
              <w:rPr>
                <w:bCs/>
                <w:szCs w:val="21"/>
                <w:highlight w:val="none"/>
              </w:rPr>
              <w:t>达25%~30%时，可引起头痛、头晕、乏力、注意力不集中、呼吸和心跳加速、共济失调</w:t>
            </w:r>
            <w:r>
              <w:rPr>
                <w:rFonts w:hint="eastAsia"/>
                <w:bCs/>
                <w:szCs w:val="21"/>
                <w:highlight w:val="none"/>
                <w:lang w:eastAsia="zh-CN"/>
              </w:rPr>
              <w:t>等症状</w:t>
            </w:r>
            <w:r>
              <w:rPr>
                <w:bCs/>
                <w:szCs w:val="21"/>
                <w:highlight w:val="none"/>
              </w:rPr>
              <w:t>。若不及时脱离，可致窒息死亡。皮肤接触液化本品，可致冻伤。</w:t>
            </w:r>
          </w:p>
        </w:tc>
      </w:tr>
      <w:tr w14:paraId="65BD5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restart"/>
            <w:tcMar>
              <w:left w:w="108" w:type="dxa"/>
              <w:right w:w="108" w:type="dxa"/>
            </w:tcMar>
            <w:vAlign w:val="center"/>
          </w:tcPr>
          <w:p w14:paraId="29778500">
            <w:pPr>
              <w:jc w:val="center"/>
              <w:rPr>
                <w:bCs/>
                <w:szCs w:val="21"/>
                <w:highlight w:val="none"/>
              </w:rPr>
            </w:pPr>
            <w:r>
              <w:rPr>
                <w:bCs/>
                <w:szCs w:val="21"/>
                <w:highlight w:val="none"/>
              </w:rPr>
              <w:t>燃烧爆炸危险性</w:t>
            </w:r>
          </w:p>
        </w:tc>
        <w:tc>
          <w:tcPr>
            <w:tcW w:w="0" w:type="auto"/>
            <w:tcMar>
              <w:left w:w="108" w:type="dxa"/>
              <w:right w:w="108" w:type="dxa"/>
            </w:tcMar>
            <w:vAlign w:val="center"/>
          </w:tcPr>
          <w:p w14:paraId="4DD248F0">
            <w:pPr>
              <w:jc w:val="center"/>
              <w:rPr>
                <w:bCs/>
                <w:szCs w:val="21"/>
                <w:highlight w:val="none"/>
              </w:rPr>
            </w:pPr>
            <w:r>
              <w:rPr>
                <w:bCs/>
                <w:szCs w:val="21"/>
                <w:highlight w:val="none"/>
              </w:rPr>
              <w:t>燃烧性</w:t>
            </w:r>
          </w:p>
        </w:tc>
        <w:tc>
          <w:tcPr>
            <w:tcW w:w="0" w:type="auto"/>
            <w:tcMar>
              <w:left w:w="108" w:type="dxa"/>
              <w:right w:w="108" w:type="dxa"/>
            </w:tcMar>
            <w:vAlign w:val="center"/>
          </w:tcPr>
          <w:p w14:paraId="091ADB34">
            <w:pPr>
              <w:jc w:val="center"/>
              <w:rPr>
                <w:bCs/>
                <w:szCs w:val="21"/>
                <w:highlight w:val="none"/>
              </w:rPr>
            </w:pPr>
            <w:r>
              <w:rPr>
                <w:bCs/>
                <w:szCs w:val="21"/>
                <w:highlight w:val="none"/>
              </w:rPr>
              <w:t>可燃</w:t>
            </w:r>
          </w:p>
        </w:tc>
        <w:tc>
          <w:tcPr>
            <w:tcW w:w="0" w:type="auto"/>
            <w:gridSpan w:val="2"/>
            <w:tcMar>
              <w:left w:w="108" w:type="dxa"/>
              <w:right w:w="108" w:type="dxa"/>
            </w:tcMar>
            <w:vAlign w:val="center"/>
          </w:tcPr>
          <w:p w14:paraId="2B144FD8">
            <w:pPr>
              <w:jc w:val="center"/>
              <w:rPr>
                <w:bCs/>
                <w:szCs w:val="21"/>
                <w:highlight w:val="none"/>
              </w:rPr>
            </w:pPr>
            <w:r>
              <w:rPr>
                <w:bCs/>
                <w:szCs w:val="21"/>
                <w:highlight w:val="none"/>
              </w:rPr>
              <w:t>燃烧分解物</w:t>
            </w:r>
          </w:p>
        </w:tc>
        <w:tc>
          <w:tcPr>
            <w:tcW w:w="0" w:type="auto"/>
            <w:gridSpan w:val="2"/>
            <w:tcMar>
              <w:left w:w="108" w:type="dxa"/>
              <w:right w:w="108" w:type="dxa"/>
            </w:tcMar>
            <w:vAlign w:val="center"/>
          </w:tcPr>
          <w:p w14:paraId="19367214">
            <w:pPr>
              <w:jc w:val="center"/>
              <w:rPr>
                <w:bCs/>
                <w:szCs w:val="21"/>
                <w:highlight w:val="none"/>
              </w:rPr>
            </w:pPr>
            <w:r>
              <w:rPr>
                <w:bCs/>
                <w:szCs w:val="21"/>
                <w:highlight w:val="none"/>
              </w:rPr>
              <w:t>一氧化碳、二氧化碳。</w:t>
            </w:r>
          </w:p>
        </w:tc>
      </w:tr>
      <w:tr w14:paraId="614C4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Mar>
              <w:left w:w="108" w:type="dxa"/>
              <w:right w:w="108" w:type="dxa"/>
            </w:tcMar>
            <w:vAlign w:val="center"/>
          </w:tcPr>
          <w:p w14:paraId="0245187A">
            <w:pPr>
              <w:jc w:val="center"/>
              <w:rPr>
                <w:bCs/>
                <w:szCs w:val="21"/>
                <w:highlight w:val="none"/>
              </w:rPr>
            </w:pPr>
          </w:p>
        </w:tc>
        <w:tc>
          <w:tcPr>
            <w:tcW w:w="0" w:type="auto"/>
            <w:tcMar>
              <w:left w:w="108" w:type="dxa"/>
              <w:right w:w="108" w:type="dxa"/>
            </w:tcMar>
            <w:vAlign w:val="center"/>
          </w:tcPr>
          <w:p w14:paraId="08E2CBE2">
            <w:pPr>
              <w:jc w:val="center"/>
              <w:rPr>
                <w:rFonts w:hint="eastAsia" w:eastAsia="宋体"/>
                <w:bCs/>
                <w:szCs w:val="21"/>
                <w:highlight w:val="none"/>
                <w:lang w:eastAsia="zh-CN"/>
              </w:rPr>
            </w:pPr>
            <w:r>
              <w:rPr>
                <w:bCs/>
                <w:szCs w:val="21"/>
                <w:highlight w:val="none"/>
              </w:rPr>
              <w:t>闪点</w:t>
            </w:r>
            <w:r>
              <w:rPr>
                <w:rFonts w:hint="eastAsia"/>
                <w:bCs/>
                <w:szCs w:val="21"/>
                <w:highlight w:val="none"/>
                <w:lang w:eastAsia="zh-CN"/>
              </w:rPr>
              <w:t>（</w:t>
            </w:r>
            <w:r>
              <w:rPr>
                <w:bCs/>
                <w:szCs w:val="21"/>
                <w:highlight w:val="none"/>
              </w:rPr>
              <w:t>℃</w:t>
            </w:r>
            <w:r>
              <w:rPr>
                <w:rFonts w:hint="eastAsia"/>
                <w:bCs/>
                <w:szCs w:val="21"/>
                <w:highlight w:val="none"/>
                <w:lang w:eastAsia="zh-CN"/>
              </w:rPr>
              <w:t>）</w:t>
            </w:r>
          </w:p>
        </w:tc>
        <w:tc>
          <w:tcPr>
            <w:tcW w:w="0" w:type="auto"/>
            <w:tcMar>
              <w:left w:w="108" w:type="dxa"/>
              <w:right w:w="108" w:type="dxa"/>
            </w:tcMar>
            <w:vAlign w:val="center"/>
          </w:tcPr>
          <w:p w14:paraId="66682BFF">
            <w:pPr>
              <w:jc w:val="center"/>
              <w:rPr>
                <w:bCs/>
                <w:szCs w:val="21"/>
                <w:highlight w:val="none"/>
              </w:rPr>
            </w:pPr>
            <w:r>
              <w:rPr>
                <w:bCs/>
                <w:szCs w:val="21"/>
                <w:highlight w:val="none"/>
              </w:rPr>
              <w:t>-188</w:t>
            </w:r>
          </w:p>
        </w:tc>
        <w:tc>
          <w:tcPr>
            <w:tcW w:w="0" w:type="auto"/>
            <w:gridSpan w:val="2"/>
            <w:tcMar>
              <w:left w:w="108" w:type="dxa"/>
              <w:right w:w="108" w:type="dxa"/>
            </w:tcMar>
            <w:vAlign w:val="center"/>
          </w:tcPr>
          <w:p w14:paraId="19AB8B86">
            <w:pPr>
              <w:jc w:val="center"/>
              <w:rPr>
                <w:bCs/>
                <w:szCs w:val="21"/>
                <w:highlight w:val="none"/>
              </w:rPr>
            </w:pPr>
            <w:r>
              <w:rPr>
                <w:bCs/>
                <w:szCs w:val="21"/>
                <w:highlight w:val="none"/>
              </w:rPr>
              <w:t>爆炸上限（g/m</w:t>
            </w:r>
            <w:r>
              <w:rPr>
                <w:bCs/>
                <w:szCs w:val="21"/>
                <w:highlight w:val="none"/>
                <w:vertAlign w:val="superscript"/>
              </w:rPr>
              <w:t>3</w:t>
            </w:r>
            <w:r>
              <w:rPr>
                <w:bCs/>
                <w:szCs w:val="21"/>
                <w:highlight w:val="none"/>
              </w:rPr>
              <w:t>）</w:t>
            </w:r>
          </w:p>
        </w:tc>
        <w:tc>
          <w:tcPr>
            <w:tcW w:w="0" w:type="auto"/>
            <w:gridSpan w:val="2"/>
            <w:tcMar>
              <w:left w:w="108" w:type="dxa"/>
              <w:right w:w="108" w:type="dxa"/>
            </w:tcMar>
            <w:vAlign w:val="center"/>
          </w:tcPr>
          <w:p w14:paraId="0564E63C">
            <w:pPr>
              <w:jc w:val="center"/>
              <w:rPr>
                <w:bCs/>
                <w:szCs w:val="21"/>
                <w:highlight w:val="none"/>
              </w:rPr>
            </w:pPr>
            <w:r>
              <w:rPr>
                <w:bCs/>
                <w:szCs w:val="21"/>
                <w:highlight w:val="none"/>
              </w:rPr>
              <w:t>15</w:t>
            </w:r>
          </w:p>
        </w:tc>
      </w:tr>
      <w:tr w14:paraId="3DA34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Mar>
              <w:left w:w="108" w:type="dxa"/>
              <w:right w:w="108" w:type="dxa"/>
            </w:tcMar>
            <w:vAlign w:val="center"/>
          </w:tcPr>
          <w:p w14:paraId="494E5C88">
            <w:pPr>
              <w:jc w:val="center"/>
              <w:rPr>
                <w:bCs/>
                <w:szCs w:val="21"/>
                <w:highlight w:val="none"/>
              </w:rPr>
            </w:pPr>
          </w:p>
        </w:tc>
        <w:tc>
          <w:tcPr>
            <w:tcW w:w="0" w:type="auto"/>
            <w:tcMar>
              <w:left w:w="108" w:type="dxa"/>
              <w:right w:w="108" w:type="dxa"/>
            </w:tcMar>
            <w:vAlign w:val="center"/>
          </w:tcPr>
          <w:p w14:paraId="2CAD5651">
            <w:pPr>
              <w:jc w:val="center"/>
              <w:rPr>
                <w:rFonts w:hint="eastAsia" w:eastAsia="宋体"/>
                <w:bCs/>
                <w:szCs w:val="21"/>
                <w:highlight w:val="none"/>
                <w:lang w:eastAsia="zh-CN"/>
              </w:rPr>
            </w:pPr>
            <w:r>
              <w:rPr>
                <w:bCs/>
                <w:szCs w:val="21"/>
                <w:highlight w:val="none"/>
              </w:rPr>
              <w:t>自燃温度</w:t>
            </w:r>
            <w:r>
              <w:rPr>
                <w:rFonts w:hint="eastAsia"/>
                <w:bCs/>
                <w:szCs w:val="21"/>
                <w:highlight w:val="none"/>
                <w:lang w:eastAsia="zh-CN"/>
              </w:rPr>
              <w:t>（</w:t>
            </w:r>
            <w:r>
              <w:rPr>
                <w:bCs/>
                <w:szCs w:val="21"/>
                <w:highlight w:val="none"/>
              </w:rPr>
              <w:t>℃</w:t>
            </w:r>
            <w:r>
              <w:rPr>
                <w:rFonts w:hint="eastAsia"/>
                <w:bCs/>
                <w:szCs w:val="21"/>
                <w:highlight w:val="none"/>
                <w:lang w:eastAsia="zh-CN"/>
              </w:rPr>
              <w:t>）</w:t>
            </w:r>
          </w:p>
        </w:tc>
        <w:tc>
          <w:tcPr>
            <w:tcW w:w="0" w:type="auto"/>
            <w:tcMar>
              <w:left w:w="108" w:type="dxa"/>
              <w:right w:w="108" w:type="dxa"/>
            </w:tcMar>
            <w:vAlign w:val="center"/>
          </w:tcPr>
          <w:p w14:paraId="67283B09">
            <w:pPr>
              <w:jc w:val="center"/>
              <w:rPr>
                <w:bCs/>
                <w:szCs w:val="21"/>
                <w:highlight w:val="none"/>
              </w:rPr>
            </w:pPr>
            <w:r>
              <w:rPr>
                <w:bCs/>
                <w:szCs w:val="21"/>
                <w:highlight w:val="none"/>
              </w:rPr>
              <w:t>538</w:t>
            </w:r>
          </w:p>
        </w:tc>
        <w:tc>
          <w:tcPr>
            <w:tcW w:w="0" w:type="auto"/>
            <w:gridSpan w:val="2"/>
            <w:tcMar>
              <w:left w:w="108" w:type="dxa"/>
              <w:right w:w="108" w:type="dxa"/>
            </w:tcMar>
            <w:vAlign w:val="center"/>
          </w:tcPr>
          <w:p w14:paraId="50E96CFD">
            <w:pPr>
              <w:jc w:val="center"/>
              <w:rPr>
                <w:bCs/>
                <w:szCs w:val="21"/>
                <w:highlight w:val="none"/>
              </w:rPr>
            </w:pPr>
            <w:r>
              <w:rPr>
                <w:bCs/>
                <w:szCs w:val="21"/>
                <w:highlight w:val="none"/>
              </w:rPr>
              <w:t>爆炸下限（g/m</w:t>
            </w:r>
            <w:r>
              <w:rPr>
                <w:bCs/>
                <w:szCs w:val="21"/>
                <w:highlight w:val="none"/>
                <w:vertAlign w:val="superscript"/>
              </w:rPr>
              <w:t>3</w:t>
            </w:r>
            <w:r>
              <w:rPr>
                <w:bCs/>
                <w:szCs w:val="21"/>
                <w:highlight w:val="none"/>
              </w:rPr>
              <w:t>）</w:t>
            </w:r>
          </w:p>
        </w:tc>
        <w:tc>
          <w:tcPr>
            <w:tcW w:w="0" w:type="auto"/>
            <w:gridSpan w:val="2"/>
            <w:tcMar>
              <w:left w:w="108" w:type="dxa"/>
              <w:right w:w="108" w:type="dxa"/>
            </w:tcMar>
            <w:vAlign w:val="center"/>
          </w:tcPr>
          <w:p w14:paraId="62D3B056">
            <w:pPr>
              <w:jc w:val="center"/>
              <w:rPr>
                <w:bCs/>
                <w:szCs w:val="21"/>
                <w:highlight w:val="none"/>
              </w:rPr>
            </w:pPr>
            <w:r>
              <w:rPr>
                <w:bCs/>
                <w:szCs w:val="21"/>
                <w:highlight w:val="none"/>
              </w:rPr>
              <w:t>5.3</w:t>
            </w:r>
          </w:p>
        </w:tc>
      </w:tr>
      <w:tr w14:paraId="77991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Mar>
              <w:left w:w="108" w:type="dxa"/>
              <w:right w:w="108" w:type="dxa"/>
            </w:tcMar>
            <w:vAlign w:val="center"/>
          </w:tcPr>
          <w:p w14:paraId="7473E7F5">
            <w:pPr>
              <w:jc w:val="center"/>
              <w:rPr>
                <w:bCs/>
                <w:szCs w:val="21"/>
                <w:highlight w:val="none"/>
              </w:rPr>
            </w:pPr>
          </w:p>
        </w:tc>
        <w:tc>
          <w:tcPr>
            <w:tcW w:w="0" w:type="auto"/>
            <w:tcMar>
              <w:left w:w="108" w:type="dxa"/>
              <w:right w:w="108" w:type="dxa"/>
            </w:tcMar>
            <w:vAlign w:val="center"/>
          </w:tcPr>
          <w:p w14:paraId="55DB5AFA">
            <w:pPr>
              <w:jc w:val="center"/>
              <w:rPr>
                <w:bCs/>
                <w:szCs w:val="21"/>
                <w:highlight w:val="none"/>
              </w:rPr>
            </w:pPr>
            <w:r>
              <w:rPr>
                <w:bCs/>
                <w:szCs w:val="21"/>
                <w:highlight w:val="none"/>
              </w:rPr>
              <w:t>危险特性</w:t>
            </w:r>
          </w:p>
        </w:tc>
        <w:tc>
          <w:tcPr>
            <w:tcW w:w="0" w:type="auto"/>
            <w:gridSpan w:val="5"/>
            <w:tcMar>
              <w:left w:w="108" w:type="dxa"/>
              <w:right w:w="108" w:type="dxa"/>
            </w:tcMar>
            <w:vAlign w:val="center"/>
          </w:tcPr>
          <w:p w14:paraId="4CBD0158">
            <w:pPr>
              <w:jc w:val="center"/>
              <w:rPr>
                <w:bCs/>
                <w:szCs w:val="21"/>
                <w:highlight w:val="none"/>
              </w:rPr>
            </w:pPr>
            <w:r>
              <w:rPr>
                <w:bCs/>
                <w:szCs w:val="21"/>
                <w:highlight w:val="none"/>
              </w:rPr>
              <w:t>易燃。与空气混合能形成爆炸性混合物，遇热源和明火有燃烧爆炸的危险。</w:t>
            </w:r>
          </w:p>
        </w:tc>
      </w:tr>
      <w:tr w14:paraId="32200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Mar>
              <w:left w:w="108" w:type="dxa"/>
              <w:right w:w="108" w:type="dxa"/>
            </w:tcMar>
            <w:vAlign w:val="center"/>
          </w:tcPr>
          <w:p w14:paraId="7F615C48">
            <w:pPr>
              <w:jc w:val="center"/>
              <w:rPr>
                <w:bCs/>
                <w:szCs w:val="21"/>
                <w:highlight w:val="none"/>
              </w:rPr>
            </w:pPr>
          </w:p>
        </w:tc>
        <w:tc>
          <w:tcPr>
            <w:tcW w:w="0" w:type="auto"/>
            <w:tcMar>
              <w:left w:w="108" w:type="dxa"/>
              <w:right w:w="108" w:type="dxa"/>
            </w:tcMar>
            <w:vAlign w:val="center"/>
          </w:tcPr>
          <w:p w14:paraId="107D6164">
            <w:pPr>
              <w:jc w:val="center"/>
              <w:rPr>
                <w:bCs/>
                <w:szCs w:val="21"/>
                <w:highlight w:val="none"/>
              </w:rPr>
            </w:pPr>
            <w:r>
              <w:rPr>
                <w:bCs/>
                <w:szCs w:val="21"/>
                <w:highlight w:val="none"/>
              </w:rPr>
              <w:t>建筑火灾分级</w:t>
            </w:r>
          </w:p>
        </w:tc>
        <w:tc>
          <w:tcPr>
            <w:tcW w:w="0" w:type="auto"/>
            <w:tcMar>
              <w:left w:w="108" w:type="dxa"/>
              <w:right w:w="108" w:type="dxa"/>
            </w:tcMar>
            <w:vAlign w:val="center"/>
          </w:tcPr>
          <w:p w14:paraId="6D6D755D">
            <w:pPr>
              <w:jc w:val="center"/>
              <w:rPr>
                <w:bCs/>
                <w:szCs w:val="21"/>
                <w:highlight w:val="none"/>
              </w:rPr>
            </w:pPr>
            <w:r>
              <w:rPr>
                <w:bCs/>
                <w:szCs w:val="21"/>
                <w:highlight w:val="none"/>
              </w:rPr>
              <w:t>甲类</w:t>
            </w:r>
          </w:p>
        </w:tc>
        <w:tc>
          <w:tcPr>
            <w:tcW w:w="0" w:type="auto"/>
            <w:tcMar>
              <w:left w:w="108" w:type="dxa"/>
              <w:right w:w="108" w:type="dxa"/>
            </w:tcMar>
            <w:vAlign w:val="center"/>
          </w:tcPr>
          <w:p w14:paraId="29016891">
            <w:pPr>
              <w:jc w:val="center"/>
              <w:rPr>
                <w:bCs/>
                <w:szCs w:val="21"/>
                <w:highlight w:val="none"/>
              </w:rPr>
            </w:pPr>
            <w:r>
              <w:rPr>
                <w:bCs/>
                <w:szCs w:val="21"/>
                <w:highlight w:val="none"/>
              </w:rPr>
              <w:t>稳定性</w:t>
            </w:r>
          </w:p>
        </w:tc>
        <w:tc>
          <w:tcPr>
            <w:tcW w:w="0" w:type="auto"/>
            <w:tcMar>
              <w:left w:w="108" w:type="dxa"/>
              <w:right w:w="108" w:type="dxa"/>
            </w:tcMar>
            <w:vAlign w:val="center"/>
          </w:tcPr>
          <w:p w14:paraId="7366688F">
            <w:pPr>
              <w:jc w:val="center"/>
              <w:rPr>
                <w:bCs/>
                <w:szCs w:val="21"/>
                <w:highlight w:val="none"/>
              </w:rPr>
            </w:pPr>
            <w:r>
              <w:rPr>
                <w:bCs/>
                <w:szCs w:val="21"/>
                <w:highlight w:val="none"/>
              </w:rPr>
              <w:t>稳定</w:t>
            </w:r>
          </w:p>
        </w:tc>
        <w:tc>
          <w:tcPr>
            <w:tcW w:w="0" w:type="auto"/>
            <w:tcMar>
              <w:left w:w="108" w:type="dxa"/>
              <w:right w:w="108" w:type="dxa"/>
            </w:tcMar>
            <w:vAlign w:val="center"/>
          </w:tcPr>
          <w:p w14:paraId="1EC2A18A">
            <w:pPr>
              <w:jc w:val="center"/>
              <w:rPr>
                <w:bCs/>
                <w:szCs w:val="21"/>
                <w:highlight w:val="none"/>
              </w:rPr>
            </w:pPr>
            <w:r>
              <w:rPr>
                <w:bCs/>
                <w:szCs w:val="21"/>
                <w:highlight w:val="none"/>
              </w:rPr>
              <w:t>聚合危害</w:t>
            </w:r>
          </w:p>
        </w:tc>
        <w:tc>
          <w:tcPr>
            <w:tcW w:w="0" w:type="auto"/>
            <w:tcMar>
              <w:left w:w="108" w:type="dxa"/>
              <w:right w:w="108" w:type="dxa"/>
            </w:tcMar>
            <w:vAlign w:val="center"/>
          </w:tcPr>
          <w:p w14:paraId="3C43B44B">
            <w:pPr>
              <w:jc w:val="center"/>
              <w:rPr>
                <w:bCs/>
                <w:szCs w:val="21"/>
                <w:highlight w:val="none"/>
              </w:rPr>
            </w:pPr>
            <w:r>
              <w:rPr>
                <w:bCs/>
                <w:szCs w:val="21"/>
                <w:highlight w:val="none"/>
              </w:rPr>
              <w:t>不聚合</w:t>
            </w:r>
          </w:p>
        </w:tc>
      </w:tr>
      <w:tr w14:paraId="468DD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Mar>
              <w:left w:w="108" w:type="dxa"/>
              <w:right w:w="108" w:type="dxa"/>
            </w:tcMar>
            <w:vAlign w:val="center"/>
          </w:tcPr>
          <w:p w14:paraId="4202A1A7">
            <w:pPr>
              <w:jc w:val="center"/>
              <w:rPr>
                <w:bCs/>
                <w:szCs w:val="21"/>
                <w:highlight w:val="none"/>
              </w:rPr>
            </w:pPr>
          </w:p>
        </w:tc>
        <w:tc>
          <w:tcPr>
            <w:tcW w:w="0" w:type="auto"/>
            <w:tcMar>
              <w:left w:w="108" w:type="dxa"/>
              <w:right w:w="108" w:type="dxa"/>
            </w:tcMar>
            <w:vAlign w:val="center"/>
          </w:tcPr>
          <w:p w14:paraId="75AD1D3A">
            <w:pPr>
              <w:jc w:val="center"/>
              <w:rPr>
                <w:bCs/>
                <w:szCs w:val="21"/>
                <w:highlight w:val="none"/>
              </w:rPr>
            </w:pPr>
            <w:r>
              <w:rPr>
                <w:bCs/>
                <w:szCs w:val="21"/>
                <w:highlight w:val="none"/>
              </w:rPr>
              <w:t>禁忌物</w:t>
            </w:r>
          </w:p>
        </w:tc>
        <w:tc>
          <w:tcPr>
            <w:tcW w:w="0" w:type="auto"/>
            <w:gridSpan w:val="5"/>
            <w:tcMar>
              <w:left w:w="108" w:type="dxa"/>
              <w:right w:w="108" w:type="dxa"/>
            </w:tcMar>
            <w:vAlign w:val="center"/>
          </w:tcPr>
          <w:p w14:paraId="0DC0007C">
            <w:pPr>
              <w:jc w:val="center"/>
              <w:rPr>
                <w:bCs/>
                <w:szCs w:val="21"/>
                <w:highlight w:val="none"/>
              </w:rPr>
            </w:pPr>
            <w:r>
              <w:rPr>
                <w:bCs/>
                <w:szCs w:val="21"/>
                <w:highlight w:val="none"/>
              </w:rPr>
              <w:t>强氧化剂、卤素、强酸、强碱等。</w:t>
            </w:r>
          </w:p>
        </w:tc>
      </w:tr>
      <w:tr w14:paraId="32992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tcMar>
              <w:left w:w="108" w:type="dxa"/>
              <w:right w:w="108" w:type="dxa"/>
            </w:tcMar>
            <w:vAlign w:val="center"/>
          </w:tcPr>
          <w:p w14:paraId="24524525">
            <w:pPr>
              <w:jc w:val="center"/>
              <w:rPr>
                <w:bCs/>
                <w:szCs w:val="21"/>
                <w:highlight w:val="none"/>
              </w:rPr>
            </w:pPr>
          </w:p>
        </w:tc>
        <w:tc>
          <w:tcPr>
            <w:tcW w:w="0" w:type="auto"/>
            <w:tcMar>
              <w:left w:w="108" w:type="dxa"/>
              <w:right w:w="108" w:type="dxa"/>
            </w:tcMar>
            <w:vAlign w:val="center"/>
          </w:tcPr>
          <w:p w14:paraId="430EE957">
            <w:pPr>
              <w:jc w:val="center"/>
              <w:rPr>
                <w:bCs/>
                <w:szCs w:val="21"/>
                <w:highlight w:val="none"/>
              </w:rPr>
            </w:pPr>
            <w:r>
              <w:rPr>
                <w:bCs/>
                <w:szCs w:val="21"/>
                <w:highlight w:val="none"/>
              </w:rPr>
              <w:t>灭火方法</w:t>
            </w:r>
          </w:p>
        </w:tc>
        <w:tc>
          <w:tcPr>
            <w:tcW w:w="0" w:type="auto"/>
            <w:gridSpan w:val="5"/>
            <w:tcMar>
              <w:left w:w="108" w:type="dxa"/>
              <w:right w:w="108" w:type="dxa"/>
            </w:tcMar>
            <w:vAlign w:val="center"/>
          </w:tcPr>
          <w:p w14:paraId="08AA0088">
            <w:pPr>
              <w:jc w:val="center"/>
              <w:rPr>
                <w:bCs/>
                <w:szCs w:val="21"/>
                <w:highlight w:val="none"/>
              </w:rPr>
            </w:pPr>
            <w:r>
              <w:rPr>
                <w:bCs/>
                <w:szCs w:val="21"/>
                <w:highlight w:val="none"/>
              </w:rPr>
              <w:t>切断气源。若不能切断气源，则不允许熄灭泄漏处的火焰。喷水冷却容器，可能的话将容器从火场移至空旷处。</w:t>
            </w:r>
          </w:p>
        </w:tc>
      </w:tr>
      <w:tr w14:paraId="3B4CA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Mar>
              <w:left w:w="108" w:type="dxa"/>
              <w:right w:w="108" w:type="dxa"/>
            </w:tcMar>
            <w:vAlign w:val="center"/>
          </w:tcPr>
          <w:p w14:paraId="2B43C5FD">
            <w:pPr>
              <w:jc w:val="center"/>
              <w:rPr>
                <w:bCs/>
                <w:szCs w:val="21"/>
                <w:highlight w:val="none"/>
              </w:rPr>
            </w:pPr>
            <w:r>
              <w:rPr>
                <w:bCs/>
                <w:szCs w:val="21"/>
                <w:highlight w:val="none"/>
              </w:rPr>
              <w:t>急救措施</w:t>
            </w:r>
          </w:p>
        </w:tc>
        <w:tc>
          <w:tcPr>
            <w:tcW w:w="0" w:type="auto"/>
            <w:gridSpan w:val="6"/>
            <w:tcMar>
              <w:left w:w="108" w:type="dxa"/>
              <w:right w:w="108" w:type="dxa"/>
            </w:tcMar>
            <w:vAlign w:val="center"/>
          </w:tcPr>
          <w:p w14:paraId="7AD53877">
            <w:pPr>
              <w:jc w:val="center"/>
              <w:rPr>
                <w:bCs/>
                <w:szCs w:val="21"/>
                <w:highlight w:val="none"/>
              </w:rPr>
            </w:pPr>
            <w:r>
              <w:rPr>
                <w:bCs/>
                <w:szCs w:val="21"/>
                <w:highlight w:val="none"/>
              </w:rPr>
              <w:t>吸入：新鲜空气，休息。必要时进行人工呼吸，给予医疗护理。皮肤接触：冻伤时，用大量水冲洗。不要脱去衣服，给予医疗护理。眼睛接触：先用大量水冲洗几分钟（如可能易行，摘除隐形眼镜），然后就医。食入：漱口，禁止催吐，立即就医。</w:t>
            </w:r>
          </w:p>
        </w:tc>
      </w:tr>
      <w:tr w14:paraId="4B462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Mar>
              <w:left w:w="108" w:type="dxa"/>
              <w:right w:w="108" w:type="dxa"/>
            </w:tcMar>
            <w:vAlign w:val="center"/>
          </w:tcPr>
          <w:p w14:paraId="5FC70137">
            <w:pPr>
              <w:jc w:val="center"/>
              <w:rPr>
                <w:bCs/>
                <w:szCs w:val="21"/>
                <w:highlight w:val="none"/>
              </w:rPr>
            </w:pPr>
            <w:r>
              <w:rPr>
                <w:bCs/>
                <w:szCs w:val="21"/>
                <w:highlight w:val="none"/>
              </w:rPr>
              <w:t>泄漏处置</w:t>
            </w:r>
          </w:p>
        </w:tc>
        <w:tc>
          <w:tcPr>
            <w:tcW w:w="0" w:type="auto"/>
            <w:gridSpan w:val="6"/>
            <w:tcMar>
              <w:left w:w="108" w:type="dxa"/>
              <w:right w:w="108" w:type="dxa"/>
            </w:tcMar>
            <w:vAlign w:val="center"/>
          </w:tcPr>
          <w:p w14:paraId="3A185A2E">
            <w:pPr>
              <w:jc w:val="center"/>
              <w:rPr>
                <w:bCs/>
                <w:szCs w:val="21"/>
                <w:highlight w:val="none"/>
              </w:rPr>
            </w:pPr>
            <w:r>
              <w:rPr>
                <w:bCs/>
                <w:szCs w:val="21"/>
                <w:highlight w:val="none"/>
              </w:rPr>
              <w:t>隔离泄漏区，限制出入。建议应急处理人员穿戴自给正压式呼吸器，穿防酸碱工作服。不要轻易直接接触泄漏物。小量泄漏：尽可能将泄漏液体收集在可密闭的容器中。用沙土、活性炭或其</w:t>
            </w:r>
            <w:r>
              <w:rPr>
                <w:rFonts w:hint="eastAsia"/>
                <w:bCs/>
                <w:szCs w:val="21"/>
                <w:highlight w:val="none"/>
                <w:lang w:eastAsia="zh-CN"/>
              </w:rPr>
              <w:t>他</w:t>
            </w:r>
            <w:r>
              <w:rPr>
                <w:bCs/>
                <w:szCs w:val="21"/>
                <w:highlight w:val="none"/>
              </w:rPr>
              <w:t>惰性材料吸收，并转移至安全场所。不断输入下水道。大量泄漏：构筑围堤或挖坑收容。封闭排水管道，用泡沫覆盖，抑制蒸发。用防爆泵转移至槽车或专用收集器内，回收</w:t>
            </w:r>
            <w:r>
              <w:rPr>
                <w:rFonts w:hint="eastAsia"/>
                <w:bCs/>
                <w:szCs w:val="21"/>
                <w:highlight w:val="none"/>
                <w:lang w:eastAsia="zh-CN"/>
              </w:rPr>
              <w:t>运输</w:t>
            </w:r>
            <w:r>
              <w:rPr>
                <w:bCs/>
                <w:szCs w:val="21"/>
                <w:highlight w:val="none"/>
              </w:rPr>
              <w:t>至或废物处理场所处置。</w:t>
            </w:r>
          </w:p>
        </w:tc>
      </w:tr>
      <w:tr w14:paraId="22A75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Mar>
              <w:left w:w="108" w:type="dxa"/>
              <w:right w:w="108" w:type="dxa"/>
            </w:tcMar>
            <w:vAlign w:val="center"/>
          </w:tcPr>
          <w:p w14:paraId="0536673B">
            <w:pPr>
              <w:jc w:val="center"/>
              <w:rPr>
                <w:bCs/>
                <w:szCs w:val="21"/>
                <w:highlight w:val="none"/>
              </w:rPr>
            </w:pPr>
            <w:r>
              <w:rPr>
                <w:bCs/>
                <w:szCs w:val="21"/>
                <w:highlight w:val="none"/>
              </w:rPr>
              <w:t>储运注意事项</w:t>
            </w:r>
          </w:p>
        </w:tc>
        <w:tc>
          <w:tcPr>
            <w:tcW w:w="0" w:type="auto"/>
            <w:gridSpan w:val="6"/>
            <w:tcMar>
              <w:left w:w="108" w:type="dxa"/>
              <w:right w:w="108" w:type="dxa"/>
            </w:tcMar>
            <w:vAlign w:val="center"/>
          </w:tcPr>
          <w:p w14:paraId="26B00D19">
            <w:pPr>
              <w:jc w:val="center"/>
              <w:rPr>
                <w:bCs/>
                <w:szCs w:val="21"/>
                <w:highlight w:val="none"/>
              </w:rPr>
            </w:pPr>
            <w:r>
              <w:rPr>
                <w:bCs/>
                <w:szCs w:val="21"/>
                <w:highlight w:val="none"/>
              </w:rPr>
              <w:t>储存：储存于阴凉、通风的库房。远离火种、热源。库温不宜超过30℃。应与氧化剂等分开存放，切忌混储。采用防爆照明、通风设施。禁止使用产生火花的机械设备和工具。储区应备有泄漏应急处理设备。运输：运输车辆应有危险货物运输标志、安装具有行驶记录功能的卫星定位装置。未经公安机关批准，运输车辆不得进入危险化学品运输车辆限制通行的区域。槽车和运输卡车要有静电拖线；槽车上要备有2只以上干粉或二氧化碳灭火器和防爆工具；要有遮阳措施，防止阳光直射。车辆运输钢瓶时，瓶口一律朝向车辆行驶方向的右方。堆放高度不得超过车辆的</w:t>
            </w:r>
            <w:r>
              <w:rPr>
                <w:rFonts w:hint="eastAsia"/>
                <w:bCs/>
                <w:szCs w:val="21"/>
                <w:highlight w:val="none"/>
              </w:rPr>
              <w:t>防护栏板，并用三角木垫卡牢，防止滚动。不准同车混装有抵触性质的物品和让无关人员搭车运输途中远离火种，不准在有明火地点或人多地段停车，停车时要有人看管。发生</w:t>
            </w:r>
            <w:r>
              <w:rPr>
                <w:rFonts w:hint="eastAsia"/>
                <w:bCs/>
                <w:szCs w:val="21"/>
                <w:highlight w:val="none"/>
                <w:lang w:eastAsia="zh-CN"/>
              </w:rPr>
              <w:t>泄漏</w:t>
            </w:r>
            <w:r>
              <w:rPr>
                <w:rFonts w:hint="eastAsia"/>
                <w:bCs/>
                <w:szCs w:val="21"/>
                <w:highlight w:val="none"/>
              </w:rPr>
              <w:t>或火灾</w:t>
            </w:r>
            <w:r>
              <w:rPr>
                <w:rFonts w:hint="eastAsia"/>
                <w:bCs/>
                <w:szCs w:val="21"/>
                <w:highlight w:val="none"/>
                <w:lang w:eastAsia="zh-CN"/>
              </w:rPr>
              <w:t>要</w:t>
            </w:r>
            <w:r>
              <w:rPr>
                <w:rFonts w:hint="eastAsia"/>
                <w:bCs/>
                <w:szCs w:val="21"/>
                <w:highlight w:val="none"/>
              </w:rPr>
              <w:t>到安全地方进行灭火或堵漏。</w:t>
            </w:r>
          </w:p>
        </w:tc>
      </w:tr>
    </w:tbl>
    <w:p w14:paraId="081CFCB7">
      <w:pPr>
        <w:spacing w:line="360" w:lineRule="auto"/>
        <w:jc w:val="center"/>
        <w:rPr>
          <w:rFonts w:hint="eastAsia" w:ascii="Times New Roman" w:hAnsi="Times New Roman" w:eastAsia="宋体" w:cs="Times New Roman"/>
          <w:b/>
          <w:bCs/>
          <w:sz w:val="21"/>
          <w:szCs w:val="21"/>
          <w:highlight w:val="none"/>
          <w:lang w:val="en-US" w:eastAsia="zh-CN"/>
        </w:rPr>
      </w:pPr>
      <w:r>
        <w:rPr>
          <w:rFonts w:hint="eastAsia" w:ascii="Times New Roman" w:hAnsi="Times New Roman" w:eastAsia="宋体" w:cs="Times New Roman"/>
          <w:b/>
          <w:bCs/>
          <w:sz w:val="21"/>
          <w:szCs w:val="21"/>
          <w:highlight w:val="none"/>
          <w:lang w:val="en-US" w:eastAsia="zh-CN"/>
        </w:rPr>
        <w:t>表</w:t>
      </w:r>
      <w:r>
        <w:rPr>
          <w:rFonts w:hint="eastAsia" w:cs="Times New Roman"/>
          <w:b/>
          <w:bCs/>
          <w:sz w:val="21"/>
          <w:szCs w:val="21"/>
          <w:highlight w:val="none"/>
          <w:lang w:val="en-US" w:eastAsia="zh-CN"/>
        </w:rPr>
        <w:t>3.2</w:t>
      </w:r>
      <w:r>
        <w:rPr>
          <w:rFonts w:hint="eastAsia" w:ascii="Times New Roman" w:hAnsi="Times New Roman" w:eastAsia="宋体" w:cs="Times New Roman"/>
          <w:b/>
          <w:bCs/>
          <w:sz w:val="21"/>
          <w:szCs w:val="21"/>
          <w:highlight w:val="none"/>
          <w:lang w:val="en-US" w:eastAsia="zh-CN"/>
        </w:rPr>
        <w:t>-4   丁醇的化学性质及危险特性</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19"/>
        <w:gridCol w:w="1436"/>
        <w:gridCol w:w="1170"/>
        <w:gridCol w:w="3195"/>
        <w:gridCol w:w="2300"/>
      </w:tblGrid>
      <w:tr w14:paraId="13978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tcMar>
              <w:left w:w="108" w:type="dxa"/>
              <w:right w:w="108" w:type="dxa"/>
            </w:tcMar>
            <w:vAlign w:val="center"/>
          </w:tcPr>
          <w:p w14:paraId="499EFE56">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标识</w:t>
            </w:r>
          </w:p>
        </w:tc>
        <w:tc>
          <w:tcPr>
            <w:tcW w:w="0" w:type="auto"/>
            <w:gridSpan w:val="3"/>
            <w:tcMar>
              <w:left w:w="108" w:type="dxa"/>
              <w:right w:w="108" w:type="dxa"/>
            </w:tcMar>
            <w:vAlign w:val="center"/>
          </w:tcPr>
          <w:p w14:paraId="11BD31FD">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中文别名：正丁醇 英文名：butyl alcohol</w:t>
            </w:r>
          </w:p>
        </w:tc>
        <w:tc>
          <w:tcPr>
            <w:tcW w:w="0" w:type="auto"/>
            <w:tcMar>
              <w:left w:w="108" w:type="dxa"/>
              <w:right w:w="108" w:type="dxa"/>
            </w:tcMar>
            <w:vAlign w:val="center"/>
          </w:tcPr>
          <w:p w14:paraId="1A12936E">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UN编号：1120</w:t>
            </w:r>
          </w:p>
        </w:tc>
      </w:tr>
      <w:tr w14:paraId="4DC91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4C71F037">
            <w:pPr>
              <w:jc w:val="center"/>
              <w:rPr>
                <w:rFonts w:ascii="Times New Roman" w:hAnsi="Times New Roman" w:eastAsia="宋体" w:cs="Times New Roman"/>
                <w:bCs/>
                <w:szCs w:val="21"/>
                <w:highlight w:val="none"/>
              </w:rPr>
            </w:pPr>
          </w:p>
        </w:tc>
        <w:tc>
          <w:tcPr>
            <w:tcW w:w="0" w:type="auto"/>
            <w:gridSpan w:val="2"/>
            <w:tcMar>
              <w:left w:w="108" w:type="dxa"/>
              <w:right w:w="108" w:type="dxa"/>
            </w:tcMar>
            <w:vAlign w:val="center"/>
          </w:tcPr>
          <w:p w14:paraId="44D56090">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CAS号：71-36-3</w:t>
            </w:r>
          </w:p>
        </w:tc>
        <w:tc>
          <w:tcPr>
            <w:tcW w:w="0" w:type="auto"/>
            <w:tcMar>
              <w:left w:w="108" w:type="dxa"/>
              <w:right w:w="108" w:type="dxa"/>
            </w:tcMar>
            <w:vAlign w:val="center"/>
          </w:tcPr>
          <w:p w14:paraId="4A06519C">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危险化学品编号：33552</w:t>
            </w:r>
          </w:p>
        </w:tc>
        <w:tc>
          <w:tcPr>
            <w:tcW w:w="0" w:type="auto"/>
            <w:tcMar>
              <w:left w:w="108" w:type="dxa"/>
              <w:right w:w="108" w:type="dxa"/>
            </w:tcMar>
            <w:vAlign w:val="center"/>
          </w:tcPr>
          <w:p w14:paraId="115C1024">
            <w:pPr>
              <w:jc w:val="center"/>
              <w:rPr>
                <w:rFonts w:hint="eastAsia" w:ascii="Times New Roman" w:hAnsi="Times New Roman" w:eastAsia="宋体" w:cs="Times New Roman"/>
                <w:bCs/>
                <w:szCs w:val="21"/>
                <w:highlight w:val="none"/>
                <w:lang w:val="en-US" w:eastAsia="zh-CN"/>
              </w:rPr>
            </w:pPr>
            <w:r>
              <w:rPr>
                <w:rFonts w:hint="eastAsia" w:cs="Times New Roman"/>
                <w:bCs/>
                <w:szCs w:val="21"/>
                <w:highlight w:val="none"/>
                <w:lang w:val="en-US" w:eastAsia="zh-CN"/>
              </w:rPr>
              <w:t>/</w:t>
            </w:r>
          </w:p>
        </w:tc>
      </w:tr>
      <w:tr w14:paraId="1BF4D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1EE84495">
            <w:pPr>
              <w:jc w:val="center"/>
              <w:rPr>
                <w:rFonts w:ascii="Times New Roman" w:hAnsi="Times New Roman" w:eastAsia="宋体" w:cs="Times New Roman"/>
                <w:bCs/>
                <w:szCs w:val="21"/>
                <w:highlight w:val="none"/>
              </w:rPr>
            </w:pPr>
          </w:p>
        </w:tc>
        <w:tc>
          <w:tcPr>
            <w:tcW w:w="0" w:type="auto"/>
            <w:gridSpan w:val="2"/>
            <w:tcMar>
              <w:left w:w="108" w:type="dxa"/>
              <w:right w:w="108" w:type="dxa"/>
            </w:tcMar>
            <w:vAlign w:val="center"/>
          </w:tcPr>
          <w:p w14:paraId="694CA1D4">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分子式：C</w:t>
            </w:r>
            <w:r>
              <w:rPr>
                <w:rFonts w:ascii="Times New Roman" w:hAnsi="Times New Roman" w:eastAsia="宋体" w:cs="Times New Roman"/>
                <w:bCs/>
                <w:szCs w:val="21"/>
                <w:highlight w:val="none"/>
                <w:vertAlign w:val="subscript"/>
              </w:rPr>
              <w:t>4</w:t>
            </w:r>
            <w:r>
              <w:rPr>
                <w:rFonts w:ascii="Times New Roman" w:hAnsi="Times New Roman" w:eastAsia="宋体" w:cs="Times New Roman"/>
                <w:bCs/>
                <w:szCs w:val="21"/>
                <w:highlight w:val="none"/>
              </w:rPr>
              <w:t>H</w:t>
            </w:r>
            <w:r>
              <w:rPr>
                <w:rFonts w:ascii="Times New Roman" w:hAnsi="Times New Roman" w:eastAsia="宋体" w:cs="Times New Roman"/>
                <w:bCs/>
                <w:szCs w:val="21"/>
                <w:highlight w:val="none"/>
                <w:vertAlign w:val="subscript"/>
              </w:rPr>
              <w:t>10</w:t>
            </w:r>
            <w:r>
              <w:rPr>
                <w:rFonts w:ascii="Times New Roman" w:hAnsi="Times New Roman" w:eastAsia="宋体" w:cs="Times New Roman"/>
                <w:bCs/>
                <w:szCs w:val="21"/>
                <w:highlight w:val="none"/>
              </w:rPr>
              <w:t>O</w:t>
            </w:r>
          </w:p>
        </w:tc>
        <w:tc>
          <w:tcPr>
            <w:tcW w:w="0" w:type="auto"/>
            <w:tcMar>
              <w:left w:w="108" w:type="dxa"/>
              <w:right w:w="108" w:type="dxa"/>
            </w:tcMar>
            <w:vAlign w:val="center"/>
          </w:tcPr>
          <w:p w14:paraId="5CD4B803">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分子量：74.12</w:t>
            </w:r>
          </w:p>
        </w:tc>
        <w:tc>
          <w:tcPr>
            <w:tcW w:w="0" w:type="auto"/>
            <w:tcMar>
              <w:left w:w="108" w:type="dxa"/>
              <w:right w:w="108" w:type="dxa"/>
            </w:tcMar>
            <w:vAlign w:val="center"/>
          </w:tcPr>
          <w:p w14:paraId="50FC6EE8">
            <w:pPr>
              <w:jc w:val="center"/>
              <w:rPr>
                <w:rFonts w:hint="eastAsia" w:ascii="Times New Roman" w:hAnsi="Times New Roman" w:eastAsia="宋体" w:cs="Times New Roman"/>
                <w:bCs/>
                <w:szCs w:val="21"/>
                <w:highlight w:val="none"/>
                <w:lang w:val="en-US" w:eastAsia="zh-CN"/>
              </w:rPr>
            </w:pPr>
            <w:r>
              <w:rPr>
                <w:rFonts w:hint="eastAsia" w:cs="Times New Roman"/>
                <w:bCs/>
                <w:szCs w:val="21"/>
                <w:highlight w:val="none"/>
                <w:lang w:val="en-US" w:eastAsia="zh-CN"/>
              </w:rPr>
              <w:t>/</w:t>
            </w:r>
          </w:p>
        </w:tc>
      </w:tr>
      <w:tr w14:paraId="6B7EF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tcMar>
              <w:left w:w="108" w:type="dxa"/>
              <w:right w:w="108" w:type="dxa"/>
            </w:tcMar>
            <w:vAlign w:val="center"/>
          </w:tcPr>
          <w:p w14:paraId="2EFF21F4">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理化性质</w:t>
            </w:r>
          </w:p>
        </w:tc>
        <w:tc>
          <w:tcPr>
            <w:tcW w:w="0" w:type="auto"/>
            <w:tcMar>
              <w:left w:w="108" w:type="dxa"/>
              <w:right w:w="108" w:type="dxa"/>
            </w:tcMar>
            <w:vAlign w:val="center"/>
          </w:tcPr>
          <w:p w14:paraId="73EEF83C">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外观与形状</w:t>
            </w:r>
          </w:p>
        </w:tc>
        <w:tc>
          <w:tcPr>
            <w:tcW w:w="0" w:type="auto"/>
            <w:gridSpan w:val="3"/>
            <w:tcMar>
              <w:left w:w="108" w:type="dxa"/>
              <w:right w:w="108" w:type="dxa"/>
            </w:tcMar>
            <w:vAlign w:val="center"/>
          </w:tcPr>
          <w:p w14:paraId="13F40F48">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无色透明液体，具有特殊气味。</w:t>
            </w:r>
          </w:p>
        </w:tc>
      </w:tr>
      <w:tr w14:paraId="1997E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4D839E56">
            <w:pPr>
              <w:jc w:val="center"/>
              <w:rPr>
                <w:rFonts w:ascii="Times New Roman" w:hAnsi="Times New Roman" w:eastAsia="宋体" w:cs="Times New Roman"/>
                <w:bCs/>
                <w:szCs w:val="21"/>
                <w:highlight w:val="none"/>
              </w:rPr>
            </w:pPr>
          </w:p>
        </w:tc>
        <w:tc>
          <w:tcPr>
            <w:tcW w:w="0" w:type="auto"/>
            <w:tcMar>
              <w:left w:w="108" w:type="dxa"/>
              <w:right w:w="108" w:type="dxa"/>
            </w:tcMar>
            <w:vAlign w:val="center"/>
          </w:tcPr>
          <w:p w14:paraId="130203B5">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熔点（℃）</w:t>
            </w:r>
          </w:p>
        </w:tc>
        <w:tc>
          <w:tcPr>
            <w:tcW w:w="0" w:type="auto"/>
            <w:tcMar>
              <w:left w:w="108" w:type="dxa"/>
              <w:right w:w="108" w:type="dxa"/>
            </w:tcMar>
            <w:vAlign w:val="center"/>
          </w:tcPr>
          <w:p w14:paraId="20DFFF3E">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-88.9</w:t>
            </w:r>
          </w:p>
        </w:tc>
        <w:tc>
          <w:tcPr>
            <w:tcW w:w="0" w:type="auto"/>
            <w:tcMar>
              <w:left w:w="108" w:type="dxa"/>
              <w:right w:w="108" w:type="dxa"/>
            </w:tcMar>
            <w:vAlign w:val="center"/>
          </w:tcPr>
          <w:p w14:paraId="42021D44">
            <w:pPr>
              <w:jc w:val="center"/>
              <w:rPr>
                <w:rFonts w:hint="eastAsia" w:ascii="Times New Roman" w:hAnsi="Times New Roman" w:eastAsia="宋体" w:cs="Times New Roman"/>
                <w:bCs/>
                <w:szCs w:val="21"/>
                <w:highlight w:val="none"/>
                <w:lang w:eastAsia="zh-CN"/>
              </w:rPr>
            </w:pPr>
            <w:r>
              <w:rPr>
                <w:rFonts w:ascii="Times New Roman" w:hAnsi="Times New Roman" w:eastAsia="宋体" w:cs="Times New Roman"/>
                <w:bCs/>
                <w:szCs w:val="21"/>
                <w:highlight w:val="none"/>
              </w:rPr>
              <w:t>相对密度</w:t>
            </w:r>
            <w:r>
              <w:rPr>
                <w:rFonts w:hint="eastAsia" w:cs="Times New Roman"/>
                <w:bCs/>
                <w:szCs w:val="21"/>
                <w:highlight w:val="none"/>
                <w:lang w:eastAsia="zh-CN"/>
              </w:rPr>
              <w:t>（</w:t>
            </w:r>
            <w:r>
              <w:rPr>
                <w:rFonts w:ascii="Times New Roman" w:hAnsi="Times New Roman" w:eastAsia="宋体" w:cs="Times New Roman"/>
                <w:bCs/>
                <w:szCs w:val="21"/>
                <w:highlight w:val="none"/>
              </w:rPr>
              <w:t>水=1</w:t>
            </w:r>
            <w:r>
              <w:rPr>
                <w:rFonts w:hint="eastAsia" w:cs="Times New Roman"/>
                <w:bCs/>
                <w:szCs w:val="21"/>
                <w:highlight w:val="none"/>
                <w:lang w:eastAsia="zh-CN"/>
              </w:rPr>
              <w:t>）</w:t>
            </w:r>
          </w:p>
        </w:tc>
        <w:tc>
          <w:tcPr>
            <w:tcW w:w="0" w:type="auto"/>
            <w:tcMar>
              <w:left w:w="108" w:type="dxa"/>
              <w:right w:w="108" w:type="dxa"/>
            </w:tcMar>
            <w:vAlign w:val="center"/>
          </w:tcPr>
          <w:p w14:paraId="0F1A2BF9">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0.81</w:t>
            </w:r>
          </w:p>
        </w:tc>
      </w:tr>
      <w:tr w14:paraId="60273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1665FF60">
            <w:pPr>
              <w:jc w:val="center"/>
              <w:rPr>
                <w:rFonts w:ascii="Times New Roman" w:hAnsi="Times New Roman" w:eastAsia="宋体" w:cs="Times New Roman"/>
                <w:bCs/>
                <w:szCs w:val="21"/>
                <w:highlight w:val="none"/>
              </w:rPr>
            </w:pPr>
          </w:p>
        </w:tc>
        <w:tc>
          <w:tcPr>
            <w:tcW w:w="0" w:type="auto"/>
            <w:tcMar>
              <w:left w:w="108" w:type="dxa"/>
              <w:right w:w="108" w:type="dxa"/>
            </w:tcMar>
            <w:vAlign w:val="center"/>
          </w:tcPr>
          <w:p w14:paraId="5012B1DF">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沸点（℃）</w:t>
            </w:r>
          </w:p>
        </w:tc>
        <w:tc>
          <w:tcPr>
            <w:tcW w:w="0" w:type="auto"/>
            <w:tcMar>
              <w:left w:w="108" w:type="dxa"/>
              <w:right w:w="108" w:type="dxa"/>
            </w:tcMar>
            <w:vAlign w:val="center"/>
          </w:tcPr>
          <w:p w14:paraId="64959563">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117.5</w:t>
            </w:r>
          </w:p>
        </w:tc>
        <w:tc>
          <w:tcPr>
            <w:tcW w:w="0" w:type="auto"/>
            <w:tcMar>
              <w:left w:w="108" w:type="dxa"/>
              <w:right w:w="108" w:type="dxa"/>
            </w:tcMar>
            <w:vAlign w:val="center"/>
          </w:tcPr>
          <w:p w14:paraId="44333EE6">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相对蒸汽密度（空气=1）</w:t>
            </w:r>
          </w:p>
        </w:tc>
        <w:tc>
          <w:tcPr>
            <w:tcW w:w="0" w:type="auto"/>
            <w:tcMar>
              <w:left w:w="108" w:type="dxa"/>
              <w:right w:w="108" w:type="dxa"/>
            </w:tcMar>
            <w:vAlign w:val="center"/>
          </w:tcPr>
          <w:p w14:paraId="1FBB34DD">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2.55</w:t>
            </w:r>
          </w:p>
        </w:tc>
      </w:tr>
      <w:tr w14:paraId="1977C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7D0CAD6B">
            <w:pPr>
              <w:jc w:val="center"/>
              <w:rPr>
                <w:rFonts w:ascii="Times New Roman" w:hAnsi="Times New Roman" w:eastAsia="宋体" w:cs="Times New Roman"/>
                <w:bCs/>
                <w:szCs w:val="21"/>
                <w:highlight w:val="none"/>
              </w:rPr>
            </w:pPr>
          </w:p>
        </w:tc>
        <w:tc>
          <w:tcPr>
            <w:tcW w:w="0" w:type="auto"/>
            <w:tcMar>
              <w:left w:w="108" w:type="dxa"/>
              <w:right w:w="108" w:type="dxa"/>
            </w:tcMar>
            <w:vAlign w:val="center"/>
          </w:tcPr>
          <w:p w14:paraId="69120219">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闪点（℃）</w:t>
            </w:r>
          </w:p>
        </w:tc>
        <w:tc>
          <w:tcPr>
            <w:tcW w:w="0" w:type="auto"/>
            <w:tcMar>
              <w:left w:w="108" w:type="dxa"/>
              <w:right w:w="108" w:type="dxa"/>
            </w:tcMar>
            <w:vAlign w:val="center"/>
          </w:tcPr>
          <w:p w14:paraId="2B3450B4">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35</w:t>
            </w:r>
          </w:p>
        </w:tc>
        <w:tc>
          <w:tcPr>
            <w:tcW w:w="0" w:type="auto"/>
            <w:tcMar>
              <w:left w:w="108" w:type="dxa"/>
              <w:right w:w="108" w:type="dxa"/>
            </w:tcMar>
            <w:vAlign w:val="center"/>
          </w:tcPr>
          <w:p w14:paraId="755E45AF">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饱和</w:t>
            </w:r>
            <w:r>
              <w:rPr>
                <w:rFonts w:hint="eastAsia" w:cs="Times New Roman"/>
                <w:bCs/>
                <w:szCs w:val="21"/>
                <w:highlight w:val="none"/>
                <w:lang w:eastAsia="zh-CN"/>
              </w:rPr>
              <w:t>蒸汽</w:t>
            </w:r>
            <w:r>
              <w:rPr>
                <w:rFonts w:ascii="Times New Roman" w:hAnsi="Times New Roman" w:eastAsia="宋体" w:cs="Times New Roman"/>
                <w:bCs/>
                <w:szCs w:val="21"/>
                <w:highlight w:val="none"/>
              </w:rPr>
              <w:t>压（kPa）</w:t>
            </w:r>
          </w:p>
        </w:tc>
        <w:tc>
          <w:tcPr>
            <w:tcW w:w="0" w:type="auto"/>
            <w:tcMar>
              <w:left w:w="108" w:type="dxa"/>
              <w:right w:w="108" w:type="dxa"/>
            </w:tcMar>
            <w:vAlign w:val="center"/>
          </w:tcPr>
          <w:p w14:paraId="0BCD4CAD">
            <w:pPr>
              <w:jc w:val="center"/>
              <w:rPr>
                <w:rFonts w:hint="eastAsia" w:ascii="Times New Roman" w:hAnsi="Times New Roman" w:eastAsia="宋体" w:cs="Times New Roman"/>
                <w:bCs/>
                <w:szCs w:val="21"/>
                <w:highlight w:val="none"/>
                <w:lang w:eastAsia="zh-CN"/>
              </w:rPr>
            </w:pPr>
            <w:r>
              <w:rPr>
                <w:rFonts w:ascii="Times New Roman" w:hAnsi="Times New Roman" w:eastAsia="宋体" w:cs="Times New Roman"/>
                <w:bCs/>
                <w:szCs w:val="21"/>
                <w:highlight w:val="none"/>
              </w:rPr>
              <w:t>0.82</w:t>
            </w:r>
            <w:r>
              <w:rPr>
                <w:rFonts w:hint="eastAsia" w:cs="Times New Roman"/>
                <w:bCs/>
                <w:szCs w:val="21"/>
                <w:highlight w:val="none"/>
                <w:lang w:eastAsia="zh-CN"/>
              </w:rPr>
              <w:t>（</w:t>
            </w:r>
            <w:r>
              <w:rPr>
                <w:rFonts w:ascii="Times New Roman" w:hAnsi="Times New Roman" w:eastAsia="宋体" w:cs="Times New Roman"/>
                <w:bCs/>
                <w:szCs w:val="21"/>
                <w:highlight w:val="none"/>
              </w:rPr>
              <w:t>25℃</w:t>
            </w:r>
            <w:r>
              <w:rPr>
                <w:rFonts w:hint="eastAsia" w:cs="Times New Roman"/>
                <w:bCs/>
                <w:szCs w:val="21"/>
                <w:highlight w:val="none"/>
                <w:lang w:eastAsia="zh-CN"/>
              </w:rPr>
              <w:t>）</w:t>
            </w:r>
          </w:p>
        </w:tc>
      </w:tr>
      <w:tr w14:paraId="6854B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18174F38">
            <w:pPr>
              <w:jc w:val="center"/>
              <w:rPr>
                <w:rFonts w:ascii="Times New Roman" w:hAnsi="Times New Roman" w:eastAsia="宋体" w:cs="Times New Roman"/>
                <w:bCs/>
                <w:szCs w:val="21"/>
                <w:highlight w:val="none"/>
              </w:rPr>
            </w:pPr>
          </w:p>
        </w:tc>
        <w:tc>
          <w:tcPr>
            <w:tcW w:w="0" w:type="auto"/>
            <w:tcMar>
              <w:left w:w="108" w:type="dxa"/>
              <w:right w:w="108" w:type="dxa"/>
            </w:tcMar>
            <w:vAlign w:val="center"/>
          </w:tcPr>
          <w:p w14:paraId="5F198267">
            <w:pPr>
              <w:jc w:val="center"/>
              <w:rPr>
                <w:rFonts w:hint="eastAsia" w:ascii="Times New Roman" w:hAnsi="Times New Roman" w:eastAsia="宋体" w:cs="Times New Roman"/>
                <w:bCs/>
                <w:szCs w:val="21"/>
                <w:highlight w:val="none"/>
                <w:lang w:eastAsia="zh-CN"/>
              </w:rPr>
            </w:pPr>
            <w:r>
              <w:rPr>
                <w:rFonts w:ascii="Times New Roman" w:hAnsi="Times New Roman" w:eastAsia="宋体" w:cs="Times New Roman"/>
                <w:bCs/>
                <w:szCs w:val="21"/>
                <w:highlight w:val="none"/>
              </w:rPr>
              <w:t>引燃温度</w:t>
            </w:r>
            <w:r>
              <w:rPr>
                <w:rFonts w:hint="eastAsia" w:cs="Times New Roman"/>
                <w:bCs/>
                <w:szCs w:val="21"/>
                <w:highlight w:val="none"/>
                <w:lang w:eastAsia="zh-CN"/>
              </w:rPr>
              <w:t>（</w:t>
            </w:r>
            <w:r>
              <w:rPr>
                <w:rFonts w:ascii="Times New Roman" w:hAnsi="Times New Roman" w:eastAsia="宋体" w:cs="Times New Roman"/>
                <w:bCs/>
                <w:szCs w:val="21"/>
                <w:highlight w:val="none"/>
              </w:rPr>
              <w:t>℃</w:t>
            </w:r>
            <w:r>
              <w:rPr>
                <w:rFonts w:hint="eastAsia" w:cs="Times New Roman"/>
                <w:bCs/>
                <w:szCs w:val="21"/>
                <w:highlight w:val="none"/>
                <w:lang w:eastAsia="zh-CN"/>
              </w:rPr>
              <w:t>）</w:t>
            </w:r>
          </w:p>
        </w:tc>
        <w:tc>
          <w:tcPr>
            <w:tcW w:w="0" w:type="auto"/>
            <w:tcMar>
              <w:left w:w="108" w:type="dxa"/>
              <w:right w:w="108" w:type="dxa"/>
            </w:tcMar>
            <w:vAlign w:val="center"/>
          </w:tcPr>
          <w:p w14:paraId="7BFBF178">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340</w:t>
            </w:r>
          </w:p>
        </w:tc>
        <w:tc>
          <w:tcPr>
            <w:tcW w:w="0" w:type="auto"/>
            <w:tcMar>
              <w:left w:w="108" w:type="dxa"/>
              <w:right w:w="108" w:type="dxa"/>
            </w:tcMar>
            <w:vAlign w:val="center"/>
          </w:tcPr>
          <w:p w14:paraId="5DF1E692">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爆炸上限/下限[%</w:t>
            </w:r>
            <w:r>
              <w:rPr>
                <w:rFonts w:hint="eastAsia" w:cs="Times New Roman"/>
                <w:bCs/>
                <w:szCs w:val="21"/>
                <w:highlight w:val="none"/>
                <w:lang w:eastAsia="zh-CN"/>
              </w:rPr>
              <w:t>（</w:t>
            </w:r>
            <w:r>
              <w:rPr>
                <w:rFonts w:ascii="Times New Roman" w:hAnsi="Times New Roman" w:eastAsia="宋体" w:cs="Times New Roman"/>
                <w:bCs/>
                <w:szCs w:val="21"/>
                <w:highlight w:val="none"/>
              </w:rPr>
              <w:t>V/V</w:t>
            </w:r>
            <w:r>
              <w:rPr>
                <w:rFonts w:hint="eastAsia" w:cs="Times New Roman"/>
                <w:bCs/>
                <w:szCs w:val="21"/>
                <w:highlight w:val="none"/>
                <w:lang w:eastAsia="zh-CN"/>
              </w:rPr>
              <w:t>）</w:t>
            </w:r>
            <w:r>
              <w:rPr>
                <w:rFonts w:ascii="Times New Roman" w:hAnsi="Times New Roman" w:eastAsia="宋体" w:cs="Times New Roman"/>
                <w:bCs/>
                <w:szCs w:val="21"/>
                <w:highlight w:val="none"/>
              </w:rPr>
              <w:t>]</w:t>
            </w:r>
          </w:p>
        </w:tc>
        <w:tc>
          <w:tcPr>
            <w:tcW w:w="0" w:type="auto"/>
            <w:tcMar>
              <w:left w:w="108" w:type="dxa"/>
              <w:right w:w="108" w:type="dxa"/>
            </w:tcMar>
            <w:vAlign w:val="center"/>
          </w:tcPr>
          <w:p w14:paraId="5F12BC8E">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11.2/1.4</w:t>
            </w:r>
          </w:p>
        </w:tc>
      </w:tr>
      <w:tr w14:paraId="7BFBB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09A8B710">
            <w:pPr>
              <w:jc w:val="center"/>
              <w:rPr>
                <w:rFonts w:ascii="Times New Roman" w:hAnsi="Times New Roman" w:eastAsia="宋体" w:cs="Times New Roman"/>
                <w:bCs/>
                <w:szCs w:val="21"/>
                <w:highlight w:val="none"/>
              </w:rPr>
            </w:pPr>
          </w:p>
        </w:tc>
        <w:tc>
          <w:tcPr>
            <w:tcW w:w="0" w:type="auto"/>
            <w:tcMar>
              <w:left w:w="108" w:type="dxa"/>
              <w:right w:w="108" w:type="dxa"/>
            </w:tcMar>
            <w:vAlign w:val="center"/>
          </w:tcPr>
          <w:p w14:paraId="47EF57A9">
            <w:pPr>
              <w:jc w:val="center"/>
              <w:rPr>
                <w:rFonts w:hint="eastAsia" w:ascii="Times New Roman" w:hAnsi="Times New Roman" w:eastAsia="宋体" w:cs="Times New Roman"/>
                <w:bCs/>
                <w:szCs w:val="21"/>
                <w:highlight w:val="none"/>
                <w:lang w:eastAsia="zh-CN"/>
              </w:rPr>
            </w:pPr>
            <w:r>
              <w:rPr>
                <w:rFonts w:ascii="Times New Roman" w:hAnsi="Times New Roman" w:eastAsia="宋体" w:cs="Times New Roman"/>
                <w:bCs/>
                <w:szCs w:val="21"/>
                <w:highlight w:val="none"/>
              </w:rPr>
              <w:t>临界压力</w:t>
            </w:r>
            <w:r>
              <w:rPr>
                <w:rFonts w:hint="eastAsia" w:cs="Times New Roman"/>
                <w:bCs/>
                <w:szCs w:val="21"/>
                <w:highlight w:val="none"/>
                <w:lang w:eastAsia="zh-CN"/>
              </w:rPr>
              <w:t>（</w:t>
            </w:r>
            <w:r>
              <w:rPr>
                <w:rFonts w:ascii="Times New Roman" w:hAnsi="Times New Roman" w:eastAsia="宋体" w:cs="Times New Roman"/>
                <w:bCs/>
                <w:szCs w:val="21"/>
                <w:highlight w:val="none"/>
              </w:rPr>
              <w:t>MPa</w:t>
            </w:r>
            <w:r>
              <w:rPr>
                <w:rFonts w:hint="eastAsia" w:cs="Times New Roman"/>
                <w:bCs/>
                <w:szCs w:val="21"/>
                <w:highlight w:val="none"/>
                <w:lang w:eastAsia="zh-CN"/>
              </w:rPr>
              <w:t>）</w:t>
            </w:r>
          </w:p>
        </w:tc>
        <w:tc>
          <w:tcPr>
            <w:tcW w:w="0" w:type="auto"/>
            <w:tcMar>
              <w:left w:w="108" w:type="dxa"/>
              <w:right w:w="108" w:type="dxa"/>
            </w:tcMar>
            <w:vAlign w:val="center"/>
          </w:tcPr>
          <w:p w14:paraId="61266069">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4.90</w:t>
            </w:r>
          </w:p>
        </w:tc>
        <w:tc>
          <w:tcPr>
            <w:tcW w:w="0" w:type="auto"/>
            <w:tcMar>
              <w:left w:w="108" w:type="dxa"/>
              <w:right w:w="108" w:type="dxa"/>
            </w:tcMar>
            <w:vAlign w:val="center"/>
          </w:tcPr>
          <w:p w14:paraId="38129D9E">
            <w:pPr>
              <w:jc w:val="center"/>
              <w:rPr>
                <w:rFonts w:hint="eastAsia" w:ascii="Times New Roman" w:hAnsi="Times New Roman" w:eastAsia="宋体" w:cs="Times New Roman"/>
                <w:bCs/>
                <w:szCs w:val="21"/>
                <w:highlight w:val="none"/>
                <w:lang w:eastAsia="zh-CN"/>
              </w:rPr>
            </w:pPr>
            <w:r>
              <w:rPr>
                <w:rFonts w:ascii="Times New Roman" w:hAnsi="Times New Roman" w:eastAsia="宋体" w:cs="Times New Roman"/>
                <w:bCs/>
                <w:szCs w:val="21"/>
                <w:highlight w:val="none"/>
              </w:rPr>
              <w:t>临界温度</w:t>
            </w:r>
            <w:r>
              <w:rPr>
                <w:rFonts w:hint="eastAsia" w:cs="Times New Roman"/>
                <w:bCs/>
                <w:szCs w:val="21"/>
                <w:highlight w:val="none"/>
                <w:lang w:eastAsia="zh-CN"/>
              </w:rPr>
              <w:t>（</w:t>
            </w:r>
            <w:r>
              <w:rPr>
                <w:rFonts w:ascii="Times New Roman" w:hAnsi="Times New Roman" w:eastAsia="宋体" w:cs="Times New Roman"/>
                <w:bCs/>
                <w:szCs w:val="21"/>
                <w:highlight w:val="none"/>
              </w:rPr>
              <w:t>℃</w:t>
            </w:r>
            <w:r>
              <w:rPr>
                <w:rFonts w:hint="eastAsia" w:cs="Times New Roman"/>
                <w:bCs/>
                <w:szCs w:val="21"/>
                <w:highlight w:val="none"/>
                <w:lang w:eastAsia="zh-CN"/>
              </w:rPr>
              <w:t>）</w:t>
            </w:r>
          </w:p>
        </w:tc>
        <w:tc>
          <w:tcPr>
            <w:tcW w:w="0" w:type="auto"/>
            <w:tcMar>
              <w:left w:w="108" w:type="dxa"/>
              <w:right w:w="108" w:type="dxa"/>
            </w:tcMar>
            <w:vAlign w:val="center"/>
          </w:tcPr>
          <w:p w14:paraId="36372A19">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287</w:t>
            </w:r>
          </w:p>
        </w:tc>
      </w:tr>
      <w:tr w14:paraId="08C47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21FED377">
            <w:pPr>
              <w:jc w:val="center"/>
              <w:rPr>
                <w:rFonts w:ascii="Times New Roman" w:hAnsi="Times New Roman" w:eastAsia="宋体" w:cs="Times New Roman"/>
                <w:bCs/>
                <w:szCs w:val="21"/>
                <w:highlight w:val="none"/>
              </w:rPr>
            </w:pPr>
          </w:p>
        </w:tc>
        <w:tc>
          <w:tcPr>
            <w:tcW w:w="0" w:type="auto"/>
            <w:tcMar>
              <w:left w:w="108" w:type="dxa"/>
              <w:right w:w="108" w:type="dxa"/>
            </w:tcMar>
            <w:vAlign w:val="center"/>
          </w:tcPr>
          <w:p w14:paraId="5665E09A">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主要用途</w:t>
            </w:r>
          </w:p>
        </w:tc>
        <w:tc>
          <w:tcPr>
            <w:tcW w:w="0" w:type="auto"/>
            <w:gridSpan w:val="3"/>
            <w:tcMar>
              <w:left w:w="108" w:type="dxa"/>
              <w:right w:w="108" w:type="dxa"/>
            </w:tcMar>
            <w:vAlign w:val="center"/>
          </w:tcPr>
          <w:p w14:paraId="48067A5D">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用于制取浆料、塑料增塑剂、医药、喷漆</w:t>
            </w:r>
            <w:r>
              <w:rPr>
                <w:rFonts w:hint="eastAsia" w:cs="Times New Roman"/>
                <w:bCs/>
                <w:szCs w:val="21"/>
                <w:highlight w:val="none"/>
                <w:lang w:eastAsia="zh-CN"/>
              </w:rPr>
              <w:t>等</w:t>
            </w:r>
            <w:r>
              <w:rPr>
                <w:rFonts w:ascii="Times New Roman" w:hAnsi="Times New Roman" w:eastAsia="宋体" w:cs="Times New Roman"/>
                <w:bCs/>
                <w:szCs w:val="21"/>
                <w:highlight w:val="none"/>
              </w:rPr>
              <w:t>，以及用作溶剂。</w:t>
            </w:r>
          </w:p>
        </w:tc>
      </w:tr>
      <w:tr w14:paraId="2D5F5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57CD461F">
            <w:pPr>
              <w:jc w:val="center"/>
              <w:rPr>
                <w:rFonts w:ascii="Times New Roman" w:hAnsi="Times New Roman" w:eastAsia="宋体" w:cs="Times New Roman"/>
                <w:bCs/>
                <w:szCs w:val="21"/>
                <w:highlight w:val="none"/>
              </w:rPr>
            </w:pPr>
          </w:p>
        </w:tc>
        <w:tc>
          <w:tcPr>
            <w:tcW w:w="0" w:type="auto"/>
            <w:tcMar>
              <w:left w:w="108" w:type="dxa"/>
              <w:right w:w="108" w:type="dxa"/>
            </w:tcMar>
            <w:vAlign w:val="center"/>
          </w:tcPr>
          <w:p w14:paraId="049D8E6D">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溶解性</w:t>
            </w:r>
          </w:p>
        </w:tc>
        <w:tc>
          <w:tcPr>
            <w:tcW w:w="0" w:type="auto"/>
            <w:gridSpan w:val="3"/>
            <w:tcMar>
              <w:left w:w="108" w:type="dxa"/>
              <w:right w:w="108" w:type="dxa"/>
            </w:tcMar>
            <w:vAlign w:val="center"/>
          </w:tcPr>
          <w:p w14:paraId="30BFF8D9">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微溶于水，溶于乙醇、醚、多数有机溶剂。</w:t>
            </w:r>
          </w:p>
        </w:tc>
      </w:tr>
      <w:tr w14:paraId="0A716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tcMar>
              <w:left w:w="108" w:type="dxa"/>
              <w:right w:w="108" w:type="dxa"/>
            </w:tcMar>
            <w:vAlign w:val="center"/>
          </w:tcPr>
          <w:p w14:paraId="0A4E1C10">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毒性及健康危害</w:t>
            </w:r>
          </w:p>
        </w:tc>
        <w:tc>
          <w:tcPr>
            <w:tcW w:w="0" w:type="auto"/>
            <w:tcMar>
              <w:left w:w="108" w:type="dxa"/>
              <w:right w:w="108" w:type="dxa"/>
            </w:tcMar>
            <w:vAlign w:val="center"/>
          </w:tcPr>
          <w:p w14:paraId="563A5254">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急性毒性</w:t>
            </w:r>
          </w:p>
        </w:tc>
        <w:tc>
          <w:tcPr>
            <w:tcW w:w="0" w:type="auto"/>
            <w:gridSpan w:val="3"/>
            <w:tcMar>
              <w:left w:w="108" w:type="dxa"/>
              <w:right w:w="108" w:type="dxa"/>
            </w:tcMar>
            <w:vAlign w:val="center"/>
          </w:tcPr>
          <w:p w14:paraId="234639AC">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LD50：4360 mg/kg（大鼠经口）；3400 mg/kg（兔经皮） LC50：24240mg/m</w:t>
            </w:r>
            <w:r>
              <w:rPr>
                <w:rFonts w:ascii="Times New Roman" w:hAnsi="Times New Roman" w:eastAsia="宋体" w:cs="Times New Roman"/>
                <w:bCs/>
                <w:szCs w:val="21"/>
                <w:highlight w:val="none"/>
                <w:vertAlign w:val="superscript"/>
              </w:rPr>
              <w:t>3</w:t>
            </w:r>
            <w:r>
              <w:rPr>
                <w:rFonts w:ascii="Times New Roman" w:hAnsi="Times New Roman" w:eastAsia="宋体" w:cs="Times New Roman"/>
                <w:bCs/>
                <w:szCs w:val="21"/>
                <w:highlight w:val="none"/>
              </w:rPr>
              <w:t>，4小时（大鼠吸入）</w:t>
            </w:r>
          </w:p>
        </w:tc>
      </w:tr>
      <w:tr w14:paraId="453D6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69503035">
            <w:pPr>
              <w:jc w:val="center"/>
              <w:rPr>
                <w:rFonts w:ascii="Times New Roman" w:hAnsi="Times New Roman" w:eastAsia="宋体" w:cs="Times New Roman"/>
                <w:bCs/>
                <w:szCs w:val="21"/>
                <w:highlight w:val="none"/>
              </w:rPr>
            </w:pPr>
          </w:p>
        </w:tc>
        <w:tc>
          <w:tcPr>
            <w:tcW w:w="0" w:type="auto"/>
            <w:tcMar>
              <w:left w:w="108" w:type="dxa"/>
              <w:right w:w="108" w:type="dxa"/>
            </w:tcMar>
            <w:vAlign w:val="center"/>
          </w:tcPr>
          <w:p w14:paraId="2704BC78">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健康危害</w:t>
            </w:r>
          </w:p>
        </w:tc>
        <w:tc>
          <w:tcPr>
            <w:tcW w:w="0" w:type="auto"/>
            <w:gridSpan w:val="3"/>
            <w:tcMar>
              <w:left w:w="108" w:type="dxa"/>
              <w:right w:w="108" w:type="dxa"/>
            </w:tcMar>
            <w:vAlign w:val="center"/>
          </w:tcPr>
          <w:p w14:paraId="3AE3AF2C">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本品具有刺激和麻醉作用。主要症状为眼、鼻、喉部</w:t>
            </w:r>
            <w:r>
              <w:rPr>
                <w:rFonts w:hint="eastAsia" w:cs="Times New Roman"/>
                <w:bCs/>
                <w:szCs w:val="21"/>
                <w:highlight w:val="none"/>
                <w:lang w:eastAsia="zh-CN"/>
              </w:rPr>
              <w:t>受</w:t>
            </w:r>
            <w:r>
              <w:rPr>
                <w:rFonts w:ascii="Times New Roman" w:hAnsi="Times New Roman" w:eastAsia="宋体" w:cs="Times New Roman"/>
                <w:bCs/>
                <w:szCs w:val="21"/>
                <w:highlight w:val="none"/>
              </w:rPr>
              <w:t>刺激，在角膜浅层形成半透明的空泡，头痛、头晕和嗜睡。手部可发生接触性皮炎。</w:t>
            </w:r>
          </w:p>
        </w:tc>
      </w:tr>
      <w:tr w14:paraId="771D9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tcMar>
              <w:left w:w="108" w:type="dxa"/>
              <w:right w:w="108" w:type="dxa"/>
            </w:tcMar>
            <w:vAlign w:val="center"/>
          </w:tcPr>
          <w:p w14:paraId="037221AE">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燃烧爆炸危险性</w:t>
            </w:r>
          </w:p>
        </w:tc>
        <w:tc>
          <w:tcPr>
            <w:tcW w:w="0" w:type="auto"/>
            <w:tcMar>
              <w:left w:w="108" w:type="dxa"/>
              <w:right w:w="108" w:type="dxa"/>
            </w:tcMar>
            <w:vAlign w:val="center"/>
          </w:tcPr>
          <w:p w14:paraId="13A05C79">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燃爆危险</w:t>
            </w:r>
          </w:p>
        </w:tc>
        <w:tc>
          <w:tcPr>
            <w:tcW w:w="0" w:type="auto"/>
            <w:gridSpan w:val="3"/>
            <w:tcMar>
              <w:left w:w="108" w:type="dxa"/>
              <w:right w:w="108" w:type="dxa"/>
            </w:tcMar>
            <w:vAlign w:val="center"/>
          </w:tcPr>
          <w:p w14:paraId="15EBEF72">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本品易燃，</w:t>
            </w:r>
            <w:r>
              <w:rPr>
                <w:rFonts w:hint="eastAsia" w:cs="Times New Roman"/>
                <w:bCs/>
                <w:szCs w:val="21"/>
                <w:highlight w:val="none"/>
                <w:lang w:eastAsia="zh-CN"/>
              </w:rPr>
              <w:t>具有</w:t>
            </w:r>
            <w:r>
              <w:rPr>
                <w:rFonts w:ascii="Times New Roman" w:hAnsi="Times New Roman" w:eastAsia="宋体" w:cs="Times New Roman"/>
                <w:bCs/>
                <w:szCs w:val="21"/>
                <w:highlight w:val="none"/>
              </w:rPr>
              <w:t>刺激性。</w:t>
            </w:r>
          </w:p>
        </w:tc>
      </w:tr>
      <w:tr w14:paraId="45FAE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5CF773A2">
            <w:pPr>
              <w:jc w:val="center"/>
              <w:rPr>
                <w:rFonts w:ascii="Times New Roman" w:hAnsi="Times New Roman" w:eastAsia="宋体" w:cs="Times New Roman"/>
                <w:bCs/>
                <w:szCs w:val="21"/>
                <w:highlight w:val="none"/>
              </w:rPr>
            </w:pPr>
          </w:p>
        </w:tc>
        <w:tc>
          <w:tcPr>
            <w:tcW w:w="0" w:type="auto"/>
            <w:tcMar>
              <w:left w:w="108" w:type="dxa"/>
              <w:right w:w="108" w:type="dxa"/>
            </w:tcMar>
            <w:vAlign w:val="center"/>
          </w:tcPr>
          <w:p w14:paraId="7326D2A8">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危险特性</w:t>
            </w:r>
          </w:p>
        </w:tc>
        <w:tc>
          <w:tcPr>
            <w:tcW w:w="0" w:type="auto"/>
            <w:gridSpan w:val="3"/>
            <w:tcMar>
              <w:left w:w="108" w:type="dxa"/>
              <w:right w:w="108" w:type="dxa"/>
            </w:tcMar>
            <w:vAlign w:val="center"/>
          </w:tcPr>
          <w:p w14:paraId="1D6A4587">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易燃，其</w:t>
            </w:r>
            <w:r>
              <w:rPr>
                <w:rFonts w:hint="eastAsia" w:cs="Times New Roman"/>
                <w:bCs/>
                <w:szCs w:val="21"/>
                <w:highlight w:val="none"/>
                <w:lang w:eastAsia="zh-CN"/>
              </w:rPr>
              <w:t>蒸汽</w:t>
            </w:r>
            <w:r>
              <w:rPr>
                <w:rFonts w:ascii="Times New Roman" w:hAnsi="Times New Roman" w:eastAsia="宋体" w:cs="Times New Roman"/>
                <w:bCs/>
                <w:szCs w:val="21"/>
                <w:highlight w:val="none"/>
              </w:rPr>
              <w:t>与空气可形成爆炸性混合物，遇明火、高热能引起燃烧爆炸。与氧化剂接触会起反应。在火焰中，受热的容器有破裂危险。</w:t>
            </w:r>
          </w:p>
        </w:tc>
      </w:tr>
      <w:tr w14:paraId="66259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5A2CEE33">
            <w:pPr>
              <w:jc w:val="center"/>
              <w:rPr>
                <w:rFonts w:ascii="Times New Roman" w:hAnsi="Times New Roman" w:eastAsia="宋体" w:cs="Times New Roman"/>
                <w:bCs/>
                <w:szCs w:val="21"/>
                <w:highlight w:val="none"/>
              </w:rPr>
            </w:pPr>
          </w:p>
        </w:tc>
        <w:tc>
          <w:tcPr>
            <w:tcW w:w="0" w:type="auto"/>
            <w:tcMar>
              <w:left w:w="108" w:type="dxa"/>
              <w:right w:w="108" w:type="dxa"/>
            </w:tcMar>
            <w:vAlign w:val="center"/>
          </w:tcPr>
          <w:p w14:paraId="68613D56">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灭火方法</w:t>
            </w:r>
          </w:p>
        </w:tc>
        <w:tc>
          <w:tcPr>
            <w:tcW w:w="0" w:type="auto"/>
            <w:gridSpan w:val="3"/>
            <w:tcMar>
              <w:left w:w="108" w:type="dxa"/>
              <w:right w:w="108" w:type="dxa"/>
            </w:tcMar>
            <w:vAlign w:val="center"/>
          </w:tcPr>
          <w:p w14:paraId="0DFA0B68">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用雾状</w:t>
            </w:r>
            <w:r>
              <w:rPr>
                <w:rFonts w:hint="eastAsia" w:cs="Times New Roman"/>
                <w:bCs/>
                <w:szCs w:val="21"/>
                <w:highlight w:val="none"/>
                <w:lang w:eastAsia="zh-CN"/>
              </w:rPr>
              <w:t>水</w:t>
            </w:r>
            <w:r>
              <w:rPr>
                <w:rFonts w:ascii="Times New Roman" w:hAnsi="Times New Roman" w:eastAsia="宋体" w:cs="Times New Roman"/>
                <w:bCs/>
                <w:szCs w:val="21"/>
                <w:highlight w:val="none"/>
              </w:rPr>
              <w:t>喷射逸出液体，使其稀释成不燃性混合物，并用雾状水保护消防人员。灭火剂：抗溶性泡沫、干粉、二氧化碳、雾状水、1211灭火剂、砂土</w:t>
            </w:r>
            <w:r>
              <w:rPr>
                <w:rFonts w:hint="eastAsia" w:cs="Times New Roman"/>
                <w:bCs/>
                <w:szCs w:val="21"/>
                <w:highlight w:val="none"/>
                <w:lang w:eastAsia="zh-CN"/>
              </w:rPr>
              <w:t>等</w:t>
            </w:r>
            <w:r>
              <w:rPr>
                <w:rFonts w:ascii="Times New Roman" w:hAnsi="Times New Roman" w:eastAsia="宋体" w:cs="Times New Roman"/>
                <w:bCs/>
                <w:szCs w:val="21"/>
                <w:highlight w:val="none"/>
              </w:rPr>
              <w:t>。</w:t>
            </w:r>
          </w:p>
        </w:tc>
      </w:tr>
      <w:tr w14:paraId="4F6CD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761CA26A">
            <w:pPr>
              <w:jc w:val="center"/>
              <w:rPr>
                <w:rFonts w:ascii="Times New Roman" w:hAnsi="Times New Roman" w:eastAsia="宋体" w:cs="Times New Roman"/>
                <w:bCs/>
                <w:szCs w:val="21"/>
                <w:highlight w:val="none"/>
              </w:rPr>
            </w:pPr>
          </w:p>
        </w:tc>
        <w:tc>
          <w:tcPr>
            <w:tcW w:w="0" w:type="auto"/>
            <w:tcMar>
              <w:left w:w="108" w:type="dxa"/>
              <w:right w:w="108" w:type="dxa"/>
            </w:tcMar>
            <w:vAlign w:val="center"/>
          </w:tcPr>
          <w:p w14:paraId="65E772CF">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有害分解产物</w:t>
            </w:r>
          </w:p>
        </w:tc>
        <w:tc>
          <w:tcPr>
            <w:tcW w:w="0" w:type="auto"/>
            <w:gridSpan w:val="3"/>
            <w:tcMar>
              <w:left w:w="108" w:type="dxa"/>
              <w:right w:w="108" w:type="dxa"/>
            </w:tcMar>
            <w:vAlign w:val="center"/>
          </w:tcPr>
          <w:p w14:paraId="32F71EFD">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一氧化碳、二氧化碳。</w:t>
            </w:r>
          </w:p>
        </w:tc>
      </w:tr>
      <w:tr w14:paraId="56C6E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68" w:hRule="atLeast"/>
          <w:jc w:val="center"/>
        </w:trPr>
        <w:tc>
          <w:tcPr>
            <w:tcW w:w="0" w:type="auto"/>
            <w:tcMar>
              <w:left w:w="108" w:type="dxa"/>
              <w:right w:w="108" w:type="dxa"/>
            </w:tcMar>
            <w:vAlign w:val="center"/>
          </w:tcPr>
          <w:p w14:paraId="6DC4510C">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急救措施</w:t>
            </w:r>
          </w:p>
        </w:tc>
        <w:tc>
          <w:tcPr>
            <w:tcW w:w="0" w:type="auto"/>
            <w:gridSpan w:val="4"/>
            <w:tcMar>
              <w:left w:w="108" w:type="dxa"/>
              <w:right w:w="108" w:type="dxa"/>
            </w:tcMar>
            <w:vAlign w:val="center"/>
          </w:tcPr>
          <w:p w14:paraId="745CCC69">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皮肤接触</w:t>
            </w:r>
            <w:r>
              <w:rPr>
                <w:rFonts w:hint="eastAsia" w:ascii="Times New Roman" w:hAnsi="Times New Roman" w:eastAsia="宋体" w:cs="Times New Roman"/>
                <w:bCs/>
                <w:szCs w:val="21"/>
                <w:highlight w:val="none"/>
                <w:lang w:eastAsia="zh-CN"/>
              </w:rPr>
              <w:t>：</w:t>
            </w:r>
            <w:r>
              <w:rPr>
                <w:rFonts w:ascii="Times New Roman" w:hAnsi="Times New Roman" w:eastAsia="宋体" w:cs="Times New Roman"/>
                <w:bCs/>
                <w:szCs w:val="21"/>
                <w:highlight w:val="none"/>
              </w:rPr>
              <w:t>脱去</w:t>
            </w:r>
            <w:r>
              <w:rPr>
                <w:rFonts w:hint="eastAsia" w:cs="Times New Roman"/>
                <w:bCs/>
                <w:szCs w:val="21"/>
                <w:highlight w:val="none"/>
                <w:lang w:eastAsia="zh-CN"/>
              </w:rPr>
              <w:t>被</w:t>
            </w:r>
            <w:r>
              <w:rPr>
                <w:rFonts w:ascii="Times New Roman" w:hAnsi="Times New Roman" w:eastAsia="宋体" w:cs="Times New Roman"/>
                <w:bCs/>
                <w:szCs w:val="21"/>
                <w:highlight w:val="none"/>
              </w:rPr>
              <w:t>污染的衣着，用肥皂水和清水彻底冲洗干净。</w:t>
            </w:r>
          </w:p>
          <w:p w14:paraId="59D21CE4">
            <w:pPr>
              <w:jc w:val="center"/>
              <w:rPr>
                <w:rFonts w:hint="eastAsia" w:ascii="Times New Roman" w:hAnsi="Times New Roman" w:eastAsia="宋体" w:cs="Times New Roman"/>
                <w:bCs/>
                <w:szCs w:val="21"/>
                <w:highlight w:val="none"/>
                <w:lang w:eastAsia="zh-CN"/>
              </w:rPr>
            </w:pPr>
            <w:r>
              <w:rPr>
                <w:rFonts w:ascii="Times New Roman" w:hAnsi="Times New Roman" w:eastAsia="宋体" w:cs="Times New Roman"/>
                <w:bCs/>
                <w:szCs w:val="21"/>
                <w:highlight w:val="none"/>
              </w:rPr>
              <w:t>眼睛接触</w:t>
            </w:r>
            <w:r>
              <w:rPr>
                <w:rFonts w:hint="eastAsia" w:ascii="Times New Roman" w:hAnsi="Times New Roman" w:eastAsia="宋体" w:cs="Times New Roman"/>
                <w:bCs/>
                <w:szCs w:val="21"/>
                <w:highlight w:val="none"/>
                <w:lang w:eastAsia="zh-CN"/>
              </w:rPr>
              <w:t>：</w:t>
            </w:r>
            <w:r>
              <w:rPr>
                <w:rFonts w:ascii="Times New Roman" w:hAnsi="Times New Roman" w:eastAsia="宋体" w:cs="Times New Roman"/>
                <w:bCs/>
                <w:szCs w:val="21"/>
                <w:highlight w:val="none"/>
              </w:rPr>
              <w:t>立即提起眼睑，用大量流动水或生理盐水彻底冲洗至少15分钟。就医。</w:t>
            </w:r>
          </w:p>
          <w:p w14:paraId="7A0CACA3">
            <w:pPr>
              <w:jc w:val="center"/>
              <w:rPr>
                <w:rFonts w:ascii="Times New Roman" w:hAnsi="Times New Roman" w:eastAsia="宋体" w:cs="Times New Roman"/>
                <w:bCs/>
                <w:szCs w:val="21"/>
                <w:highlight w:val="none"/>
              </w:rPr>
            </w:pPr>
            <w:r>
              <w:rPr>
                <w:rFonts w:hint="eastAsia" w:ascii="Times New Roman" w:hAnsi="Times New Roman" w:eastAsia="宋体" w:cs="Times New Roman"/>
                <w:bCs/>
                <w:szCs w:val="21"/>
                <w:highlight w:val="none"/>
                <w:lang w:val="en-US" w:eastAsia="zh-CN"/>
              </w:rPr>
              <w:t>吸入：</w:t>
            </w:r>
            <w:r>
              <w:rPr>
                <w:rFonts w:ascii="Times New Roman" w:hAnsi="Times New Roman" w:eastAsia="宋体" w:cs="Times New Roman"/>
                <w:bCs/>
                <w:szCs w:val="21"/>
                <w:highlight w:val="none"/>
              </w:rPr>
              <w:t>迅速脱离现场至空气新鲜处。保持呼吸道通畅。</w:t>
            </w:r>
            <w:r>
              <w:rPr>
                <w:rFonts w:hint="eastAsia" w:cs="Times New Roman"/>
                <w:bCs/>
                <w:szCs w:val="21"/>
                <w:highlight w:val="none"/>
                <w:lang w:eastAsia="zh-CN"/>
              </w:rPr>
              <w:t>如果患者感到呼吸困难，应该给患者输氧。</w:t>
            </w:r>
            <w:r>
              <w:rPr>
                <w:rFonts w:ascii="Times New Roman" w:hAnsi="Times New Roman" w:eastAsia="宋体" w:cs="Times New Roman"/>
                <w:bCs/>
                <w:szCs w:val="21"/>
                <w:highlight w:val="none"/>
              </w:rPr>
              <w:t>如呼吸停止，立即进行人工呼吸、就医。</w:t>
            </w:r>
          </w:p>
          <w:p w14:paraId="42CE80F8">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食入：饮大量温水，催吐。就医。</w:t>
            </w:r>
          </w:p>
        </w:tc>
      </w:tr>
      <w:tr w14:paraId="516DA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Mar>
              <w:left w:w="108" w:type="dxa"/>
              <w:right w:w="108" w:type="dxa"/>
            </w:tcMar>
            <w:vAlign w:val="center"/>
          </w:tcPr>
          <w:p w14:paraId="64DA7F78">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泄漏处置</w:t>
            </w:r>
          </w:p>
        </w:tc>
        <w:tc>
          <w:tcPr>
            <w:tcW w:w="0" w:type="auto"/>
            <w:gridSpan w:val="4"/>
            <w:tcMar>
              <w:left w:w="108" w:type="dxa"/>
              <w:right w:w="108" w:type="dxa"/>
            </w:tcMar>
            <w:vAlign w:val="center"/>
          </w:tcPr>
          <w:p w14:paraId="767F5478">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迅速撤离泄漏区人员至安全区，并在</w:t>
            </w:r>
            <w:r>
              <w:rPr>
                <w:rFonts w:hint="eastAsia" w:cs="Times New Roman"/>
                <w:bCs/>
                <w:szCs w:val="21"/>
                <w:highlight w:val="none"/>
                <w:lang w:eastAsia="zh-CN"/>
              </w:rPr>
              <w:t>安全区</w:t>
            </w:r>
            <w:r>
              <w:rPr>
                <w:rFonts w:ascii="Times New Roman" w:hAnsi="Times New Roman" w:eastAsia="宋体" w:cs="Times New Roman"/>
                <w:bCs/>
                <w:szCs w:val="21"/>
                <w:highlight w:val="none"/>
              </w:rPr>
              <w:t>隔离，严格限制出入。切断火源。建议应急处理人员穿戴自给正压呼吸器，穿防静电工作服。尽可能切断泄漏源。防止流入下水道、排洪沟等限制空间。小量泄漏：用活性炭或其他惰性材料吸收</w:t>
            </w:r>
            <w:r>
              <w:rPr>
                <w:rFonts w:hint="eastAsia" w:cs="Times New Roman"/>
                <w:bCs/>
                <w:szCs w:val="21"/>
                <w:highlight w:val="none"/>
                <w:lang w:eastAsia="zh-CN"/>
              </w:rPr>
              <w:t>，</w:t>
            </w:r>
            <w:r>
              <w:rPr>
                <w:rFonts w:ascii="Times New Roman" w:hAnsi="Times New Roman" w:eastAsia="宋体" w:cs="Times New Roman"/>
                <w:bCs/>
                <w:szCs w:val="21"/>
                <w:highlight w:val="none"/>
              </w:rPr>
              <w:t>也可用大量水冲洗，洗水稀释后放入废水系统。大量泄漏：构筑围堤或挖坑收容。用泡沫覆盖，降低</w:t>
            </w:r>
            <w:r>
              <w:rPr>
                <w:rFonts w:hint="eastAsia" w:cs="Times New Roman"/>
                <w:bCs/>
                <w:szCs w:val="21"/>
                <w:highlight w:val="none"/>
                <w:lang w:eastAsia="zh-CN"/>
              </w:rPr>
              <w:t>蒸汽</w:t>
            </w:r>
            <w:r>
              <w:rPr>
                <w:rFonts w:ascii="Times New Roman" w:hAnsi="Times New Roman" w:eastAsia="宋体" w:cs="Times New Roman"/>
                <w:bCs/>
                <w:szCs w:val="21"/>
                <w:highlight w:val="none"/>
              </w:rPr>
              <w:t>灾害。用防爆泵转移至槽车或专用收集器内，回收或运至废物处理场所处置。</w:t>
            </w:r>
          </w:p>
        </w:tc>
      </w:tr>
      <w:tr w14:paraId="13D02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tcMar>
              <w:left w:w="108" w:type="dxa"/>
              <w:right w:w="108" w:type="dxa"/>
            </w:tcMar>
            <w:vAlign w:val="center"/>
          </w:tcPr>
          <w:p w14:paraId="23C3E275">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储运注意事项</w:t>
            </w:r>
          </w:p>
        </w:tc>
        <w:tc>
          <w:tcPr>
            <w:tcW w:w="0" w:type="auto"/>
            <w:gridSpan w:val="4"/>
            <w:tcMar>
              <w:left w:w="108" w:type="dxa"/>
              <w:right w:w="108" w:type="dxa"/>
            </w:tcMar>
            <w:vAlign w:val="center"/>
          </w:tcPr>
          <w:p w14:paraId="580DC1D2">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①储存注意事项：</w:t>
            </w:r>
            <w:r>
              <w:rPr>
                <w:rFonts w:ascii="Times New Roman" w:hAnsi="Times New Roman" w:eastAsia="宋体" w:cs="Times New Roman"/>
                <w:bCs/>
                <w:szCs w:val="21"/>
                <w:highlight w:val="none"/>
              </w:rPr>
              <w:br w:type="textWrapping"/>
            </w:r>
            <w:r>
              <w:rPr>
                <w:rFonts w:ascii="Times New Roman" w:hAnsi="Times New Roman" w:eastAsia="宋体" w:cs="Times New Roman"/>
                <w:bCs/>
                <w:szCs w:val="21"/>
                <w:highlight w:val="none"/>
              </w:rPr>
              <w:t>储存于阴凉、通风的库房。远离火种、热源。库温不宜超过30℃。保持容器密封。应与氧化剂、酸类等分开存放，切忌混储。采用防爆型照明、通风设施。禁止使用易产生火花的机械设备和工具。储存区应备有泄漏应急处理设备和合适的收容材料。</w:t>
            </w:r>
          </w:p>
        </w:tc>
      </w:tr>
      <w:tr w14:paraId="0E3F9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66C0D9AD">
            <w:pPr>
              <w:jc w:val="center"/>
              <w:rPr>
                <w:rFonts w:ascii="Times New Roman" w:hAnsi="Times New Roman" w:eastAsia="宋体" w:cs="Times New Roman"/>
                <w:bCs/>
                <w:szCs w:val="21"/>
                <w:highlight w:val="none"/>
              </w:rPr>
            </w:pPr>
          </w:p>
        </w:tc>
        <w:tc>
          <w:tcPr>
            <w:tcW w:w="0" w:type="auto"/>
            <w:gridSpan w:val="4"/>
            <w:tcMar>
              <w:left w:w="108" w:type="dxa"/>
              <w:right w:w="108" w:type="dxa"/>
            </w:tcMar>
            <w:vAlign w:val="center"/>
          </w:tcPr>
          <w:p w14:paraId="65E1EEB6">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②运输注意事项：</w:t>
            </w:r>
            <w:r>
              <w:rPr>
                <w:rFonts w:ascii="Times New Roman" w:hAnsi="Times New Roman" w:eastAsia="宋体" w:cs="Times New Roman"/>
                <w:bCs/>
                <w:szCs w:val="21"/>
                <w:highlight w:val="none"/>
              </w:rPr>
              <w:br w:type="textWrapping"/>
            </w:r>
            <w:r>
              <w:rPr>
                <w:rFonts w:ascii="Times New Roman" w:hAnsi="Times New Roman" w:eastAsia="宋体" w:cs="Times New Roman"/>
                <w:bCs/>
                <w:szCs w:val="21"/>
                <w:highlight w:val="none"/>
              </w:rPr>
              <w:t>运输时运输车辆应配备相应品种和数量的消防器材及泄漏应急处理设备。夏季最好早晚运输。运输时所用的槽（罐）车应接地良好，槽内应设孔板分区减少蒸馏生产静电。严禁与氧化剂、酸类、食用化学品等混装混运。运输途中应防雨淋、曝晒、防高温。中途停留时应远离火种、热源、高温区。装运过产品的车辆在管道充气</w:t>
            </w:r>
            <w:r>
              <w:rPr>
                <w:rFonts w:hint="eastAsia" w:cs="Times New Roman"/>
                <w:bCs/>
                <w:szCs w:val="21"/>
                <w:highlight w:val="none"/>
                <w:lang w:eastAsia="zh-CN"/>
              </w:rPr>
              <w:t>时</w:t>
            </w:r>
            <w:r>
              <w:rPr>
                <w:rFonts w:ascii="Times New Roman" w:hAnsi="Times New Roman" w:eastAsia="宋体" w:cs="Times New Roman"/>
                <w:bCs/>
                <w:szCs w:val="21"/>
                <w:highlight w:val="none"/>
              </w:rPr>
              <w:t>必须装备阻火装置。禁止使用易产生火花的机械设备和工具装卸。公路运输时应按指定路线行驶，勿在居民区和人口稠密区停留。铁路运输时要禁止溜放。严禁用木船、水泥船</w:t>
            </w:r>
            <w:r>
              <w:rPr>
                <w:rFonts w:hint="eastAsia" w:cs="Times New Roman"/>
                <w:bCs/>
                <w:szCs w:val="21"/>
                <w:highlight w:val="none"/>
                <w:lang w:eastAsia="zh-CN"/>
              </w:rPr>
              <w:t>等方式</w:t>
            </w:r>
            <w:r>
              <w:rPr>
                <w:rFonts w:ascii="Times New Roman" w:hAnsi="Times New Roman" w:eastAsia="宋体" w:cs="Times New Roman"/>
                <w:bCs/>
                <w:szCs w:val="21"/>
                <w:highlight w:val="none"/>
              </w:rPr>
              <w:t>散装运输。</w:t>
            </w:r>
          </w:p>
        </w:tc>
      </w:tr>
    </w:tbl>
    <w:p w14:paraId="61ED84A1">
      <w:pPr>
        <w:spacing w:line="360" w:lineRule="auto"/>
        <w:jc w:val="center"/>
        <w:rPr>
          <w:highlight w:val="none"/>
        </w:rPr>
      </w:pPr>
      <w:r>
        <w:rPr>
          <w:rFonts w:hint="eastAsia" w:cs="Times New Roman"/>
          <w:b/>
          <w:bCs/>
          <w:sz w:val="21"/>
          <w:szCs w:val="21"/>
          <w:highlight w:val="none"/>
          <w:lang w:val="en-US" w:eastAsia="zh-CN"/>
        </w:rPr>
        <w:t>3.2</w:t>
      </w:r>
      <w:r>
        <w:rPr>
          <w:rFonts w:hint="eastAsia" w:ascii="Times New Roman" w:hAnsi="Times New Roman" w:eastAsia="宋体" w:cs="Times New Roman"/>
          <w:b/>
          <w:bCs/>
          <w:sz w:val="21"/>
          <w:szCs w:val="21"/>
          <w:highlight w:val="none"/>
          <w:lang w:val="en-US" w:eastAsia="zh-CN"/>
        </w:rPr>
        <w:t xml:space="preserve">-5   </w:t>
      </w:r>
      <w:r>
        <w:rPr>
          <w:rFonts w:hint="eastAsia" w:cs="Times New Roman"/>
          <w:b/>
          <w:bCs/>
          <w:sz w:val="21"/>
          <w:szCs w:val="21"/>
          <w:highlight w:val="none"/>
          <w:lang w:val="en-US" w:eastAsia="zh-CN"/>
        </w:rPr>
        <w:t>氨气的理化性质与危险特性表</w:t>
      </w:r>
    </w:p>
    <w:tbl>
      <w:tblPr>
        <w:tblStyle w:val="19"/>
        <w:tblW w:w="484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91"/>
        <w:gridCol w:w="827"/>
        <w:gridCol w:w="540"/>
        <w:gridCol w:w="765"/>
        <w:gridCol w:w="1213"/>
        <w:gridCol w:w="387"/>
        <w:gridCol w:w="1153"/>
        <w:gridCol w:w="2096"/>
        <w:gridCol w:w="675"/>
      </w:tblGrid>
      <w:tr w14:paraId="4199B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restart"/>
            <w:tcMar>
              <w:left w:w="108" w:type="dxa"/>
              <w:right w:w="108" w:type="dxa"/>
            </w:tcMar>
            <w:vAlign w:val="center"/>
          </w:tcPr>
          <w:p w14:paraId="5C50CEB8">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标识</w:t>
            </w:r>
          </w:p>
        </w:tc>
        <w:tc>
          <w:tcPr>
            <w:tcW w:w="827" w:type="dxa"/>
            <w:tcMar>
              <w:left w:w="108" w:type="dxa"/>
              <w:right w:w="108" w:type="dxa"/>
            </w:tcMar>
            <w:vAlign w:val="center"/>
          </w:tcPr>
          <w:p w14:paraId="1B8D10D3">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中文名称：</w:t>
            </w:r>
          </w:p>
        </w:tc>
        <w:tc>
          <w:tcPr>
            <w:tcW w:w="6829" w:type="dxa"/>
            <w:gridSpan w:val="7"/>
            <w:tcMar>
              <w:left w:w="108" w:type="dxa"/>
              <w:right w:w="108" w:type="dxa"/>
            </w:tcMar>
            <w:vAlign w:val="center"/>
          </w:tcPr>
          <w:p w14:paraId="3878E6E9">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氨；液氨；氢气</w:t>
            </w:r>
          </w:p>
        </w:tc>
      </w:tr>
      <w:tr w14:paraId="6DB1C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0D703C30">
            <w:pPr>
              <w:jc w:val="center"/>
              <w:rPr>
                <w:rFonts w:ascii="Times New Roman" w:hAnsi="Times New Roman" w:eastAsia="宋体" w:cs="Times New Roman"/>
                <w:bCs/>
                <w:szCs w:val="21"/>
                <w:highlight w:val="none"/>
              </w:rPr>
            </w:pPr>
          </w:p>
        </w:tc>
        <w:tc>
          <w:tcPr>
            <w:tcW w:w="827" w:type="dxa"/>
            <w:tcMar>
              <w:left w:w="108" w:type="dxa"/>
              <w:right w:w="108" w:type="dxa"/>
            </w:tcMar>
            <w:vAlign w:val="center"/>
          </w:tcPr>
          <w:p w14:paraId="56BF107B">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英文名称：</w:t>
            </w:r>
          </w:p>
        </w:tc>
        <w:tc>
          <w:tcPr>
            <w:tcW w:w="6829" w:type="dxa"/>
            <w:gridSpan w:val="7"/>
            <w:tcMar>
              <w:left w:w="108" w:type="dxa"/>
              <w:right w:w="108" w:type="dxa"/>
            </w:tcMar>
            <w:vAlign w:val="center"/>
          </w:tcPr>
          <w:p w14:paraId="6794FE62">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ammonia;ammonia</w:t>
            </w:r>
            <w:r>
              <w:rPr>
                <w:rFonts w:hint="eastAsia" w:cs="Times New Roman"/>
                <w:bCs/>
                <w:szCs w:val="21"/>
                <w:highlight w:val="none"/>
                <w:lang w:eastAsia="zh-CN"/>
              </w:rPr>
              <w:t>（</w:t>
            </w:r>
            <w:r>
              <w:rPr>
                <w:rFonts w:ascii="Times New Roman" w:hAnsi="Times New Roman" w:eastAsia="宋体" w:cs="Times New Roman"/>
                <w:bCs/>
                <w:szCs w:val="21"/>
                <w:highlight w:val="none"/>
              </w:rPr>
              <w:t>methyl</w:t>
            </w:r>
            <w:r>
              <w:rPr>
                <w:rFonts w:hint="eastAsia" w:cs="Times New Roman"/>
                <w:bCs/>
                <w:szCs w:val="21"/>
                <w:highlight w:val="none"/>
                <w:lang w:eastAsia="zh-CN"/>
              </w:rPr>
              <w:t>）</w:t>
            </w:r>
            <w:r>
              <w:rPr>
                <w:rFonts w:ascii="Times New Roman" w:hAnsi="Times New Roman" w:eastAsia="宋体" w:cs="Times New Roman"/>
                <w:bCs/>
                <w:szCs w:val="21"/>
                <w:highlight w:val="none"/>
              </w:rPr>
              <w:t>;mammogas</w:t>
            </w:r>
          </w:p>
        </w:tc>
      </w:tr>
      <w:tr w14:paraId="1D9BA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410335DD">
            <w:pPr>
              <w:jc w:val="center"/>
              <w:rPr>
                <w:rFonts w:ascii="Times New Roman" w:hAnsi="Times New Roman" w:eastAsia="宋体" w:cs="Times New Roman"/>
                <w:bCs/>
                <w:szCs w:val="21"/>
                <w:highlight w:val="none"/>
              </w:rPr>
            </w:pPr>
          </w:p>
        </w:tc>
        <w:tc>
          <w:tcPr>
            <w:tcW w:w="827" w:type="dxa"/>
            <w:tcMar>
              <w:left w:w="108" w:type="dxa"/>
              <w:right w:w="108" w:type="dxa"/>
            </w:tcMar>
            <w:vAlign w:val="center"/>
          </w:tcPr>
          <w:p w14:paraId="6AF75DE8">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分子式：</w:t>
            </w:r>
          </w:p>
        </w:tc>
        <w:tc>
          <w:tcPr>
            <w:tcW w:w="1305" w:type="dxa"/>
            <w:gridSpan w:val="2"/>
            <w:tcMar>
              <w:left w:w="108" w:type="dxa"/>
              <w:right w:w="108" w:type="dxa"/>
            </w:tcMar>
            <w:vAlign w:val="center"/>
          </w:tcPr>
          <w:p w14:paraId="778825A0">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NH3</w:t>
            </w:r>
          </w:p>
        </w:tc>
        <w:tc>
          <w:tcPr>
            <w:tcW w:w="5524" w:type="dxa"/>
            <w:gridSpan w:val="5"/>
            <w:tcMar>
              <w:left w:w="108" w:type="dxa"/>
              <w:right w:w="108" w:type="dxa"/>
            </w:tcMar>
            <w:vAlign w:val="center"/>
          </w:tcPr>
          <w:p w14:paraId="3C1114D2">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相对分子质量：17.03</w:t>
            </w:r>
          </w:p>
        </w:tc>
      </w:tr>
      <w:tr w14:paraId="349B2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6180435C">
            <w:pPr>
              <w:jc w:val="center"/>
              <w:rPr>
                <w:rFonts w:ascii="Times New Roman" w:hAnsi="Times New Roman" w:eastAsia="宋体" w:cs="Times New Roman"/>
                <w:bCs/>
                <w:szCs w:val="21"/>
                <w:highlight w:val="none"/>
              </w:rPr>
            </w:pPr>
          </w:p>
        </w:tc>
        <w:tc>
          <w:tcPr>
            <w:tcW w:w="827" w:type="dxa"/>
            <w:tcMar>
              <w:left w:w="108" w:type="dxa"/>
              <w:right w:w="108" w:type="dxa"/>
            </w:tcMar>
            <w:vAlign w:val="center"/>
          </w:tcPr>
          <w:p w14:paraId="59DBEAD9">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用途：</w:t>
            </w:r>
          </w:p>
        </w:tc>
        <w:tc>
          <w:tcPr>
            <w:tcW w:w="6829" w:type="dxa"/>
            <w:gridSpan w:val="7"/>
            <w:tcMar>
              <w:left w:w="108" w:type="dxa"/>
              <w:right w:w="108" w:type="dxa"/>
            </w:tcMar>
            <w:vAlign w:val="center"/>
          </w:tcPr>
          <w:p w14:paraId="2C33DDCD">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用作制冷剂及制取铵盐和氮肥。</w:t>
            </w:r>
          </w:p>
        </w:tc>
      </w:tr>
      <w:tr w14:paraId="59DCA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restart"/>
            <w:tcMar>
              <w:left w:w="108" w:type="dxa"/>
              <w:right w:w="108" w:type="dxa"/>
            </w:tcMar>
            <w:vAlign w:val="center"/>
          </w:tcPr>
          <w:p w14:paraId="200F963A">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危险 概述</w:t>
            </w:r>
          </w:p>
        </w:tc>
        <w:tc>
          <w:tcPr>
            <w:tcW w:w="827" w:type="dxa"/>
            <w:tcMar>
              <w:left w:w="108" w:type="dxa"/>
              <w:right w:w="108" w:type="dxa"/>
            </w:tcMar>
            <w:vAlign w:val="center"/>
          </w:tcPr>
          <w:p w14:paraId="2A4667FB">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概述：</w:t>
            </w:r>
          </w:p>
        </w:tc>
        <w:tc>
          <w:tcPr>
            <w:tcW w:w="6829" w:type="dxa"/>
            <w:gridSpan w:val="7"/>
            <w:tcMar>
              <w:left w:w="108" w:type="dxa"/>
              <w:right w:w="108" w:type="dxa"/>
            </w:tcMar>
            <w:vAlign w:val="center"/>
          </w:tcPr>
          <w:p w14:paraId="6F61D5A2">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易燃气体，内装加压气体；</w:t>
            </w:r>
            <w:r>
              <w:rPr>
                <w:rFonts w:ascii="afanti_latex_font" w:hAnsi="afanti_latex_font" w:eastAsia="afanti_latex_font" w:cs="afanti_latex_font"/>
                <w:i w:val="0"/>
                <w:iCs w:val="0"/>
                <w:caps w:val="0"/>
                <w:color w:val="242424"/>
                <w:spacing w:val="0"/>
                <w:sz w:val="21"/>
                <w:szCs w:val="21"/>
                <w:shd w:val="clear" w:fill="FFFFFF"/>
              </w:rPr>
              <w:t>遇明火、高热会引起爆炸燃烧</w:t>
            </w:r>
            <w:r>
              <w:rPr>
                <w:rFonts w:ascii="Times New Roman" w:hAnsi="Times New Roman" w:eastAsia="宋体" w:cs="Times New Roman"/>
                <w:bCs/>
                <w:szCs w:val="21"/>
                <w:highlight w:val="none"/>
              </w:rPr>
              <w:t>，</w:t>
            </w:r>
            <w:r>
              <w:rPr>
                <w:rFonts w:hint="eastAsia" w:ascii="Times New Roman" w:hAnsi="Times New Roman" w:eastAsia="宋体" w:cs="Times New Roman"/>
                <w:bCs/>
                <w:szCs w:val="21"/>
                <w:highlight w:val="none"/>
              </w:rPr>
              <w:t>具有毒性、强刺激性和腐蚀性</w:t>
            </w:r>
            <w:r>
              <w:rPr>
                <w:rFonts w:hint="eastAsia" w:cs="Times New Roman"/>
                <w:bCs/>
                <w:szCs w:val="21"/>
                <w:highlight w:val="none"/>
                <w:lang w:eastAsia="zh-CN"/>
              </w:rPr>
              <w:t>，</w:t>
            </w:r>
            <w:r>
              <w:rPr>
                <w:rFonts w:ascii="Times New Roman" w:hAnsi="Times New Roman" w:eastAsia="宋体" w:cs="Times New Roman"/>
                <w:bCs/>
                <w:szCs w:val="21"/>
                <w:highlight w:val="none"/>
              </w:rPr>
              <w:t>吸入会中毒，造成严重的皮肤灼伤和眼损伤。</w:t>
            </w:r>
          </w:p>
        </w:tc>
      </w:tr>
      <w:tr w14:paraId="17E7F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13A6DE92">
            <w:pPr>
              <w:jc w:val="center"/>
              <w:rPr>
                <w:rFonts w:ascii="Times New Roman" w:hAnsi="Times New Roman" w:eastAsia="宋体" w:cs="Times New Roman"/>
                <w:bCs/>
                <w:szCs w:val="21"/>
                <w:highlight w:val="none"/>
              </w:rPr>
            </w:pPr>
          </w:p>
        </w:tc>
        <w:tc>
          <w:tcPr>
            <w:tcW w:w="827" w:type="dxa"/>
            <w:tcMar>
              <w:left w:w="108" w:type="dxa"/>
              <w:right w:w="108" w:type="dxa"/>
            </w:tcMar>
            <w:vAlign w:val="center"/>
          </w:tcPr>
          <w:p w14:paraId="76A18C84">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危险性类别：</w:t>
            </w:r>
          </w:p>
        </w:tc>
        <w:tc>
          <w:tcPr>
            <w:tcW w:w="6829" w:type="dxa"/>
            <w:gridSpan w:val="7"/>
            <w:tcMar>
              <w:left w:w="108" w:type="dxa"/>
              <w:right w:w="108" w:type="dxa"/>
            </w:tcMar>
            <w:vAlign w:val="center"/>
          </w:tcPr>
          <w:p w14:paraId="65FEA46F">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易燃气体，类别2；加压气体；急性毒性-吸入，类别3；皮肤腐蚀/刺激，类别1B；严重眼损伤/眼刺激，类别1；危害水生环境-急性危害，类别1</w:t>
            </w:r>
          </w:p>
        </w:tc>
      </w:tr>
      <w:tr w14:paraId="2704F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7D1DCB80">
            <w:pPr>
              <w:jc w:val="center"/>
              <w:rPr>
                <w:rFonts w:ascii="Times New Roman" w:hAnsi="Times New Roman" w:eastAsia="宋体" w:cs="Times New Roman"/>
                <w:bCs/>
                <w:szCs w:val="21"/>
                <w:highlight w:val="none"/>
              </w:rPr>
            </w:pPr>
          </w:p>
        </w:tc>
        <w:tc>
          <w:tcPr>
            <w:tcW w:w="827" w:type="dxa"/>
            <w:vMerge w:val="restart"/>
            <w:tcMar>
              <w:left w:w="108" w:type="dxa"/>
              <w:right w:w="108" w:type="dxa"/>
            </w:tcMar>
            <w:vAlign w:val="center"/>
          </w:tcPr>
          <w:p w14:paraId="35C63595">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防范说明：</w:t>
            </w:r>
          </w:p>
        </w:tc>
        <w:tc>
          <w:tcPr>
            <w:tcW w:w="6829" w:type="dxa"/>
            <w:gridSpan w:val="7"/>
            <w:tcMar>
              <w:left w:w="108" w:type="dxa"/>
              <w:right w:w="108" w:type="dxa"/>
            </w:tcMar>
            <w:vAlign w:val="center"/>
          </w:tcPr>
          <w:p w14:paraId="6EF30A46">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预防措施：</w:t>
            </w:r>
            <w:r>
              <w:rPr>
                <w:rFonts w:ascii="Times New Roman" w:hAnsi="Times New Roman" w:eastAsia="宋体" w:cs="Times New Roman"/>
                <w:bCs/>
                <w:szCs w:val="21"/>
                <w:highlight w:val="none"/>
              </w:rPr>
              <w:br w:type="textWrapping"/>
            </w:r>
            <w:r>
              <w:rPr>
                <w:rFonts w:ascii="Times New Roman" w:hAnsi="Times New Roman" w:eastAsia="宋体" w:cs="Times New Roman"/>
                <w:bCs/>
                <w:szCs w:val="21"/>
                <w:highlight w:val="none"/>
              </w:rPr>
              <w:t>远离热源、火花、明火和热表面。禁止吸烟。避免吸入</w:t>
            </w:r>
            <w:r>
              <w:rPr>
                <w:rFonts w:hint="eastAsia" w:cs="Times New Roman"/>
                <w:bCs/>
                <w:szCs w:val="21"/>
                <w:highlight w:val="none"/>
                <w:lang w:eastAsia="zh-CN"/>
              </w:rPr>
              <w:t>有毒</w:t>
            </w:r>
            <w:r>
              <w:rPr>
                <w:rFonts w:ascii="Times New Roman" w:hAnsi="Times New Roman" w:eastAsia="宋体" w:cs="Times New Roman"/>
                <w:bCs/>
                <w:szCs w:val="21"/>
                <w:highlight w:val="none"/>
              </w:rPr>
              <w:t>气体。仅在室外或通风良好处操作。避免接触眼睛、皮肤。操作后彻底清洗。戴防护手套、穿防护服、戴防护眼镜及防护面罩。禁止排入环境。</w:t>
            </w:r>
            <w:r>
              <w:rPr>
                <w:rFonts w:ascii="Times New Roman" w:hAnsi="Times New Roman" w:eastAsia="宋体" w:cs="Times New Roman"/>
                <w:bCs/>
                <w:szCs w:val="21"/>
                <w:highlight w:val="none"/>
              </w:rPr>
              <w:br w:type="textWrapping"/>
            </w:r>
            <w:r>
              <w:rPr>
                <w:rFonts w:ascii="Times New Roman" w:hAnsi="Times New Roman" w:eastAsia="宋体" w:cs="Times New Roman"/>
                <w:bCs/>
                <w:szCs w:val="21"/>
                <w:highlight w:val="none"/>
              </w:rPr>
              <w:t>事故响应：</w:t>
            </w:r>
            <w:r>
              <w:rPr>
                <w:rFonts w:ascii="Times New Roman" w:hAnsi="Times New Roman" w:eastAsia="宋体" w:cs="Times New Roman"/>
                <w:bCs/>
                <w:szCs w:val="21"/>
                <w:highlight w:val="none"/>
              </w:rPr>
              <w:br w:type="textWrapping"/>
            </w:r>
            <w:r>
              <w:rPr>
                <w:rFonts w:ascii="Times New Roman" w:hAnsi="Times New Roman" w:eastAsia="宋体" w:cs="Times New Roman"/>
                <w:bCs/>
                <w:szCs w:val="21"/>
                <w:highlight w:val="none"/>
              </w:rPr>
              <w:t>如遇着火：切勿灭火，除非漏气能够安全地制止。如果没有危险，消除一切火源</w:t>
            </w:r>
            <w:r>
              <w:rPr>
                <w:rFonts w:hint="eastAsia" w:cs="Times New Roman"/>
                <w:bCs/>
                <w:szCs w:val="21"/>
                <w:highlight w:val="none"/>
                <w:lang w:eastAsia="zh-CN"/>
              </w:rPr>
              <w:t>。</w:t>
            </w:r>
            <w:r>
              <w:rPr>
                <w:rFonts w:ascii="Times New Roman" w:hAnsi="Times New Roman" w:eastAsia="宋体" w:cs="Times New Roman"/>
                <w:bCs/>
                <w:szCs w:val="21"/>
                <w:highlight w:val="none"/>
              </w:rPr>
              <w:t>如吸入：将患者转移到空气新鲜处休息，保持</w:t>
            </w:r>
            <w:r>
              <w:rPr>
                <w:rFonts w:hint="default" w:ascii="Times New Roman" w:hAnsi="Times New Roman" w:eastAsia="宋体" w:cs="Times New Roman"/>
                <w:bCs/>
                <w:szCs w:val="21"/>
                <w:highlight w:val="none"/>
              </w:rPr>
              <w:t>有利于呼吸的体位</w:t>
            </w:r>
            <w:r>
              <w:rPr>
                <w:rFonts w:ascii="Times New Roman" w:hAnsi="Times New Roman" w:eastAsia="宋体" w:cs="Times New Roman"/>
                <w:bCs/>
                <w:szCs w:val="21"/>
                <w:highlight w:val="none"/>
              </w:rPr>
              <w:t>。呼叫中毒控制中心或就医。皮肤（或头发）接触：立即脱掉所有被污染的衣服。用水冲洗皮肤，淋浴。污染的衣服须洗净后方可重新使用。眼睛接触：用水</w:t>
            </w:r>
            <w:r>
              <w:rPr>
                <w:rFonts w:hint="eastAsia" w:cs="Times New Roman"/>
                <w:bCs/>
                <w:szCs w:val="21"/>
                <w:highlight w:val="none"/>
                <w:lang w:eastAsia="zh-CN"/>
              </w:rPr>
              <w:t>细心地</w:t>
            </w:r>
            <w:r>
              <w:rPr>
                <w:rFonts w:ascii="Times New Roman" w:hAnsi="Times New Roman" w:eastAsia="宋体" w:cs="Times New Roman"/>
                <w:bCs/>
                <w:szCs w:val="21"/>
                <w:highlight w:val="none"/>
              </w:rPr>
              <w:t>冲洗数分钟。如戴隐形眼镜并可方便地取出，则取出隐形眼镜继而冲洗。收集泄漏物。</w:t>
            </w:r>
            <w:r>
              <w:rPr>
                <w:rFonts w:ascii="Times New Roman" w:hAnsi="Times New Roman" w:eastAsia="宋体" w:cs="Times New Roman"/>
                <w:bCs/>
                <w:szCs w:val="21"/>
                <w:highlight w:val="none"/>
              </w:rPr>
              <w:br w:type="textWrapping"/>
            </w:r>
            <w:r>
              <w:rPr>
                <w:rFonts w:ascii="Times New Roman" w:hAnsi="Times New Roman" w:eastAsia="宋体" w:cs="Times New Roman"/>
                <w:bCs/>
                <w:szCs w:val="21"/>
                <w:highlight w:val="none"/>
              </w:rPr>
              <w:t>安全储存：</w:t>
            </w:r>
            <w:r>
              <w:rPr>
                <w:rFonts w:ascii="Times New Roman" w:hAnsi="Times New Roman" w:eastAsia="宋体" w:cs="Times New Roman"/>
                <w:bCs/>
                <w:szCs w:val="21"/>
                <w:highlight w:val="none"/>
              </w:rPr>
              <w:br w:type="textWrapping"/>
            </w:r>
            <w:r>
              <w:rPr>
                <w:rFonts w:ascii="Times New Roman" w:hAnsi="Times New Roman" w:eastAsia="宋体" w:cs="Times New Roman"/>
                <w:bCs/>
                <w:szCs w:val="21"/>
                <w:highlight w:val="none"/>
              </w:rPr>
              <w:t>防日晒。存放在通风良好的地方。保持容器密闭。上锁保管。</w:t>
            </w:r>
            <w:r>
              <w:rPr>
                <w:rFonts w:ascii="Times New Roman" w:hAnsi="Times New Roman" w:eastAsia="宋体" w:cs="Times New Roman"/>
                <w:bCs/>
                <w:szCs w:val="21"/>
                <w:highlight w:val="none"/>
              </w:rPr>
              <w:br w:type="textWrapping"/>
            </w:r>
            <w:r>
              <w:rPr>
                <w:rFonts w:ascii="Times New Roman" w:hAnsi="Times New Roman" w:eastAsia="宋体" w:cs="Times New Roman"/>
                <w:bCs/>
                <w:szCs w:val="21"/>
                <w:highlight w:val="none"/>
              </w:rPr>
              <w:t>废弃处置：</w:t>
            </w:r>
            <w:r>
              <w:rPr>
                <w:rFonts w:ascii="Times New Roman" w:hAnsi="Times New Roman" w:eastAsia="宋体" w:cs="Times New Roman"/>
                <w:bCs/>
                <w:szCs w:val="21"/>
                <w:highlight w:val="none"/>
              </w:rPr>
              <w:br w:type="textWrapping"/>
            </w:r>
            <w:r>
              <w:rPr>
                <w:rFonts w:ascii="Times New Roman" w:hAnsi="Times New Roman" w:eastAsia="宋体" w:cs="Times New Roman"/>
                <w:bCs/>
                <w:szCs w:val="21"/>
                <w:highlight w:val="none"/>
              </w:rPr>
              <w:t>本品及内装物、容器</w:t>
            </w:r>
            <w:r>
              <w:rPr>
                <w:rFonts w:hint="eastAsia" w:cs="Times New Roman"/>
                <w:bCs/>
                <w:szCs w:val="21"/>
                <w:highlight w:val="none"/>
                <w:lang w:eastAsia="zh-CN"/>
              </w:rPr>
              <w:t>应</w:t>
            </w:r>
            <w:r>
              <w:rPr>
                <w:rFonts w:ascii="Times New Roman" w:hAnsi="Times New Roman" w:eastAsia="宋体" w:cs="Times New Roman"/>
                <w:bCs/>
                <w:szCs w:val="21"/>
                <w:highlight w:val="none"/>
              </w:rPr>
              <w:t>依据国家和</w:t>
            </w:r>
            <w:r>
              <w:rPr>
                <w:rFonts w:hint="eastAsia" w:cs="Times New Roman"/>
                <w:bCs/>
                <w:szCs w:val="21"/>
                <w:highlight w:val="none"/>
                <w:lang w:eastAsia="zh-CN"/>
              </w:rPr>
              <w:t>地方性法规</w:t>
            </w:r>
            <w:r>
              <w:rPr>
                <w:rFonts w:ascii="Times New Roman" w:hAnsi="Times New Roman" w:eastAsia="宋体" w:cs="Times New Roman"/>
                <w:bCs/>
                <w:szCs w:val="21"/>
                <w:highlight w:val="none"/>
              </w:rPr>
              <w:t>处置。</w:t>
            </w:r>
          </w:p>
        </w:tc>
      </w:tr>
      <w:tr w14:paraId="4D845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184B1126">
            <w:pPr>
              <w:jc w:val="center"/>
              <w:rPr>
                <w:rFonts w:ascii="Times New Roman" w:hAnsi="Times New Roman" w:eastAsia="宋体" w:cs="Times New Roman"/>
                <w:bCs/>
                <w:szCs w:val="21"/>
                <w:highlight w:val="none"/>
              </w:rPr>
            </w:pPr>
          </w:p>
        </w:tc>
        <w:tc>
          <w:tcPr>
            <w:tcW w:w="827" w:type="dxa"/>
            <w:vMerge w:val="continue"/>
            <w:tcMar>
              <w:left w:w="108" w:type="dxa"/>
              <w:right w:w="108" w:type="dxa"/>
            </w:tcMar>
            <w:vAlign w:val="center"/>
          </w:tcPr>
          <w:p w14:paraId="16B5E01C">
            <w:pPr>
              <w:jc w:val="center"/>
              <w:rPr>
                <w:rFonts w:ascii="Times New Roman" w:hAnsi="Times New Roman" w:eastAsia="宋体" w:cs="Times New Roman"/>
                <w:bCs/>
                <w:szCs w:val="21"/>
                <w:highlight w:val="none"/>
              </w:rPr>
            </w:pPr>
          </w:p>
        </w:tc>
        <w:tc>
          <w:tcPr>
            <w:tcW w:w="1305" w:type="dxa"/>
            <w:gridSpan w:val="2"/>
            <w:tcMar>
              <w:left w:w="108" w:type="dxa"/>
              <w:right w:w="108" w:type="dxa"/>
            </w:tcMar>
            <w:vAlign w:val="center"/>
          </w:tcPr>
          <w:p w14:paraId="13BF87E6">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物理和化学危险：</w:t>
            </w:r>
          </w:p>
        </w:tc>
        <w:tc>
          <w:tcPr>
            <w:tcW w:w="5524" w:type="dxa"/>
            <w:gridSpan w:val="5"/>
            <w:tcMar>
              <w:left w:w="108" w:type="dxa"/>
              <w:right w:w="108" w:type="dxa"/>
            </w:tcMar>
            <w:vAlign w:val="center"/>
          </w:tcPr>
          <w:p w14:paraId="4691594B">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易燃，与空气混合能形成爆炸性混合物。</w:t>
            </w:r>
          </w:p>
        </w:tc>
      </w:tr>
      <w:tr w14:paraId="6EF4E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5D6E1365">
            <w:pPr>
              <w:jc w:val="center"/>
              <w:rPr>
                <w:rFonts w:ascii="Times New Roman" w:hAnsi="Times New Roman" w:eastAsia="宋体" w:cs="Times New Roman"/>
                <w:bCs/>
                <w:szCs w:val="21"/>
                <w:highlight w:val="none"/>
              </w:rPr>
            </w:pPr>
          </w:p>
        </w:tc>
        <w:tc>
          <w:tcPr>
            <w:tcW w:w="827" w:type="dxa"/>
            <w:vMerge w:val="continue"/>
            <w:tcMar>
              <w:left w:w="108" w:type="dxa"/>
              <w:right w:w="108" w:type="dxa"/>
            </w:tcMar>
            <w:vAlign w:val="center"/>
          </w:tcPr>
          <w:p w14:paraId="786562E1">
            <w:pPr>
              <w:jc w:val="center"/>
              <w:rPr>
                <w:rFonts w:ascii="Times New Roman" w:hAnsi="Times New Roman" w:eastAsia="宋体" w:cs="Times New Roman"/>
                <w:bCs/>
                <w:szCs w:val="21"/>
                <w:highlight w:val="none"/>
              </w:rPr>
            </w:pPr>
          </w:p>
        </w:tc>
        <w:tc>
          <w:tcPr>
            <w:tcW w:w="1305" w:type="dxa"/>
            <w:gridSpan w:val="2"/>
            <w:tcMar>
              <w:left w:w="108" w:type="dxa"/>
              <w:right w:w="108" w:type="dxa"/>
            </w:tcMar>
            <w:vAlign w:val="center"/>
          </w:tcPr>
          <w:p w14:paraId="1831D4F6">
            <w:pPr>
              <w:jc w:val="center"/>
              <w:rPr>
                <w:rFonts w:hint="eastAsia" w:ascii="Times New Roman" w:hAnsi="Times New Roman" w:eastAsia="宋体" w:cs="Times New Roman"/>
                <w:bCs/>
                <w:szCs w:val="21"/>
                <w:highlight w:val="none"/>
                <w:lang w:eastAsia="zh-CN"/>
              </w:rPr>
            </w:pPr>
            <w:r>
              <w:rPr>
                <w:rFonts w:ascii="Times New Roman" w:hAnsi="Times New Roman" w:eastAsia="宋体" w:cs="Times New Roman"/>
                <w:bCs/>
                <w:szCs w:val="21"/>
                <w:highlight w:val="none"/>
              </w:rPr>
              <w:t>健康危害</w:t>
            </w:r>
            <w:r>
              <w:rPr>
                <w:rFonts w:hint="eastAsia" w:ascii="Times New Roman" w:hAnsi="Times New Roman" w:eastAsia="宋体" w:cs="Times New Roman"/>
                <w:bCs/>
                <w:szCs w:val="21"/>
                <w:highlight w:val="none"/>
                <w:lang w:eastAsia="zh-CN"/>
              </w:rPr>
              <w:t>：</w:t>
            </w:r>
          </w:p>
        </w:tc>
        <w:tc>
          <w:tcPr>
            <w:tcW w:w="5524" w:type="dxa"/>
            <w:gridSpan w:val="5"/>
            <w:tcMar>
              <w:left w:w="108" w:type="dxa"/>
              <w:right w:w="108" w:type="dxa"/>
            </w:tcMar>
            <w:vAlign w:val="center"/>
          </w:tcPr>
          <w:p w14:paraId="51849B9B">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低浓度氨对黏膜有刺激作用，高浓度可造成组织溶解坏死。轻度中毒者出现流泪、咽痛、声音嘶哑、咳嗽、</w:t>
            </w:r>
            <w:r>
              <w:rPr>
                <w:rFonts w:hint="eastAsia" w:cs="Times New Roman"/>
                <w:bCs/>
                <w:szCs w:val="21"/>
                <w:highlight w:val="none"/>
                <w:lang w:eastAsia="zh-CN"/>
              </w:rPr>
              <w:t>咳痰</w:t>
            </w:r>
            <w:r>
              <w:rPr>
                <w:rFonts w:ascii="Times New Roman" w:hAnsi="Times New Roman" w:eastAsia="宋体" w:cs="Times New Roman"/>
                <w:bCs/>
                <w:szCs w:val="21"/>
                <w:highlight w:val="none"/>
              </w:rPr>
              <w:t>等；眼结膜、鼻黏膜、咽部充血、水肿；胸部X线征象符合支气管炎或支气管周围炎中度中毒上述症状加剧，出现呼吸困难、紫绀；胸部X线征象符合肺炎或间质性肺炎。重度中毒</w:t>
            </w:r>
            <w:r>
              <w:rPr>
                <w:rFonts w:hint="eastAsia" w:cs="Times New Roman"/>
                <w:bCs/>
                <w:szCs w:val="21"/>
                <w:highlight w:val="none"/>
                <w:lang w:eastAsia="zh-CN"/>
              </w:rPr>
              <w:t>会</w:t>
            </w:r>
            <w:r>
              <w:rPr>
                <w:rFonts w:ascii="Times New Roman" w:hAnsi="Times New Roman" w:eastAsia="宋体" w:cs="Times New Roman"/>
                <w:bCs/>
                <w:szCs w:val="21"/>
                <w:highlight w:val="none"/>
              </w:rPr>
              <w:t>发生中毒性肺水肿，或有呼吸窘迫综合征。患者剧烈咳嗽、咯大量粉红色泡沫痰、呼吸困难、谵妄、昏迷、休克等</w:t>
            </w:r>
            <w:r>
              <w:rPr>
                <w:rFonts w:hint="eastAsia" w:cs="Times New Roman"/>
                <w:bCs/>
                <w:szCs w:val="21"/>
                <w:highlight w:val="none"/>
                <w:lang w:eastAsia="zh-CN"/>
              </w:rPr>
              <w:t>，</w:t>
            </w:r>
            <w:r>
              <w:rPr>
                <w:rFonts w:ascii="Times New Roman" w:hAnsi="Times New Roman" w:eastAsia="宋体" w:cs="Times New Roman"/>
                <w:bCs/>
                <w:szCs w:val="21"/>
                <w:highlight w:val="none"/>
              </w:rPr>
              <w:t>可发生喉水肿或支气管黏膜坏死脱落窒息。可并发气胸或纵隔气肿。高浓度氨可引起反射性呼吸停止和心脏停搏。液氨或高浓度氨气可致眼灼伤；液氨可致皮肤灼伤。</w:t>
            </w:r>
          </w:p>
        </w:tc>
      </w:tr>
      <w:tr w14:paraId="62EC0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1343934A">
            <w:pPr>
              <w:jc w:val="center"/>
              <w:rPr>
                <w:rFonts w:ascii="Times New Roman" w:hAnsi="Times New Roman" w:eastAsia="宋体" w:cs="Times New Roman"/>
                <w:bCs/>
                <w:szCs w:val="21"/>
                <w:highlight w:val="none"/>
              </w:rPr>
            </w:pPr>
          </w:p>
        </w:tc>
        <w:tc>
          <w:tcPr>
            <w:tcW w:w="827" w:type="dxa"/>
            <w:vMerge w:val="continue"/>
            <w:tcMar>
              <w:left w:w="108" w:type="dxa"/>
              <w:right w:w="108" w:type="dxa"/>
            </w:tcMar>
            <w:vAlign w:val="center"/>
          </w:tcPr>
          <w:p w14:paraId="373B7267">
            <w:pPr>
              <w:jc w:val="center"/>
              <w:rPr>
                <w:rFonts w:ascii="Times New Roman" w:hAnsi="Times New Roman" w:eastAsia="宋体" w:cs="Times New Roman"/>
                <w:bCs/>
                <w:szCs w:val="21"/>
                <w:highlight w:val="none"/>
              </w:rPr>
            </w:pPr>
          </w:p>
        </w:tc>
        <w:tc>
          <w:tcPr>
            <w:tcW w:w="1305" w:type="dxa"/>
            <w:gridSpan w:val="2"/>
            <w:tcMar>
              <w:left w:w="108" w:type="dxa"/>
              <w:right w:w="108" w:type="dxa"/>
            </w:tcMar>
            <w:vAlign w:val="center"/>
          </w:tcPr>
          <w:p w14:paraId="313805B8">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环境危害：</w:t>
            </w:r>
          </w:p>
        </w:tc>
        <w:tc>
          <w:tcPr>
            <w:tcW w:w="5524" w:type="dxa"/>
            <w:gridSpan w:val="5"/>
            <w:tcMar>
              <w:left w:w="108" w:type="dxa"/>
              <w:right w:w="108" w:type="dxa"/>
            </w:tcMar>
            <w:vAlign w:val="center"/>
          </w:tcPr>
          <w:p w14:paraId="7323A5B5">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对水生生物毒性非常大。</w:t>
            </w:r>
          </w:p>
        </w:tc>
      </w:tr>
      <w:tr w14:paraId="25220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507F79DD">
            <w:pPr>
              <w:jc w:val="center"/>
              <w:rPr>
                <w:rFonts w:ascii="Times New Roman" w:hAnsi="Times New Roman" w:eastAsia="宋体" w:cs="Times New Roman"/>
                <w:bCs/>
                <w:szCs w:val="21"/>
                <w:highlight w:val="none"/>
              </w:rPr>
            </w:pPr>
          </w:p>
        </w:tc>
        <w:tc>
          <w:tcPr>
            <w:tcW w:w="827" w:type="dxa"/>
            <w:vMerge w:val="continue"/>
            <w:tcMar>
              <w:left w:w="108" w:type="dxa"/>
              <w:right w:w="108" w:type="dxa"/>
            </w:tcMar>
            <w:vAlign w:val="center"/>
          </w:tcPr>
          <w:p w14:paraId="607DE1CC">
            <w:pPr>
              <w:jc w:val="center"/>
              <w:rPr>
                <w:rFonts w:ascii="Times New Roman" w:hAnsi="Times New Roman" w:eastAsia="宋体" w:cs="Times New Roman"/>
                <w:bCs/>
                <w:szCs w:val="21"/>
                <w:highlight w:val="none"/>
              </w:rPr>
            </w:pPr>
          </w:p>
        </w:tc>
        <w:tc>
          <w:tcPr>
            <w:tcW w:w="1305" w:type="dxa"/>
            <w:gridSpan w:val="2"/>
            <w:tcMar>
              <w:left w:w="108" w:type="dxa"/>
              <w:right w:w="108" w:type="dxa"/>
            </w:tcMar>
            <w:vAlign w:val="center"/>
          </w:tcPr>
          <w:p w14:paraId="282E886D">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成分/组成信息</w:t>
            </w:r>
          </w:p>
        </w:tc>
        <w:tc>
          <w:tcPr>
            <w:tcW w:w="5524" w:type="dxa"/>
            <w:gridSpan w:val="5"/>
            <w:tcMar>
              <w:left w:w="108" w:type="dxa"/>
              <w:right w:w="108" w:type="dxa"/>
            </w:tcMar>
            <w:vAlign w:val="center"/>
          </w:tcPr>
          <w:p w14:paraId="224EFB5A">
            <w:pPr>
              <w:jc w:val="center"/>
              <w:rPr>
                <w:rFonts w:ascii="Times New Roman" w:hAnsi="Times New Roman" w:eastAsia="宋体" w:cs="Times New Roman"/>
                <w:bCs/>
                <w:szCs w:val="21"/>
                <w:highlight w:val="none"/>
              </w:rPr>
            </w:pPr>
            <w:r>
              <w:rPr>
                <w:rFonts w:hint="eastAsia" w:ascii="Times New Roman" w:hAnsi="Times New Roman" w:eastAsia="宋体" w:cs="Times New Roman"/>
                <w:bCs/>
                <w:szCs w:val="21"/>
                <w:highlight w:val="none"/>
                <w:lang w:eastAsia="zh-CN"/>
              </w:rPr>
              <w:t>☑</w:t>
            </w:r>
            <w:r>
              <w:rPr>
                <w:rFonts w:ascii="Times New Roman" w:hAnsi="Times New Roman" w:eastAsia="宋体" w:cs="Times New Roman"/>
                <w:bCs/>
                <w:szCs w:val="21"/>
                <w:highlight w:val="none"/>
              </w:rPr>
              <w:t>物质</w:t>
            </w:r>
            <w:r>
              <w:rPr>
                <w:rFonts w:hint="eastAsia" w:cs="Times New Roman"/>
                <w:bCs/>
                <w:szCs w:val="21"/>
                <w:highlight w:val="none"/>
                <w:lang w:eastAsia="zh-CN"/>
              </w:rPr>
              <w:t>□</w:t>
            </w:r>
            <w:r>
              <w:rPr>
                <w:rFonts w:ascii="Times New Roman" w:hAnsi="Times New Roman" w:eastAsia="宋体" w:cs="Times New Roman"/>
                <w:bCs/>
                <w:szCs w:val="21"/>
                <w:highlight w:val="none"/>
              </w:rPr>
              <w:t>混合物</w:t>
            </w:r>
          </w:p>
        </w:tc>
      </w:tr>
      <w:tr w14:paraId="58524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restart"/>
            <w:tcMar>
              <w:left w:w="108" w:type="dxa"/>
              <w:right w:w="108" w:type="dxa"/>
            </w:tcMar>
            <w:vAlign w:val="center"/>
          </w:tcPr>
          <w:p w14:paraId="4560C951">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急救措施</w:t>
            </w:r>
          </w:p>
        </w:tc>
        <w:tc>
          <w:tcPr>
            <w:tcW w:w="827" w:type="dxa"/>
            <w:tcMar>
              <w:left w:w="108" w:type="dxa"/>
              <w:right w:w="108" w:type="dxa"/>
            </w:tcMar>
            <w:vAlign w:val="center"/>
          </w:tcPr>
          <w:p w14:paraId="4EC02AFB">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吸入：</w:t>
            </w:r>
          </w:p>
        </w:tc>
        <w:tc>
          <w:tcPr>
            <w:tcW w:w="6829" w:type="dxa"/>
            <w:gridSpan w:val="7"/>
            <w:tcMar>
              <w:left w:w="108" w:type="dxa"/>
              <w:right w:w="108" w:type="dxa"/>
            </w:tcMar>
            <w:vAlign w:val="center"/>
          </w:tcPr>
          <w:p w14:paraId="6A73CF24">
            <w:pPr>
              <w:jc w:val="center"/>
              <w:rPr>
                <w:rFonts w:hint="eastAsia" w:ascii="Times New Roman" w:hAnsi="Times New Roman" w:eastAsia="宋体" w:cs="Times New Roman"/>
                <w:bCs/>
                <w:szCs w:val="21"/>
                <w:highlight w:val="none"/>
                <w:lang w:eastAsia="zh-CN"/>
              </w:rPr>
            </w:pPr>
            <w:r>
              <w:rPr>
                <w:rFonts w:ascii="Times New Roman" w:hAnsi="Times New Roman" w:eastAsia="宋体" w:cs="Times New Roman"/>
                <w:bCs/>
                <w:szCs w:val="21"/>
                <w:highlight w:val="none"/>
              </w:rPr>
              <w:t>迅速脱离现场至空气新鲜处。保持呼吸道通畅。</w:t>
            </w:r>
            <w:r>
              <w:rPr>
                <w:rFonts w:hint="eastAsia" w:cs="Times New Roman"/>
                <w:bCs/>
                <w:szCs w:val="21"/>
                <w:highlight w:val="none"/>
                <w:lang w:eastAsia="zh-CN"/>
              </w:rPr>
              <w:t>如果患者感到呼吸困难，应该给患者输氧。如果</w:t>
            </w:r>
            <w:r>
              <w:rPr>
                <w:rFonts w:ascii="Times New Roman" w:hAnsi="Times New Roman" w:eastAsia="宋体" w:cs="Times New Roman"/>
                <w:bCs/>
                <w:szCs w:val="21"/>
                <w:highlight w:val="none"/>
              </w:rPr>
              <w:t>呼吸、心跳停止，</w:t>
            </w:r>
            <w:r>
              <w:rPr>
                <w:rFonts w:hint="eastAsia" w:cs="Times New Roman"/>
                <w:bCs/>
                <w:szCs w:val="21"/>
                <w:highlight w:val="none"/>
                <w:lang w:eastAsia="zh-CN"/>
              </w:rPr>
              <w:t>应</w:t>
            </w:r>
            <w:r>
              <w:rPr>
                <w:rFonts w:ascii="Times New Roman" w:hAnsi="Times New Roman" w:eastAsia="宋体" w:cs="Times New Roman"/>
                <w:bCs/>
                <w:szCs w:val="21"/>
                <w:highlight w:val="none"/>
              </w:rPr>
              <w:t>立即进行心肺复苏术</w:t>
            </w:r>
            <w:r>
              <w:rPr>
                <w:rFonts w:hint="eastAsia" w:cs="Times New Roman"/>
                <w:bCs/>
                <w:szCs w:val="21"/>
                <w:highlight w:val="none"/>
                <w:lang w:eastAsia="zh-CN"/>
              </w:rPr>
              <w:t>，并及时</w:t>
            </w:r>
            <w:r>
              <w:rPr>
                <w:rFonts w:ascii="Times New Roman" w:hAnsi="Times New Roman" w:eastAsia="宋体" w:cs="Times New Roman"/>
                <w:bCs/>
                <w:szCs w:val="21"/>
                <w:highlight w:val="none"/>
              </w:rPr>
              <w:t>就医</w:t>
            </w:r>
            <w:r>
              <w:rPr>
                <w:rFonts w:hint="eastAsia" w:cs="Times New Roman"/>
                <w:bCs/>
                <w:szCs w:val="21"/>
                <w:highlight w:val="none"/>
                <w:lang w:eastAsia="zh-CN"/>
              </w:rPr>
              <w:t>。</w:t>
            </w:r>
          </w:p>
        </w:tc>
      </w:tr>
      <w:tr w14:paraId="3241A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28C9B674">
            <w:pPr>
              <w:jc w:val="center"/>
              <w:rPr>
                <w:rFonts w:ascii="Times New Roman" w:hAnsi="Times New Roman" w:eastAsia="宋体" w:cs="Times New Roman"/>
                <w:bCs/>
                <w:szCs w:val="21"/>
                <w:highlight w:val="none"/>
              </w:rPr>
            </w:pPr>
          </w:p>
        </w:tc>
        <w:tc>
          <w:tcPr>
            <w:tcW w:w="827" w:type="dxa"/>
            <w:tcMar>
              <w:left w:w="108" w:type="dxa"/>
              <w:right w:w="108" w:type="dxa"/>
            </w:tcMar>
            <w:vAlign w:val="center"/>
          </w:tcPr>
          <w:p w14:paraId="4FC2545D">
            <w:pPr>
              <w:jc w:val="center"/>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皮肤接触</w:t>
            </w:r>
          </w:p>
        </w:tc>
        <w:tc>
          <w:tcPr>
            <w:tcW w:w="6829" w:type="dxa"/>
            <w:gridSpan w:val="7"/>
            <w:tcMar>
              <w:left w:w="108" w:type="dxa"/>
              <w:right w:w="108" w:type="dxa"/>
            </w:tcMar>
            <w:vAlign w:val="center"/>
          </w:tcPr>
          <w:p w14:paraId="51AB21A0">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立即脱去污染的衣物，用大量流动清水彻底冲洗至少15min就医。</w:t>
            </w:r>
          </w:p>
        </w:tc>
      </w:tr>
      <w:tr w14:paraId="3958F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32D4EF85">
            <w:pPr>
              <w:jc w:val="center"/>
              <w:rPr>
                <w:rFonts w:ascii="Times New Roman" w:hAnsi="Times New Roman" w:eastAsia="宋体" w:cs="Times New Roman"/>
                <w:bCs/>
                <w:szCs w:val="21"/>
                <w:highlight w:val="none"/>
              </w:rPr>
            </w:pPr>
          </w:p>
        </w:tc>
        <w:tc>
          <w:tcPr>
            <w:tcW w:w="827" w:type="dxa"/>
            <w:tcMar>
              <w:left w:w="108" w:type="dxa"/>
              <w:right w:w="108" w:type="dxa"/>
            </w:tcMar>
            <w:vAlign w:val="center"/>
          </w:tcPr>
          <w:p w14:paraId="5A25C3FB">
            <w:pPr>
              <w:jc w:val="center"/>
              <w:rPr>
                <w:rFonts w:hint="default"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眼睛接触</w:t>
            </w:r>
          </w:p>
        </w:tc>
        <w:tc>
          <w:tcPr>
            <w:tcW w:w="6829" w:type="dxa"/>
            <w:gridSpan w:val="7"/>
            <w:tcMar>
              <w:left w:w="108" w:type="dxa"/>
              <w:right w:w="108" w:type="dxa"/>
            </w:tcMar>
            <w:vAlign w:val="center"/>
          </w:tcPr>
          <w:p w14:paraId="1EF22C93">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立即分开眼睑，用流动清水或生理盐水彻底冲洗5~10min就医。</w:t>
            </w:r>
          </w:p>
        </w:tc>
      </w:tr>
      <w:tr w14:paraId="541CD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6703CC99">
            <w:pPr>
              <w:jc w:val="center"/>
              <w:rPr>
                <w:rFonts w:ascii="Times New Roman" w:hAnsi="Times New Roman" w:eastAsia="宋体" w:cs="Times New Roman"/>
                <w:bCs/>
                <w:szCs w:val="21"/>
                <w:highlight w:val="none"/>
              </w:rPr>
            </w:pPr>
          </w:p>
        </w:tc>
        <w:tc>
          <w:tcPr>
            <w:tcW w:w="827" w:type="dxa"/>
            <w:tcMar>
              <w:left w:w="108" w:type="dxa"/>
              <w:right w:w="108" w:type="dxa"/>
            </w:tcMar>
            <w:vAlign w:val="center"/>
          </w:tcPr>
          <w:p w14:paraId="26603A39">
            <w:pPr>
              <w:jc w:val="center"/>
              <w:rPr>
                <w:rFonts w:hint="default"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食入</w:t>
            </w:r>
          </w:p>
        </w:tc>
        <w:tc>
          <w:tcPr>
            <w:tcW w:w="6829" w:type="dxa"/>
            <w:gridSpan w:val="7"/>
            <w:tcMar>
              <w:left w:w="108" w:type="dxa"/>
              <w:right w:w="108" w:type="dxa"/>
            </w:tcMar>
            <w:vAlign w:val="center"/>
          </w:tcPr>
          <w:p w14:paraId="3852261F">
            <w:pPr>
              <w:jc w:val="center"/>
              <w:rPr>
                <w:rFonts w:hint="eastAsia" w:ascii="Times New Roman" w:hAnsi="Times New Roman" w:eastAsia="宋体" w:cs="Times New Roman"/>
                <w:bCs/>
                <w:szCs w:val="21"/>
                <w:highlight w:val="none"/>
                <w:lang w:val="en-US" w:eastAsia="zh-CN"/>
              </w:rPr>
            </w:pPr>
            <w:r>
              <w:rPr>
                <w:rFonts w:hint="eastAsia" w:cs="Times New Roman"/>
                <w:bCs/>
                <w:szCs w:val="21"/>
                <w:highlight w:val="none"/>
                <w:lang w:val="en-US" w:eastAsia="zh-CN"/>
              </w:rPr>
              <w:t>/</w:t>
            </w:r>
          </w:p>
        </w:tc>
      </w:tr>
      <w:tr w14:paraId="33217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restart"/>
            <w:tcMar>
              <w:left w:w="108" w:type="dxa"/>
              <w:right w:w="108" w:type="dxa"/>
            </w:tcMar>
            <w:vAlign w:val="center"/>
          </w:tcPr>
          <w:p w14:paraId="5356B0F2">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消防措施</w:t>
            </w:r>
          </w:p>
        </w:tc>
        <w:tc>
          <w:tcPr>
            <w:tcW w:w="827" w:type="dxa"/>
            <w:tcMar>
              <w:left w:w="108" w:type="dxa"/>
              <w:right w:w="108" w:type="dxa"/>
            </w:tcMar>
            <w:vAlign w:val="center"/>
          </w:tcPr>
          <w:p w14:paraId="6EC1FA65">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灭火剂：</w:t>
            </w:r>
          </w:p>
        </w:tc>
        <w:tc>
          <w:tcPr>
            <w:tcW w:w="6829" w:type="dxa"/>
            <w:gridSpan w:val="7"/>
            <w:tcMar>
              <w:left w:w="108" w:type="dxa"/>
              <w:right w:w="108" w:type="dxa"/>
            </w:tcMar>
            <w:vAlign w:val="center"/>
          </w:tcPr>
          <w:p w14:paraId="2B98DE70">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用雾状水、抗溶性泡沫、二氧化碳、砂土</w:t>
            </w:r>
            <w:r>
              <w:rPr>
                <w:rFonts w:hint="eastAsia" w:cs="Times New Roman"/>
                <w:bCs/>
                <w:szCs w:val="21"/>
                <w:highlight w:val="none"/>
                <w:lang w:eastAsia="zh-CN"/>
              </w:rPr>
              <w:t>等</w:t>
            </w:r>
            <w:r>
              <w:rPr>
                <w:rFonts w:ascii="Times New Roman" w:hAnsi="Times New Roman" w:eastAsia="宋体" w:cs="Times New Roman"/>
                <w:bCs/>
                <w:szCs w:val="21"/>
                <w:highlight w:val="none"/>
              </w:rPr>
              <w:t>灭火。</w:t>
            </w:r>
          </w:p>
        </w:tc>
      </w:tr>
      <w:tr w14:paraId="14129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56C92178">
            <w:pPr>
              <w:jc w:val="center"/>
              <w:rPr>
                <w:rFonts w:ascii="Times New Roman" w:hAnsi="Times New Roman" w:eastAsia="宋体" w:cs="Times New Roman"/>
                <w:bCs/>
                <w:szCs w:val="21"/>
                <w:highlight w:val="none"/>
              </w:rPr>
            </w:pPr>
          </w:p>
        </w:tc>
        <w:tc>
          <w:tcPr>
            <w:tcW w:w="827" w:type="dxa"/>
            <w:tcMar>
              <w:left w:w="108" w:type="dxa"/>
              <w:right w:w="108" w:type="dxa"/>
            </w:tcMar>
            <w:vAlign w:val="center"/>
          </w:tcPr>
          <w:p w14:paraId="33EB036E">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特别危险性：</w:t>
            </w:r>
          </w:p>
        </w:tc>
        <w:tc>
          <w:tcPr>
            <w:tcW w:w="6829" w:type="dxa"/>
            <w:gridSpan w:val="7"/>
            <w:tcMar>
              <w:left w:w="108" w:type="dxa"/>
              <w:right w:w="108" w:type="dxa"/>
            </w:tcMar>
            <w:vAlign w:val="center"/>
          </w:tcPr>
          <w:p w14:paraId="0B2993F8">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与氟、氯等接触会发生强烈的化学反应。燃烧</w:t>
            </w:r>
            <w:r>
              <w:rPr>
                <w:rFonts w:hint="eastAsia" w:cs="Times New Roman"/>
                <w:bCs/>
                <w:szCs w:val="21"/>
                <w:highlight w:val="none"/>
                <w:lang w:eastAsia="zh-CN"/>
              </w:rPr>
              <w:t>会</w:t>
            </w:r>
            <w:r>
              <w:rPr>
                <w:rFonts w:ascii="Times New Roman" w:hAnsi="Times New Roman" w:eastAsia="宋体" w:cs="Times New Roman"/>
                <w:bCs/>
                <w:szCs w:val="21"/>
                <w:highlight w:val="none"/>
              </w:rPr>
              <w:t>生成有害的氮氧化物。</w:t>
            </w:r>
          </w:p>
        </w:tc>
      </w:tr>
      <w:tr w14:paraId="69249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0" w:hRule="atLeast"/>
          <w:jc w:val="center"/>
        </w:trPr>
        <w:tc>
          <w:tcPr>
            <w:tcW w:w="791" w:type="dxa"/>
            <w:vMerge w:val="continue"/>
            <w:tcMar>
              <w:left w:w="108" w:type="dxa"/>
              <w:right w:w="108" w:type="dxa"/>
            </w:tcMar>
            <w:vAlign w:val="center"/>
          </w:tcPr>
          <w:p w14:paraId="5D164843">
            <w:pPr>
              <w:jc w:val="center"/>
              <w:rPr>
                <w:rFonts w:ascii="Times New Roman" w:hAnsi="Times New Roman" w:eastAsia="宋体" w:cs="Times New Roman"/>
                <w:bCs/>
                <w:szCs w:val="21"/>
                <w:highlight w:val="none"/>
              </w:rPr>
            </w:pPr>
          </w:p>
        </w:tc>
        <w:tc>
          <w:tcPr>
            <w:tcW w:w="7656" w:type="dxa"/>
            <w:gridSpan w:val="8"/>
            <w:tcMar>
              <w:left w:w="108" w:type="dxa"/>
              <w:right w:w="108" w:type="dxa"/>
            </w:tcMar>
            <w:vAlign w:val="center"/>
          </w:tcPr>
          <w:p w14:paraId="6BD9BD1B">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注意事项及防护措施：</w:t>
            </w:r>
          </w:p>
          <w:p w14:paraId="1E9FDFF5">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切断气源。若不能切断气源，则不允许熄灭泄漏处的火焰。消防人员必须佩戴空气呼吸器、穿全身防火防毒服，在上风向灭火。尽可能将容器从火场移至空旷处。喷水保持火场容器冷却，直至灭火结束。</w:t>
            </w:r>
          </w:p>
        </w:tc>
      </w:tr>
      <w:tr w14:paraId="42DED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5" w:hRule="atLeast"/>
          <w:jc w:val="center"/>
        </w:trPr>
        <w:tc>
          <w:tcPr>
            <w:tcW w:w="791" w:type="dxa"/>
            <w:tcMar>
              <w:left w:w="108" w:type="dxa"/>
              <w:right w:w="108" w:type="dxa"/>
            </w:tcMar>
            <w:vAlign w:val="center"/>
          </w:tcPr>
          <w:p w14:paraId="4CA8C663">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泄漏应急处理</w:t>
            </w:r>
          </w:p>
          <w:p w14:paraId="0AE45A96">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理</w:t>
            </w:r>
          </w:p>
        </w:tc>
        <w:tc>
          <w:tcPr>
            <w:tcW w:w="7656" w:type="dxa"/>
            <w:gridSpan w:val="8"/>
            <w:tcMar>
              <w:left w:w="108" w:type="dxa"/>
              <w:right w:w="108" w:type="dxa"/>
            </w:tcMar>
            <w:vAlign w:val="center"/>
          </w:tcPr>
          <w:p w14:paraId="252EEE53">
            <w:pPr>
              <w:jc w:val="left"/>
              <w:rPr>
                <w:rFonts w:ascii="Times New Roman" w:hAnsi="Times New Roman" w:eastAsia="宋体" w:cs="Times New Roman"/>
                <w:bCs/>
                <w:szCs w:val="21"/>
                <w:highlight w:val="none"/>
              </w:rPr>
            </w:pPr>
            <w:r>
              <w:rPr>
                <w:rFonts w:hint="eastAsia" w:cs="Times New Roman"/>
                <w:bCs/>
                <w:szCs w:val="21"/>
                <w:highlight w:val="none"/>
                <w:lang w:val="en-US" w:eastAsia="zh-CN"/>
              </w:rPr>
              <w:t>1.</w:t>
            </w:r>
            <w:r>
              <w:rPr>
                <w:rFonts w:ascii="Times New Roman" w:hAnsi="Times New Roman" w:eastAsia="宋体" w:cs="Times New Roman"/>
                <w:bCs/>
                <w:szCs w:val="21"/>
                <w:highlight w:val="none"/>
              </w:rPr>
              <w:t>作业人员防护措施、防护装备和应急处置程序：消除所有火源。根据气体的影响区域划定警戒区，</w:t>
            </w:r>
            <w:r>
              <w:rPr>
                <w:rFonts w:hint="eastAsia" w:cs="Times New Roman"/>
                <w:bCs/>
                <w:szCs w:val="21"/>
                <w:highlight w:val="none"/>
                <w:lang w:eastAsia="zh-CN"/>
              </w:rPr>
              <w:t>并将</w:t>
            </w:r>
            <w:r>
              <w:rPr>
                <w:rFonts w:ascii="Times New Roman" w:hAnsi="Times New Roman" w:eastAsia="宋体" w:cs="Times New Roman"/>
                <w:bCs/>
                <w:szCs w:val="21"/>
                <w:highlight w:val="none"/>
              </w:rPr>
              <w:t>无关人员从侧风、上风向撤离至安全区。建议应急处理人员穿内置正压自给式呼吸器的隔绝式防护服。如果是液化气体泄漏，还应注意防冻伤。尽可能切断泄漏源。</w:t>
            </w:r>
            <w:r>
              <w:rPr>
                <w:rFonts w:ascii="Times New Roman" w:hAnsi="Times New Roman" w:eastAsia="宋体" w:cs="Times New Roman"/>
                <w:bCs/>
                <w:szCs w:val="21"/>
                <w:highlight w:val="none"/>
              </w:rPr>
              <w:br w:type="textWrapping"/>
            </w:r>
            <w:r>
              <w:rPr>
                <w:rFonts w:hint="eastAsia" w:cs="Times New Roman"/>
                <w:bCs/>
                <w:szCs w:val="21"/>
                <w:highlight w:val="none"/>
                <w:lang w:val="en-US" w:eastAsia="zh-CN"/>
              </w:rPr>
              <w:t>2.</w:t>
            </w:r>
            <w:r>
              <w:rPr>
                <w:rFonts w:ascii="Times New Roman" w:hAnsi="Times New Roman" w:eastAsia="宋体" w:cs="Times New Roman"/>
                <w:bCs/>
                <w:szCs w:val="21"/>
                <w:highlight w:val="none"/>
              </w:rPr>
              <w:t>环境保护措施：</w:t>
            </w:r>
            <w:r>
              <w:rPr>
                <w:rFonts w:hint="eastAsia" w:cs="Times New Roman"/>
                <w:bCs/>
                <w:szCs w:val="21"/>
                <w:highlight w:val="none"/>
                <w:lang w:eastAsia="zh-CN"/>
              </w:rPr>
              <w:t>防止气体通过下水道、通风系统和有限空间等方式</w:t>
            </w:r>
            <w:r>
              <w:rPr>
                <w:rFonts w:ascii="Times New Roman" w:hAnsi="Times New Roman" w:eastAsia="宋体" w:cs="Times New Roman"/>
                <w:bCs/>
                <w:szCs w:val="21"/>
                <w:highlight w:val="none"/>
              </w:rPr>
              <w:t>扩散。</w:t>
            </w:r>
            <w:r>
              <w:rPr>
                <w:rFonts w:ascii="Times New Roman" w:hAnsi="Times New Roman" w:eastAsia="宋体" w:cs="Times New Roman"/>
                <w:bCs/>
                <w:szCs w:val="21"/>
                <w:highlight w:val="none"/>
              </w:rPr>
              <w:br w:type="textWrapping"/>
            </w:r>
            <w:r>
              <w:rPr>
                <w:rFonts w:hint="eastAsia" w:cs="Times New Roman"/>
                <w:bCs/>
                <w:szCs w:val="21"/>
                <w:highlight w:val="none"/>
                <w:lang w:val="en-US" w:eastAsia="zh-CN"/>
              </w:rPr>
              <w:t>3.</w:t>
            </w:r>
            <w:r>
              <w:rPr>
                <w:rFonts w:ascii="Times New Roman" w:hAnsi="Times New Roman" w:eastAsia="宋体" w:cs="Times New Roman"/>
                <w:bCs/>
                <w:szCs w:val="21"/>
                <w:highlight w:val="none"/>
              </w:rPr>
              <w:t>泄漏化学品的收容、清除方法及所使用的处置材料：若可能翻转容器，使之逸出气体而非液体。</w:t>
            </w:r>
            <w:r>
              <w:rPr>
                <w:rFonts w:hint="eastAsia" w:cs="Times New Roman"/>
                <w:bCs/>
                <w:szCs w:val="21"/>
                <w:highlight w:val="none"/>
                <w:lang w:eastAsia="zh-CN"/>
              </w:rPr>
              <w:t>采用</w:t>
            </w:r>
            <w:r>
              <w:rPr>
                <w:rFonts w:ascii="Times New Roman" w:hAnsi="Times New Roman" w:eastAsia="宋体" w:cs="Times New Roman"/>
                <w:bCs/>
                <w:szCs w:val="21"/>
                <w:highlight w:val="none"/>
              </w:rPr>
              <w:t>喷雾状水稀释</w:t>
            </w:r>
            <w:r>
              <w:rPr>
                <w:rFonts w:hint="eastAsia" w:cs="Times New Roman"/>
                <w:bCs/>
                <w:szCs w:val="21"/>
                <w:highlight w:val="none"/>
                <w:lang w:eastAsia="zh-CN"/>
              </w:rPr>
              <w:t>和</w:t>
            </w:r>
            <w:r>
              <w:rPr>
                <w:rFonts w:ascii="Times New Roman" w:hAnsi="Times New Roman" w:eastAsia="宋体" w:cs="Times New Roman"/>
                <w:bCs/>
                <w:szCs w:val="21"/>
                <w:highlight w:val="none"/>
              </w:rPr>
              <w:t>溶解，同时构筑围堤或挖坑收容产生的大量废水。如果钢瓶发生泄漏，无法关闭时可浸入水中。储罐区最好</w:t>
            </w:r>
            <w:r>
              <w:rPr>
                <w:rFonts w:hint="eastAsia" w:cs="Times New Roman"/>
                <w:bCs/>
                <w:szCs w:val="21"/>
                <w:highlight w:val="none"/>
                <w:lang w:eastAsia="zh-CN"/>
              </w:rPr>
              <w:t>设置</w:t>
            </w:r>
            <w:r>
              <w:rPr>
                <w:rFonts w:ascii="Times New Roman" w:hAnsi="Times New Roman" w:eastAsia="宋体" w:cs="Times New Roman"/>
                <w:bCs/>
                <w:szCs w:val="21"/>
                <w:highlight w:val="none"/>
              </w:rPr>
              <w:t>稀酸</w:t>
            </w:r>
            <w:r>
              <w:rPr>
                <w:rFonts w:hint="eastAsia" w:cs="Times New Roman"/>
                <w:bCs/>
                <w:szCs w:val="21"/>
                <w:highlight w:val="none"/>
                <w:lang w:eastAsia="zh-CN"/>
              </w:rPr>
              <w:t>喷洒</w:t>
            </w:r>
            <w:r>
              <w:rPr>
                <w:rFonts w:ascii="Times New Roman" w:hAnsi="Times New Roman" w:eastAsia="宋体" w:cs="Times New Roman"/>
                <w:bCs/>
                <w:szCs w:val="21"/>
                <w:highlight w:val="none"/>
              </w:rPr>
              <w:t>设施。隔离泄漏区直至气体散尽。</w:t>
            </w:r>
          </w:p>
        </w:tc>
      </w:tr>
      <w:tr w14:paraId="7534D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restart"/>
            <w:tcMar>
              <w:left w:w="108" w:type="dxa"/>
              <w:right w:w="108" w:type="dxa"/>
            </w:tcMar>
            <w:vAlign w:val="center"/>
          </w:tcPr>
          <w:p w14:paraId="3BDD4E59">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操作与储存</w:t>
            </w:r>
          </w:p>
        </w:tc>
        <w:tc>
          <w:tcPr>
            <w:tcW w:w="1367" w:type="dxa"/>
            <w:gridSpan w:val="2"/>
            <w:tcMar>
              <w:left w:w="108" w:type="dxa"/>
              <w:right w:w="108" w:type="dxa"/>
            </w:tcMar>
            <w:vAlign w:val="center"/>
          </w:tcPr>
          <w:p w14:paraId="255CDCF1">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操作注意事项：</w:t>
            </w:r>
          </w:p>
        </w:tc>
        <w:tc>
          <w:tcPr>
            <w:tcW w:w="6289" w:type="dxa"/>
            <w:gridSpan w:val="6"/>
            <w:tcMar>
              <w:left w:w="108" w:type="dxa"/>
              <w:right w:w="108" w:type="dxa"/>
            </w:tcMar>
            <w:vAlign w:val="center"/>
          </w:tcPr>
          <w:p w14:paraId="050046A2">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严加密闭，提供充分的局部排风和全面通风。操作人员必须经过专门培训，严格遵守操作规程。建议操作人员佩戴过滤式防毒面具（半面罩），戴化学安全防护眼镜，穿防静电工作服，戴橡胶手套。远离火种、热源。工作场所严禁吸烟。使用防爆型的通风系统和设备。防止气体泄漏到工作场所空气中。避免与氧化剂、酸类、碱类接触。搬运时轻装轻卸，防止钢瓶及附件破损。配备相应品种和数量的消防器材及泄漏应急处理设备。</w:t>
            </w:r>
          </w:p>
        </w:tc>
      </w:tr>
      <w:tr w14:paraId="0E2E6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0370AE9B">
            <w:pPr>
              <w:jc w:val="center"/>
              <w:rPr>
                <w:rFonts w:ascii="Times New Roman" w:hAnsi="Times New Roman" w:eastAsia="宋体" w:cs="Times New Roman"/>
                <w:bCs/>
                <w:szCs w:val="21"/>
                <w:highlight w:val="none"/>
              </w:rPr>
            </w:pPr>
          </w:p>
        </w:tc>
        <w:tc>
          <w:tcPr>
            <w:tcW w:w="1367" w:type="dxa"/>
            <w:gridSpan w:val="2"/>
            <w:tcMar>
              <w:left w:w="108" w:type="dxa"/>
              <w:right w:w="108" w:type="dxa"/>
            </w:tcMar>
            <w:vAlign w:val="center"/>
          </w:tcPr>
          <w:p w14:paraId="23CFFDD3">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储存注意事项：</w:t>
            </w:r>
          </w:p>
        </w:tc>
        <w:tc>
          <w:tcPr>
            <w:tcW w:w="6289" w:type="dxa"/>
            <w:gridSpan w:val="6"/>
            <w:tcMar>
              <w:left w:w="108" w:type="dxa"/>
              <w:right w:w="108" w:type="dxa"/>
            </w:tcMar>
            <w:vAlign w:val="center"/>
          </w:tcPr>
          <w:p w14:paraId="1750050C">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储存于阴凉、干燥、通风的有毒品专用库房。远离火种、热源。库温不宜超过30℃。应与氧化剂、酸类、碱类、食用化学品</w:t>
            </w:r>
            <w:r>
              <w:rPr>
                <w:rFonts w:hint="eastAsia" w:cs="Times New Roman"/>
                <w:bCs/>
                <w:szCs w:val="21"/>
                <w:highlight w:val="none"/>
                <w:lang w:eastAsia="zh-CN"/>
              </w:rPr>
              <w:t>等</w:t>
            </w:r>
            <w:r>
              <w:rPr>
                <w:rFonts w:ascii="Times New Roman" w:hAnsi="Times New Roman" w:eastAsia="宋体" w:cs="Times New Roman"/>
                <w:bCs/>
                <w:szCs w:val="21"/>
                <w:highlight w:val="none"/>
              </w:rPr>
              <w:t>分开存放，切忌混放。采用防爆型照明、通风设施。禁止使用易产生火花的机械设备和工具。储区应备有泄漏应急处理设备。</w:t>
            </w:r>
          </w:p>
        </w:tc>
      </w:tr>
      <w:tr w14:paraId="148D8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restart"/>
            <w:tcMar>
              <w:left w:w="108" w:type="dxa"/>
              <w:right w:w="108" w:type="dxa"/>
            </w:tcMar>
            <w:vAlign w:val="center"/>
          </w:tcPr>
          <w:p w14:paraId="4F9D6BC1">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接触控制和防护</w:t>
            </w:r>
          </w:p>
        </w:tc>
        <w:tc>
          <w:tcPr>
            <w:tcW w:w="1367" w:type="dxa"/>
            <w:gridSpan w:val="2"/>
            <w:tcMar>
              <w:left w:w="108" w:type="dxa"/>
              <w:right w:w="108" w:type="dxa"/>
            </w:tcMar>
            <w:vAlign w:val="center"/>
          </w:tcPr>
          <w:p w14:paraId="31BD8099">
            <w:pPr>
              <w:jc w:val="left"/>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职业接触限值：</w:t>
            </w:r>
          </w:p>
        </w:tc>
        <w:tc>
          <w:tcPr>
            <w:tcW w:w="1978" w:type="dxa"/>
            <w:gridSpan w:val="2"/>
            <w:tcMar>
              <w:left w:w="108" w:type="dxa"/>
              <w:right w:w="108" w:type="dxa"/>
            </w:tcMar>
            <w:vAlign w:val="center"/>
          </w:tcPr>
          <w:p w14:paraId="6816C66F">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PC-TWA:20mg/m</w:t>
            </w:r>
            <w:r>
              <w:rPr>
                <w:rFonts w:ascii="Times New Roman" w:hAnsi="Times New Roman" w:eastAsia="宋体" w:cs="Times New Roman"/>
                <w:bCs/>
                <w:szCs w:val="21"/>
                <w:highlight w:val="none"/>
                <w:vertAlign w:val="superscript"/>
              </w:rPr>
              <w:t>3</w:t>
            </w:r>
            <w:r>
              <w:rPr>
                <w:rFonts w:ascii="Times New Roman" w:hAnsi="Times New Roman" w:eastAsia="宋体" w:cs="Times New Roman"/>
                <w:bCs/>
                <w:szCs w:val="21"/>
                <w:highlight w:val="none"/>
              </w:rPr>
              <w:t>；</w:t>
            </w:r>
            <w:r>
              <w:rPr>
                <w:rFonts w:ascii="Times New Roman" w:hAnsi="Times New Roman" w:eastAsia="宋体" w:cs="Times New Roman"/>
                <w:bCs/>
                <w:szCs w:val="21"/>
                <w:highlight w:val="none"/>
              </w:rPr>
              <w:br w:type="textWrapping"/>
            </w:r>
            <w:r>
              <w:rPr>
                <w:rFonts w:ascii="Times New Roman" w:hAnsi="Times New Roman" w:eastAsia="宋体" w:cs="Times New Roman"/>
                <w:bCs/>
                <w:szCs w:val="21"/>
                <w:highlight w:val="none"/>
              </w:rPr>
              <w:t>PC-STEL:30mg/m</w:t>
            </w:r>
            <w:r>
              <w:rPr>
                <w:rFonts w:ascii="Times New Roman" w:hAnsi="Times New Roman" w:eastAsia="宋体" w:cs="Times New Roman"/>
                <w:bCs/>
                <w:szCs w:val="21"/>
                <w:highlight w:val="none"/>
                <w:vertAlign w:val="superscript"/>
              </w:rPr>
              <w:t>3</w:t>
            </w:r>
          </w:p>
        </w:tc>
        <w:tc>
          <w:tcPr>
            <w:tcW w:w="1540" w:type="dxa"/>
            <w:gridSpan w:val="2"/>
            <w:tcMar>
              <w:left w:w="108" w:type="dxa"/>
              <w:right w:w="108" w:type="dxa"/>
            </w:tcMar>
            <w:vAlign w:val="center"/>
          </w:tcPr>
          <w:p w14:paraId="28F1923C">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生物接触限值：</w:t>
            </w:r>
          </w:p>
        </w:tc>
        <w:tc>
          <w:tcPr>
            <w:tcW w:w="2771" w:type="dxa"/>
            <w:gridSpan w:val="2"/>
            <w:tcMar>
              <w:left w:w="108" w:type="dxa"/>
              <w:right w:w="108" w:type="dxa"/>
            </w:tcMar>
            <w:vAlign w:val="center"/>
          </w:tcPr>
          <w:p w14:paraId="1F1A8E81">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未制定标准</w:t>
            </w:r>
          </w:p>
        </w:tc>
      </w:tr>
      <w:tr w14:paraId="472F1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1BA6A4EB">
            <w:pPr>
              <w:jc w:val="center"/>
              <w:rPr>
                <w:rFonts w:ascii="Times New Roman" w:hAnsi="Times New Roman" w:eastAsia="宋体" w:cs="Times New Roman"/>
                <w:bCs/>
                <w:szCs w:val="21"/>
                <w:highlight w:val="none"/>
              </w:rPr>
            </w:pPr>
          </w:p>
        </w:tc>
        <w:tc>
          <w:tcPr>
            <w:tcW w:w="1367" w:type="dxa"/>
            <w:gridSpan w:val="2"/>
            <w:tcMar>
              <w:left w:w="108" w:type="dxa"/>
              <w:right w:w="108" w:type="dxa"/>
            </w:tcMar>
            <w:vAlign w:val="center"/>
          </w:tcPr>
          <w:p w14:paraId="419FB9A0">
            <w:pPr>
              <w:jc w:val="left"/>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监测方法：</w:t>
            </w:r>
          </w:p>
        </w:tc>
        <w:tc>
          <w:tcPr>
            <w:tcW w:w="6289" w:type="dxa"/>
            <w:gridSpan w:val="6"/>
            <w:tcMar>
              <w:left w:w="108" w:type="dxa"/>
              <w:right w:w="108" w:type="dxa"/>
            </w:tcMar>
            <w:vAlign w:val="center"/>
          </w:tcPr>
          <w:p w14:paraId="09C801CD">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空气中有毒物质测定方法：纳氏试剂分光光度法。生物监测检验方法：未制定标准</w:t>
            </w:r>
          </w:p>
        </w:tc>
      </w:tr>
      <w:tr w14:paraId="6A1FB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5BE10E91">
            <w:pPr>
              <w:jc w:val="center"/>
              <w:rPr>
                <w:rFonts w:ascii="Times New Roman" w:hAnsi="Times New Roman" w:eastAsia="宋体" w:cs="Times New Roman"/>
                <w:bCs/>
                <w:szCs w:val="21"/>
                <w:highlight w:val="none"/>
              </w:rPr>
            </w:pPr>
          </w:p>
        </w:tc>
        <w:tc>
          <w:tcPr>
            <w:tcW w:w="1367" w:type="dxa"/>
            <w:gridSpan w:val="2"/>
            <w:tcMar>
              <w:left w:w="108" w:type="dxa"/>
              <w:right w:w="108" w:type="dxa"/>
            </w:tcMar>
            <w:vAlign w:val="center"/>
          </w:tcPr>
          <w:p w14:paraId="281A6DEB">
            <w:pPr>
              <w:jc w:val="left"/>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工程控制：</w:t>
            </w:r>
          </w:p>
        </w:tc>
        <w:tc>
          <w:tcPr>
            <w:tcW w:w="6289" w:type="dxa"/>
            <w:gridSpan w:val="6"/>
            <w:tcMar>
              <w:left w:w="108" w:type="dxa"/>
              <w:right w:w="108" w:type="dxa"/>
            </w:tcMar>
            <w:vAlign w:val="center"/>
          </w:tcPr>
          <w:p w14:paraId="23412275">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严加密闭，提供充分的局部排风和全面通风。提供安全淋浴和洗眼设备。</w:t>
            </w:r>
          </w:p>
        </w:tc>
      </w:tr>
      <w:tr w14:paraId="58869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4D8137B3">
            <w:pPr>
              <w:jc w:val="center"/>
              <w:rPr>
                <w:rFonts w:ascii="Times New Roman" w:hAnsi="Times New Roman" w:eastAsia="宋体" w:cs="Times New Roman"/>
                <w:bCs/>
                <w:szCs w:val="21"/>
                <w:highlight w:val="none"/>
              </w:rPr>
            </w:pPr>
          </w:p>
        </w:tc>
        <w:tc>
          <w:tcPr>
            <w:tcW w:w="1367" w:type="dxa"/>
            <w:gridSpan w:val="2"/>
            <w:tcMar>
              <w:left w:w="108" w:type="dxa"/>
              <w:right w:w="108" w:type="dxa"/>
            </w:tcMar>
            <w:vAlign w:val="center"/>
          </w:tcPr>
          <w:p w14:paraId="704DE9B0">
            <w:pPr>
              <w:jc w:val="left"/>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个体防护装备：</w:t>
            </w:r>
          </w:p>
        </w:tc>
        <w:tc>
          <w:tcPr>
            <w:tcW w:w="6289" w:type="dxa"/>
            <w:gridSpan w:val="6"/>
            <w:tcMar>
              <w:left w:w="108" w:type="dxa"/>
              <w:right w:w="108" w:type="dxa"/>
            </w:tcMar>
            <w:vAlign w:val="center"/>
          </w:tcPr>
          <w:p w14:paraId="00DD5CF8">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呼吸系统防护：</w:t>
            </w:r>
            <w:r>
              <w:rPr>
                <w:rFonts w:hint="eastAsia" w:cs="Times New Roman"/>
                <w:bCs/>
                <w:szCs w:val="21"/>
                <w:highlight w:val="none"/>
                <w:lang w:eastAsia="zh-CN"/>
              </w:rPr>
              <w:t>在</w:t>
            </w:r>
            <w:r>
              <w:rPr>
                <w:rFonts w:ascii="Times New Roman" w:hAnsi="Times New Roman" w:eastAsia="宋体" w:cs="Times New Roman"/>
                <w:bCs/>
                <w:szCs w:val="21"/>
                <w:highlight w:val="none"/>
              </w:rPr>
              <w:t>空气中浓度超标</w:t>
            </w:r>
            <w:r>
              <w:rPr>
                <w:rFonts w:hint="eastAsia" w:cs="Times New Roman"/>
                <w:bCs/>
                <w:szCs w:val="21"/>
                <w:highlight w:val="none"/>
                <w:lang w:eastAsia="zh-CN"/>
              </w:rPr>
              <w:t>的情况下</w:t>
            </w:r>
            <w:r>
              <w:rPr>
                <w:rFonts w:ascii="Times New Roman" w:hAnsi="Times New Roman" w:eastAsia="宋体" w:cs="Times New Roman"/>
                <w:bCs/>
                <w:szCs w:val="21"/>
                <w:highlight w:val="none"/>
              </w:rPr>
              <w:t>，建议佩戴过滤式防毒面具（半面罩）。</w:t>
            </w:r>
            <w:r>
              <w:rPr>
                <w:rFonts w:ascii="Times New Roman" w:hAnsi="Times New Roman" w:eastAsia="宋体" w:cs="Times New Roman"/>
                <w:bCs/>
                <w:szCs w:val="21"/>
                <w:highlight w:val="none"/>
              </w:rPr>
              <w:br w:type="textWrapping"/>
            </w:r>
            <w:r>
              <w:rPr>
                <w:rFonts w:ascii="Times New Roman" w:hAnsi="Times New Roman" w:eastAsia="宋体" w:cs="Times New Roman"/>
                <w:bCs/>
                <w:szCs w:val="21"/>
                <w:highlight w:val="none"/>
              </w:rPr>
              <w:t>紧急事态抢救或撤离时，必须佩戴空气呼吸器。</w:t>
            </w:r>
            <w:r>
              <w:rPr>
                <w:rFonts w:ascii="Times New Roman" w:hAnsi="Times New Roman" w:eastAsia="宋体" w:cs="Times New Roman"/>
                <w:bCs/>
                <w:szCs w:val="21"/>
                <w:highlight w:val="none"/>
              </w:rPr>
              <w:br w:type="textWrapping"/>
            </w:r>
            <w:r>
              <w:rPr>
                <w:rFonts w:ascii="Times New Roman" w:hAnsi="Times New Roman" w:eastAsia="宋体" w:cs="Times New Roman"/>
                <w:bCs/>
                <w:szCs w:val="21"/>
                <w:highlight w:val="none"/>
              </w:rPr>
              <w:t>眼睛防护：戴化学安全防护眼镜。</w:t>
            </w:r>
            <w:r>
              <w:rPr>
                <w:rFonts w:ascii="Times New Roman" w:hAnsi="Times New Roman" w:eastAsia="宋体" w:cs="Times New Roman"/>
                <w:bCs/>
                <w:szCs w:val="21"/>
                <w:highlight w:val="none"/>
              </w:rPr>
              <w:br w:type="textWrapping"/>
            </w:r>
            <w:r>
              <w:rPr>
                <w:rFonts w:ascii="Times New Roman" w:hAnsi="Times New Roman" w:eastAsia="宋体" w:cs="Times New Roman"/>
                <w:bCs/>
                <w:szCs w:val="21"/>
                <w:highlight w:val="none"/>
              </w:rPr>
              <w:t>皮肤和身体防护：穿防静电工作服；处理液氨时，穿防寒</w:t>
            </w:r>
            <w:r>
              <w:rPr>
                <w:rFonts w:hint="eastAsia" w:cs="Times New Roman"/>
                <w:bCs/>
                <w:szCs w:val="21"/>
                <w:highlight w:val="none"/>
                <w:lang w:eastAsia="zh-CN"/>
              </w:rPr>
              <w:t>服</w:t>
            </w:r>
            <w:r>
              <w:rPr>
                <w:rFonts w:ascii="Times New Roman" w:hAnsi="Times New Roman" w:eastAsia="宋体" w:cs="Times New Roman"/>
                <w:bCs/>
                <w:szCs w:val="21"/>
                <w:highlight w:val="none"/>
              </w:rPr>
              <w:t>。</w:t>
            </w:r>
            <w:r>
              <w:rPr>
                <w:rFonts w:ascii="Times New Roman" w:hAnsi="Times New Roman" w:eastAsia="宋体" w:cs="Times New Roman"/>
                <w:bCs/>
                <w:szCs w:val="21"/>
                <w:highlight w:val="none"/>
              </w:rPr>
              <w:br w:type="textWrapping"/>
            </w:r>
            <w:r>
              <w:rPr>
                <w:rFonts w:ascii="Times New Roman" w:hAnsi="Times New Roman" w:eastAsia="宋体" w:cs="Times New Roman"/>
                <w:bCs/>
                <w:szCs w:val="21"/>
                <w:highlight w:val="none"/>
              </w:rPr>
              <w:t>手防护：戴橡胶手套。</w:t>
            </w:r>
          </w:p>
        </w:tc>
      </w:tr>
      <w:tr w14:paraId="532F8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restart"/>
            <w:tcMar>
              <w:left w:w="108" w:type="dxa"/>
              <w:right w:w="108" w:type="dxa"/>
            </w:tcMar>
            <w:vAlign w:val="center"/>
          </w:tcPr>
          <w:p w14:paraId="15230A85">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理化特性</w:t>
            </w:r>
          </w:p>
        </w:tc>
        <w:tc>
          <w:tcPr>
            <w:tcW w:w="1367" w:type="dxa"/>
            <w:gridSpan w:val="2"/>
            <w:tcMar>
              <w:left w:w="108" w:type="dxa"/>
              <w:right w:w="108" w:type="dxa"/>
            </w:tcMar>
            <w:vAlign w:val="center"/>
          </w:tcPr>
          <w:p w14:paraId="4EB8999E">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外观与性状：</w:t>
            </w:r>
          </w:p>
        </w:tc>
        <w:tc>
          <w:tcPr>
            <w:tcW w:w="6289" w:type="dxa"/>
            <w:gridSpan w:val="6"/>
            <w:tcMar>
              <w:left w:w="108" w:type="dxa"/>
              <w:right w:w="108" w:type="dxa"/>
            </w:tcMar>
            <w:vAlign w:val="center"/>
          </w:tcPr>
          <w:p w14:paraId="3C9C651E">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无色、有刺激性臭味的气体。</w:t>
            </w:r>
          </w:p>
        </w:tc>
      </w:tr>
      <w:tr w14:paraId="1836E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2DCB7726">
            <w:pPr>
              <w:jc w:val="center"/>
              <w:rPr>
                <w:rFonts w:ascii="Times New Roman" w:hAnsi="Times New Roman" w:eastAsia="宋体" w:cs="Times New Roman"/>
                <w:bCs/>
                <w:szCs w:val="21"/>
                <w:highlight w:val="none"/>
              </w:rPr>
            </w:pPr>
          </w:p>
        </w:tc>
        <w:tc>
          <w:tcPr>
            <w:tcW w:w="1367" w:type="dxa"/>
            <w:gridSpan w:val="2"/>
            <w:tcMar>
              <w:left w:w="108" w:type="dxa"/>
              <w:right w:w="108" w:type="dxa"/>
            </w:tcMar>
            <w:vAlign w:val="center"/>
          </w:tcPr>
          <w:p w14:paraId="37ABA1A8">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pH值：</w:t>
            </w:r>
          </w:p>
        </w:tc>
        <w:tc>
          <w:tcPr>
            <w:tcW w:w="1978" w:type="dxa"/>
            <w:gridSpan w:val="2"/>
            <w:tcMar>
              <w:left w:w="108" w:type="dxa"/>
              <w:right w:w="108" w:type="dxa"/>
            </w:tcMar>
            <w:vAlign w:val="center"/>
          </w:tcPr>
          <w:p w14:paraId="7F63CD66">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11.7（1%溶液）</w:t>
            </w:r>
          </w:p>
        </w:tc>
        <w:tc>
          <w:tcPr>
            <w:tcW w:w="1540" w:type="dxa"/>
            <w:gridSpan w:val="2"/>
            <w:tcMar>
              <w:left w:w="108" w:type="dxa"/>
              <w:right w:w="108" w:type="dxa"/>
            </w:tcMar>
            <w:vAlign w:val="center"/>
          </w:tcPr>
          <w:p w14:paraId="3658E1D5">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熔点（℃）：</w:t>
            </w:r>
          </w:p>
        </w:tc>
        <w:tc>
          <w:tcPr>
            <w:tcW w:w="2771" w:type="dxa"/>
            <w:gridSpan w:val="2"/>
            <w:tcMar>
              <w:left w:w="108" w:type="dxa"/>
              <w:right w:w="108" w:type="dxa"/>
            </w:tcMar>
            <w:vAlign w:val="center"/>
          </w:tcPr>
          <w:p w14:paraId="21F8485B">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-77.7</w:t>
            </w:r>
          </w:p>
        </w:tc>
      </w:tr>
      <w:tr w14:paraId="25761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4D3BB1E1">
            <w:pPr>
              <w:jc w:val="center"/>
              <w:rPr>
                <w:rFonts w:ascii="Times New Roman" w:hAnsi="Times New Roman" w:eastAsia="宋体" w:cs="Times New Roman"/>
                <w:bCs/>
                <w:szCs w:val="21"/>
                <w:highlight w:val="none"/>
              </w:rPr>
            </w:pPr>
          </w:p>
        </w:tc>
        <w:tc>
          <w:tcPr>
            <w:tcW w:w="1367" w:type="dxa"/>
            <w:gridSpan w:val="2"/>
            <w:tcMar>
              <w:left w:w="108" w:type="dxa"/>
              <w:right w:w="108" w:type="dxa"/>
            </w:tcMar>
            <w:vAlign w:val="center"/>
          </w:tcPr>
          <w:p w14:paraId="30AB157F">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沸点（℃）：</w:t>
            </w:r>
          </w:p>
        </w:tc>
        <w:tc>
          <w:tcPr>
            <w:tcW w:w="1978" w:type="dxa"/>
            <w:gridSpan w:val="2"/>
            <w:tcMar>
              <w:left w:w="108" w:type="dxa"/>
              <w:right w:w="108" w:type="dxa"/>
            </w:tcMar>
            <w:vAlign w:val="center"/>
          </w:tcPr>
          <w:p w14:paraId="4A0D0BBB">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-33.5</w:t>
            </w:r>
          </w:p>
        </w:tc>
        <w:tc>
          <w:tcPr>
            <w:tcW w:w="1540" w:type="dxa"/>
            <w:gridSpan w:val="2"/>
            <w:tcMar>
              <w:left w:w="108" w:type="dxa"/>
              <w:right w:w="108" w:type="dxa"/>
            </w:tcMar>
            <w:vAlign w:val="center"/>
          </w:tcPr>
          <w:p w14:paraId="5FD6E84A">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相对水密度（水=1）：</w:t>
            </w:r>
          </w:p>
        </w:tc>
        <w:tc>
          <w:tcPr>
            <w:tcW w:w="2771" w:type="dxa"/>
            <w:gridSpan w:val="2"/>
            <w:tcMar>
              <w:left w:w="108" w:type="dxa"/>
              <w:right w:w="108" w:type="dxa"/>
            </w:tcMar>
            <w:vAlign w:val="center"/>
          </w:tcPr>
          <w:p w14:paraId="51D0F6E6">
            <w:pPr>
              <w:jc w:val="center"/>
              <w:rPr>
                <w:rFonts w:hint="eastAsia" w:ascii="Times New Roman" w:hAnsi="Times New Roman" w:eastAsia="宋体" w:cs="Times New Roman"/>
                <w:bCs/>
                <w:szCs w:val="21"/>
                <w:highlight w:val="none"/>
                <w:lang w:eastAsia="zh-CN"/>
              </w:rPr>
            </w:pPr>
            <w:r>
              <w:rPr>
                <w:rFonts w:ascii="Times New Roman" w:hAnsi="Times New Roman" w:eastAsia="宋体" w:cs="Times New Roman"/>
                <w:bCs/>
                <w:szCs w:val="21"/>
                <w:highlight w:val="none"/>
              </w:rPr>
              <w:t>0.7</w:t>
            </w:r>
            <w:r>
              <w:rPr>
                <w:rFonts w:hint="eastAsia" w:cs="Times New Roman"/>
                <w:bCs/>
                <w:szCs w:val="21"/>
                <w:highlight w:val="none"/>
                <w:lang w:eastAsia="zh-CN"/>
              </w:rPr>
              <w:t>（</w:t>
            </w:r>
            <w:r>
              <w:rPr>
                <w:rFonts w:ascii="Times New Roman" w:hAnsi="Times New Roman" w:eastAsia="宋体" w:cs="Times New Roman"/>
                <w:bCs/>
                <w:szCs w:val="21"/>
                <w:highlight w:val="none"/>
              </w:rPr>
              <w:t>-33℃</w:t>
            </w:r>
            <w:r>
              <w:rPr>
                <w:rFonts w:hint="eastAsia" w:cs="Times New Roman"/>
                <w:bCs/>
                <w:szCs w:val="21"/>
                <w:highlight w:val="none"/>
                <w:lang w:eastAsia="zh-CN"/>
              </w:rPr>
              <w:t>）</w:t>
            </w:r>
          </w:p>
        </w:tc>
      </w:tr>
      <w:tr w14:paraId="24CB7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63E40E48">
            <w:pPr>
              <w:jc w:val="center"/>
              <w:rPr>
                <w:rFonts w:ascii="Times New Roman" w:hAnsi="Times New Roman" w:eastAsia="宋体" w:cs="Times New Roman"/>
                <w:bCs/>
                <w:szCs w:val="21"/>
                <w:highlight w:val="none"/>
              </w:rPr>
            </w:pPr>
          </w:p>
        </w:tc>
        <w:tc>
          <w:tcPr>
            <w:tcW w:w="3345" w:type="dxa"/>
            <w:gridSpan w:val="4"/>
            <w:tcMar>
              <w:left w:w="108" w:type="dxa"/>
              <w:right w:w="108" w:type="dxa"/>
            </w:tcMar>
            <w:vAlign w:val="center"/>
          </w:tcPr>
          <w:p w14:paraId="53EA041A">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相对空气密度（空气=1）：</w:t>
            </w:r>
          </w:p>
        </w:tc>
        <w:tc>
          <w:tcPr>
            <w:tcW w:w="4311" w:type="dxa"/>
            <w:gridSpan w:val="4"/>
            <w:tcMar>
              <w:left w:w="108" w:type="dxa"/>
              <w:right w:w="108" w:type="dxa"/>
            </w:tcMar>
            <w:vAlign w:val="center"/>
          </w:tcPr>
          <w:p w14:paraId="3CC6DA5F">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0.59</w:t>
            </w:r>
          </w:p>
        </w:tc>
      </w:tr>
      <w:tr w14:paraId="6CF8E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256A13CE">
            <w:pPr>
              <w:jc w:val="center"/>
              <w:rPr>
                <w:rFonts w:ascii="Times New Roman" w:hAnsi="Times New Roman" w:eastAsia="宋体" w:cs="Times New Roman"/>
                <w:bCs/>
                <w:szCs w:val="21"/>
                <w:highlight w:val="none"/>
              </w:rPr>
            </w:pPr>
          </w:p>
        </w:tc>
        <w:tc>
          <w:tcPr>
            <w:tcW w:w="1367" w:type="dxa"/>
            <w:gridSpan w:val="2"/>
            <w:tcMar>
              <w:left w:w="108" w:type="dxa"/>
              <w:right w:w="108" w:type="dxa"/>
            </w:tcMar>
            <w:vAlign w:val="center"/>
          </w:tcPr>
          <w:p w14:paraId="3A0B7412">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饱和蒸汽压（KPa）：</w:t>
            </w:r>
          </w:p>
        </w:tc>
        <w:tc>
          <w:tcPr>
            <w:tcW w:w="6289" w:type="dxa"/>
            <w:gridSpan w:val="6"/>
            <w:tcMar>
              <w:left w:w="108" w:type="dxa"/>
              <w:right w:w="108" w:type="dxa"/>
            </w:tcMar>
            <w:vAlign w:val="center"/>
          </w:tcPr>
          <w:p w14:paraId="315239FB">
            <w:pPr>
              <w:jc w:val="center"/>
              <w:rPr>
                <w:rFonts w:hint="eastAsia" w:ascii="Times New Roman" w:hAnsi="Times New Roman" w:eastAsia="宋体" w:cs="Times New Roman"/>
                <w:bCs/>
                <w:szCs w:val="21"/>
                <w:highlight w:val="none"/>
                <w:lang w:eastAsia="zh-CN"/>
              </w:rPr>
            </w:pPr>
            <w:r>
              <w:rPr>
                <w:rFonts w:ascii="Times New Roman" w:hAnsi="Times New Roman" w:eastAsia="宋体" w:cs="Times New Roman"/>
                <w:bCs/>
                <w:szCs w:val="21"/>
                <w:highlight w:val="none"/>
              </w:rPr>
              <w:t>506.62</w:t>
            </w:r>
            <w:r>
              <w:rPr>
                <w:rFonts w:hint="eastAsia" w:cs="Times New Roman"/>
                <w:bCs/>
                <w:szCs w:val="21"/>
                <w:highlight w:val="none"/>
                <w:lang w:eastAsia="zh-CN"/>
              </w:rPr>
              <w:t>（</w:t>
            </w:r>
            <w:r>
              <w:rPr>
                <w:rFonts w:ascii="Times New Roman" w:hAnsi="Times New Roman" w:eastAsia="宋体" w:cs="Times New Roman"/>
                <w:bCs/>
                <w:szCs w:val="21"/>
                <w:highlight w:val="none"/>
              </w:rPr>
              <w:t>4.7℃</w:t>
            </w:r>
            <w:r>
              <w:rPr>
                <w:rFonts w:hint="eastAsia" w:cs="Times New Roman"/>
                <w:bCs/>
                <w:szCs w:val="21"/>
                <w:highlight w:val="none"/>
                <w:lang w:eastAsia="zh-CN"/>
              </w:rPr>
              <w:t>）</w:t>
            </w:r>
          </w:p>
        </w:tc>
      </w:tr>
      <w:tr w14:paraId="3F764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0AA17337">
            <w:pPr>
              <w:jc w:val="center"/>
              <w:rPr>
                <w:rFonts w:ascii="Times New Roman" w:hAnsi="Times New Roman" w:eastAsia="宋体" w:cs="Times New Roman"/>
                <w:bCs/>
                <w:szCs w:val="21"/>
                <w:highlight w:val="none"/>
              </w:rPr>
            </w:pPr>
          </w:p>
        </w:tc>
        <w:tc>
          <w:tcPr>
            <w:tcW w:w="1367" w:type="dxa"/>
            <w:gridSpan w:val="2"/>
            <w:tcMar>
              <w:left w:w="108" w:type="dxa"/>
              <w:right w:w="108" w:type="dxa"/>
            </w:tcMar>
            <w:vAlign w:val="center"/>
          </w:tcPr>
          <w:p w14:paraId="13427909">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燃烧热（kJ/mol）：</w:t>
            </w:r>
          </w:p>
        </w:tc>
        <w:tc>
          <w:tcPr>
            <w:tcW w:w="1978" w:type="dxa"/>
            <w:gridSpan w:val="2"/>
            <w:tcMar>
              <w:left w:w="108" w:type="dxa"/>
              <w:right w:w="108" w:type="dxa"/>
            </w:tcMar>
            <w:vAlign w:val="center"/>
          </w:tcPr>
          <w:p w14:paraId="31ECB195">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316.25</w:t>
            </w:r>
          </w:p>
        </w:tc>
        <w:tc>
          <w:tcPr>
            <w:tcW w:w="1540" w:type="dxa"/>
            <w:gridSpan w:val="2"/>
            <w:tcMar>
              <w:left w:w="108" w:type="dxa"/>
              <w:right w:w="108" w:type="dxa"/>
            </w:tcMar>
            <w:vAlign w:val="center"/>
          </w:tcPr>
          <w:p w14:paraId="1434D6B9">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临界温度（℃）：</w:t>
            </w:r>
          </w:p>
        </w:tc>
        <w:tc>
          <w:tcPr>
            <w:tcW w:w="2771" w:type="dxa"/>
            <w:gridSpan w:val="2"/>
            <w:tcMar>
              <w:left w:w="108" w:type="dxa"/>
              <w:right w:w="108" w:type="dxa"/>
            </w:tcMar>
            <w:vAlign w:val="center"/>
          </w:tcPr>
          <w:p w14:paraId="4BC5F262">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132.5</w:t>
            </w:r>
          </w:p>
        </w:tc>
      </w:tr>
      <w:tr w14:paraId="02E3A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0B9B504F">
            <w:pPr>
              <w:jc w:val="center"/>
              <w:rPr>
                <w:rFonts w:ascii="Times New Roman" w:hAnsi="Times New Roman" w:eastAsia="宋体" w:cs="Times New Roman"/>
                <w:bCs/>
                <w:szCs w:val="21"/>
                <w:highlight w:val="none"/>
              </w:rPr>
            </w:pPr>
          </w:p>
        </w:tc>
        <w:tc>
          <w:tcPr>
            <w:tcW w:w="1367" w:type="dxa"/>
            <w:gridSpan w:val="2"/>
            <w:tcMar>
              <w:left w:w="108" w:type="dxa"/>
              <w:right w:w="108" w:type="dxa"/>
            </w:tcMar>
            <w:vAlign w:val="center"/>
          </w:tcPr>
          <w:p w14:paraId="1F5825D4">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临界压力（MPa）：</w:t>
            </w:r>
          </w:p>
        </w:tc>
        <w:tc>
          <w:tcPr>
            <w:tcW w:w="1978" w:type="dxa"/>
            <w:gridSpan w:val="2"/>
            <w:tcMar>
              <w:left w:w="108" w:type="dxa"/>
              <w:right w:w="108" w:type="dxa"/>
            </w:tcMar>
            <w:vAlign w:val="center"/>
          </w:tcPr>
          <w:p w14:paraId="3FC33C49">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11.40</w:t>
            </w:r>
          </w:p>
        </w:tc>
        <w:tc>
          <w:tcPr>
            <w:tcW w:w="1540" w:type="dxa"/>
            <w:gridSpan w:val="2"/>
            <w:tcMar>
              <w:left w:w="108" w:type="dxa"/>
              <w:right w:w="108" w:type="dxa"/>
            </w:tcMar>
            <w:vAlign w:val="center"/>
          </w:tcPr>
          <w:p w14:paraId="09085821">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辛醇/水分配系数：</w:t>
            </w:r>
          </w:p>
        </w:tc>
        <w:tc>
          <w:tcPr>
            <w:tcW w:w="2771" w:type="dxa"/>
            <w:gridSpan w:val="2"/>
            <w:tcMar>
              <w:left w:w="108" w:type="dxa"/>
              <w:right w:w="108" w:type="dxa"/>
            </w:tcMar>
            <w:vAlign w:val="center"/>
          </w:tcPr>
          <w:p w14:paraId="047BA0CA">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0.230</w:t>
            </w:r>
          </w:p>
        </w:tc>
      </w:tr>
      <w:tr w14:paraId="655C0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0F6EA41C">
            <w:pPr>
              <w:jc w:val="center"/>
              <w:rPr>
                <w:rFonts w:ascii="Times New Roman" w:hAnsi="Times New Roman" w:eastAsia="宋体" w:cs="Times New Roman"/>
                <w:bCs/>
                <w:szCs w:val="21"/>
                <w:highlight w:val="none"/>
              </w:rPr>
            </w:pPr>
          </w:p>
        </w:tc>
        <w:tc>
          <w:tcPr>
            <w:tcW w:w="1367" w:type="dxa"/>
            <w:gridSpan w:val="2"/>
            <w:tcMar>
              <w:left w:w="108" w:type="dxa"/>
              <w:right w:w="108" w:type="dxa"/>
            </w:tcMar>
            <w:vAlign w:val="center"/>
          </w:tcPr>
          <w:p w14:paraId="62151BD3">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闪点（℃）：</w:t>
            </w:r>
          </w:p>
        </w:tc>
        <w:tc>
          <w:tcPr>
            <w:tcW w:w="1978" w:type="dxa"/>
            <w:gridSpan w:val="2"/>
            <w:tcMar>
              <w:left w:w="108" w:type="dxa"/>
              <w:right w:w="108" w:type="dxa"/>
            </w:tcMar>
            <w:vAlign w:val="center"/>
          </w:tcPr>
          <w:p w14:paraId="5443301E">
            <w:pPr>
              <w:jc w:val="center"/>
              <w:rPr>
                <w:rFonts w:hint="eastAsia" w:ascii="Times New Roman" w:hAnsi="Times New Roman" w:eastAsia="宋体" w:cs="Times New Roman"/>
                <w:bCs/>
                <w:szCs w:val="21"/>
                <w:highlight w:val="none"/>
                <w:lang w:eastAsia="zh-CN"/>
              </w:rPr>
            </w:pPr>
            <w:r>
              <w:rPr>
                <w:rFonts w:ascii="Times New Roman" w:hAnsi="Times New Roman" w:eastAsia="宋体" w:cs="Times New Roman"/>
                <w:bCs/>
                <w:szCs w:val="21"/>
                <w:highlight w:val="none"/>
              </w:rPr>
              <w:t>-54</w:t>
            </w:r>
            <w:r>
              <w:rPr>
                <w:rFonts w:hint="eastAsia" w:cs="Times New Roman"/>
                <w:bCs/>
                <w:szCs w:val="21"/>
                <w:highlight w:val="none"/>
                <w:lang w:eastAsia="zh-CN"/>
              </w:rPr>
              <w:t>（</w:t>
            </w:r>
            <w:r>
              <w:rPr>
                <w:rFonts w:ascii="Times New Roman" w:hAnsi="Times New Roman" w:eastAsia="宋体" w:cs="Times New Roman"/>
                <w:bCs/>
                <w:szCs w:val="21"/>
                <w:highlight w:val="none"/>
              </w:rPr>
              <w:t>CC</w:t>
            </w:r>
            <w:r>
              <w:rPr>
                <w:rFonts w:hint="eastAsia" w:cs="Times New Roman"/>
                <w:bCs/>
                <w:szCs w:val="21"/>
                <w:highlight w:val="none"/>
                <w:lang w:eastAsia="zh-CN"/>
              </w:rPr>
              <w:t>）</w:t>
            </w:r>
          </w:p>
        </w:tc>
        <w:tc>
          <w:tcPr>
            <w:tcW w:w="1540" w:type="dxa"/>
            <w:gridSpan w:val="2"/>
            <w:tcMar>
              <w:left w:w="108" w:type="dxa"/>
              <w:right w:w="108" w:type="dxa"/>
            </w:tcMar>
            <w:vAlign w:val="center"/>
          </w:tcPr>
          <w:p w14:paraId="18D8F134">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自然温度（℃）：</w:t>
            </w:r>
          </w:p>
        </w:tc>
        <w:tc>
          <w:tcPr>
            <w:tcW w:w="2771" w:type="dxa"/>
            <w:gridSpan w:val="2"/>
            <w:tcMar>
              <w:left w:w="108" w:type="dxa"/>
              <w:right w:w="108" w:type="dxa"/>
            </w:tcMar>
            <w:vAlign w:val="center"/>
          </w:tcPr>
          <w:p w14:paraId="18A026F8">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651</w:t>
            </w:r>
          </w:p>
        </w:tc>
      </w:tr>
      <w:tr w14:paraId="19C76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08704690">
            <w:pPr>
              <w:jc w:val="center"/>
              <w:rPr>
                <w:rFonts w:ascii="Times New Roman" w:hAnsi="Times New Roman" w:eastAsia="宋体" w:cs="Times New Roman"/>
                <w:bCs/>
                <w:szCs w:val="21"/>
                <w:highlight w:val="none"/>
              </w:rPr>
            </w:pPr>
          </w:p>
        </w:tc>
        <w:tc>
          <w:tcPr>
            <w:tcW w:w="1367" w:type="dxa"/>
            <w:gridSpan w:val="2"/>
            <w:tcMar>
              <w:left w:w="108" w:type="dxa"/>
              <w:right w:w="108" w:type="dxa"/>
            </w:tcMar>
            <w:vAlign w:val="center"/>
          </w:tcPr>
          <w:p w14:paraId="46F0ECAB">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爆炸下限（%）：</w:t>
            </w:r>
          </w:p>
        </w:tc>
        <w:tc>
          <w:tcPr>
            <w:tcW w:w="1978" w:type="dxa"/>
            <w:gridSpan w:val="2"/>
            <w:tcMar>
              <w:left w:w="108" w:type="dxa"/>
              <w:right w:w="108" w:type="dxa"/>
            </w:tcMar>
            <w:vAlign w:val="center"/>
          </w:tcPr>
          <w:p w14:paraId="0D08FAA6">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15</w:t>
            </w:r>
          </w:p>
        </w:tc>
        <w:tc>
          <w:tcPr>
            <w:tcW w:w="1540" w:type="dxa"/>
            <w:gridSpan w:val="2"/>
            <w:tcMar>
              <w:left w:w="108" w:type="dxa"/>
              <w:right w:w="108" w:type="dxa"/>
            </w:tcMar>
            <w:vAlign w:val="center"/>
          </w:tcPr>
          <w:p w14:paraId="23B46857">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爆炸上限（%）：</w:t>
            </w:r>
          </w:p>
        </w:tc>
        <w:tc>
          <w:tcPr>
            <w:tcW w:w="2771" w:type="dxa"/>
            <w:gridSpan w:val="2"/>
            <w:tcMar>
              <w:left w:w="108" w:type="dxa"/>
              <w:right w:w="108" w:type="dxa"/>
            </w:tcMar>
            <w:vAlign w:val="center"/>
          </w:tcPr>
          <w:p w14:paraId="674D045E">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28</w:t>
            </w:r>
          </w:p>
        </w:tc>
      </w:tr>
      <w:tr w14:paraId="3000A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1E069473">
            <w:pPr>
              <w:jc w:val="center"/>
              <w:rPr>
                <w:rFonts w:ascii="Times New Roman" w:hAnsi="Times New Roman" w:eastAsia="宋体" w:cs="Times New Roman"/>
                <w:bCs/>
                <w:szCs w:val="21"/>
                <w:highlight w:val="none"/>
              </w:rPr>
            </w:pPr>
          </w:p>
        </w:tc>
        <w:tc>
          <w:tcPr>
            <w:tcW w:w="1367" w:type="dxa"/>
            <w:gridSpan w:val="2"/>
            <w:tcMar>
              <w:left w:w="108" w:type="dxa"/>
              <w:right w:w="108" w:type="dxa"/>
            </w:tcMar>
            <w:vAlign w:val="center"/>
          </w:tcPr>
          <w:p w14:paraId="2B33FEA2">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分解温度（℃）：</w:t>
            </w:r>
          </w:p>
        </w:tc>
        <w:tc>
          <w:tcPr>
            <w:tcW w:w="1978" w:type="dxa"/>
            <w:gridSpan w:val="2"/>
            <w:tcMar>
              <w:left w:w="108" w:type="dxa"/>
              <w:right w:w="108" w:type="dxa"/>
            </w:tcMar>
            <w:vAlign w:val="center"/>
          </w:tcPr>
          <w:p w14:paraId="2F7F5ECF">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无资料</w:t>
            </w:r>
          </w:p>
        </w:tc>
        <w:tc>
          <w:tcPr>
            <w:tcW w:w="1540" w:type="dxa"/>
            <w:gridSpan w:val="2"/>
            <w:tcMar>
              <w:left w:w="108" w:type="dxa"/>
              <w:right w:w="108" w:type="dxa"/>
            </w:tcMar>
            <w:vAlign w:val="center"/>
          </w:tcPr>
          <w:p w14:paraId="7E49E71A">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黏度（MPa·s）：</w:t>
            </w:r>
          </w:p>
        </w:tc>
        <w:tc>
          <w:tcPr>
            <w:tcW w:w="2771" w:type="dxa"/>
            <w:gridSpan w:val="2"/>
            <w:tcMar>
              <w:left w:w="108" w:type="dxa"/>
              <w:right w:w="108" w:type="dxa"/>
            </w:tcMar>
            <w:vAlign w:val="center"/>
          </w:tcPr>
          <w:p w14:paraId="6907C643">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无资料</w:t>
            </w:r>
          </w:p>
        </w:tc>
      </w:tr>
      <w:tr w14:paraId="050D1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30F6DF80">
            <w:pPr>
              <w:jc w:val="center"/>
              <w:rPr>
                <w:rFonts w:ascii="Times New Roman" w:hAnsi="Times New Roman" w:eastAsia="宋体" w:cs="Times New Roman"/>
                <w:bCs/>
                <w:szCs w:val="21"/>
                <w:highlight w:val="none"/>
              </w:rPr>
            </w:pPr>
          </w:p>
        </w:tc>
        <w:tc>
          <w:tcPr>
            <w:tcW w:w="1367" w:type="dxa"/>
            <w:gridSpan w:val="2"/>
            <w:tcMar>
              <w:left w:w="108" w:type="dxa"/>
              <w:right w:w="108" w:type="dxa"/>
            </w:tcMar>
            <w:vAlign w:val="center"/>
          </w:tcPr>
          <w:p w14:paraId="6ECA8BF4">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溶解性：</w:t>
            </w:r>
          </w:p>
        </w:tc>
        <w:tc>
          <w:tcPr>
            <w:tcW w:w="6289" w:type="dxa"/>
            <w:gridSpan w:val="6"/>
            <w:tcMar>
              <w:left w:w="108" w:type="dxa"/>
              <w:right w:w="108" w:type="dxa"/>
            </w:tcMar>
            <w:vAlign w:val="center"/>
          </w:tcPr>
          <w:p w14:paraId="7F66BF36">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易溶于水、乙醇</w:t>
            </w:r>
            <w:r>
              <w:rPr>
                <w:rFonts w:hint="eastAsia" w:cs="Times New Roman"/>
                <w:bCs/>
                <w:szCs w:val="21"/>
                <w:highlight w:val="none"/>
                <w:lang w:eastAsia="zh-CN"/>
              </w:rPr>
              <w:t>和</w:t>
            </w:r>
            <w:r>
              <w:rPr>
                <w:rFonts w:ascii="Times New Roman" w:hAnsi="Times New Roman" w:eastAsia="宋体" w:cs="Times New Roman"/>
                <w:bCs/>
                <w:szCs w:val="21"/>
                <w:highlight w:val="none"/>
              </w:rPr>
              <w:t>乙醚。</w:t>
            </w:r>
          </w:p>
        </w:tc>
      </w:tr>
      <w:tr w14:paraId="2846F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restart"/>
            <w:tcMar>
              <w:left w:w="108" w:type="dxa"/>
              <w:right w:w="108" w:type="dxa"/>
            </w:tcMar>
            <w:vAlign w:val="center"/>
          </w:tcPr>
          <w:p w14:paraId="506ABEE9">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稳定性和反应性</w:t>
            </w:r>
          </w:p>
        </w:tc>
        <w:tc>
          <w:tcPr>
            <w:tcW w:w="1367" w:type="dxa"/>
            <w:gridSpan w:val="2"/>
            <w:tcMar>
              <w:left w:w="108" w:type="dxa"/>
              <w:right w:w="108" w:type="dxa"/>
            </w:tcMar>
            <w:vAlign w:val="center"/>
          </w:tcPr>
          <w:p w14:paraId="66C083B4">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稳定性：</w:t>
            </w:r>
          </w:p>
        </w:tc>
        <w:tc>
          <w:tcPr>
            <w:tcW w:w="6289" w:type="dxa"/>
            <w:gridSpan w:val="6"/>
            <w:tcMar>
              <w:left w:w="108" w:type="dxa"/>
              <w:right w:w="108" w:type="dxa"/>
            </w:tcMar>
            <w:vAlign w:val="center"/>
          </w:tcPr>
          <w:p w14:paraId="49F88963">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稳定</w:t>
            </w:r>
          </w:p>
        </w:tc>
      </w:tr>
      <w:tr w14:paraId="5B8AD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285F81C2">
            <w:pPr>
              <w:jc w:val="center"/>
              <w:rPr>
                <w:rFonts w:ascii="Times New Roman" w:hAnsi="Times New Roman" w:eastAsia="宋体" w:cs="Times New Roman"/>
                <w:bCs/>
                <w:szCs w:val="21"/>
                <w:highlight w:val="none"/>
              </w:rPr>
            </w:pPr>
          </w:p>
        </w:tc>
        <w:tc>
          <w:tcPr>
            <w:tcW w:w="1367" w:type="dxa"/>
            <w:gridSpan w:val="2"/>
            <w:tcMar>
              <w:left w:w="108" w:type="dxa"/>
              <w:right w:w="108" w:type="dxa"/>
            </w:tcMar>
            <w:vAlign w:val="center"/>
          </w:tcPr>
          <w:p w14:paraId="7339FDDF">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危险性：</w:t>
            </w:r>
          </w:p>
        </w:tc>
        <w:tc>
          <w:tcPr>
            <w:tcW w:w="6289" w:type="dxa"/>
            <w:gridSpan w:val="6"/>
            <w:tcMar>
              <w:left w:w="108" w:type="dxa"/>
              <w:right w:w="108" w:type="dxa"/>
            </w:tcMar>
            <w:vAlign w:val="center"/>
          </w:tcPr>
          <w:p w14:paraId="7CCFAD62">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与强氧化剂、卤素、酸类等禁配物接触发生剧烈反应。</w:t>
            </w:r>
          </w:p>
        </w:tc>
      </w:tr>
      <w:tr w14:paraId="3CE6A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0533CF81">
            <w:pPr>
              <w:jc w:val="center"/>
              <w:rPr>
                <w:rFonts w:ascii="Times New Roman" w:hAnsi="Times New Roman" w:eastAsia="宋体" w:cs="Times New Roman"/>
                <w:bCs/>
                <w:szCs w:val="21"/>
                <w:highlight w:val="none"/>
              </w:rPr>
            </w:pPr>
          </w:p>
        </w:tc>
        <w:tc>
          <w:tcPr>
            <w:tcW w:w="1367" w:type="dxa"/>
            <w:gridSpan w:val="2"/>
            <w:tcMar>
              <w:left w:w="108" w:type="dxa"/>
              <w:right w:w="108" w:type="dxa"/>
            </w:tcMar>
            <w:vAlign w:val="center"/>
          </w:tcPr>
          <w:p w14:paraId="395379B5">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避免接触的条件：</w:t>
            </w:r>
          </w:p>
        </w:tc>
        <w:tc>
          <w:tcPr>
            <w:tcW w:w="6289" w:type="dxa"/>
            <w:gridSpan w:val="6"/>
            <w:tcMar>
              <w:left w:w="108" w:type="dxa"/>
              <w:right w:w="108" w:type="dxa"/>
            </w:tcMar>
            <w:vAlign w:val="center"/>
          </w:tcPr>
          <w:p w14:paraId="016305EF">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无资料</w:t>
            </w:r>
          </w:p>
        </w:tc>
      </w:tr>
      <w:tr w14:paraId="4D6BC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61B51FC2">
            <w:pPr>
              <w:jc w:val="center"/>
              <w:rPr>
                <w:rFonts w:ascii="Times New Roman" w:hAnsi="Times New Roman" w:eastAsia="宋体" w:cs="Times New Roman"/>
                <w:bCs/>
                <w:szCs w:val="21"/>
                <w:highlight w:val="none"/>
              </w:rPr>
            </w:pPr>
          </w:p>
        </w:tc>
        <w:tc>
          <w:tcPr>
            <w:tcW w:w="1367" w:type="dxa"/>
            <w:gridSpan w:val="2"/>
            <w:tcMar>
              <w:left w:w="108" w:type="dxa"/>
              <w:right w:w="108" w:type="dxa"/>
            </w:tcMar>
            <w:vAlign w:val="center"/>
          </w:tcPr>
          <w:p w14:paraId="29D870D2">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禁配物：</w:t>
            </w:r>
          </w:p>
        </w:tc>
        <w:tc>
          <w:tcPr>
            <w:tcW w:w="6289" w:type="dxa"/>
            <w:gridSpan w:val="6"/>
            <w:tcMar>
              <w:left w:w="108" w:type="dxa"/>
              <w:right w:w="108" w:type="dxa"/>
            </w:tcMar>
            <w:vAlign w:val="center"/>
          </w:tcPr>
          <w:p w14:paraId="3BD08C48">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卤素、酰基氯、氯仿、强氧化剂</w:t>
            </w:r>
          </w:p>
        </w:tc>
      </w:tr>
      <w:tr w14:paraId="3257D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024E56F2">
            <w:pPr>
              <w:jc w:val="center"/>
              <w:rPr>
                <w:rFonts w:ascii="Times New Roman" w:hAnsi="Times New Roman" w:eastAsia="宋体" w:cs="Times New Roman"/>
                <w:bCs/>
                <w:szCs w:val="21"/>
                <w:highlight w:val="none"/>
              </w:rPr>
            </w:pPr>
          </w:p>
        </w:tc>
        <w:tc>
          <w:tcPr>
            <w:tcW w:w="1367" w:type="dxa"/>
            <w:gridSpan w:val="2"/>
            <w:tcMar>
              <w:left w:w="108" w:type="dxa"/>
              <w:right w:w="108" w:type="dxa"/>
            </w:tcMar>
            <w:vAlign w:val="center"/>
          </w:tcPr>
          <w:p w14:paraId="5BF10F29">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危险的分解产物：</w:t>
            </w:r>
          </w:p>
        </w:tc>
        <w:tc>
          <w:tcPr>
            <w:tcW w:w="6289" w:type="dxa"/>
            <w:gridSpan w:val="6"/>
            <w:tcMar>
              <w:left w:w="108" w:type="dxa"/>
              <w:right w:w="108" w:type="dxa"/>
            </w:tcMar>
            <w:vAlign w:val="center"/>
          </w:tcPr>
          <w:p w14:paraId="55888F30">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无资料</w:t>
            </w:r>
          </w:p>
        </w:tc>
      </w:tr>
      <w:tr w14:paraId="5508F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restart"/>
            <w:tcMar>
              <w:left w:w="108" w:type="dxa"/>
              <w:right w:w="108" w:type="dxa"/>
            </w:tcMar>
            <w:vAlign w:val="center"/>
          </w:tcPr>
          <w:p w14:paraId="47BCAF83">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毒理学信息</w:t>
            </w:r>
          </w:p>
        </w:tc>
        <w:tc>
          <w:tcPr>
            <w:tcW w:w="1367" w:type="dxa"/>
            <w:gridSpan w:val="2"/>
            <w:tcMar>
              <w:left w:w="108" w:type="dxa"/>
              <w:right w:w="108" w:type="dxa"/>
            </w:tcMar>
            <w:vAlign w:val="center"/>
          </w:tcPr>
          <w:p w14:paraId="55EAF1F9">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急性中毒：</w:t>
            </w:r>
          </w:p>
        </w:tc>
        <w:tc>
          <w:tcPr>
            <w:tcW w:w="6289" w:type="dxa"/>
            <w:gridSpan w:val="6"/>
            <w:tcMar>
              <w:left w:w="108" w:type="dxa"/>
              <w:right w:w="108" w:type="dxa"/>
            </w:tcMar>
            <w:vAlign w:val="center"/>
          </w:tcPr>
          <w:p w14:paraId="3EF2B7C7">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LD4230ppm（小鼠吸入，1h）；2000ppm（大鼠吸入，4h）</w:t>
            </w:r>
            <w:r>
              <w:rPr>
                <w:rFonts w:hint="eastAsia" w:cs="Times New Roman"/>
                <w:bCs/>
                <w:szCs w:val="21"/>
                <w:highlight w:val="none"/>
                <w:lang w:eastAsia="zh-CN"/>
              </w:rPr>
              <w:t>；</w:t>
            </w:r>
            <w:r>
              <w:rPr>
                <w:rFonts w:ascii="Times New Roman" w:hAnsi="Times New Roman" w:eastAsia="宋体" w:cs="Times New Roman"/>
                <w:bCs/>
                <w:szCs w:val="21"/>
                <w:highlight w:val="none"/>
              </w:rPr>
              <w:t>LCLo：5000ppm（人吸入，5min）</w:t>
            </w:r>
          </w:p>
        </w:tc>
      </w:tr>
      <w:tr w14:paraId="4F500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60BC1008">
            <w:pPr>
              <w:jc w:val="center"/>
              <w:rPr>
                <w:rFonts w:ascii="Times New Roman" w:hAnsi="Times New Roman" w:eastAsia="宋体" w:cs="Times New Roman"/>
                <w:bCs/>
                <w:szCs w:val="21"/>
                <w:highlight w:val="none"/>
              </w:rPr>
            </w:pPr>
          </w:p>
        </w:tc>
        <w:tc>
          <w:tcPr>
            <w:tcW w:w="1367" w:type="dxa"/>
            <w:gridSpan w:val="2"/>
            <w:tcMar>
              <w:left w:w="108" w:type="dxa"/>
              <w:right w:w="108" w:type="dxa"/>
            </w:tcMar>
            <w:vAlign w:val="center"/>
          </w:tcPr>
          <w:p w14:paraId="7F526A1F">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皮肤刺激或腐蚀：</w:t>
            </w:r>
          </w:p>
        </w:tc>
        <w:tc>
          <w:tcPr>
            <w:tcW w:w="1978" w:type="dxa"/>
            <w:gridSpan w:val="2"/>
            <w:tcMar>
              <w:left w:w="108" w:type="dxa"/>
              <w:right w:w="108" w:type="dxa"/>
            </w:tcMar>
            <w:vAlign w:val="center"/>
          </w:tcPr>
          <w:p w14:paraId="6CE1D465">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无资料</w:t>
            </w:r>
          </w:p>
        </w:tc>
        <w:tc>
          <w:tcPr>
            <w:tcW w:w="1540" w:type="dxa"/>
            <w:gridSpan w:val="2"/>
            <w:tcMar>
              <w:left w:w="108" w:type="dxa"/>
              <w:right w:w="108" w:type="dxa"/>
            </w:tcMar>
            <w:vAlign w:val="center"/>
          </w:tcPr>
          <w:p w14:paraId="3725707F">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眼睛刺激或腐蚀：</w:t>
            </w:r>
          </w:p>
        </w:tc>
        <w:tc>
          <w:tcPr>
            <w:tcW w:w="2771" w:type="dxa"/>
            <w:gridSpan w:val="2"/>
            <w:tcMar>
              <w:left w:w="108" w:type="dxa"/>
              <w:right w:w="108" w:type="dxa"/>
            </w:tcMar>
            <w:vAlign w:val="center"/>
          </w:tcPr>
          <w:p w14:paraId="1093938D">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家兔经眼：100mg，重度刺激</w:t>
            </w:r>
          </w:p>
        </w:tc>
      </w:tr>
      <w:tr w14:paraId="3657B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2DAA6FD0">
            <w:pPr>
              <w:jc w:val="center"/>
              <w:rPr>
                <w:rFonts w:ascii="Times New Roman" w:hAnsi="Times New Roman" w:eastAsia="宋体" w:cs="Times New Roman"/>
                <w:bCs/>
                <w:szCs w:val="21"/>
                <w:highlight w:val="none"/>
              </w:rPr>
            </w:pPr>
          </w:p>
        </w:tc>
        <w:tc>
          <w:tcPr>
            <w:tcW w:w="1367" w:type="dxa"/>
            <w:gridSpan w:val="2"/>
            <w:tcMar>
              <w:left w:w="108" w:type="dxa"/>
              <w:right w:w="108" w:type="dxa"/>
            </w:tcMar>
            <w:vAlign w:val="center"/>
          </w:tcPr>
          <w:p w14:paraId="15F876A4">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呼吸</w:t>
            </w:r>
            <w:r>
              <w:rPr>
                <w:rFonts w:hint="eastAsia" w:cs="Times New Roman"/>
                <w:bCs/>
                <w:szCs w:val="21"/>
                <w:highlight w:val="none"/>
                <w:lang w:eastAsia="zh-CN"/>
              </w:rPr>
              <w:t>道</w:t>
            </w:r>
            <w:r>
              <w:rPr>
                <w:rFonts w:ascii="Times New Roman" w:hAnsi="Times New Roman" w:eastAsia="宋体" w:cs="Times New Roman"/>
                <w:bCs/>
                <w:szCs w:val="21"/>
                <w:highlight w:val="none"/>
              </w:rPr>
              <w:t>或皮肤过敏：</w:t>
            </w:r>
          </w:p>
        </w:tc>
        <w:tc>
          <w:tcPr>
            <w:tcW w:w="1978" w:type="dxa"/>
            <w:gridSpan w:val="2"/>
            <w:tcMar>
              <w:left w:w="108" w:type="dxa"/>
              <w:right w:w="108" w:type="dxa"/>
            </w:tcMar>
            <w:vAlign w:val="center"/>
          </w:tcPr>
          <w:p w14:paraId="3B0895FE">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无资料</w:t>
            </w:r>
          </w:p>
        </w:tc>
        <w:tc>
          <w:tcPr>
            <w:tcW w:w="1540" w:type="dxa"/>
            <w:gridSpan w:val="2"/>
            <w:tcMar>
              <w:left w:w="108" w:type="dxa"/>
              <w:right w:w="108" w:type="dxa"/>
            </w:tcMar>
            <w:vAlign w:val="center"/>
          </w:tcPr>
          <w:p w14:paraId="1B092858">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生殖细胞</w:t>
            </w:r>
            <w:r>
              <w:rPr>
                <w:rFonts w:hint="eastAsia" w:cs="Times New Roman"/>
                <w:bCs/>
                <w:szCs w:val="21"/>
                <w:highlight w:val="none"/>
                <w:lang w:eastAsia="zh-CN"/>
              </w:rPr>
              <w:t>致</w:t>
            </w:r>
            <w:r>
              <w:rPr>
                <w:rFonts w:ascii="Times New Roman" w:hAnsi="Times New Roman" w:eastAsia="宋体" w:cs="Times New Roman"/>
                <w:bCs/>
                <w:szCs w:val="21"/>
                <w:highlight w:val="none"/>
              </w:rPr>
              <w:t>突变性：</w:t>
            </w:r>
          </w:p>
        </w:tc>
        <w:tc>
          <w:tcPr>
            <w:tcW w:w="2771" w:type="dxa"/>
            <w:gridSpan w:val="2"/>
            <w:tcMar>
              <w:left w:w="108" w:type="dxa"/>
              <w:right w:w="108" w:type="dxa"/>
            </w:tcMar>
            <w:vAlign w:val="center"/>
          </w:tcPr>
          <w:p w14:paraId="39A7341B">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微生物</w:t>
            </w:r>
            <w:r>
              <w:rPr>
                <w:rFonts w:hint="eastAsia" w:cs="Times New Roman"/>
                <w:bCs/>
                <w:szCs w:val="21"/>
                <w:highlight w:val="none"/>
                <w:lang w:eastAsia="zh-CN"/>
              </w:rPr>
              <w:t>具有</w:t>
            </w:r>
            <w:r>
              <w:rPr>
                <w:rFonts w:ascii="Times New Roman" w:hAnsi="Times New Roman" w:eastAsia="宋体" w:cs="Times New Roman"/>
                <w:bCs/>
                <w:szCs w:val="21"/>
                <w:highlight w:val="none"/>
              </w:rPr>
              <w:t>致突变性。大肠杆菌1500μg/m</w:t>
            </w:r>
            <w:r>
              <w:rPr>
                <w:rFonts w:ascii="Times New Roman" w:hAnsi="Times New Roman" w:eastAsia="宋体" w:cs="Times New Roman"/>
                <w:bCs/>
                <w:szCs w:val="21"/>
                <w:highlight w:val="none"/>
                <w:vertAlign w:val="superscript"/>
              </w:rPr>
              <w:t>3</w:t>
            </w:r>
            <w:r>
              <w:rPr>
                <w:rFonts w:hint="eastAsia" w:cs="Times New Roman"/>
                <w:bCs/>
                <w:szCs w:val="21"/>
                <w:highlight w:val="none"/>
                <w:lang w:eastAsia="zh-CN"/>
              </w:rPr>
              <w:t>（</w:t>
            </w:r>
            <w:r>
              <w:rPr>
                <w:rFonts w:ascii="Times New Roman" w:hAnsi="Times New Roman" w:eastAsia="宋体" w:cs="Times New Roman"/>
                <w:bCs/>
                <w:szCs w:val="21"/>
                <w:highlight w:val="none"/>
              </w:rPr>
              <w:t>3h</w:t>
            </w:r>
            <w:r>
              <w:rPr>
                <w:rFonts w:hint="eastAsia" w:cs="Times New Roman"/>
                <w:bCs/>
                <w:szCs w:val="21"/>
                <w:highlight w:val="none"/>
                <w:lang w:eastAsia="zh-CN"/>
              </w:rPr>
              <w:t>）</w:t>
            </w:r>
            <w:r>
              <w:rPr>
                <w:rFonts w:ascii="Times New Roman" w:hAnsi="Times New Roman" w:eastAsia="宋体" w:cs="Times New Roman"/>
                <w:bCs/>
                <w:szCs w:val="21"/>
                <w:highlight w:val="none"/>
              </w:rPr>
              <w:t>。细胞遗传学分析：大鼠吸入19800μg/m</w:t>
            </w:r>
            <w:r>
              <w:rPr>
                <w:rFonts w:ascii="Times New Roman" w:hAnsi="Times New Roman" w:eastAsia="宋体" w:cs="Times New Roman"/>
                <w:bCs/>
                <w:szCs w:val="21"/>
                <w:highlight w:val="none"/>
                <w:vertAlign w:val="superscript"/>
              </w:rPr>
              <w:t>3</w:t>
            </w:r>
            <w:r>
              <w:rPr>
                <w:rFonts w:ascii="Times New Roman" w:hAnsi="Times New Roman" w:eastAsia="宋体" w:cs="Times New Roman"/>
                <w:bCs/>
                <w:szCs w:val="21"/>
                <w:highlight w:val="none"/>
              </w:rPr>
              <w:t>（16周）</w:t>
            </w:r>
          </w:p>
        </w:tc>
      </w:tr>
      <w:tr w14:paraId="4873D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7487F63A">
            <w:pPr>
              <w:jc w:val="center"/>
              <w:rPr>
                <w:rFonts w:ascii="Times New Roman" w:hAnsi="Times New Roman" w:eastAsia="宋体" w:cs="Times New Roman"/>
                <w:bCs/>
                <w:szCs w:val="21"/>
                <w:highlight w:val="none"/>
              </w:rPr>
            </w:pPr>
          </w:p>
        </w:tc>
        <w:tc>
          <w:tcPr>
            <w:tcW w:w="1367" w:type="dxa"/>
            <w:gridSpan w:val="2"/>
            <w:tcMar>
              <w:left w:w="108" w:type="dxa"/>
              <w:right w:w="108" w:type="dxa"/>
            </w:tcMar>
            <w:vAlign w:val="center"/>
          </w:tcPr>
          <w:p w14:paraId="7C609891">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致癌性：</w:t>
            </w:r>
          </w:p>
        </w:tc>
        <w:tc>
          <w:tcPr>
            <w:tcW w:w="1978" w:type="dxa"/>
            <w:gridSpan w:val="2"/>
            <w:tcMar>
              <w:left w:w="108" w:type="dxa"/>
              <w:right w:w="108" w:type="dxa"/>
            </w:tcMar>
            <w:vAlign w:val="center"/>
          </w:tcPr>
          <w:p w14:paraId="15165816">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无资料</w:t>
            </w:r>
          </w:p>
        </w:tc>
        <w:tc>
          <w:tcPr>
            <w:tcW w:w="1540" w:type="dxa"/>
            <w:gridSpan w:val="2"/>
            <w:tcMar>
              <w:left w:w="108" w:type="dxa"/>
              <w:right w:w="108" w:type="dxa"/>
            </w:tcMar>
            <w:vAlign w:val="center"/>
          </w:tcPr>
          <w:p w14:paraId="7ADB0EEF">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生殖毒性：</w:t>
            </w:r>
          </w:p>
        </w:tc>
        <w:tc>
          <w:tcPr>
            <w:tcW w:w="2771" w:type="dxa"/>
            <w:gridSpan w:val="2"/>
            <w:tcMar>
              <w:left w:w="108" w:type="dxa"/>
              <w:right w:w="108" w:type="dxa"/>
            </w:tcMar>
            <w:vAlign w:val="center"/>
          </w:tcPr>
          <w:p w14:paraId="7C90A3BD">
            <w:pPr>
              <w:jc w:val="center"/>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无资料</w:t>
            </w:r>
          </w:p>
        </w:tc>
      </w:tr>
      <w:tr w14:paraId="4278D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289411E3">
            <w:pPr>
              <w:jc w:val="center"/>
              <w:rPr>
                <w:highlight w:val="none"/>
              </w:rPr>
            </w:pPr>
          </w:p>
        </w:tc>
        <w:tc>
          <w:tcPr>
            <w:tcW w:w="1367" w:type="dxa"/>
            <w:gridSpan w:val="2"/>
            <w:tcMar>
              <w:left w:w="108" w:type="dxa"/>
              <w:right w:w="108" w:type="dxa"/>
            </w:tcMar>
            <w:vAlign w:val="center"/>
          </w:tcPr>
          <w:p w14:paraId="2E635C22">
            <w:pPr>
              <w:rPr>
                <w:highlight w:val="none"/>
              </w:rPr>
            </w:pPr>
            <w:r>
              <w:rPr>
                <w:highlight w:val="none"/>
              </w:rPr>
              <w:t>特异性靶器官系统毒性——一次接触：</w:t>
            </w:r>
          </w:p>
        </w:tc>
        <w:tc>
          <w:tcPr>
            <w:tcW w:w="6289" w:type="dxa"/>
            <w:gridSpan w:val="6"/>
            <w:tcMar>
              <w:left w:w="108" w:type="dxa"/>
              <w:right w:w="108" w:type="dxa"/>
            </w:tcMar>
            <w:vAlign w:val="center"/>
          </w:tcPr>
          <w:p w14:paraId="4D6DA665">
            <w:pPr>
              <w:jc w:val="center"/>
              <w:rPr>
                <w:highlight w:val="none"/>
              </w:rPr>
            </w:pPr>
            <w:r>
              <w:rPr>
                <w:highlight w:val="none"/>
              </w:rPr>
              <w:t>无资料</w:t>
            </w:r>
          </w:p>
        </w:tc>
      </w:tr>
      <w:tr w14:paraId="327A0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08B739F5">
            <w:pPr>
              <w:jc w:val="center"/>
              <w:rPr>
                <w:highlight w:val="none"/>
              </w:rPr>
            </w:pPr>
          </w:p>
        </w:tc>
        <w:tc>
          <w:tcPr>
            <w:tcW w:w="1367" w:type="dxa"/>
            <w:gridSpan w:val="2"/>
            <w:tcMar>
              <w:left w:w="108" w:type="dxa"/>
              <w:right w:w="108" w:type="dxa"/>
            </w:tcMar>
            <w:vAlign w:val="center"/>
          </w:tcPr>
          <w:p w14:paraId="2912E31C">
            <w:pPr>
              <w:jc w:val="center"/>
              <w:rPr>
                <w:highlight w:val="none"/>
              </w:rPr>
            </w:pPr>
            <w:r>
              <w:rPr>
                <w:highlight w:val="none"/>
              </w:rPr>
              <w:t>特异性靶器官系统毒性——反复接触：</w:t>
            </w:r>
          </w:p>
        </w:tc>
        <w:tc>
          <w:tcPr>
            <w:tcW w:w="6289" w:type="dxa"/>
            <w:gridSpan w:val="6"/>
            <w:tcMar>
              <w:left w:w="108" w:type="dxa"/>
              <w:right w:w="108" w:type="dxa"/>
            </w:tcMar>
            <w:vAlign w:val="center"/>
          </w:tcPr>
          <w:p w14:paraId="7A98DF46">
            <w:pPr>
              <w:jc w:val="center"/>
              <w:rPr>
                <w:highlight w:val="none"/>
              </w:rPr>
            </w:pPr>
            <w:r>
              <w:rPr>
                <w:highlight w:val="none"/>
              </w:rPr>
              <w:t>大鼠，20mg/m</w:t>
            </w:r>
            <w:r>
              <w:rPr>
                <w:highlight w:val="none"/>
                <w:vertAlign w:val="superscript"/>
              </w:rPr>
              <w:t>3</w:t>
            </w:r>
            <w:r>
              <w:rPr>
                <w:highlight w:val="none"/>
              </w:rPr>
              <w:t>，每天24h，84d，或每天5~6h，7个月，出现神经系统功能紊乱。</w:t>
            </w:r>
          </w:p>
        </w:tc>
      </w:tr>
      <w:tr w14:paraId="29502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6B412C5D">
            <w:pPr>
              <w:jc w:val="center"/>
              <w:rPr>
                <w:highlight w:val="none"/>
              </w:rPr>
            </w:pPr>
          </w:p>
        </w:tc>
        <w:tc>
          <w:tcPr>
            <w:tcW w:w="1367" w:type="dxa"/>
            <w:gridSpan w:val="2"/>
            <w:tcMar>
              <w:left w:w="108" w:type="dxa"/>
              <w:right w:w="108" w:type="dxa"/>
            </w:tcMar>
            <w:vAlign w:val="center"/>
          </w:tcPr>
          <w:p w14:paraId="5A820175">
            <w:pPr>
              <w:jc w:val="center"/>
              <w:rPr>
                <w:highlight w:val="none"/>
              </w:rPr>
            </w:pPr>
            <w:r>
              <w:rPr>
                <w:highlight w:val="none"/>
              </w:rPr>
              <w:t>吸入危害：</w:t>
            </w:r>
          </w:p>
        </w:tc>
        <w:tc>
          <w:tcPr>
            <w:tcW w:w="6289" w:type="dxa"/>
            <w:gridSpan w:val="6"/>
            <w:tcMar>
              <w:left w:w="108" w:type="dxa"/>
              <w:right w:w="108" w:type="dxa"/>
            </w:tcMar>
            <w:vAlign w:val="center"/>
          </w:tcPr>
          <w:p w14:paraId="48384BBF">
            <w:pPr>
              <w:jc w:val="center"/>
              <w:rPr>
                <w:highlight w:val="none"/>
              </w:rPr>
            </w:pPr>
            <w:r>
              <w:rPr>
                <w:highlight w:val="none"/>
              </w:rPr>
              <w:t>无资料</w:t>
            </w:r>
          </w:p>
        </w:tc>
      </w:tr>
      <w:tr w14:paraId="3D932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restart"/>
            <w:tcMar>
              <w:left w:w="108" w:type="dxa"/>
              <w:right w:w="108" w:type="dxa"/>
            </w:tcMar>
            <w:vAlign w:val="center"/>
          </w:tcPr>
          <w:p w14:paraId="6450D139">
            <w:pPr>
              <w:jc w:val="center"/>
              <w:rPr>
                <w:highlight w:val="none"/>
              </w:rPr>
            </w:pPr>
            <w:r>
              <w:rPr>
                <w:highlight w:val="none"/>
              </w:rPr>
              <w:t>生态学信息</w:t>
            </w:r>
          </w:p>
        </w:tc>
        <w:tc>
          <w:tcPr>
            <w:tcW w:w="1367" w:type="dxa"/>
            <w:gridSpan w:val="2"/>
            <w:tcMar>
              <w:left w:w="108" w:type="dxa"/>
              <w:right w:w="108" w:type="dxa"/>
            </w:tcMar>
            <w:vAlign w:val="center"/>
          </w:tcPr>
          <w:p w14:paraId="79B6C6E6">
            <w:pPr>
              <w:jc w:val="center"/>
              <w:rPr>
                <w:highlight w:val="none"/>
              </w:rPr>
            </w:pPr>
            <w:r>
              <w:rPr>
                <w:highlight w:val="none"/>
              </w:rPr>
              <w:t>生态毒性：</w:t>
            </w:r>
          </w:p>
        </w:tc>
        <w:tc>
          <w:tcPr>
            <w:tcW w:w="6289" w:type="dxa"/>
            <w:gridSpan w:val="6"/>
            <w:tcMar>
              <w:left w:w="108" w:type="dxa"/>
              <w:right w:w="108" w:type="dxa"/>
            </w:tcMar>
            <w:vAlign w:val="center"/>
          </w:tcPr>
          <w:p w14:paraId="0B5B62E6">
            <w:pPr>
              <w:jc w:val="center"/>
              <w:rPr>
                <w:highlight w:val="none"/>
              </w:rPr>
            </w:pPr>
            <w:r>
              <w:rPr>
                <w:highlight w:val="none"/>
              </w:rPr>
              <w:t>生态毒性LC50:3.58mg/1</w:t>
            </w:r>
            <w:r>
              <w:rPr>
                <w:rFonts w:hint="eastAsia"/>
                <w:highlight w:val="none"/>
                <w:lang w:eastAsia="zh-CN"/>
              </w:rPr>
              <w:t>（</w:t>
            </w:r>
            <w:r>
              <w:rPr>
                <w:highlight w:val="none"/>
              </w:rPr>
              <w:t>24h</w:t>
            </w:r>
            <w:r>
              <w:rPr>
                <w:rFonts w:hint="eastAsia"/>
                <w:highlight w:val="none"/>
                <w:lang w:eastAsia="zh-CN"/>
              </w:rPr>
              <w:t>）</w:t>
            </w:r>
            <w:r>
              <w:rPr>
                <w:highlight w:val="none"/>
              </w:rPr>
              <w:t>（彩鲑，已受精的）；3.58mg/L</w:t>
            </w:r>
            <w:r>
              <w:rPr>
                <w:rFonts w:hint="eastAsia"/>
                <w:highlight w:val="none"/>
                <w:lang w:eastAsia="zh-CN"/>
              </w:rPr>
              <w:t>（</w:t>
            </w:r>
            <w:r>
              <w:rPr>
                <w:highlight w:val="none"/>
              </w:rPr>
              <w:t>24h</w:t>
            </w:r>
            <w:r>
              <w:rPr>
                <w:rFonts w:hint="eastAsia"/>
                <w:highlight w:val="none"/>
                <w:lang w:eastAsia="zh-CN"/>
              </w:rPr>
              <w:t>）</w:t>
            </w:r>
            <w:r>
              <w:rPr>
                <w:highlight w:val="none"/>
              </w:rPr>
              <w:t>（彩鲑，幼年的）；0.068mg/L</w:t>
            </w:r>
            <w:r>
              <w:rPr>
                <w:rFonts w:hint="eastAsia"/>
                <w:highlight w:val="none"/>
                <w:lang w:eastAsia="zh-CN"/>
              </w:rPr>
              <w:t>（</w:t>
            </w:r>
            <w:r>
              <w:rPr>
                <w:highlight w:val="none"/>
              </w:rPr>
              <w:t>24h</w:t>
            </w:r>
            <w:r>
              <w:rPr>
                <w:rFonts w:hint="eastAsia"/>
                <w:highlight w:val="none"/>
                <w:lang w:eastAsia="zh-CN"/>
              </w:rPr>
              <w:t>）</w:t>
            </w:r>
            <w:r>
              <w:rPr>
                <w:highlight w:val="none"/>
              </w:rPr>
              <w:t>（彩鲑，85d的鱼苗）；0.097mg/L</w:t>
            </w:r>
            <w:r>
              <w:rPr>
                <w:rFonts w:hint="eastAsia"/>
                <w:highlight w:val="none"/>
                <w:lang w:eastAsia="zh-CN"/>
              </w:rPr>
              <w:t>（</w:t>
            </w:r>
            <w:r>
              <w:rPr>
                <w:highlight w:val="none"/>
              </w:rPr>
              <w:t>24h</w:t>
            </w:r>
            <w:r>
              <w:rPr>
                <w:rFonts w:hint="eastAsia"/>
                <w:highlight w:val="none"/>
                <w:lang w:eastAsia="zh-CN"/>
              </w:rPr>
              <w:t>）</w:t>
            </w:r>
            <w:r>
              <w:rPr>
                <w:highlight w:val="none"/>
              </w:rPr>
              <w:t>（彩鲑，成年的）；24mg/L</w:t>
            </w:r>
            <w:r>
              <w:rPr>
                <w:rFonts w:hint="eastAsia"/>
                <w:highlight w:val="none"/>
                <w:lang w:eastAsia="zh-CN"/>
              </w:rPr>
              <w:t>（</w:t>
            </w:r>
            <w:r>
              <w:rPr>
                <w:highlight w:val="none"/>
              </w:rPr>
              <w:t>48h）（水蚤）</w:t>
            </w:r>
          </w:p>
        </w:tc>
      </w:tr>
      <w:tr w14:paraId="6B184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03460D0A">
            <w:pPr>
              <w:rPr>
                <w:highlight w:val="none"/>
              </w:rPr>
            </w:pPr>
          </w:p>
        </w:tc>
        <w:tc>
          <w:tcPr>
            <w:tcW w:w="1367" w:type="dxa"/>
            <w:gridSpan w:val="2"/>
            <w:tcMar>
              <w:left w:w="108" w:type="dxa"/>
              <w:right w:w="108" w:type="dxa"/>
            </w:tcMar>
            <w:vAlign w:val="center"/>
          </w:tcPr>
          <w:p w14:paraId="3C749E45">
            <w:pPr>
              <w:jc w:val="center"/>
              <w:rPr>
                <w:highlight w:val="none"/>
              </w:rPr>
            </w:pPr>
            <w:r>
              <w:rPr>
                <w:highlight w:val="none"/>
              </w:rPr>
              <w:t>持久性和降解性：</w:t>
            </w:r>
          </w:p>
        </w:tc>
        <w:tc>
          <w:tcPr>
            <w:tcW w:w="6289" w:type="dxa"/>
            <w:gridSpan w:val="6"/>
            <w:tcMar>
              <w:left w:w="108" w:type="dxa"/>
              <w:right w:w="108" w:type="dxa"/>
            </w:tcMar>
            <w:vAlign w:val="center"/>
          </w:tcPr>
          <w:p w14:paraId="638C3D4C">
            <w:pPr>
              <w:jc w:val="center"/>
              <w:rPr>
                <w:highlight w:val="none"/>
              </w:rPr>
            </w:pPr>
            <w:r>
              <w:rPr>
                <w:highlight w:val="none"/>
              </w:rPr>
              <w:t>生物</w:t>
            </w:r>
            <w:r>
              <w:rPr>
                <w:rFonts w:hint="eastAsia"/>
                <w:highlight w:val="none"/>
                <w:lang w:eastAsia="zh-CN"/>
              </w:rPr>
              <w:t>可</w:t>
            </w:r>
            <w:r>
              <w:rPr>
                <w:highlight w:val="none"/>
              </w:rPr>
              <w:t>降解性：无资料</w:t>
            </w:r>
            <w:r>
              <w:rPr>
                <w:rFonts w:hint="eastAsia"/>
                <w:highlight w:val="none"/>
                <w:lang w:eastAsia="zh-CN"/>
              </w:rPr>
              <w:t>。</w:t>
            </w:r>
            <w:r>
              <w:rPr>
                <w:highlight w:val="none"/>
              </w:rPr>
              <w:br w:type="textWrapping"/>
            </w:r>
            <w:r>
              <w:rPr>
                <w:highlight w:val="none"/>
              </w:rPr>
              <w:t>非生物</w:t>
            </w:r>
            <w:r>
              <w:rPr>
                <w:rFonts w:hint="eastAsia"/>
                <w:highlight w:val="none"/>
                <w:lang w:eastAsia="zh-CN"/>
              </w:rPr>
              <w:t>可</w:t>
            </w:r>
            <w:r>
              <w:rPr>
                <w:highlight w:val="none"/>
              </w:rPr>
              <w:t>降解性：能被臭氧氧化，反应速度与氨的浓度成正比例关系，当pH值为7~9时，OH-对反应有催化作用。</w:t>
            </w:r>
          </w:p>
        </w:tc>
      </w:tr>
      <w:tr w14:paraId="581FC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7CF897D0">
            <w:pPr>
              <w:rPr>
                <w:highlight w:val="none"/>
              </w:rPr>
            </w:pPr>
          </w:p>
        </w:tc>
        <w:tc>
          <w:tcPr>
            <w:tcW w:w="1367" w:type="dxa"/>
            <w:gridSpan w:val="2"/>
            <w:tcMar>
              <w:left w:w="108" w:type="dxa"/>
              <w:right w:w="108" w:type="dxa"/>
            </w:tcMar>
            <w:vAlign w:val="center"/>
          </w:tcPr>
          <w:p w14:paraId="475CD83A">
            <w:pPr>
              <w:jc w:val="center"/>
              <w:rPr>
                <w:highlight w:val="none"/>
              </w:rPr>
            </w:pPr>
            <w:r>
              <w:rPr>
                <w:highlight w:val="none"/>
              </w:rPr>
              <w:t>潜在的生物累积性：</w:t>
            </w:r>
          </w:p>
        </w:tc>
        <w:tc>
          <w:tcPr>
            <w:tcW w:w="6289" w:type="dxa"/>
            <w:gridSpan w:val="6"/>
            <w:tcMar>
              <w:left w:w="108" w:type="dxa"/>
              <w:right w:w="108" w:type="dxa"/>
            </w:tcMar>
            <w:vAlign w:val="center"/>
          </w:tcPr>
          <w:p w14:paraId="70E230CF">
            <w:pPr>
              <w:jc w:val="center"/>
              <w:rPr>
                <w:highlight w:val="none"/>
              </w:rPr>
            </w:pPr>
            <w:r>
              <w:rPr>
                <w:highlight w:val="none"/>
              </w:rPr>
              <w:t>无资料</w:t>
            </w:r>
          </w:p>
        </w:tc>
      </w:tr>
      <w:tr w14:paraId="712F4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14EF4057">
            <w:pPr>
              <w:rPr>
                <w:highlight w:val="none"/>
              </w:rPr>
            </w:pPr>
          </w:p>
        </w:tc>
        <w:tc>
          <w:tcPr>
            <w:tcW w:w="1367" w:type="dxa"/>
            <w:gridSpan w:val="2"/>
            <w:tcMar>
              <w:left w:w="108" w:type="dxa"/>
              <w:right w:w="108" w:type="dxa"/>
            </w:tcMar>
            <w:vAlign w:val="center"/>
          </w:tcPr>
          <w:p w14:paraId="63D5B9BC">
            <w:pPr>
              <w:jc w:val="center"/>
              <w:rPr>
                <w:highlight w:val="none"/>
              </w:rPr>
            </w:pPr>
            <w:r>
              <w:rPr>
                <w:highlight w:val="none"/>
              </w:rPr>
              <w:t>土壤中的迁移性：</w:t>
            </w:r>
          </w:p>
        </w:tc>
        <w:tc>
          <w:tcPr>
            <w:tcW w:w="6289" w:type="dxa"/>
            <w:gridSpan w:val="6"/>
            <w:tcMar>
              <w:left w:w="108" w:type="dxa"/>
              <w:right w:w="108" w:type="dxa"/>
            </w:tcMar>
            <w:vAlign w:val="center"/>
          </w:tcPr>
          <w:p w14:paraId="3B573234">
            <w:pPr>
              <w:jc w:val="center"/>
              <w:rPr>
                <w:highlight w:val="none"/>
              </w:rPr>
            </w:pPr>
            <w:r>
              <w:rPr>
                <w:highlight w:val="none"/>
              </w:rPr>
              <w:t>易被土壤吸附，迁移性较低。</w:t>
            </w:r>
          </w:p>
        </w:tc>
      </w:tr>
      <w:tr w14:paraId="354EB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restart"/>
            <w:tcMar>
              <w:left w:w="108" w:type="dxa"/>
              <w:right w:w="108" w:type="dxa"/>
            </w:tcMar>
            <w:vAlign w:val="center"/>
          </w:tcPr>
          <w:p w14:paraId="7172AE6D">
            <w:pPr>
              <w:jc w:val="center"/>
              <w:rPr>
                <w:highlight w:val="none"/>
              </w:rPr>
            </w:pPr>
            <w:r>
              <w:rPr>
                <w:highlight w:val="none"/>
              </w:rPr>
              <w:t>废弃处置</w:t>
            </w:r>
          </w:p>
        </w:tc>
        <w:tc>
          <w:tcPr>
            <w:tcW w:w="1367" w:type="dxa"/>
            <w:gridSpan w:val="2"/>
            <w:tcMar>
              <w:left w:w="108" w:type="dxa"/>
              <w:right w:w="108" w:type="dxa"/>
            </w:tcMar>
            <w:vAlign w:val="center"/>
          </w:tcPr>
          <w:p w14:paraId="3C4DD792">
            <w:pPr>
              <w:jc w:val="center"/>
              <w:rPr>
                <w:rFonts w:ascii="Times New Roman" w:hAnsi="Times New Roman" w:eastAsia="宋体" w:cs="Times New Roman"/>
                <w:highlight w:val="none"/>
              </w:rPr>
            </w:pPr>
            <w:r>
              <w:rPr>
                <w:rFonts w:ascii="Times New Roman" w:hAnsi="Times New Roman" w:eastAsia="宋体" w:cs="Times New Roman"/>
                <w:highlight w:val="none"/>
              </w:rPr>
              <w:t>废弃化学品：</w:t>
            </w:r>
          </w:p>
        </w:tc>
        <w:tc>
          <w:tcPr>
            <w:tcW w:w="6289" w:type="dxa"/>
            <w:gridSpan w:val="6"/>
            <w:tcMar>
              <w:left w:w="108" w:type="dxa"/>
              <w:right w:w="108" w:type="dxa"/>
            </w:tcMar>
            <w:vAlign w:val="center"/>
          </w:tcPr>
          <w:p w14:paraId="1DD8AC6E">
            <w:pPr>
              <w:jc w:val="center"/>
              <w:rPr>
                <w:rFonts w:ascii="Times New Roman" w:hAnsi="Times New Roman" w:eastAsia="宋体" w:cs="Times New Roman"/>
                <w:highlight w:val="none"/>
              </w:rPr>
            </w:pPr>
            <w:r>
              <w:rPr>
                <w:rFonts w:ascii="Times New Roman" w:hAnsi="Times New Roman" w:eastAsia="宋体" w:cs="Times New Roman"/>
                <w:highlight w:val="none"/>
              </w:rPr>
              <w:t>先用水稀释，再加盐酸中和，然后放入废水系统。</w:t>
            </w:r>
          </w:p>
        </w:tc>
      </w:tr>
      <w:tr w14:paraId="5DA0A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1D7BCF85">
            <w:pPr>
              <w:rPr>
                <w:highlight w:val="none"/>
              </w:rPr>
            </w:pPr>
          </w:p>
        </w:tc>
        <w:tc>
          <w:tcPr>
            <w:tcW w:w="1367" w:type="dxa"/>
            <w:gridSpan w:val="2"/>
            <w:tcMar>
              <w:left w:w="108" w:type="dxa"/>
              <w:right w:w="108" w:type="dxa"/>
            </w:tcMar>
            <w:vAlign w:val="center"/>
          </w:tcPr>
          <w:p w14:paraId="4AC98168">
            <w:pPr>
              <w:jc w:val="center"/>
              <w:rPr>
                <w:rFonts w:ascii="Times New Roman" w:hAnsi="Times New Roman" w:eastAsia="宋体" w:cs="Times New Roman"/>
                <w:highlight w:val="none"/>
              </w:rPr>
            </w:pPr>
            <w:r>
              <w:rPr>
                <w:rFonts w:ascii="Times New Roman" w:hAnsi="Times New Roman" w:eastAsia="宋体" w:cs="Times New Roman"/>
                <w:highlight w:val="none"/>
              </w:rPr>
              <w:t>污染包装物：</w:t>
            </w:r>
          </w:p>
        </w:tc>
        <w:tc>
          <w:tcPr>
            <w:tcW w:w="6289" w:type="dxa"/>
            <w:gridSpan w:val="6"/>
            <w:tcMar>
              <w:left w:w="108" w:type="dxa"/>
              <w:right w:w="108" w:type="dxa"/>
            </w:tcMar>
            <w:vAlign w:val="center"/>
          </w:tcPr>
          <w:p w14:paraId="1AD3F6C9">
            <w:pPr>
              <w:jc w:val="center"/>
              <w:rPr>
                <w:rFonts w:ascii="Times New Roman" w:hAnsi="Times New Roman" w:eastAsia="宋体" w:cs="Times New Roman"/>
                <w:highlight w:val="none"/>
              </w:rPr>
            </w:pPr>
            <w:r>
              <w:rPr>
                <w:rFonts w:ascii="Times New Roman" w:hAnsi="Times New Roman" w:eastAsia="宋体" w:cs="Times New Roman"/>
                <w:highlight w:val="none"/>
              </w:rPr>
              <w:t>将容器返还生产商或按照国家和地方性法规处置。</w:t>
            </w:r>
          </w:p>
        </w:tc>
      </w:tr>
      <w:tr w14:paraId="7D957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28E9F578">
            <w:pPr>
              <w:rPr>
                <w:highlight w:val="none"/>
              </w:rPr>
            </w:pPr>
          </w:p>
        </w:tc>
        <w:tc>
          <w:tcPr>
            <w:tcW w:w="1367" w:type="dxa"/>
            <w:gridSpan w:val="2"/>
            <w:tcMar>
              <w:left w:w="108" w:type="dxa"/>
              <w:right w:w="108" w:type="dxa"/>
            </w:tcMar>
            <w:vAlign w:val="center"/>
          </w:tcPr>
          <w:p w14:paraId="720C1267">
            <w:pPr>
              <w:jc w:val="center"/>
              <w:rPr>
                <w:rFonts w:ascii="Times New Roman" w:hAnsi="Times New Roman" w:eastAsia="宋体" w:cs="Times New Roman"/>
                <w:highlight w:val="none"/>
              </w:rPr>
            </w:pPr>
            <w:r>
              <w:rPr>
                <w:rFonts w:ascii="Times New Roman" w:hAnsi="Times New Roman" w:eastAsia="宋体" w:cs="Times New Roman"/>
                <w:highlight w:val="none"/>
              </w:rPr>
              <w:t>废弃注意事项：</w:t>
            </w:r>
          </w:p>
        </w:tc>
        <w:tc>
          <w:tcPr>
            <w:tcW w:w="6289" w:type="dxa"/>
            <w:gridSpan w:val="6"/>
            <w:tcMar>
              <w:left w:w="108" w:type="dxa"/>
              <w:right w:w="108" w:type="dxa"/>
            </w:tcMar>
            <w:vAlign w:val="center"/>
          </w:tcPr>
          <w:p w14:paraId="3DCF13CE">
            <w:pPr>
              <w:jc w:val="center"/>
              <w:rPr>
                <w:rFonts w:ascii="Times New Roman" w:hAnsi="Times New Roman" w:eastAsia="宋体" w:cs="Times New Roman"/>
                <w:highlight w:val="none"/>
              </w:rPr>
            </w:pPr>
            <w:r>
              <w:rPr>
                <w:rFonts w:ascii="Times New Roman" w:hAnsi="Times New Roman" w:eastAsia="宋体" w:cs="Times New Roman"/>
                <w:highlight w:val="none"/>
              </w:rPr>
              <w:t>处置前应参阅国家和地方有关法规。</w:t>
            </w:r>
          </w:p>
        </w:tc>
      </w:tr>
      <w:tr w14:paraId="142D8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restart"/>
            <w:tcMar>
              <w:left w:w="108" w:type="dxa"/>
              <w:right w:w="108" w:type="dxa"/>
            </w:tcMar>
            <w:vAlign w:val="center"/>
          </w:tcPr>
          <w:p w14:paraId="7C5545B3">
            <w:pPr>
              <w:rPr>
                <w:rFonts w:hint="eastAsia" w:eastAsia="宋体"/>
                <w:highlight w:val="none"/>
                <w:lang w:val="en-US" w:eastAsia="zh-CN"/>
              </w:rPr>
            </w:pPr>
            <w:r>
              <w:rPr>
                <w:rFonts w:hint="eastAsia"/>
                <w:highlight w:val="none"/>
                <w:lang w:val="en-US" w:eastAsia="zh-CN"/>
              </w:rPr>
              <w:t>运输信息</w:t>
            </w:r>
          </w:p>
        </w:tc>
        <w:tc>
          <w:tcPr>
            <w:tcW w:w="1367" w:type="dxa"/>
            <w:gridSpan w:val="2"/>
            <w:tcMar>
              <w:left w:w="108" w:type="dxa"/>
              <w:right w:w="108" w:type="dxa"/>
            </w:tcMar>
            <w:vAlign w:val="center"/>
          </w:tcPr>
          <w:p w14:paraId="314B49E0">
            <w:pPr>
              <w:rPr>
                <w:highlight w:val="none"/>
              </w:rPr>
            </w:pPr>
            <w:r>
              <w:rPr>
                <w:highlight w:val="none"/>
              </w:rPr>
              <w:t>联合国运输名称：</w:t>
            </w:r>
          </w:p>
        </w:tc>
        <w:tc>
          <w:tcPr>
            <w:tcW w:w="2365" w:type="dxa"/>
            <w:gridSpan w:val="3"/>
            <w:tcMar>
              <w:left w:w="108" w:type="dxa"/>
              <w:right w:w="108" w:type="dxa"/>
            </w:tcMar>
            <w:vAlign w:val="center"/>
          </w:tcPr>
          <w:p w14:paraId="510CF79F">
            <w:pPr>
              <w:jc w:val="center"/>
              <w:rPr>
                <w:highlight w:val="none"/>
              </w:rPr>
            </w:pPr>
            <w:r>
              <w:rPr>
                <w:highlight w:val="none"/>
              </w:rPr>
              <w:t>无水氨</w:t>
            </w:r>
          </w:p>
        </w:tc>
        <w:tc>
          <w:tcPr>
            <w:tcW w:w="3249" w:type="dxa"/>
            <w:gridSpan w:val="2"/>
            <w:tcMar>
              <w:left w:w="108" w:type="dxa"/>
              <w:right w:w="108" w:type="dxa"/>
            </w:tcMar>
            <w:vAlign w:val="center"/>
          </w:tcPr>
          <w:p w14:paraId="7C88756F">
            <w:pPr>
              <w:jc w:val="center"/>
              <w:rPr>
                <w:highlight w:val="none"/>
              </w:rPr>
            </w:pPr>
            <w:r>
              <w:rPr>
                <w:highlight w:val="none"/>
              </w:rPr>
              <w:t>联合国危险性类别：</w:t>
            </w:r>
          </w:p>
        </w:tc>
        <w:tc>
          <w:tcPr>
            <w:tcW w:w="675" w:type="dxa"/>
            <w:tcMar>
              <w:left w:w="108" w:type="dxa"/>
              <w:right w:w="108" w:type="dxa"/>
            </w:tcMar>
            <w:vAlign w:val="center"/>
          </w:tcPr>
          <w:p w14:paraId="57ED440C">
            <w:pPr>
              <w:jc w:val="center"/>
              <w:rPr>
                <w:highlight w:val="none"/>
              </w:rPr>
            </w:pPr>
            <w:r>
              <w:rPr>
                <w:highlight w:val="none"/>
              </w:rPr>
              <w:t>2.3.8</w:t>
            </w:r>
          </w:p>
        </w:tc>
      </w:tr>
      <w:tr w14:paraId="6E1DC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1A2DABB5">
            <w:pPr>
              <w:rPr>
                <w:highlight w:val="none"/>
              </w:rPr>
            </w:pPr>
          </w:p>
        </w:tc>
        <w:tc>
          <w:tcPr>
            <w:tcW w:w="1367" w:type="dxa"/>
            <w:gridSpan w:val="2"/>
            <w:tcMar>
              <w:left w:w="108" w:type="dxa"/>
              <w:right w:w="108" w:type="dxa"/>
            </w:tcMar>
            <w:vAlign w:val="center"/>
          </w:tcPr>
          <w:p w14:paraId="7219D069">
            <w:pPr>
              <w:rPr>
                <w:highlight w:val="none"/>
              </w:rPr>
            </w:pPr>
            <w:r>
              <w:rPr>
                <w:highlight w:val="none"/>
              </w:rPr>
              <w:t>包装类别：</w:t>
            </w:r>
          </w:p>
        </w:tc>
        <w:tc>
          <w:tcPr>
            <w:tcW w:w="2365" w:type="dxa"/>
            <w:gridSpan w:val="3"/>
            <w:tcMar>
              <w:left w:w="108" w:type="dxa"/>
              <w:right w:w="108" w:type="dxa"/>
            </w:tcMar>
            <w:vAlign w:val="center"/>
          </w:tcPr>
          <w:p w14:paraId="46946AA3">
            <w:pPr>
              <w:jc w:val="center"/>
              <w:rPr>
                <w:highlight w:val="none"/>
              </w:rPr>
            </w:pPr>
            <w:r>
              <w:rPr>
                <w:highlight w:val="none"/>
              </w:rPr>
              <w:t>一</w:t>
            </w:r>
          </w:p>
        </w:tc>
        <w:tc>
          <w:tcPr>
            <w:tcW w:w="3249" w:type="dxa"/>
            <w:gridSpan w:val="2"/>
            <w:tcMar>
              <w:left w:w="108" w:type="dxa"/>
              <w:right w:w="108" w:type="dxa"/>
            </w:tcMar>
            <w:vAlign w:val="center"/>
          </w:tcPr>
          <w:p w14:paraId="5C737CDB">
            <w:pPr>
              <w:jc w:val="center"/>
              <w:rPr>
                <w:highlight w:val="none"/>
              </w:rPr>
            </w:pPr>
            <w:r>
              <w:rPr>
                <w:highlight w:val="none"/>
              </w:rPr>
              <w:t>海洋污染物：</w:t>
            </w:r>
          </w:p>
        </w:tc>
        <w:tc>
          <w:tcPr>
            <w:tcW w:w="675" w:type="dxa"/>
            <w:tcMar>
              <w:left w:w="108" w:type="dxa"/>
              <w:right w:w="108" w:type="dxa"/>
            </w:tcMar>
            <w:vAlign w:val="center"/>
          </w:tcPr>
          <w:p w14:paraId="6723FB88">
            <w:pPr>
              <w:jc w:val="center"/>
              <w:rPr>
                <w:highlight w:val="none"/>
              </w:rPr>
            </w:pPr>
            <w:r>
              <w:rPr>
                <w:highlight w:val="none"/>
              </w:rPr>
              <w:t>是</w:t>
            </w:r>
          </w:p>
        </w:tc>
      </w:tr>
      <w:tr w14:paraId="52150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3316713D">
            <w:pPr>
              <w:rPr>
                <w:highlight w:val="none"/>
              </w:rPr>
            </w:pPr>
          </w:p>
        </w:tc>
        <w:tc>
          <w:tcPr>
            <w:tcW w:w="1367" w:type="dxa"/>
            <w:gridSpan w:val="2"/>
            <w:tcMar>
              <w:left w:w="108" w:type="dxa"/>
              <w:right w:w="108" w:type="dxa"/>
            </w:tcMar>
            <w:vAlign w:val="center"/>
          </w:tcPr>
          <w:p w14:paraId="4D9B7284">
            <w:pPr>
              <w:jc w:val="center"/>
              <w:rPr>
                <w:highlight w:val="none"/>
              </w:rPr>
            </w:pPr>
            <w:r>
              <w:rPr>
                <w:highlight w:val="none"/>
              </w:rPr>
              <w:t>运输注意事项：</w:t>
            </w:r>
          </w:p>
        </w:tc>
        <w:tc>
          <w:tcPr>
            <w:tcW w:w="6289" w:type="dxa"/>
            <w:gridSpan w:val="6"/>
            <w:tcMar>
              <w:left w:w="108" w:type="dxa"/>
              <w:right w:w="108" w:type="dxa"/>
            </w:tcMar>
            <w:vAlign w:val="center"/>
          </w:tcPr>
          <w:p w14:paraId="65F213CF">
            <w:pPr>
              <w:jc w:val="center"/>
              <w:rPr>
                <w:highlight w:val="none"/>
              </w:rPr>
            </w:pPr>
            <w:r>
              <w:rPr>
                <w:highlight w:val="none"/>
              </w:rPr>
              <w:t>本品铁路运输时限使用耐压液化气企业自备罐车装运，装运前需报有关部门批准。采用钢瓶运输时必须戴好钢瓶上的安全帽。钢瓶一般平放，并应将瓶口朝同一方向，不可交叉。高度不超过车辆的护栏板，并用三角木垫卡牢，防止滚动。运输时运输车辆应配备相应品种和数量的消防器材及泄漏应急处理设备。装运该产品的车辆排气管必须配备阻火装置，禁止使用易产生火花的机械设备和工具装卸。严禁与氧化剂、酸类、卤素、食用化学药品等混装混运</w:t>
            </w:r>
            <w:r>
              <w:rPr>
                <w:rFonts w:hint="eastAsia"/>
                <w:highlight w:val="none"/>
                <w:lang w:eastAsia="zh-CN"/>
              </w:rPr>
              <w:t>。</w:t>
            </w:r>
            <w:r>
              <w:rPr>
                <w:highlight w:val="none"/>
              </w:rPr>
              <w:t>夏季应早晚运输，防止日光曝晒。中途停留时应远离火种、热源。公路运输时要按规定路线行驶，禁止在居民区和人口稠密区停车。铁路运输时要禁止溜放。</w:t>
            </w:r>
          </w:p>
        </w:tc>
      </w:tr>
      <w:tr w14:paraId="1517B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restart"/>
            <w:tcMar>
              <w:left w:w="108" w:type="dxa"/>
              <w:right w:w="108" w:type="dxa"/>
            </w:tcMar>
            <w:vAlign w:val="center"/>
          </w:tcPr>
          <w:p w14:paraId="13C24B64">
            <w:pPr>
              <w:rPr>
                <w:highlight w:val="none"/>
              </w:rPr>
            </w:pPr>
            <w:r>
              <w:rPr>
                <w:highlight w:val="none"/>
              </w:rPr>
              <w:t>法规信息</w:t>
            </w:r>
          </w:p>
        </w:tc>
        <w:tc>
          <w:tcPr>
            <w:tcW w:w="7656" w:type="dxa"/>
            <w:gridSpan w:val="8"/>
            <w:tcMar>
              <w:left w:w="108" w:type="dxa"/>
              <w:right w:w="108" w:type="dxa"/>
            </w:tcMar>
            <w:vAlign w:val="center"/>
          </w:tcPr>
          <w:p w14:paraId="25D77C21">
            <w:pPr>
              <w:jc w:val="center"/>
              <w:rPr>
                <w:highlight w:val="none"/>
              </w:rPr>
            </w:pPr>
            <w:r>
              <w:rPr>
                <w:highlight w:val="none"/>
              </w:rPr>
              <w:t>危险化学品目录：</w:t>
            </w:r>
            <w:r>
              <w:rPr>
                <w:rFonts w:hint="eastAsia" w:cs="Times New Roman"/>
                <w:bCs/>
                <w:szCs w:val="21"/>
                <w:highlight w:val="none"/>
                <w:lang w:eastAsia="zh-CN"/>
              </w:rPr>
              <w:t>□</w:t>
            </w:r>
            <w:r>
              <w:rPr>
                <w:highlight w:val="none"/>
              </w:rPr>
              <w:t>未列入☑列入：高毒物品目录：☑列入</w:t>
            </w:r>
            <w:r>
              <w:rPr>
                <w:rFonts w:hint="eastAsia" w:cs="Times New Roman"/>
                <w:bCs/>
                <w:szCs w:val="21"/>
                <w:highlight w:val="none"/>
                <w:lang w:eastAsia="zh-CN"/>
              </w:rPr>
              <w:t>□</w:t>
            </w:r>
            <w:r>
              <w:rPr>
                <w:highlight w:val="none"/>
              </w:rPr>
              <w:t>未列入</w:t>
            </w:r>
          </w:p>
        </w:tc>
      </w:tr>
      <w:tr w14:paraId="3E77C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56EF1680">
            <w:pPr>
              <w:rPr>
                <w:highlight w:val="none"/>
              </w:rPr>
            </w:pPr>
          </w:p>
        </w:tc>
        <w:tc>
          <w:tcPr>
            <w:tcW w:w="1367" w:type="dxa"/>
            <w:gridSpan w:val="2"/>
            <w:tcMar>
              <w:left w:w="108" w:type="dxa"/>
              <w:right w:w="108" w:type="dxa"/>
            </w:tcMar>
            <w:vAlign w:val="center"/>
          </w:tcPr>
          <w:p w14:paraId="62E5A029">
            <w:pPr>
              <w:jc w:val="center"/>
              <w:rPr>
                <w:highlight w:val="none"/>
              </w:rPr>
            </w:pPr>
            <w:r>
              <w:rPr>
                <w:highlight w:val="none"/>
              </w:rPr>
              <w:t>职业病分类和目录：</w:t>
            </w:r>
          </w:p>
        </w:tc>
        <w:tc>
          <w:tcPr>
            <w:tcW w:w="6289" w:type="dxa"/>
            <w:gridSpan w:val="6"/>
            <w:tcMar>
              <w:left w:w="108" w:type="dxa"/>
              <w:right w:w="108" w:type="dxa"/>
            </w:tcMar>
            <w:vAlign w:val="center"/>
          </w:tcPr>
          <w:p w14:paraId="18097F4A">
            <w:pPr>
              <w:jc w:val="center"/>
              <w:rPr>
                <w:rFonts w:hint="eastAsia" w:eastAsia="宋体"/>
                <w:highlight w:val="none"/>
                <w:lang w:eastAsia="zh-CN"/>
              </w:rPr>
            </w:pPr>
            <w:r>
              <w:rPr>
                <w:rFonts w:hint="eastAsia"/>
                <w:highlight w:val="none"/>
                <w:lang w:eastAsia="zh-CN"/>
              </w:rPr>
              <w:t>□</w:t>
            </w:r>
            <w:r>
              <w:rPr>
                <w:highlight w:val="none"/>
              </w:rPr>
              <w:t>未列入</w:t>
            </w:r>
            <w:r>
              <w:rPr>
                <w:rFonts w:hint="eastAsia"/>
                <w:highlight w:val="none"/>
                <w:lang w:eastAsia="zh-CN"/>
              </w:rPr>
              <w:t>，</w:t>
            </w:r>
            <w:r>
              <w:rPr>
                <w:highlight w:val="none"/>
              </w:rPr>
              <w:t>☑列入：氨中毒</w:t>
            </w:r>
            <w:r>
              <w:rPr>
                <w:rFonts w:hint="eastAsia"/>
                <w:highlight w:val="none"/>
                <w:lang w:eastAsia="zh-CN"/>
              </w:rPr>
              <w:t>。</w:t>
            </w:r>
          </w:p>
        </w:tc>
      </w:tr>
      <w:tr w14:paraId="302F9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56314574">
            <w:pPr>
              <w:rPr>
                <w:highlight w:val="none"/>
              </w:rPr>
            </w:pPr>
          </w:p>
        </w:tc>
        <w:tc>
          <w:tcPr>
            <w:tcW w:w="1367" w:type="dxa"/>
            <w:gridSpan w:val="2"/>
            <w:tcMar>
              <w:left w:w="108" w:type="dxa"/>
              <w:right w:w="108" w:type="dxa"/>
            </w:tcMar>
            <w:vAlign w:val="center"/>
          </w:tcPr>
          <w:p w14:paraId="3064D410">
            <w:pPr>
              <w:jc w:val="center"/>
              <w:rPr>
                <w:highlight w:val="none"/>
              </w:rPr>
            </w:pPr>
            <w:r>
              <w:rPr>
                <w:highlight w:val="none"/>
              </w:rPr>
              <w:t>易制爆危险化学品名录：</w:t>
            </w:r>
          </w:p>
        </w:tc>
        <w:tc>
          <w:tcPr>
            <w:tcW w:w="6289" w:type="dxa"/>
            <w:gridSpan w:val="6"/>
            <w:tcMar>
              <w:left w:w="108" w:type="dxa"/>
              <w:right w:w="108" w:type="dxa"/>
            </w:tcMar>
            <w:vAlign w:val="center"/>
          </w:tcPr>
          <w:p w14:paraId="51E9FA41">
            <w:pPr>
              <w:jc w:val="center"/>
              <w:rPr>
                <w:rFonts w:hint="eastAsia" w:eastAsia="宋体"/>
                <w:highlight w:val="none"/>
                <w:lang w:eastAsia="zh-CN"/>
              </w:rPr>
            </w:pPr>
            <w:r>
              <w:rPr>
                <w:highlight w:val="none"/>
              </w:rPr>
              <w:t>☑未列入</w:t>
            </w:r>
            <w:r>
              <w:rPr>
                <w:rFonts w:hint="eastAsia"/>
                <w:highlight w:val="none"/>
                <w:lang w:eastAsia="zh-CN"/>
              </w:rPr>
              <w:t>，</w:t>
            </w:r>
            <w:r>
              <w:rPr>
                <w:rFonts w:hint="eastAsia" w:cs="Times New Roman"/>
                <w:bCs/>
                <w:szCs w:val="21"/>
                <w:highlight w:val="none"/>
                <w:lang w:eastAsia="zh-CN"/>
              </w:rPr>
              <w:t>□</w:t>
            </w:r>
            <w:r>
              <w:rPr>
                <w:highlight w:val="none"/>
              </w:rPr>
              <w:t>列入</w:t>
            </w:r>
            <w:r>
              <w:rPr>
                <w:rFonts w:hint="eastAsia"/>
                <w:highlight w:val="none"/>
                <w:lang w:eastAsia="zh-CN"/>
              </w:rPr>
              <w:t>：</w:t>
            </w:r>
          </w:p>
        </w:tc>
      </w:tr>
      <w:tr w14:paraId="4C7F6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6EE039A2">
            <w:pPr>
              <w:rPr>
                <w:highlight w:val="none"/>
              </w:rPr>
            </w:pPr>
          </w:p>
        </w:tc>
        <w:tc>
          <w:tcPr>
            <w:tcW w:w="1367" w:type="dxa"/>
            <w:gridSpan w:val="2"/>
            <w:tcMar>
              <w:left w:w="108" w:type="dxa"/>
              <w:right w:w="108" w:type="dxa"/>
            </w:tcMar>
            <w:vAlign w:val="center"/>
          </w:tcPr>
          <w:p w14:paraId="68ED5510">
            <w:pPr>
              <w:jc w:val="center"/>
              <w:rPr>
                <w:highlight w:val="none"/>
              </w:rPr>
            </w:pPr>
            <w:r>
              <w:rPr>
                <w:highlight w:val="none"/>
              </w:rPr>
              <w:t>重点监管的危险化学品名录：</w:t>
            </w:r>
          </w:p>
        </w:tc>
        <w:tc>
          <w:tcPr>
            <w:tcW w:w="6289" w:type="dxa"/>
            <w:gridSpan w:val="6"/>
            <w:tcMar>
              <w:left w:w="108" w:type="dxa"/>
              <w:right w:w="108" w:type="dxa"/>
            </w:tcMar>
            <w:vAlign w:val="center"/>
          </w:tcPr>
          <w:p w14:paraId="3665A54B">
            <w:pPr>
              <w:jc w:val="center"/>
              <w:rPr>
                <w:highlight w:val="none"/>
              </w:rPr>
            </w:pPr>
            <w:r>
              <w:rPr>
                <w:rFonts w:hint="eastAsia" w:cs="Times New Roman"/>
                <w:bCs/>
                <w:szCs w:val="21"/>
                <w:highlight w:val="none"/>
                <w:lang w:eastAsia="zh-CN"/>
              </w:rPr>
              <w:t>□</w:t>
            </w:r>
            <w:r>
              <w:rPr>
                <w:highlight w:val="none"/>
              </w:rPr>
              <w:t>未列入</w:t>
            </w:r>
            <w:r>
              <w:rPr>
                <w:rFonts w:hint="eastAsia"/>
                <w:highlight w:val="none"/>
                <w:lang w:eastAsia="zh-CN"/>
              </w:rPr>
              <w:t>，</w:t>
            </w:r>
            <w:r>
              <w:rPr>
                <w:highlight w:val="none"/>
              </w:rPr>
              <w:t>☑列入：</w:t>
            </w:r>
          </w:p>
        </w:tc>
      </w:tr>
      <w:tr w14:paraId="0798F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1" w:type="dxa"/>
            <w:vMerge w:val="continue"/>
            <w:tcMar>
              <w:left w:w="108" w:type="dxa"/>
              <w:right w:w="108" w:type="dxa"/>
            </w:tcMar>
            <w:vAlign w:val="center"/>
          </w:tcPr>
          <w:p w14:paraId="0BE86F5B">
            <w:pPr>
              <w:rPr>
                <w:highlight w:val="none"/>
              </w:rPr>
            </w:pPr>
          </w:p>
        </w:tc>
        <w:tc>
          <w:tcPr>
            <w:tcW w:w="1367" w:type="dxa"/>
            <w:gridSpan w:val="2"/>
            <w:tcMar>
              <w:left w:w="108" w:type="dxa"/>
              <w:right w:w="108" w:type="dxa"/>
            </w:tcMar>
            <w:vAlign w:val="center"/>
          </w:tcPr>
          <w:p w14:paraId="4873D55C">
            <w:pPr>
              <w:jc w:val="center"/>
              <w:rPr>
                <w:highlight w:val="none"/>
              </w:rPr>
            </w:pPr>
            <w:r>
              <w:rPr>
                <w:highlight w:val="none"/>
              </w:rPr>
              <w:t>《危险化学品重大危险源辨识》（表1）：</w:t>
            </w:r>
          </w:p>
        </w:tc>
        <w:tc>
          <w:tcPr>
            <w:tcW w:w="6289" w:type="dxa"/>
            <w:gridSpan w:val="6"/>
            <w:tcMar>
              <w:left w:w="108" w:type="dxa"/>
              <w:right w:w="108" w:type="dxa"/>
            </w:tcMar>
            <w:vAlign w:val="center"/>
          </w:tcPr>
          <w:p w14:paraId="31873B74">
            <w:pPr>
              <w:jc w:val="center"/>
              <w:rPr>
                <w:highlight w:val="none"/>
              </w:rPr>
            </w:pPr>
            <w:r>
              <w:rPr>
                <w:highlight w:val="none"/>
              </w:rPr>
              <w:t>☐未列入</w:t>
            </w:r>
            <w:r>
              <w:rPr>
                <w:rFonts w:hint="eastAsia"/>
                <w:highlight w:val="none"/>
                <w:lang w:eastAsia="zh-CN"/>
              </w:rPr>
              <w:t>，</w:t>
            </w:r>
            <w:r>
              <w:rPr>
                <w:highlight w:val="none"/>
              </w:rPr>
              <w:t>☑列入：</w:t>
            </w:r>
          </w:p>
        </w:tc>
      </w:tr>
    </w:tbl>
    <w:p w14:paraId="40B8EBD3">
      <w:pPr>
        <w:spacing w:line="360" w:lineRule="auto"/>
        <w:jc w:val="center"/>
        <w:rPr>
          <w:rFonts w:hint="eastAsia" w:ascii="Times New Roman" w:hAnsi="Times New Roman" w:eastAsia="宋体" w:cs="Times New Roman"/>
          <w:b/>
          <w:bCs/>
          <w:sz w:val="21"/>
          <w:szCs w:val="21"/>
          <w:highlight w:val="none"/>
          <w:lang w:val="en-US" w:eastAsia="zh-CN"/>
        </w:rPr>
      </w:pPr>
      <w:r>
        <w:rPr>
          <w:rFonts w:hint="eastAsia" w:cs="Times New Roman"/>
          <w:b/>
          <w:bCs/>
          <w:sz w:val="21"/>
          <w:szCs w:val="21"/>
          <w:highlight w:val="none"/>
          <w:lang w:val="en-US" w:eastAsia="zh-CN"/>
        </w:rPr>
        <w:t>3.2</w:t>
      </w:r>
      <w:r>
        <w:rPr>
          <w:rFonts w:hint="eastAsia" w:ascii="Times New Roman" w:hAnsi="Times New Roman" w:eastAsia="宋体" w:cs="Times New Roman"/>
          <w:b/>
          <w:bCs/>
          <w:sz w:val="21"/>
          <w:szCs w:val="21"/>
          <w:highlight w:val="none"/>
          <w:lang w:val="en-US" w:eastAsia="zh-CN"/>
        </w:rPr>
        <w:t>-6   乙酸乙酯</w:t>
      </w:r>
      <w:r>
        <w:rPr>
          <w:rFonts w:hint="eastAsia" w:cs="Times New Roman"/>
          <w:b/>
          <w:bCs/>
          <w:sz w:val="21"/>
          <w:szCs w:val="21"/>
          <w:highlight w:val="none"/>
          <w:lang w:val="en-US" w:eastAsia="zh-CN"/>
        </w:rPr>
        <w:t>的</w:t>
      </w:r>
      <w:r>
        <w:rPr>
          <w:rFonts w:hint="eastAsia" w:ascii="Times New Roman" w:hAnsi="Times New Roman" w:eastAsia="宋体" w:cs="Times New Roman"/>
          <w:b/>
          <w:bCs/>
          <w:sz w:val="21"/>
          <w:szCs w:val="21"/>
          <w:highlight w:val="none"/>
          <w:lang w:val="en-US" w:eastAsia="zh-CN"/>
        </w:rPr>
        <w:t>理化性质及危险特性表</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686"/>
        <w:gridCol w:w="1420"/>
        <w:gridCol w:w="1147"/>
        <w:gridCol w:w="836"/>
        <w:gridCol w:w="1790"/>
        <w:gridCol w:w="979"/>
        <w:gridCol w:w="862"/>
      </w:tblGrid>
      <w:tr w14:paraId="1CAA7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tcMar>
              <w:left w:w="108" w:type="dxa"/>
              <w:right w:w="108" w:type="dxa"/>
            </w:tcMar>
            <w:vAlign w:val="center"/>
          </w:tcPr>
          <w:p w14:paraId="6C166F8B">
            <w:pPr>
              <w:jc w:val="center"/>
              <w:rPr>
                <w:highlight w:val="none"/>
              </w:rPr>
            </w:pPr>
            <w:r>
              <w:rPr>
                <w:highlight w:val="none"/>
              </w:rPr>
              <w:t>标识</w:t>
            </w:r>
          </w:p>
        </w:tc>
        <w:tc>
          <w:tcPr>
            <w:tcW w:w="0" w:type="auto"/>
            <w:tcMar>
              <w:left w:w="108" w:type="dxa"/>
              <w:right w:w="108" w:type="dxa"/>
            </w:tcMar>
            <w:vAlign w:val="center"/>
          </w:tcPr>
          <w:p w14:paraId="225A75A8">
            <w:pPr>
              <w:jc w:val="center"/>
              <w:rPr>
                <w:highlight w:val="none"/>
              </w:rPr>
            </w:pPr>
            <w:r>
              <w:rPr>
                <w:highlight w:val="none"/>
              </w:rPr>
              <w:t>别名：</w:t>
            </w:r>
          </w:p>
        </w:tc>
        <w:tc>
          <w:tcPr>
            <w:tcW w:w="0" w:type="auto"/>
            <w:gridSpan w:val="3"/>
            <w:tcMar>
              <w:left w:w="108" w:type="dxa"/>
              <w:right w:w="108" w:type="dxa"/>
            </w:tcMar>
            <w:vAlign w:val="center"/>
          </w:tcPr>
          <w:p w14:paraId="56E686D1">
            <w:pPr>
              <w:jc w:val="center"/>
              <w:rPr>
                <w:highlight w:val="none"/>
              </w:rPr>
            </w:pPr>
            <w:r>
              <w:rPr>
                <w:highlight w:val="none"/>
              </w:rPr>
              <w:t>醋酸乙酯</w:t>
            </w:r>
          </w:p>
        </w:tc>
        <w:tc>
          <w:tcPr>
            <w:tcW w:w="0" w:type="auto"/>
            <w:tcMar>
              <w:left w:w="108" w:type="dxa"/>
              <w:right w:w="108" w:type="dxa"/>
            </w:tcMar>
            <w:vAlign w:val="center"/>
          </w:tcPr>
          <w:p w14:paraId="74E634E8">
            <w:pPr>
              <w:jc w:val="center"/>
              <w:rPr>
                <w:highlight w:val="none"/>
              </w:rPr>
            </w:pPr>
            <w:r>
              <w:rPr>
                <w:highlight w:val="none"/>
              </w:rPr>
              <w:t>危险货物编号：</w:t>
            </w:r>
          </w:p>
        </w:tc>
        <w:tc>
          <w:tcPr>
            <w:tcW w:w="0" w:type="auto"/>
            <w:tcMar>
              <w:left w:w="108" w:type="dxa"/>
              <w:right w:w="108" w:type="dxa"/>
            </w:tcMar>
            <w:vAlign w:val="center"/>
          </w:tcPr>
          <w:p w14:paraId="6DA2BBD7">
            <w:pPr>
              <w:jc w:val="center"/>
              <w:rPr>
                <w:highlight w:val="none"/>
              </w:rPr>
            </w:pPr>
            <w:r>
              <w:rPr>
                <w:highlight w:val="none"/>
              </w:rPr>
              <w:t>32127</w:t>
            </w:r>
          </w:p>
        </w:tc>
      </w:tr>
      <w:tr w14:paraId="7F59B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0DFDF857">
            <w:pPr>
              <w:jc w:val="center"/>
              <w:rPr>
                <w:highlight w:val="none"/>
              </w:rPr>
            </w:pPr>
          </w:p>
        </w:tc>
        <w:tc>
          <w:tcPr>
            <w:tcW w:w="0" w:type="auto"/>
            <w:tcMar>
              <w:left w:w="108" w:type="dxa"/>
              <w:right w:w="108" w:type="dxa"/>
            </w:tcMar>
            <w:vAlign w:val="center"/>
          </w:tcPr>
          <w:p w14:paraId="35094220">
            <w:pPr>
              <w:jc w:val="center"/>
              <w:rPr>
                <w:highlight w:val="none"/>
              </w:rPr>
            </w:pPr>
            <w:r>
              <w:rPr>
                <w:highlight w:val="none"/>
              </w:rPr>
              <w:t>英文名：</w:t>
            </w:r>
          </w:p>
        </w:tc>
        <w:tc>
          <w:tcPr>
            <w:tcW w:w="0" w:type="auto"/>
            <w:gridSpan w:val="3"/>
            <w:tcMar>
              <w:left w:w="108" w:type="dxa"/>
              <w:right w:w="108" w:type="dxa"/>
            </w:tcMar>
            <w:vAlign w:val="center"/>
          </w:tcPr>
          <w:p w14:paraId="149ABB1C">
            <w:pPr>
              <w:jc w:val="center"/>
              <w:rPr>
                <w:highlight w:val="none"/>
              </w:rPr>
            </w:pPr>
            <w:r>
              <w:rPr>
                <w:highlight w:val="none"/>
              </w:rPr>
              <w:t>ethyl acetate</w:t>
            </w:r>
          </w:p>
        </w:tc>
        <w:tc>
          <w:tcPr>
            <w:tcW w:w="0" w:type="auto"/>
            <w:tcMar>
              <w:left w:w="108" w:type="dxa"/>
              <w:right w:w="108" w:type="dxa"/>
            </w:tcMar>
            <w:vAlign w:val="center"/>
          </w:tcPr>
          <w:p w14:paraId="03C5E0CD">
            <w:pPr>
              <w:jc w:val="center"/>
              <w:rPr>
                <w:highlight w:val="none"/>
              </w:rPr>
            </w:pPr>
            <w:r>
              <w:rPr>
                <w:highlight w:val="none"/>
              </w:rPr>
              <w:t>UN编号：</w:t>
            </w:r>
          </w:p>
        </w:tc>
        <w:tc>
          <w:tcPr>
            <w:tcW w:w="0" w:type="auto"/>
            <w:tcMar>
              <w:left w:w="108" w:type="dxa"/>
              <w:right w:w="108" w:type="dxa"/>
            </w:tcMar>
            <w:vAlign w:val="center"/>
          </w:tcPr>
          <w:p w14:paraId="7705011D">
            <w:pPr>
              <w:jc w:val="center"/>
              <w:rPr>
                <w:highlight w:val="none"/>
              </w:rPr>
            </w:pPr>
            <w:r>
              <w:rPr>
                <w:highlight w:val="none"/>
              </w:rPr>
              <w:t>1173</w:t>
            </w:r>
          </w:p>
        </w:tc>
      </w:tr>
      <w:tr w14:paraId="15397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4D9672E5">
            <w:pPr>
              <w:jc w:val="center"/>
              <w:rPr>
                <w:highlight w:val="none"/>
              </w:rPr>
            </w:pPr>
          </w:p>
        </w:tc>
        <w:tc>
          <w:tcPr>
            <w:tcW w:w="0" w:type="auto"/>
            <w:tcMar>
              <w:left w:w="108" w:type="dxa"/>
              <w:right w:w="108" w:type="dxa"/>
            </w:tcMar>
            <w:vAlign w:val="center"/>
          </w:tcPr>
          <w:p w14:paraId="6D6DA9EB">
            <w:pPr>
              <w:jc w:val="center"/>
              <w:rPr>
                <w:highlight w:val="none"/>
              </w:rPr>
            </w:pPr>
            <w:r>
              <w:rPr>
                <w:highlight w:val="none"/>
              </w:rPr>
              <w:t>CAS号：</w:t>
            </w:r>
          </w:p>
        </w:tc>
        <w:tc>
          <w:tcPr>
            <w:tcW w:w="0" w:type="auto"/>
            <w:tcMar>
              <w:left w:w="108" w:type="dxa"/>
              <w:right w:w="108" w:type="dxa"/>
            </w:tcMar>
            <w:vAlign w:val="center"/>
          </w:tcPr>
          <w:p w14:paraId="0B7B534E">
            <w:pPr>
              <w:jc w:val="center"/>
              <w:rPr>
                <w:highlight w:val="none"/>
              </w:rPr>
            </w:pPr>
            <w:r>
              <w:rPr>
                <w:highlight w:val="none"/>
              </w:rPr>
              <w:t>141-78-6</w:t>
            </w:r>
          </w:p>
        </w:tc>
        <w:tc>
          <w:tcPr>
            <w:tcW w:w="0" w:type="auto"/>
            <w:tcMar>
              <w:left w:w="108" w:type="dxa"/>
              <w:right w:w="108" w:type="dxa"/>
            </w:tcMar>
            <w:vAlign w:val="center"/>
          </w:tcPr>
          <w:p w14:paraId="16070611">
            <w:pPr>
              <w:jc w:val="center"/>
              <w:rPr>
                <w:highlight w:val="none"/>
              </w:rPr>
            </w:pPr>
            <w:r>
              <w:rPr>
                <w:highlight w:val="none"/>
              </w:rPr>
              <w:t>分子式：</w:t>
            </w:r>
          </w:p>
        </w:tc>
        <w:tc>
          <w:tcPr>
            <w:tcW w:w="0" w:type="auto"/>
            <w:tcMar>
              <w:left w:w="108" w:type="dxa"/>
              <w:right w:w="108" w:type="dxa"/>
            </w:tcMar>
            <w:vAlign w:val="center"/>
          </w:tcPr>
          <w:p w14:paraId="196D4F98">
            <w:pPr>
              <w:jc w:val="center"/>
              <w:rPr>
                <w:highlight w:val="none"/>
              </w:rPr>
            </w:pPr>
            <w:r>
              <w:rPr>
                <w:highlight w:val="none"/>
              </w:rPr>
              <w:t>C</w:t>
            </w:r>
            <w:r>
              <w:rPr>
                <w:highlight w:val="none"/>
                <w:vertAlign w:val="subscript"/>
              </w:rPr>
              <w:t>4</w:t>
            </w:r>
            <w:r>
              <w:rPr>
                <w:highlight w:val="none"/>
              </w:rPr>
              <w:t>H</w:t>
            </w:r>
            <w:r>
              <w:rPr>
                <w:highlight w:val="none"/>
                <w:vertAlign w:val="subscript"/>
              </w:rPr>
              <w:t>8</w:t>
            </w:r>
            <w:r>
              <w:rPr>
                <w:highlight w:val="none"/>
              </w:rPr>
              <w:t>O</w:t>
            </w:r>
            <w:r>
              <w:rPr>
                <w:highlight w:val="none"/>
                <w:vertAlign w:val="subscript"/>
              </w:rPr>
              <w:t>2</w:t>
            </w:r>
          </w:p>
        </w:tc>
        <w:tc>
          <w:tcPr>
            <w:tcW w:w="0" w:type="auto"/>
            <w:tcMar>
              <w:left w:w="108" w:type="dxa"/>
              <w:right w:w="108" w:type="dxa"/>
            </w:tcMar>
            <w:vAlign w:val="center"/>
          </w:tcPr>
          <w:p w14:paraId="2897E799">
            <w:pPr>
              <w:jc w:val="center"/>
              <w:rPr>
                <w:highlight w:val="none"/>
              </w:rPr>
            </w:pPr>
            <w:r>
              <w:rPr>
                <w:highlight w:val="none"/>
              </w:rPr>
              <w:t>分子量：</w:t>
            </w:r>
          </w:p>
        </w:tc>
        <w:tc>
          <w:tcPr>
            <w:tcW w:w="0" w:type="auto"/>
            <w:tcMar>
              <w:left w:w="108" w:type="dxa"/>
              <w:right w:w="108" w:type="dxa"/>
            </w:tcMar>
            <w:vAlign w:val="center"/>
          </w:tcPr>
          <w:p w14:paraId="69A4B74E">
            <w:pPr>
              <w:jc w:val="center"/>
              <w:rPr>
                <w:highlight w:val="none"/>
              </w:rPr>
            </w:pPr>
            <w:r>
              <w:rPr>
                <w:highlight w:val="none"/>
              </w:rPr>
              <w:t>88.10</w:t>
            </w:r>
          </w:p>
        </w:tc>
      </w:tr>
      <w:tr w14:paraId="04928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tcMar>
              <w:left w:w="108" w:type="dxa"/>
              <w:right w:w="108" w:type="dxa"/>
            </w:tcMar>
            <w:vAlign w:val="center"/>
          </w:tcPr>
          <w:p w14:paraId="091FF42F">
            <w:pPr>
              <w:jc w:val="center"/>
              <w:rPr>
                <w:highlight w:val="none"/>
              </w:rPr>
            </w:pPr>
            <w:r>
              <w:rPr>
                <w:highlight w:val="none"/>
              </w:rPr>
              <w:t>理化性质</w:t>
            </w:r>
          </w:p>
        </w:tc>
        <w:tc>
          <w:tcPr>
            <w:tcW w:w="0" w:type="auto"/>
            <w:tcMar>
              <w:left w:w="108" w:type="dxa"/>
              <w:right w:w="108" w:type="dxa"/>
            </w:tcMar>
            <w:vAlign w:val="center"/>
          </w:tcPr>
          <w:p w14:paraId="4CDFDD39">
            <w:pPr>
              <w:jc w:val="center"/>
              <w:rPr>
                <w:highlight w:val="none"/>
              </w:rPr>
            </w:pPr>
            <w:r>
              <w:rPr>
                <w:highlight w:val="none"/>
              </w:rPr>
              <w:t>外观与性状：</w:t>
            </w:r>
          </w:p>
        </w:tc>
        <w:tc>
          <w:tcPr>
            <w:tcW w:w="0" w:type="auto"/>
            <w:gridSpan w:val="5"/>
            <w:tcMar>
              <w:left w:w="108" w:type="dxa"/>
              <w:right w:w="108" w:type="dxa"/>
            </w:tcMar>
            <w:vAlign w:val="center"/>
          </w:tcPr>
          <w:p w14:paraId="72E8AF05">
            <w:pPr>
              <w:jc w:val="center"/>
              <w:rPr>
                <w:highlight w:val="none"/>
              </w:rPr>
            </w:pPr>
            <w:r>
              <w:rPr>
                <w:highlight w:val="none"/>
              </w:rPr>
              <w:t>无色澄澈液体，有芳香味，易挥发。</w:t>
            </w:r>
          </w:p>
        </w:tc>
      </w:tr>
      <w:tr w14:paraId="4B6F2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4097DBE8">
            <w:pPr>
              <w:jc w:val="center"/>
              <w:rPr>
                <w:highlight w:val="none"/>
              </w:rPr>
            </w:pPr>
          </w:p>
        </w:tc>
        <w:tc>
          <w:tcPr>
            <w:tcW w:w="0" w:type="auto"/>
            <w:tcMar>
              <w:left w:w="108" w:type="dxa"/>
              <w:right w:w="108" w:type="dxa"/>
            </w:tcMar>
            <w:vAlign w:val="center"/>
          </w:tcPr>
          <w:p w14:paraId="7221DCFC">
            <w:pPr>
              <w:jc w:val="center"/>
              <w:rPr>
                <w:highlight w:val="none"/>
              </w:rPr>
            </w:pPr>
            <w:r>
              <w:rPr>
                <w:highlight w:val="none"/>
              </w:rPr>
              <w:t>主要用途：</w:t>
            </w:r>
          </w:p>
        </w:tc>
        <w:tc>
          <w:tcPr>
            <w:tcW w:w="0" w:type="auto"/>
            <w:gridSpan w:val="5"/>
            <w:tcMar>
              <w:left w:w="108" w:type="dxa"/>
              <w:right w:w="108" w:type="dxa"/>
            </w:tcMar>
            <w:vAlign w:val="center"/>
          </w:tcPr>
          <w:p w14:paraId="2E469E3D">
            <w:pPr>
              <w:jc w:val="center"/>
              <w:rPr>
                <w:highlight w:val="none"/>
              </w:rPr>
            </w:pPr>
            <w:r>
              <w:rPr>
                <w:highlight w:val="none"/>
              </w:rPr>
              <w:t>用途很广。主要用作溶剂，及用于涂料和一些医药中间体的合成。</w:t>
            </w:r>
          </w:p>
        </w:tc>
      </w:tr>
      <w:tr w14:paraId="53F6A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34A5CE02">
            <w:pPr>
              <w:jc w:val="center"/>
              <w:rPr>
                <w:highlight w:val="none"/>
              </w:rPr>
            </w:pPr>
          </w:p>
        </w:tc>
        <w:tc>
          <w:tcPr>
            <w:tcW w:w="0" w:type="auto"/>
            <w:tcMar>
              <w:left w:w="108" w:type="dxa"/>
              <w:right w:w="108" w:type="dxa"/>
            </w:tcMar>
            <w:vAlign w:val="center"/>
          </w:tcPr>
          <w:p w14:paraId="3EBE40DF">
            <w:pPr>
              <w:jc w:val="center"/>
              <w:rPr>
                <w:highlight w:val="none"/>
              </w:rPr>
            </w:pPr>
            <w:r>
              <w:rPr>
                <w:highlight w:val="none"/>
              </w:rPr>
              <w:t>熔点</w:t>
            </w:r>
            <w:r>
              <w:rPr>
                <w:rFonts w:hint="eastAsia"/>
                <w:highlight w:val="none"/>
                <w:lang w:eastAsia="zh-CN"/>
              </w:rPr>
              <w:t>（</w:t>
            </w:r>
            <w:r>
              <w:rPr>
                <w:highlight w:val="none"/>
              </w:rPr>
              <w:t>℃</w:t>
            </w:r>
            <w:r>
              <w:rPr>
                <w:rFonts w:hint="eastAsia"/>
                <w:highlight w:val="none"/>
                <w:lang w:eastAsia="zh-CN"/>
              </w:rPr>
              <w:t>）</w:t>
            </w:r>
            <w:r>
              <w:rPr>
                <w:highlight w:val="none"/>
              </w:rPr>
              <w:t>：</w:t>
            </w:r>
          </w:p>
        </w:tc>
        <w:tc>
          <w:tcPr>
            <w:tcW w:w="0" w:type="auto"/>
            <w:gridSpan w:val="2"/>
            <w:tcMar>
              <w:left w:w="108" w:type="dxa"/>
              <w:right w:w="108" w:type="dxa"/>
            </w:tcMar>
            <w:vAlign w:val="center"/>
          </w:tcPr>
          <w:p w14:paraId="6482D1ED">
            <w:pPr>
              <w:jc w:val="center"/>
              <w:rPr>
                <w:highlight w:val="none"/>
              </w:rPr>
            </w:pPr>
            <w:r>
              <w:rPr>
                <w:highlight w:val="none"/>
              </w:rPr>
              <w:t>-83.6</w:t>
            </w:r>
          </w:p>
        </w:tc>
        <w:tc>
          <w:tcPr>
            <w:tcW w:w="0" w:type="auto"/>
            <w:tcMar>
              <w:left w:w="108" w:type="dxa"/>
              <w:right w:w="108" w:type="dxa"/>
            </w:tcMar>
            <w:vAlign w:val="center"/>
          </w:tcPr>
          <w:p w14:paraId="15CE5F6C">
            <w:pPr>
              <w:jc w:val="center"/>
              <w:rPr>
                <w:highlight w:val="none"/>
              </w:rPr>
            </w:pPr>
            <w:r>
              <w:rPr>
                <w:highlight w:val="none"/>
              </w:rPr>
              <w:t>相对密度</w:t>
            </w:r>
            <w:r>
              <w:rPr>
                <w:rFonts w:hint="eastAsia"/>
                <w:highlight w:val="none"/>
                <w:lang w:eastAsia="zh-CN"/>
              </w:rPr>
              <w:t>（</w:t>
            </w:r>
            <w:r>
              <w:rPr>
                <w:highlight w:val="none"/>
              </w:rPr>
              <w:t>水=1</w:t>
            </w:r>
            <w:r>
              <w:rPr>
                <w:rFonts w:hint="eastAsia"/>
                <w:highlight w:val="none"/>
                <w:lang w:eastAsia="zh-CN"/>
              </w:rPr>
              <w:t>）</w:t>
            </w:r>
            <w:r>
              <w:rPr>
                <w:highlight w:val="none"/>
              </w:rPr>
              <w:t>：</w:t>
            </w:r>
          </w:p>
        </w:tc>
        <w:tc>
          <w:tcPr>
            <w:tcW w:w="0" w:type="auto"/>
            <w:gridSpan w:val="2"/>
            <w:tcMar>
              <w:left w:w="108" w:type="dxa"/>
              <w:right w:w="108" w:type="dxa"/>
            </w:tcMar>
            <w:vAlign w:val="center"/>
          </w:tcPr>
          <w:p w14:paraId="542C05B4">
            <w:pPr>
              <w:jc w:val="center"/>
              <w:rPr>
                <w:highlight w:val="none"/>
              </w:rPr>
            </w:pPr>
            <w:r>
              <w:rPr>
                <w:highlight w:val="none"/>
              </w:rPr>
              <w:t>0.90</w:t>
            </w:r>
          </w:p>
        </w:tc>
      </w:tr>
      <w:tr w14:paraId="2C8B0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24301E39">
            <w:pPr>
              <w:jc w:val="center"/>
              <w:rPr>
                <w:highlight w:val="none"/>
              </w:rPr>
            </w:pPr>
          </w:p>
        </w:tc>
        <w:tc>
          <w:tcPr>
            <w:tcW w:w="0" w:type="auto"/>
            <w:tcMar>
              <w:left w:w="108" w:type="dxa"/>
              <w:right w:w="108" w:type="dxa"/>
            </w:tcMar>
            <w:vAlign w:val="center"/>
          </w:tcPr>
          <w:p w14:paraId="2D43759B">
            <w:pPr>
              <w:jc w:val="center"/>
              <w:rPr>
                <w:highlight w:val="none"/>
              </w:rPr>
            </w:pPr>
            <w:r>
              <w:rPr>
                <w:highlight w:val="none"/>
              </w:rPr>
              <w:t>沸点</w:t>
            </w:r>
            <w:r>
              <w:rPr>
                <w:rFonts w:hint="eastAsia"/>
                <w:highlight w:val="none"/>
                <w:lang w:eastAsia="zh-CN"/>
              </w:rPr>
              <w:t>（</w:t>
            </w:r>
            <w:r>
              <w:rPr>
                <w:highlight w:val="none"/>
              </w:rPr>
              <w:t>℃</w:t>
            </w:r>
            <w:r>
              <w:rPr>
                <w:rFonts w:hint="eastAsia"/>
                <w:highlight w:val="none"/>
                <w:lang w:eastAsia="zh-CN"/>
              </w:rPr>
              <w:t>）</w:t>
            </w:r>
            <w:r>
              <w:rPr>
                <w:highlight w:val="none"/>
              </w:rPr>
              <w:t>：</w:t>
            </w:r>
          </w:p>
        </w:tc>
        <w:tc>
          <w:tcPr>
            <w:tcW w:w="0" w:type="auto"/>
            <w:gridSpan w:val="2"/>
            <w:tcMar>
              <w:left w:w="108" w:type="dxa"/>
              <w:right w:w="108" w:type="dxa"/>
            </w:tcMar>
            <w:vAlign w:val="center"/>
          </w:tcPr>
          <w:p w14:paraId="222E33D3">
            <w:pPr>
              <w:jc w:val="center"/>
              <w:rPr>
                <w:highlight w:val="none"/>
              </w:rPr>
            </w:pPr>
            <w:r>
              <w:rPr>
                <w:highlight w:val="none"/>
              </w:rPr>
              <w:t>77.2</w:t>
            </w:r>
          </w:p>
        </w:tc>
        <w:tc>
          <w:tcPr>
            <w:tcW w:w="0" w:type="auto"/>
            <w:tcMar>
              <w:left w:w="108" w:type="dxa"/>
              <w:right w:w="108" w:type="dxa"/>
            </w:tcMar>
            <w:vAlign w:val="center"/>
          </w:tcPr>
          <w:p w14:paraId="571C3AA2">
            <w:pPr>
              <w:jc w:val="center"/>
              <w:rPr>
                <w:highlight w:val="none"/>
              </w:rPr>
            </w:pPr>
            <w:r>
              <w:rPr>
                <w:highlight w:val="none"/>
              </w:rPr>
              <w:t>相对蒸汽密度</w:t>
            </w:r>
            <w:r>
              <w:rPr>
                <w:rFonts w:hint="eastAsia"/>
                <w:highlight w:val="none"/>
                <w:lang w:eastAsia="zh-CN"/>
              </w:rPr>
              <w:t>（</w:t>
            </w:r>
            <w:r>
              <w:rPr>
                <w:highlight w:val="none"/>
              </w:rPr>
              <w:t>空气=1</w:t>
            </w:r>
            <w:r>
              <w:rPr>
                <w:rFonts w:hint="eastAsia"/>
                <w:highlight w:val="none"/>
                <w:lang w:eastAsia="zh-CN"/>
              </w:rPr>
              <w:t>）</w:t>
            </w:r>
            <w:r>
              <w:rPr>
                <w:highlight w:val="none"/>
              </w:rPr>
              <w:t>：</w:t>
            </w:r>
          </w:p>
        </w:tc>
        <w:tc>
          <w:tcPr>
            <w:tcW w:w="0" w:type="auto"/>
            <w:gridSpan w:val="2"/>
            <w:tcMar>
              <w:left w:w="108" w:type="dxa"/>
              <w:right w:w="108" w:type="dxa"/>
            </w:tcMar>
            <w:vAlign w:val="center"/>
          </w:tcPr>
          <w:p w14:paraId="4CF18B6C">
            <w:pPr>
              <w:jc w:val="center"/>
              <w:rPr>
                <w:highlight w:val="none"/>
              </w:rPr>
            </w:pPr>
            <w:r>
              <w:rPr>
                <w:highlight w:val="none"/>
              </w:rPr>
              <w:t>3.04</w:t>
            </w:r>
          </w:p>
        </w:tc>
      </w:tr>
      <w:tr w14:paraId="23AC1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46B9B85A">
            <w:pPr>
              <w:rPr>
                <w:highlight w:val="none"/>
              </w:rPr>
            </w:pPr>
          </w:p>
        </w:tc>
        <w:tc>
          <w:tcPr>
            <w:tcW w:w="0" w:type="auto"/>
            <w:tcMar>
              <w:left w:w="108" w:type="dxa"/>
              <w:right w:w="108" w:type="dxa"/>
            </w:tcMar>
            <w:vAlign w:val="center"/>
          </w:tcPr>
          <w:p w14:paraId="12B78BB9">
            <w:pPr>
              <w:jc w:val="center"/>
              <w:rPr>
                <w:highlight w:val="none"/>
              </w:rPr>
            </w:pPr>
            <w:r>
              <w:rPr>
                <w:highlight w:val="none"/>
              </w:rPr>
              <w:t>闪点</w:t>
            </w:r>
            <w:r>
              <w:rPr>
                <w:rFonts w:hint="eastAsia"/>
                <w:highlight w:val="none"/>
                <w:lang w:eastAsia="zh-CN"/>
              </w:rPr>
              <w:t>（</w:t>
            </w:r>
            <w:r>
              <w:rPr>
                <w:highlight w:val="none"/>
              </w:rPr>
              <w:t>℃</w:t>
            </w:r>
            <w:r>
              <w:rPr>
                <w:rFonts w:hint="eastAsia"/>
                <w:highlight w:val="none"/>
                <w:lang w:eastAsia="zh-CN"/>
              </w:rPr>
              <w:t>）</w:t>
            </w:r>
            <w:r>
              <w:rPr>
                <w:highlight w:val="none"/>
              </w:rPr>
              <w:t>：</w:t>
            </w:r>
          </w:p>
        </w:tc>
        <w:tc>
          <w:tcPr>
            <w:tcW w:w="0" w:type="auto"/>
            <w:gridSpan w:val="2"/>
            <w:tcMar>
              <w:left w:w="108" w:type="dxa"/>
              <w:right w:w="108" w:type="dxa"/>
            </w:tcMar>
            <w:vAlign w:val="center"/>
          </w:tcPr>
          <w:p w14:paraId="6E84A315">
            <w:pPr>
              <w:jc w:val="center"/>
              <w:rPr>
                <w:highlight w:val="none"/>
              </w:rPr>
            </w:pPr>
            <w:r>
              <w:rPr>
                <w:highlight w:val="none"/>
              </w:rPr>
              <w:t>-4</w:t>
            </w:r>
          </w:p>
        </w:tc>
        <w:tc>
          <w:tcPr>
            <w:tcW w:w="0" w:type="auto"/>
            <w:tcMar>
              <w:left w:w="108" w:type="dxa"/>
              <w:right w:w="108" w:type="dxa"/>
            </w:tcMar>
            <w:vAlign w:val="center"/>
          </w:tcPr>
          <w:p w14:paraId="14772646">
            <w:pPr>
              <w:jc w:val="center"/>
              <w:rPr>
                <w:highlight w:val="none"/>
              </w:rPr>
            </w:pPr>
            <w:r>
              <w:rPr>
                <w:highlight w:val="none"/>
              </w:rPr>
              <w:t>饱和蒸汽压</w:t>
            </w:r>
            <w:r>
              <w:rPr>
                <w:rFonts w:hint="eastAsia"/>
                <w:highlight w:val="none"/>
                <w:lang w:eastAsia="zh-CN"/>
              </w:rPr>
              <w:t>（</w:t>
            </w:r>
            <w:r>
              <w:rPr>
                <w:highlight w:val="none"/>
              </w:rPr>
              <w:t>kPa</w:t>
            </w:r>
            <w:r>
              <w:rPr>
                <w:rFonts w:hint="eastAsia"/>
                <w:highlight w:val="none"/>
                <w:lang w:eastAsia="zh-CN"/>
              </w:rPr>
              <w:t>）</w:t>
            </w:r>
            <w:r>
              <w:rPr>
                <w:highlight w:val="none"/>
              </w:rPr>
              <w:t>：</w:t>
            </w:r>
          </w:p>
        </w:tc>
        <w:tc>
          <w:tcPr>
            <w:tcW w:w="0" w:type="auto"/>
            <w:gridSpan w:val="2"/>
            <w:tcMar>
              <w:left w:w="108" w:type="dxa"/>
              <w:right w:w="108" w:type="dxa"/>
            </w:tcMar>
            <w:vAlign w:val="center"/>
          </w:tcPr>
          <w:p w14:paraId="549B84A6">
            <w:pPr>
              <w:jc w:val="center"/>
              <w:rPr>
                <w:rFonts w:hint="eastAsia" w:eastAsia="宋体"/>
                <w:highlight w:val="none"/>
                <w:lang w:eastAsia="zh-CN"/>
              </w:rPr>
            </w:pPr>
            <w:r>
              <w:rPr>
                <w:highlight w:val="none"/>
              </w:rPr>
              <w:t>13.33</w:t>
            </w:r>
            <w:r>
              <w:rPr>
                <w:rFonts w:hint="eastAsia"/>
                <w:highlight w:val="none"/>
                <w:lang w:eastAsia="zh-CN"/>
              </w:rPr>
              <w:t>（</w:t>
            </w:r>
            <w:r>
              <w:rPr>
                <w:highlight w:val="none"/>
              </w:rPr>
              <w:t>27℃</w:t>
            </w:r>
            <w:r>
              <w:rPr>
                <w:rFonts w:hint="eastAsia"/>
                <w:highlight w:val="none"/>
                <w:lang w:eastAsia="zh-CN"/>
              </w:rPr>
              <w:t>）</w:t>
            </w:r>
          </w:p>
        </w:tc>
      </w:tr>
      <w:tr w14:paraId="218FB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11BB71CE">
            <w:pPr>
              <w:rPr>
                <w:highlight w:val="none"/>
              </w:rPr>
            </w:pPr>
          </w:p>
        </w:tc>
        <w:tc>
          <w:tcPr>
            <w:tcW w:w="0" w:type="auto"/>
            <w:tcMar>
              <w:left w:w="108" w:type="dxa"/>
              <w:right w:w="108" w:type="dxa"/>
            </w:tcMar>
            <w:vAlign w:val="center"/>
          </w:tcPr>
          <w:p w14:paraId="2025AE20">
            <w:pPr>
              <w:jc w:val="center"/>
              <w:rPr>
                <w:highlight w:val="none"/>
              </w:rPr>
            </w:pPr>
            <w:r>
              <w:rPr>
                <w:highlight w:val="none"/>
              </w:rPr>
              <w:t>引燃温度</w:t>
            </w:r>
            <w:r>
              <w:rPr>
                <w:rFonts w:hint="eastAsia"/>
                <w:highlight w:val="none"/>
                <w:lang w:eastAsia="zh-CN"/>
              </w:rPr>
              <w:t>（</w:t>
            </w:r>
            <w:r>
              <w:rPr>
                <w:highlight w:val="none"/>
              </w:rPr>
              <w:t>℃</w:t>
            </w:r>
            <w:r>
              <w:rPr>
                <w:rFonts w:hint="eastAsia"/>
                <w:highlight w:val="none"/>
                <w:lang w:eastAsia="zh-CN"/>
              </w:rPr>
              <w:t>）</w:t>
            </w:r>
            <w:r>
              <w:rPr>
                <w:highlight w:val="none"/>
              </w:rPr>
              <w:t>：</w:t>
            </w:r>
          </w:p>
        </w:tc>
        <w:tc>
          <w:tcPr>
            <w:tcW w:w="0" w:type="auto"/>
            <w:gridSpan w:val="2"/>
            <w:tcMar>
              <w:left w:w="108" w:type="dxa"/>
              <w:right w:w="108" w:type="dxa"/>
            </w:tcMar>
            <w:vAlign w:val="center"/>
          </w:tcPr>
          <w:p w14:paraId="2A6C6275">
            <w:pPr>
              <w:jc w:val="center"/>
              <w:rPr>
                <w:highlight w:val="none"/>
              </w:rPr>
            </w:pPr>
            <w:r>
              <w:rPr>
                <w:highlight w:val="none"/>
              </w:rPr>
              <w:t>426</w:t>
            </w:r>
          </w:p>
        </w:tc>
        <w:tc>
          <w:tcPr>
            <w:tcW w:w="0" w:type="auto"/>
            <w:tcMar>
              <w:left w:w="108" w:type="dxa"/>
              <w:right w:w="108" w:type="dxa"/>
            </w:tcMar>
            <w:vAlign w:val="center"/>
          </w:tcPr>
          <w:p w14:paraId="05E5E363">
            <w:pPr>
              <w:jc w:val="center"/>
              <w:rPr>
                <w:highlight w:val="none"/>
              </w:rPr>
            </w:pPr>
            <w:r>
              <w:rPr>
                <w:highlight w:val="none"/>
              </w:rPr>
              <w:t>爆炸上限/下限[%V/V]：</w:t>
            </w:r>
          </w:p>
        </w:tc>
        <w:tc>
          <w:tcPr>
            <w:tcW w:w="0" w:type="auto"/>
            <w:gridSpan w:val="2"/>
            <w:tcMar>
              <w:left w:w="108" w:type="dxa"/>
              <w:right w:w="108" w:type="dxa"/>
            </w:tcMar>
            <w:vAlign w:val="center"/>
          </w:tcPr>
          <w:p w14:paraId="79430473">
            <w:pPr>
              <w:jc w:val="center"/>
              <w:rPr>
                <w:highlight w:val="none"/>
              </w:rPr>
            </w:pPr>
            <w:r>
              <w:rPr>
                <w:highlight w:val="none"/>
              </w:rPr>
              <w:t>11.5/2.0</w:t>
            </w:r>
          </w:p>
        </w:tc>
      </w:tr>
      <w:tr w14:paraId="582DE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1EB48DCA">
            <w:pPr>
              <w:rPr>
                <w:highlight w:val="none"/>
              </w:rPr>
            </w:pPr>
          </w:p>
        </w:tc>
        <w:tc>
          <w:tcPr>
            <w:tcW w:w="0" w:type="auto"/>
            <w:tcMar>
              <w:left w:w="108" w:type="dxa"/>
              <w:right w:w="108" w:type="dxa"/>
            </w:tcMar>
            <w:vAlign w:val="center"/>
          </w:tcPr>
          <w:p w14:paraId="4225FC8C">
            <w:pPr>
              <w:jc w:val="center"/>
              <w:rPr>
                <w:highlight w:val="none"/>
              </w:rPr>
            </w:pPr>
            <w:r>
              <w:rPr>
                <w:highlight w:val="none"/>
              </w:rPr>
              <w:t>临界温度</w:t>
            </w:r>
            <w:r>
              <w:rPr>
                <w:rFonts w:hint="eastAsia"/>
                <w:highlight w:val="none"/>
                <w:lang w:eastAsia="zh-CN"/>
              </w:rPr>
              <w:t>（</w:t>
            </w:r>
            <w:r>
              <w:rPr>
                <w:highlight w:val="none"/>
              </w:rPr>
              <w:t>℃</w:t>
            </w:r>
            <w:r>
              <w:rPr>
                <w:rFonts w:hint="eastAsia"/>
                <w:highlight w:val="none"/>
                <w:lang w:eastAsia="zh-CN"/>
              </w:rPr>
              <w:t>）</w:t>
            </w:r>
            <w:r>
              <w:rPr>
                <w:highlight w:val="none"/>
              </w:rPr>
              <w:t>：</w:t>
            </w:r>
          </w:p>
        </w:tc>
        <w:tc>
          <w:tcPr>
            <w:tcW w:w="0" w:type="auto"/>
            <w:gridSpan w:val="2"/>
            <w:tcMar>
              <w:left w:w="108" w:type="dxa"/>
              <w:right w:w="108" w:type="dxa"/>
            </w:tcMar>
            <w:vAlign w:val="center"/>
          </w:tcPr>
          <w:p w14:paraId="7A234BDE">
            <w:pPr>
              <w:jc w:val="center"/>
              <w:rPr>
                <w:highlight w:val="none"/>
              </w:rPr>
            </w:pPr>
            <w:r>
              <w:rPr>
                <w:highlight w:val="none"/>
              </w:rPr>
              <w:t>250.1</w:t>
            </w:r>
          </w:p>
        </w:tc>
        <w:tc>
          <w:tcPr>
            <w:tcW w:w="0" w:type="auto"/>
            <w:tcMar>
              <w:left w:w="108" w:type="dxa"/>
              <w:right w:w="108" w:type="dxa"/>
            </w:tcMar>
            <w:vAlign w:val="center"/>
          </w:tcPr>
          <w:p w14:paraId="59D366CE">
            <w:pPr>
              <w:jc w:val="center"/>
              <w:rPr>
                <w:highlight w:val="none"/>
              </w:rPr>
            </w:pPr>
            <w:r>
              <w:rPr>
                <w:highlight w:val="none"/>
              </w:rPr>
              <w:t>临界压力</w:t>
            </w:r>
            <w:r>
              <w:rPr>
                <w:rFonts w:hint="eastAsia"/>
                <w:highlight w:val="none"/>
                <w:lang w:eastAsia="zh-CN"/>
              </w:rPr>
              <w:t>（</w:t>
            </w:r>
            <w:r>
              <w:rPr>
                <w:highlight w:val="none"/>
              </w:rPr>
              <w:t>MPa</w:t>
            </w:r>
            <w:r>
              <w:rPr>
                <w:rFonts w:hint="eastAsia"/>
                <w:highlight w:val="none"/>
                <w:lang w:eastAsia="zh-CN"/>
              </w:rPr>
              <w:t>）</w:t>
            </w:r>
            <w:r>
              <w:rPr>
                <w:highlight w:val="none"/>
              </w:rPr>
              <w:t>：</w:t>
            </w:r>
          </w:p>
        </w:tc>
        <w:tc>
          <w:tcPr>
            <w:tcW w:w="0" w:type="auto"/>
            <w:gridSpan w:val="2"/>
            <w:tcMar>
              <w:left w:w="108" w:type="dxa"/>
              <w:right w:w="108" w:type="dxa"/>
            </w:tcMar>
            <w:vAlign w:val="center"/>
          </w:tcPr>
          <w:p w14:paraId="2C872D70">
            <w:pPr>
              <w:jc w:val="center"/>
              <w:rPr>
                <w:highlight w:val="none"/>
              </w:rPr>
            </w:pPr>
            <w:r>
              <w:rPr>
                <w:highlight w:val="none"/>
              </w:rPr>
              <w:t>3.83</w:t>
            </w:r>
          </w:p>
        </w:tc>
      </w:tr>
      <w:tr w14:paraId="20347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Mar>
              <w:left w:w="108" w:type="dxa"/>
              <w:right w:w="108" w:type="dxa"/>
            </w:tcMar>
            <w:vAlign w:val="center"/>
          </w:tcPr>
          <w:p w14:paraId="623EF501">
            <w:pPr>
              <w:jc w:val="center"/>
              <w:rPr>
                <w:highlight w:val="none"/>
              </w:rPr>
            </w:pPr>
            <w:r>
              <w:rPr>
                <w:highlight w:val="none"/>
              </w:rPr>
              <w:t>毒性</w:t>
            </w:r>
          </w:p>
        </w:tc>
        <w:tc>
          <w:tcPr>
            <w:tcW w:w="0" w:type="auto"/>
            <w:gridSpan w:val="6"/>
            <w:tcMar>
              <w:left w:w="108" w:type="dxa"/>
              <w:right w:w="108" w:type="dxa"/>
            </w:tcMar>
            <w:vAlign w:val="center"/>
          </w:tcPr>
          <w:p w14:paraId="1ECF7F89">
            <w:pPr>
              <w:jc w:val="center"/>
              <w:rPr>
                <w:rFonts w:hint="eastAsia" w:eastAsia="宋体"/>
                <w:highlight w:val="none"/>
                <w:lang w:eastAsia="zh-CN"/>
              </w:rPr>
            </w:pPr>
            <w:r>
              <w:rPr>
                <w:highlight w:val="none"/>
              </w:rPr>
              <w:t>LD50：5620 mg/kg</w:t>
            </w:r>
            <w:r>
              <w:rPr>
                <w:rFonts w:hint="eastAsia"/>
                <w:highlight w:val="none"/>
                <w:lang w:eastAsia="zh-CN"/>
              </w:rPr>
              <w:t>（</w:t>
            </w:r>
            <w:r>
              <w:rPr>
                <w:highlight w:val="none"/>
              </w:rPr>
              <w:t>大鼠经口</w:t>
            </w:r>
            <w:r>
              <w:rPr>
                <w:rFonts w:hint="eastAsia"/>
                <w:highlight w:val="none"/>
                <w:lang w:eastAsia="zh-CN"/>
              </w:rPr>
              <w:t>）</w:t>
            </w:r>
            <w:r>
              <w:rPr>
                <w:highlight w:val="none"/>
              </w:rPr>
              <w:t>；4940 mg/kg</w:t>
            </w:r>
            <w:r>
              <w:rPr>
                <w:rFonts w:hint="eastAsia"/>
                <w:highlight w:val="none"/>
                <w:lang w:eastAsia="zh-CN"/>
              </w:rPr>
              <w:t>（</w:t>
            </w:r>
            <w:r>
              <w:rPr>
                <w:highlight w:val="none"/>
              </w:rPr>
              <w:t>兔经口</w:t>
            </w:r>
            <w:r>
              <w:rPr>
                <w:rFonts w:hint="eastAsia"/>
                <w:highlight w:val="none"/>
                <w:lang w:eastAsia="zh-CN"/>
              </w:rPr>
              <w:t>）</w:t>
            </w:r>
            <w:r>
              <w:rPr>
                <w:highlight w:val="none"/>
              </w:rPr>
              <w:t xml:space="preserve"> LC50：5760mg/m3，8小时</w:t>
            </w:r>
            <w:r>
              <w:rPr>
                <w:rFonts w:hint="eastAsia"/>
                <w:highlight w:val="none"/>
                <w:lang w:eastAsia="zh-CN"/>
              </w:rPr>
              <w:t>（</w:t>
            </w:r>
            <w:r>
              <w:rPr>
                <w:highlight w:val="none"/>
              </w:rPr>
              <w:t>大鼠吸入</w:t>
            </w:r>
            <w:r>
              <w:rPr>
                <w:rFonts w:hint="eastAsia"/>
                <w:highlight w:val="none"/>
                <w:lang w:eastAsia="zh-CN"/>
              </w:rPr>
              <w:t>）</w:t>
            </w:r>
          </w:p>
        </w:tc>
      </w:tr>
      <w:tr w14:paraId="124B0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687" w:type="dxa"/>
            <w:tcMar>
              <w:left w:w="108" w:type="dxa"/>
              <w:right w:w="108" w:type="dxa"/>
            </w:tcMar>
            <w:vAlign w:val="center"/>
          </w:tcPr>
          <w:p w14:paraId="4F5D8EBB">
            <w:pPr>
              <w:jc w:val="center"/>
              <w:rPr>
                <w:highlight w:val="none"/>
              </w:rPr>
            </w:pPr>
            <w:r>
              <w:rPr>
                <w:highlight w:val="none"/>
              </w:rPr>
              <w:t>溶解性：</w:t>
            </w:r>
          </w:p>
        </w:tc>
        <w:tc>
          <w:tcPr>
            <w:tcW w:w="6835" w:type="dxa"/>
            <w:gridSpan w:val="6"/>
            <w:tcMar>
              <w:left w:w="108" w:type="dxa"/>
              <w:right w:w="108" w:type="dxa"/>
            </w:tcMar>
            <w:vAlign w:val="center"/>
          </w:tcPr>
          <w:p w14:paraId="2E7F0876">
            <w:pPr>
              <w:jc w:val="center"/>
              <w:rPr>
                <w:highlight w:val="none"/>
              </w:rPr>
            </w:pPr>
            <w:r>
              <w:rPr>
                <w:highlight w:val="none"/>
              </w:rPr>
              <w:t>微溶于水，溶于醇、酮、醚、氯仿等多</w:t>
            </w:r>
            <w:r>
              <w:rPr>
                <w:rFonts w:hint="eastAsia"/>
                <w:highlight w:val="none"/>
                <w:lang w:eastAsia="zh-CN"/>
              </w:rPr>
              <w:t>种</w:t>
            </w:r>
            <w:r>
              <w:rPr>
                <w:highlight w:val="none"/>
              </w:rPr>
              <w:t>有机溶剂。</w:t>
            </w:r>
          </w:p>
        </w:tc>
      </w:tr>
      <w:tr w14:paraId="4245E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Mar>
              <w:left w:w="108" w:type="dxa"/>
              <w:right w:w="108" w:type="dxa"/>
            </w:tcMar>
            <w:vAlign w:val="center"/>
          </w:tcPr>
          <w:p w14:paraId="4D7789FD">
            <w:pPr>
              <w:jc w:val="center"/>
              <w:rPr>
                <w:highlight w:val="none"/>
              </w:rPr>
            </w:pPr>
            <w:r>
              <w:rPr>
                <w:highlight w:val="none"/>
              </w:rPr>
              <w:t>健康危害</w:t>
            </w:r>
          </w:p>
        </w:tc>
        <w:tc>
          <w:tcPr>
            <w:tcW w:w="0" w:type="auto"/>
            <w:gridSpan w:val="6"/>
            <w:tcMar>
              <w:left w:w="108" w:type="dxa"/>
              <w:right w:w="108" w:type="dxa"/>
            </w:tcMar>
            <w:vAlign w:val="center"/>
          </w:tcPr>
          <w:p w14:paraId="43938DF2">
            <w:pPr>
              <w:jc w:val="center"/>
              <w:rPr>
                <w:highlight w:val="none"/>
              </w:rPr>
            </w:pPr>
            <w:r>
              <w:rPr>
                <w:highlight w:val="none"/>
              </w:rPr>
              <w:t>对眼、鼻、咽喉有刺激作用。高浓度吸入可引起进行性麻醉作用，急性肺水肿，肝、肾损害。持续大剂量吸入，可致呼吸麻痹。误服者可产生恶心</w:t>
            </w:r>
            <w:r>
              <w:rPr>
                <w:rFonts w:hint="eastAsia"/>
                <w:highlight w:val="none"/>
                <w:lang w:eastAsia="zh-CN"/>
              </w:rPr>
              <w:t>、</w:t>
            </w:r>
            <w:r>
              <w:rPr>
                <w:highlight w:val="none"/>
              </w:rPr>
              <w:t>呕吐</w:t>
            </w:r>
            <w:r>
              <w:rPr>
                <w:rFonts w:hint="eastAsia"/>
                <w:highlight w:val="none"/>
                <w:lang w:eastAsia="zh-CN"/>
              </w:rPr>
              <w:t>、</w:t>
            </w:r>
            <w:r>
              <w:rPr>
                <w:highlight w:val="none"/>
              </w:rPr>
              <w:t>腹痛、腹泻等</w:t>
            </w:r>
            <w:r>
              <w:rPr>
                <w:rFonts w:hint="eastAsia"/>
                <w:highlight w:val="none"/>
                <w:lang w:eastAsia="zh-CN"/>
              </w:rPr>
              <w:t>症状</w:t>
            </w:r>
            <w:r>
              <w:rPr>
                <w:highlight w:val="none"/>
              </w:rPr>
              <w:t>。有</w:t>
            </w:r>
            <w:r>
              <w:rPr>
                <w:rFonts w:hint="eastAsia"/>
                <w:highlight w:val="none"/>
                <w:lang w:eastAsia="zh-CN"/>
              </w:rPr>
              <w:t>致敏</w:t>
            </w:r>
            <w:r>
              <w:rPr>
                <w:highlight w:val="none"/>
              </w:rPr>
              <w:t>作用，因血管神经障碍</w:t>
            </w:r>
            <w:r>
              <w:rPr>
                <w:rFonts w:hint="eastAsia"/>
                <w:highlight w:val="none"/>
                <w:lang w:eastAsia="zh-CN"/>
              </w:rPr>
              <w:t>而导</w:t>
            </w:r>
            <w:r>
              <w:rPr>
                <w:highlight w:val="none"/>
              </w:rPr>
              <w:t>致牙龈出血，导致湿疹样皮炎。慢性影响：长期接触本品有时可致角膜混浊、渗出性角膜炎、白细胞减少等。</w:t>
            </w:r>
          </w:p>
        </w:tc>
      </w:tr>
      <w:tr w14:paraId="62C36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Mar>
              <w:left w:w="108" w:type="dxa"/>
              <w:right w:w="108" w:type="dxa"/>
            </w:tcMar>
            <w:vAlign w:val="center"/>
          </w:tcPr>
          <w:p w14:paraId="31B3C4CF">
            <w:pPr>
              <w:jc w:val="center"/>
              <w:rPr>
                <w:highlight w:val="none"/>
              </w:rPr>
            </w:pPr>
            <w:r>
              <w:rPr>
                <w:highlight w:val="none"/>
              </w:rPr>
              <w:t>燃爆危险</w:t>
            </w:r>
          </w:p>
        </w:tc>
        <w:tc>
          <w:tcPr>
            <w:tcW w:w="0" w:type="auto"/>
            <w:gridSpan w:val="6"/>
            <w:tcMar>
              <w:left w:w="108" w:type="dxa"/>
              <w:right w:w="108" w:type="dxa"/>
            </w:tcMar>
            <w:vAlign w:val="center"/>
          </w:tcPr>
          <w:p w14:paraId="681CEE74">
            <w:pPr>
              <w:jc w:val="center"/>
              <w:rPr>
                <w:highlight w:val="none"/>
              </w:rPr>
            </w:pPr>
            <w:r>
              <w:rPr>
                <w:highlight w:val="none"/>
              </w:rPr>
              <w:t>本品易燃，</w:t>
            </w:r>
            <w:r>
              <w:rPr>
                <w:rFonts w:hint="eastAsia"/>
                <w:highlight w:val="none"/>
                <w:lang w:eastAsia="zh-CN"/>
              </w:rPr>
              <w:t>具有</w:t>
            </w:r>
            <w:r>
              <w:rPr>
                <w:highlight w:val="none"/>
              </w:rPr>
              <w:t>刺激性，具</w:t>
            </w:r>
            <w:r>
              <w:rPr>
                <w:rFonts w:hint="eastAsia"/>
                <w:highlight w:val="none"/>
                <w:lang w:val="en-US" w:eastAsia="zh-CN"/>
              </w:rPr>
              <w:t>有</w:t>
            </w:r>
            <w:r>
              <w:rPr>
                <w:highlight w:val="none"/>
              </w:rPr>
              <w:t>致敏性。</w:t>
            </w:r>
          </w:p>
        </w:tc>
      </w:tr>
      <w:tr w14:paraId="77297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tcMar>
              <w:left w:w="108" w:type="dxa"/>
              <w:right w:w="108" w:type="dxa"/>
            </w:tcMar>
            <w:vAlign w:val="center"/>
          </w:tcPr>
          <w:p w14:paraId="11D4D4EB">
            <w:pPr>
              <w:jc w:val="center"/>
              <w:rPr>
                <w:highlight w:val="none"/>
              </w:rPr>
            </w:pPr>
            <w:r>
              <w:rPr>
                <w:highlight w:val="none"/>
              </w:rPr>
              <w:t>急救措施</w:t>
            </w:r>
          </w:p>
        </w:tc>
        <w:tc>
          <w:tcPr>
            <w:tcW w:w="0" w:type="auto"/>
            <w:tcMar>
              <w:left w:w="108" w:type="dxa"/>
              <w:right w:w="108" w:type="dxa"/>
            </w:tcMar>
            <w:vAlign w:val="center"/>
          </w:tcPr>
          <w:p w14:paraId="4D46C00F">
            <w:pPr>
              <w:jc w:val="center"/>
              <w:rPr>
                <w:highlight w:val="none"/>
              </w:rPr>
            </w:pPr>
            <w:r>
              <w:rPr>
                <w:highlight w:val="none"/>
              </w:rPr>
              <w:t>皮肤接触：</w:t>
            </w:r>
          </w:p>
        </w:tc>
        <w:tc>
          <w:tcPr>
            <w:tcW w:w="0" w:type="auto"/>
            <w:gridSpan w:val="5"/>
            <w:tcMar>
              <w:left w:w="108" w:type="dxa"/>
              <w:right w:w="108" w:type="dxa"/>
            </w:tcMar>
            <w:vAlign w:val="center"/>
          </w:tcPr>
          <w:p w14:paraId="58EE2D14">
            <w:pPr>
              <w:jc w:val="center"/>
              <w:rPr>
                <w:highlight w:val="none"/>
              </w:rPr>
            </w:pPr>
            <w:r>
              <w:rPr>
                <w:highlight w:val="none"/>
              </w:rPr>
              <w:t>脱去污染的衣物，用肥皂水和清水彻底冲洗皮肤。</w:t>
            </w:r>
          </w:p>
        </w:tc>
      </w:tr>
      <w:tr w14:paraId="4D3D0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4350BB9C">
            <w:pPr>
              <w:jc w:val="center"/>
              <w:rPr>
                <w:highlight w:val="none"/>
              </w:rPr>
            </w:pPr>
          </w:p>
        </w:tc>
        <w:tc>
          <w:tcPr>
            <w:tcW w:w="0" w:type="auto"/>
            <w:tcMar>
              <w:left w:w="108" w:type="dxa"/>
              <w:right w:w="108" w:type="dxa"/>
            </w:tcMar>
            <w:vAlign w:val="center"/>
          </w:tcPr>
          <w:p w14:paraId="0A257751">
            <w:pPr>
              <w:jc w:val="center"/>
              <w:rPr>
                <w:highlight w:val="none"/>
              </w:rPr>
            </w:pPr>
            <w:r>
              <w:rPr>
                <w:highlight w:val="none"/>
              </w:rPr>
              <w:t>眼睛接触：</w:t>
            </w:r>
          </w:p>
        </w:tc>
        <w:tc>
          <w:tcPr>
            <w:tcW w:w="0" w:type="auto"/>
            <w:gridSpan w:val="5"/>
            <w:tcMar>
              <w:left w:w="108" w:type="dxa"/>
              <w:right w:w="108" w:type="dxa"/>
            </w:tcMar>
            <w:vAlign w:val="center"/>
          </w:tcPr>
          <w:p w14:paraId="661C6310">
            <w:pPr>
              <w:jc w:val="center"/>
              <w:rPr>
                <w:highlight w:val="none"/>
              </w:rPr>
            </w:pPr>
            <w:r>
              <w:rPr>
                <w:highlight w:val="none"/>
              </w:rPr>
              <w:t>提起眼睑，用流动清水或生理盐水冲洗。就医。</w:t>
            </w:r>
          </w:p>
        </w:tc>
      </w:tr>
      <w:tr w14:paraId="7627F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5D3B4B03">
            <w:pPr>
              <w:jc w:val="center"/>
              <w:rPr>
                <w:highlight w:val="none"/>
              </w:rPr>
            </w:pPr>
          </w:p>
        </w:tc>
        <w:tc>
          <w:tcPr>
            <w:tcW w:w="0" w:type="auto"/>
            <w:tcMar>
              <w:left w:w="108" w:type="dxa"/>
              <w:right w:w="108" w:type="dxa"/>
            </w:tcMar>
            <w:vAlign w:val="center"/>
          </w:tcPr>
          <w:p w14:paraId="5C7704D7">
            <w:pPr>
              <w:jc w:val="center"/>
              <w:rPr>
                <w:highlight w:val="none"/>
              </w:rPr>
            </w:pPr>
            <w:r>
              <w:rPr>
                <w:highlight w:val="none"/>
              </w:rPr>
              <w:t>吸入：</w:t>
            </w:r>
          </w:p>
        </w:tc>
        <w:tc>
          <w:tcPr>
            <w:tcW w:w="0" w:type="auto"/>
            <w:gridSpan w:val="5"/>
            <w:tcMar>
              <w:left w:w="108" w:type="dxa"/>
              <w:right w:w="108" w:type="dxa"/>
            </w:tcMar>
            <w:vAlign w:val="center"/>
          </w:tcPr>
          <w:p w14:paraId="4EC642AE">
            <w:pPr>
              <w:jc w:val="center"/>
              <w:rPr>
                <w:highlight w:val="none"/>
              </w:rPr>
            </w:pPr>
            <w:r>
              <w:rPr>
                <w:highlight w:val="none"/>
              </w:rPr>
              <w:t>迅速脱离现场至空气新鲜处。保持呼吸道通畅。</w:t>
            </w:r>
            <w:r>
              <w:rPr>
                <w:rFonts w:hint="eastAsia"/>
                <w:highlight w:val="none"/>
                <w:lang w:eastAsia="zh-CN"/>
              </w:rPr>
              <w:t>如果</w:t>
            </w:r>
            <w:r>
              <w:rPr>
                <w:highlight w:val="none"/>
              </w:rPr>
              <w:t>呼吸困难，</w:t>
            </w:r>
            <w:r>
              <w:rPr>
                <w:rFonts w:hint="eastAsia"/>
                <w:highlight w:val="none"/>
                <w:lang w:eastAsia="zh-CN"/>
              </w:rPr>
              <w:t>应</w:t>
            </w:r>
            <w:r>
              <w:rPr>
                <w:highlight w:val="none"/>
              </w:rPr>
              <w:t>给</w:t>
            </w:r>
            <w:r>
              <w:rPr>
                <w:rFonts w:hint="eastAsia"/>
                <w:highlight w:val="none"/>
                <w:lang w:eastAsia="zh-CN"/>
              </w:rPr>
              <w:t>患者</w:t>
            </w:r>
            <w:r>
              <w:rPr>
                <w:highlight w:val="none"/>
              </w:rPr>
              <w:t>输氧。如呼吸停止，立即进行人工呼吸。就医。</w:t>
            </w:r>
          </w:p>
        </w:tc>
      </w:tr>
      <w:tr w14:paraId="221E5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562DBD39">
            <w:pPr>
              <w:jc w:val="center"/>
              <w:rPr>
                <w:highlight w:val="none"/>
              </w:rPr>
            </w:pPr>
          </w:p>
        </w:tc>
        <w:tc>
          <w:tcPr>
            <w:tcW w:w="0" w:type="auto"/>
            <w:tcMar>
              <w:left w:w="108" w:type="dxa"/>
              <w:right w:w="108" w:type="dxa"/>
            </w:tcMar>
            <w:vAlign w:val="center"/>
          </w:tcPr>
          <w:p w14:paraId="11EF8709">
            <w:pPr>
              <w:jc w:val="center"/>
              <w:rPr>
                <w:highlight w:val="none"/>
              </w:rPr>
            </w:pPr>
            <w:r>
              <w:rPr>
                <w:highlight w:val="none"/>
              </w:rPr>
              <w:t>食入：</w:t>
            </w:r>
          </w:p>
        </w:tc>
        <w:tc>
          <w:tcPr>
            <w:tcW w:w="0" w:type="auto"/>
            <w:gridSpan w:val="5"/>
            <w:tcMar>
              <w:left w:w="108" w:type="dxa"/>
              <w:right w:w="108" w:type="dxa"/>
            </w:tcMar>
            <w:vAlign w:val="center"/>
          </w:tcPr>
          <w:p w14:paraId="337AD98A">
            <w:pPr>
              <w:jc w:val="center"/>
              <w:rPr>
                <w:highlight w:val="none"/>
              </w:rPr>
            </w:pPr>
            <w:r>
              <w:rPr>
                <w:highlight w:val="none"/>
              </w:rPr>
              <w:t>饮足量温水，催吐。就医。</w:t>
            </w:r>
          </w:p>
        </w:tc>
      </w:tr>
      <w:tr w14:paraId="7E28B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tcMar>
              <w:left w:w="108" w:type="dxa"/>
              <w:right w:w="108" w:type="dxa"/>
            </w:tcMar>
            <w:vAlign w:val="center"/>
          </w:tcPr>
          <w:p w14:paraId="0893E2A7">
            <w:pPr>
              <w:jc w:val="center"/>
              <w:rPr>
                <w:highlight w:val="none"/>
              </w:rPr>
            </w:pPr>
            <w:r>
              <w:rPr>
                <w:highlight w:val="none"/>
              </w:rPr>
              <w:t>燃烧爆炸危险性</w:t>
            </w:r>
          </w:p>
        </w:tc>
        <w:tc>
          <w:tcPr>
            <w:tcW w:w="0" w:type="auto"/>
            <w:tcMar>
              <w:left w:w="108" w:type="dxa"/>
              <w:right w:w="108" w:type="dxa"/>
            </w:tcMar>
            <w:vAlign w:val="center"/>
          </w:tcPr>
          <w:p w14:paraId="70096D4D">
            <w:pPr>
              <w:jc w:val="center"/>
              <w:rPr>
                <w:highlight w:val="none"/>
              </w:rPr>
            </w:pPr>
            <w:r>
              <w:rPr>
                <w:highlight w:val="none"/>
              </w:rPr>
              <w:t>危险特性：</w:t>
            </w:r>
          </w:p>
        </w:tc>
        <w:tc>
          <w:tcPr>
            <w:tcW w:w="0" w:type="auto"/>
            <w:gridSpan w:val="5"/>
            <w:tcMar>
              <w:left w:w="108" w:type="dxa"/>
              <w:right w:w="108" w:type="dxa"/>
            </w:tcMar>
            <w:vAlign w:val="center"/>
          </w:tcPr>
          <w:p w14:paraId="4F984D08">
            <w:pPr>
              <w:jc w:val="center"/>
              <w:rPr>
                <w:highlight w:val="none"/>
              </w:rPr>
            </w:pPr>
            <w:r>
              <w:rPr>
                <w:highlight w:val="none"/>
              </w:rPr>
              <w:t>易燃。其</w:t>
            </w:r>
            <w:r>
              <w:rPr>
                <w:rFonts w:hint="eastAsia"/>
                <w:highlight w:val="none"/>
                <w:lang w:eastAsia="zh-CN"/>
              </w:rPr>
              <w:t>蒸汽</w:t>
            </w:r>
            <w:r>
              <w:rPr>
                <w:highlight w:val="none"/>
              </w:rPr>
              <w:t>与空气可形成爆炸性混合物，遇明火、高热能引起燃烧爆炸。与氧化剂接触</w:t>
            </w:r>
            <w:r>
              <w:rPr>
                <w:rFonts w:hint="eastAsia"/>
                <w:highlight w:val="none"/>
                <w:lang w:eastAsia="zh-CN"/>
              </w:rPr>
              <w:t>会产生</w:t>
            </w:r>
            <w:r>
              <w:rPr>
                <w:highlight w:val="none"/>
              </w:rPr>
              <w:t>猛烈反应。其</w:t>
            </w:r>
            <w:r>
              <w:rPr>
                <w:rFonts w:hint="eastAsia"/>
                <w:highlight w:val="none"/>
                <w:lang w:eastAsia="zh-CN"/>
              </w:rPr>
              <w:t>蒸汽</w:t>
            </w:r>
            <w:r>
              <w:rPr>
                <w:highlight w:val="none"/>
              </w:rPr>
              <w:t>比空气重，能在较低处扩散到相当远的地方，遇火源会着火回燃。</w:t>
            </w:r>
          </w:p>
        </w:tc>
      </w:tr>
      <w:tr w14:paraId="4D28E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4C5AAA6A">
            <w:pPr>
              <w:jc w:val="center"/>
              <w:rPr>
                <w:highlight w:val="none"/>
              </w:rPr>
            </w:pPr>
          </w:p>
        </w:tc>
        <w:tc>
          <w:tcPr>
            <w:tcW w:w="0" w:type="auto"/>
            <w:tcMar>
              <w:left w:w="108" w:type="dxa"/>
              <w:right w:w="108" w:type="dxa"/>
            </w:tcMar>
            <w:vAlign w:val="center"/>
          </w:tcPr>
          <w:p w14:paraId="2A87E9CE">
            <w:pPr>
              <w:jc w:val="center"/>
              <w:rPr>
                <w:highlight w:val="none"/>
              </w:rPr>
            </w:pPr>
            <w:r>
              <w:rPr>
                <w:highlight w:val="none"/>
              </w:rPr>
              <w:t>建筑火灾分级：</w:t>
            </w:r>
          </w:p>
        </w:tc>
        <w:tc>
          <w:tcPr>
            <w:tcW w:w="0" w:type="auto"/>
            <w:gridSpan w:val="5"/>
            <w:tcMar>
              <w:left w:w="108" w:type="dxa"/>
              <w:right w:w="108" w:type="dxa"/>
            </w:tcMar>
            <w:vAlign w:val="center"/>
          </w:tcPr>
          <w:p w14:paraId="6908E56A">
            <w:pPr>
              <w:jc w:val="center"/>
              <w:rPr>
                <w:highlight w:val="none"/>
              </w:rPr>
            </w:pPr>
            <w:r>
              <w:rPr>
                <w:highlight w:val="none"/>
              </w:rPr>
              <w:t>甲</w:t>
            </w:r>
          </w:p>
        </w:tc>
      </w:tr>
      <w:tr w14:paraId="0B428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47B838FD">
            <w:pPr>
              <w:jc w:val="center"/>
              <w:rPr>
                <w:highlight w:val="none"/>
              </w:rPr>
            </w:pPr>
          </w:p>
        </w:tc>
        <w:tc>
          <w:tcPr>
            <w:tcW w:w="0" w:type="auto"/>
            <w:tcMar>
              <w:left w:w="108" w:type="dxa"/>
              <w:right w:w="108" w:type="dxa"/>
            </w:tcMar>
            <w:vAlign w:val="center"/>
          </w:tcPr>
          <w:p w14:paraId="131FFD7E">
            <w:pPr>
              <w:jc w:val="center"/>
              <w:rPr>
                <w:highlight w:val="none"/>
              </w:rPr>
            </w:pPr>
            <w:r>
              <w:rPr>
                <w:highlight w:val="none"/>
              </w:rPr>
              <w:t>有害燃烧产物：</w:t>
            </w:r>
          </w:p>
        </w:tc>
        <w:tc>
          <w:tcPr>
            <w:tcW w:w="0" w:type="auto"/>
            <w:gridSpan w:val="5"/>
            <w:tcMar>
              <w:left w:w="108" w:type="dxa"/>
              <w:right w:w="108" w:type="dxa"/>
            </w:tcMar>
            <w:vAlign w:val="center"/>
          </w:tcPr>
          <w:p w14:paraId="380DF59F">
            <w:pPr>
              <w:jc w:val="center"/>
              <w:rPr>
                <w:highlight w:val="none"/>
              </w:rPr>
            </w:pPr>
            <w:r>
              <w:rPr>
                <w:highlight w:val="none"/>
              </w:rPr>
              <w:t>一氧化碳、二氧化碳。</w:t>
            </w:r>
          </w:p>
        </w:tc>
      </w:tr>
      <w:tr w14:paraId="2B7D2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6988BCFA">
            <w:pPr>
              <w:jc w:val="center"/>
              <w:rPr>
                <w:highlight w:val="none"/>
              </w:rPr>
            </w:pPr>
          </w:p>
        </w:tc>
        <w:tc>
          <w:tcPr>
            <w:tcW w:w="0" w:type="auto"/>
            <w:tcMar>
              <w:left w:w="108" w:type="dxa"/>
              <w:right w:w="108" w:type="dxa"/>
            </w:tcMar>
            <w:vAlign w:val="center"/>
          </w:tcPr>
          <w:p w14:paraId="3F2BEB69">
            <w:pPr>
              <w:jc w:val="center"/>
              <w:rPr>
                <w:highlight w:val="none"/>
              </w:rPr>
            </w:pPr>
            <w:r>
              <w:rPr>
                <w:highlight w:val="none"/>
              </w:rPr>
              <w:t>灭火方法：</w:t>
            </w:r>
          </w:p>
        </w:tc>
        <w:tc>
          <w:tcPr>
            <w:tcW w:w="0" w:type="auto"/>
            <w:gridSpan w:val="5"/>
            <w:tcMar>
              <w:left w:w="108" w:type="dxa"/>
              <w:right w:w="108" w:type="dxa"/>
            </w:tcMar>
            <w:vAlign w:val="center"/>
          </w:tcPr>
          <w:p w14:paraId="63D7A501">
            <w:pPr>
              <w:jc w:val="center"/>
              <w:rPr>
                <w:highlight w:val="none"/>
              </w:rPr>
            </w:pPr>
            <w:r>
              <w:rPr>
                <w:highlight w:val="none"/>
              </w:rPr>
              <w:t>采用抗毒性泡沫、二氧化碳、干粉、砂土</w:t>
            </w:r>
            <w:r>
              <w:rPr>
                <w:rFonts w:hint="eastAsia"/>
                <w:highlight w:val="none"/>
                <w:lang w:eastAsia="zh-CN"/>
              </w:rPr>
              <w:t>等方式</w:t>
            </w:r>
            <w:r>
              <w:rPr>
                <w:highlight w:val="none"/>
              </w:rPr>
              <w:t>灭火。用水灭火无效，但可用雾状水保持火场中容器冷却。</w:t>
            </w:r>
          </w:p>
        </w:tc>
      </w:tr>
      <w:tr w14:paraId="27368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Mar>
              <w:left w:w="108" w:type="dxa"/>
              <w:right w:w="108" w:type="dxa"/>
            </w:tcMar>
            <w:vAlign w:val="center"/>
          </w:tcPr>
          <w:p w14:paraId="00F00CD9">
            <w:pPr>
              <w:jc w:val="center"/>
              <w:rPr>
                <w:highlight w:val="none"/>
              </w:rPr>
            </w:pPr>
            <w:r>
              <w:rPr>
                <w:highlight w:val="none"/>
              </w:rPr>
              <w:t>泄漏处置</w:t>
            </w:r>
          </w:p>
        </w:tc>
        <w:tc>
          <w:tcPr>
            <w:tcW w:w="0" w:type="auto"/>
            <w:gridSpan w:val="6"/>
            <w:tcMar>
              <w:left w:w="108" w:type="dxa"/>
              <w:right w:w="108" w:type="dxa"/>
            </w:tcMar>
            <w:vAlign w:val="center"/>
          </w:tcPr>
          <w:p w14:paraId="751CA585">
            <w:pPr>
              <w:jc w:val="center"/>
              <w:rPr>
                <w:highlight w:val="none"/>
              </w:rPr>
            </w:pPr>
            <w:r>
              <w:rPr>
                <w:highlight w:val="none"/>
              </w:rPr>
              <w:t>迅速撤离泄漏污染区人员至安全区，并进行隔离，严格限制出入。切断电源，建议应急处理人员戴自给正压式呼吸器，穿防静电工作服。尽可能切断泄漏源。防止</w:t>
            </w:r>
            <w:r>
              <w:rPr>
                <w:rFonts w:hint="eastAsia"/>
                <w:highlight w:val="none"/>
                <w:lang w:eastAsia="zh-CN"/>
              </w:rPr>
              <w:t>泄漏</w:t>
            </w:r>
            <w:r>
              <w:rPr>
                <w:highlight w:val="none"/>
              </w:rPr>
              <w:t>流入下水道、排洪沟等限制性空间。小量泄漏：用活性炭或其</w:t>
            </w:r>
            <w:r>
              <w:rPr>
                <w:rFonts w:hint="eastAsia"/>
                <w:highlight w:val="none"/>
                <w:lang w:eastAsia="zh-CN"/>
              </w:rPr>
              <w:t>他</w:t>
            </w:r>
            <w:r>
              <w:rPr>
                <w:highlight w:val="none"/>
              </w:rPr>
              <w:t>惰性材料吸收。也可以用大量水冲洗，洗水稀释后放入废水系统。大量泄漏：构筑围堤或挖坑收容。用泡沫覆盖，降低</w:t>
            </w:r>
            <w:r>
              <w:rPr>
                <w:rFonts w:hint="eastAsia"/>
                <w:highlight w:val="none"/>
                <w:lang w:eastAsia="zh-CN"/>
              </w:rPr>
              <w:t>蒸汽</w:t>
            </w:r>
            <w:r>
              <w:rPr>
                <w:highlight w:val="none"/>
              </w:rPr>
              <w:t>灾害。用消防栓转移至槽车或专用收集容器内，回收或运至废物处理场所处置。</w:t>
            </w:r>
          </w:p>
        </w:tc>
      </w:tr>
      <w:tr w14:paraId="36E8E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Mar>
              <w:left w:w="108" w:type="dxa"/>
              <w:right w:w="108" w:type="dxa"/>
            </w:tcMar>
            <w:vAlign w:val="center"/>
          </w:tcPr>
          <w:p w14:paraId="48543880">
            <w:pPr>
              <w:jc w:val="center"/>
              <w:rPr>
                <w:highlight w:val="none"/>
              </w:rPr>
            </w:pPr>
            <w:r>
              <w:rPr>
                <w:highlight w:val="none"/>
              </w:rPr>
              <w:t>储运注意事项</w:t>
            </w:r>
          </w:p>
        </w:tc>
        <w:tc>
          <w:tcPr>
            <w:tcW w:w="0" w:type="auto"/>
            <w:gridSpan w:val="6"/>
            <w:tcMar>
              <w:left w:w="108" w:type="dxa"/>
              <w:right w:w="108" w:type="dxa"/>
            </w:tcMar>
            <w:vAlign w:val="center"/>
          </w:tcPr>
          <w:p w14:paraId="66680B24">
            <w:pPr>
              <w:jc w:val="center"/>
              <w:rPr>
                <w:highlight w:val="none"/>
              </w:rPr>
            </w:pPr>
            <w:r>
              <w:rPr>
                <w:highlight w:val="none"/>
              </w:rPr>
              <w:t>①操作注意事项：密闭操作，全面通风。操作人员必须经过专门培训，严格遵守操作规程。建议操作人员佩戴自吸过滤式防毒面具（半面罩），戴化学安全防护眼镜，穿防静电工作服，戴橡胶耐油手套。远离火种、热源，工作场所严禁吸烟。使用防爆型的通风系统和设备。防止</w:t>
            </w:r>
            <w:r>
              <w:rPr>
                <w:rFonts w:hint="eastAsia"/>
                <w:highlight w:val="none"/>
                <w:lang w:eastAsia="zh-CN"/>
              </w:rPr>
              <w:t>蒸汽</w:t>
            </w:r>
            <w:r>
              <w:rPr>
                <w:highlight w:val="none"/>
              </w:rPr>
              <w:t>泄漏到工作场所空气中。避免与酸类、碱类接触。灌装时应控制流速，且</w:t>
            </w:r>
            <w:r>
              <w:rPr>
                <w:rFonts w:hint="eastAsia"/>
                <w:highlight w:val="none"/>
                <w:lang w:eastAsia="zh-CN"/>
              </w:rPr>
              <w:t>设置</w:t>
            </w:r>
            <w:r>
              <w:rPr>
                <w:highlight w:val="none"/>
              </w:rPr>
              <w:t>接地装置，防止静电积聚。搬运时要轻装轻卸，防止包装及容器损坏。配备相应品种和数量的消防器材及泄漏应急处理设备。容器的容量可能残留有害物。</w:t>
            </w:r>
            <w:r>
              <w:rPr>
                <w:highlight w:val="none"/>
              </w:rPr>
              <w:br w:type="textWrapping"/>
            </w:r>
            <w:r>
              <w:rPr>
                <w:highlight w:val="none"/>
              </w:rPr>
              <w:t>②储存注意事项：储存于阴凉、通风的库房。远离火种、热源。库温不宜超过30℃。保持容器密封。与氧化剂、酸类、碱类分开存放，切忌混储。采用防爆照明、通风设施。禁止使用易产生火花的机械设备和工具。储区应备有泄漏应急处理设备和合适的收容材料。</w:t>
            </w:r>
            <w:r>
              <w:rPr>
                <w:highlight w:val="none"/>
              </w:rPr>
              <w:br w:type="textWrapping"/>
            </w:r>
            <w:r>
              <w:rPr>
                <w:highlight w:val="none"/>
              </w:rPr>
              <w:t>③运输注意事项：运输时运输车辆应配备相应种类和数量的消防器材及泄漏应急处理设备。夏季最好早晚运输。运输时所用的槽（罐）车应有接地链，槽内可设隔板以减少泄漏物的静电。避免与氧化剂、酸类、碱类、食用化学品和潮湿金属接触。运输途中应防</w:t>
            </w:r>
            <w:r>
              <w:rPr>
                <w:rFonts w:hint="eastAsia"/>
                <w:highlight w:val="none"/>
                <w:lang w:eastAsia="zh-CN"/>
              </w:rPr>
              <w:t>暴晒</w:t>
            </w:r>
            <w:r>
              <w:rPr>
                <w:highlight w:val="none"/>
              </w:rPr>
              <w:t>、雨淋、高温。中途停留时应远离火种、热源、高温区。装运该产品车辆的排气管等必须配备阻火装置。禁止使用易产生火花的机械设备和工具装卸。公路运输时要按规定路线行驶，勿在居民区和人口稠密区停留。铁路运输时要禁止溜放。严禁用木船、水泥船</w:t>
            </w:r>
            <w:r>
              <w:rPr>
                <w:rFonts w:hint="eastAsia"/>
                <w:highlight w:val="none"/>
                <w:lang w:eastAsia="zh-CN"/>
              </w:rPr>
              <w:t>等方式</w:t>
            </w:r>
            <w:r>
              <w:rPr>
                <w:highlight w:val="none"/>
              </w:rPr>
              <w:t>散装运输。</w:t>
            </w:r>
          </w:p>
        </w:tc>
      </w:tr>
    </w:tbl>
    <w:p w14:paraId="6EE4B3AC">
      <w:pPr>
        <w:spacing w:line="360" w:lineRule="auto"/>
        <w:jc w:val="center"/>
        <w:rPr>
          <w:rFonts w:hint="eastAsia" w:ascii="Times New Roman" w:hAnsi="Times New Roman" w:eastAsia="宋体" w:cs="Times New Roman"/>
          <w:b/>
          <w:bCs/>
          <w:sz w:val="21"/>
          <w:szCs w:val="21"/>
          <w:highlight w:val="none"/>
          <w:lang w:val="en-US" w:eastAsia="zh-CN"/>
        </w:rPr>
      </w:pPr>
      <w:r>
        <w:rPr>
          <w:rFonts w:hint="eastAsia" w:cs="Times New Roman"/>
          <w:b/>
          <w:bCs/>
          <w:sz w:val="21"/>
          <w:szCs w:val="21"/>
          <w:highlight w:val="none"/>
          <w:lang w:val="en-US" w:eastAsia="zh-CN"/>
        </w:rPr>
        <w:t>3.2</w:t>
      </w:r>
      <w:r>
        <w:rPr>
          <w:rFonts w:hint="eastAsia" w:ascii="Times New Roman" w:hAnsi="Times New Roman" w:eastAsia="宋体" w:cs="Times New Roman"/>
          <w:b/>
          <w:bCs/>
          <w:sz w:val="21"/>
          <w:szCs w:val="21"/>
          <w:highlight w:val="none"/>
          <w:lang w:val="en-US" w:eastAsia="zh-CN"/>
        </w:rPr>
        <w:t>-7   甲醇理化性质及危险特性表</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14"/>
        <w:gridCol w:w="1836"/>
        <w:gridCol w:w="1417"/>
        <w:gridCol w:w="921"/>
        <w:gridCol w:w="921"/>
        <w:gridCol w:w="3011"/>
      </w:tblGrid>
      <w:tr w14:paraId="0E7ED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tcMar>
              <w:left w:w="108" w:type="dxa"/>
              <w:right w:w="108" w:type="dxa"/>
            </w:tcMar>
            <w:vAlign w:val="center"/>
          </w:tcPr>
          <w:p w14:paraId="7D9BC9F1">
            <w:pPr>
              <w:jc w:val="center"/>
              <w:rPr>
                <w:highlight w:val="none"/>
              </w:rPr>
            </w:pPr>
            <w:r>
              <w:rPr>
                <w:highlight w:val="none"/>
              </w:rPr>
              <w:t>标识</w:t>
            </w:r>
          </w:p>
        </w:tc>
        <w:tc>
          <w:tcPr>
            <w:tcW w:w="0" w:type="auto"/>
            <w:gridSpan w:val="2"/>
            <w:tcMar>
              <w:left w:w="108" w:type="dxa"/>
              <w:right w:w="108" w:type="dxa"/>
            </w:tcMar>
            <w:vAlign w:val="center"/>
          </w:tcPr>
          <w:p w14:paraId="4589AFA4">
            <w:pPr>
              <w:jc w:val="center"/>
              <w:rPr>
                <w:highlight w:val="none"/>
              </w:rPr>
            </w:pPr>
            <w:r>
              <w:rPr>
                <w:highlight w:val="none"/>
              </w:rPr>
              <w:t>中文名：甲醇，木精</w:t>
            </w:r>
          </w:p>
        </w:tc>
        <w:tc>
          <w:tcPr>
            <w:tcW w:w="0" w:type="auto"/>
            <w:gridSpan w:val="3"/>
            <w:tcMar>
              <w:left w:w="108" w:type="dxa"/>
              <w:right w:w="108" w:type="dxa"/>
            </w:tcMar>
            <w:vAlign w:val="center"/>
          </w:tcPr>
          <w:p w14:paraId="1A9BFF86">
            <w:pPr>
              <w:jc w:val="center"/>
              <w:rPr>
                <w:highlight w:val="none"/>
              </w:rPr>
            </w:pPr>
            <w:r>
              <w:rPr>
                <w:highlight w:val="none"/>
              </w:rPr>
              <w:t>英文名：methyl alcoholmethanol</w:t>
            </w:r>
          </w:p>
        </w:tc>
      </w:tr>
      <w:tr w14:paraId="534B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722E1FEA">
            <w:pPr>
              <w:jc w:val="center"/>
              <w:rPr>
                <w:highlight w:val="none"/>
              </w:rPr>
            </w:pPr>
          </w:p>
        </w:tc>
        <w:tc>
          <w:tcPr>
            <w:tcW w:w="0" w:type="auto"/>
            <w:gridSpan w:val="2"/>
            <w:tcMar>
              <w:left w:w="108" w:type="dxa"/>
              <w:right w:w="108" w:type="dxa"/>
            </w:tcMar>
            <w:vAlign w:val="center"/>
          </w:tcPr>
          <w:p w14:paraId="047C0DAB">
            <w:pPr>
              <w:jc w:val="center"/>
              <w:rPr>
                <w:highlight w:val="none"/>
              </w:rPr>
            </w:pPr>
            <w:r>
              <w:rPr>
                <w:highlight w:val="none"/>
              </w:rPr>
              <w:t>分子式：CH</w:t>
            </w:r>
            <w:r>
              <w:rPr>
                <w:highlight w:val="none"/>
                <w:vertAlign w:val="subscript"/>
              </w:rPr>
              <w:t>3</w:t>
            </w:r>
            <w:r>
              <w:rPr>
                <w:highlight w:val="none"/>
              </w:rPr>
              <w:t>OH</w:t>
            </w:r>
          </w:p>
        </w:tc>
        <w:tc>
          <w:tcPr>
            <w:tcW w:w="0" w:type="auto"/>
            <w:gridSpan w:val="3"/>
            <w:tcMar>
              <w:left w:w="108" w:type="dxa"/>
              <w:right w:w="108" w:type="dxa"/>
            </w:tcMar>
            <w:vAlign w:val="center"/>
          </w:tcPr>
          <w:p w14:paraId="61B4FFC8">
            <w:pPr>
              <w:jc w:val="center"/>
              <w:rPr>
                <w:highlight w:val="none"/>
              </w:rPr>
            </w:pPr>
            <w:r>
              <w:rPr>
                <w:highlight w:val="none"/>
              </w:rPr>
              <w:t>分子量：32.0</w:t>
            </w:r>
          </w:p>
        </w:tc>
      </w:tr>
      <w:tr w14:paraId="1CEA2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6F29D46D">
            <w:pPr>
              <w:jc w:val="center"/>
              <w:rPr>
                <w:highlight w:val="none"/>
              </w:rPr>
            </w:pPr>
          </w:p>
        </w:tc>
        <w:tc>
          <w:tcPr>
            <w:tcW w:w="0" w:type="auto"/>
            <w:tcMar>
              <w:left w:w="108" w:type="dxa"/>
              <w:right w:w="108" w:type="dxa"/>
            </w:tcMar>
            <w:vAlign w:val="center"/>
          </w:tcPr>
          <w:p w14:paraId="5D78E62D">
            <w:pPr>
              <w:jc w:val="center"/>
              <w:rPr>
                <w:highlight w:val="none"/>
              </w:rPr>
            </w:pPr>
            <w:r>
              <w:rPr>
                <w:highlight w:val="none"/>
              </w:rPr>
              <w:t>危规编号：32058</w:t>
            </w:r>
          </w:p>
        </w:tc>
        <w:tc>
          <w:tcPr>
            <w:tcW w:w="0" w:type="auto"/>
            <w:gridSpan w:val="3"/>
            <w:tcMar>
              <w:left w:w="108" w:type="dxa"/>
              <w:right w:w="108" w:type="dxa"/>
            </w:tcMar>
            <w:vAlign w:val="center"/>
          </w:tcPr>
          <w:p w14:paraId="13300E68">
            <w:pPr>
              <w:jc w:val="center"/>
              <w:rPr>
                <w:highlight w:val="none"/>
              </w:rPr>
            </w:pPr>
            <w:r>
              <w:rPr>
                <w:highlight w:val="none"/>
              </w:rPr>
              <w:t>UN编号：1230</w:t>
            </w:r>
          </w:p>
        </w:tc>
        <w:tc>
          <w:tcPr>
            <w:tcW w:w="0" w:type="auto"/>
            <w:tcMar>
              <w:left w:w="108" w:type="dxa"/>
              <w:right w:w="108" w:type="dxa"/>
            </w:tcMar>
            <w:vAlign w:val="center"/>
          </w:tcPr>
          <w:p w14:paraId="4EC3BEF7">
            <w:pPr>
              <w:jc w:val="center"/>
              <w:rPr>
                <w:highlight w:val="none"/>
              </w:rPr>
            </w:pPr>
            <w:r>
              <w:rPr>
                <w:highlight w:val="none"/>
              </w:rPr>
              <w:t>CAS No.：67-56-1</w:t>
            </w:r>
          </w:p>
        </w:tc>
      </w:tr>
      <w:tr w14:paraId="527C9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20C18C4B">
            <w:pPr>
              <w:jc w:val="center"/>
              <w:rPr>
                <w:highlight w:val="none"/>
              </w:rPr>
            </w:pPr>
          </w:p>
        </w:tc>
        <w:tc>
          <w:tcPr>
            <w:tcW w:w="0" w:type="auto"/>
            <w:gridSpan w:val="3"/>
            <w:tcMar>
              <w:left w:w="108" w:type="dxa"/>
              <w:right w:w="108" w:type="dxa"/>
            </w:tcMar>
            <w:vAlign w:val="center"/>
          </w:tcPr>
          <w:p w14:paraId="5C749ACC">
            <w:pPr>
              <w:jc w:val="center"/>
              <w:rPr>
                <w:highlight w:val="none"/>
              </w:rPr>
            </w:pPr>
            <w:r>
              <w:rPr>
                <w:highlight w:val="none"/>
              </w:rPr>
              <w:t>主要危险特性：第3</w:t>
            </w:r>
            <w:r>
              <w:rPr>
                <w:rFonts w:hint="eastAsia"/>
                <w:highlight w:val="none"/>
                <w:lang w:val="en-US" w:eastAsia="zh-CN"/>
              </w:rPr>
              <w:t>.</w:t>
            </w:r>
            <w:r>
              <w:rPr>
                <w:highlight w:val="none"/>
              </w:rPr>
              <w:t>2类中闪点液体。</w:t>
            </w:r>
          </w:p>
        </w:tc>
        <w:tc>
          <w:tcPr>
            <w:tcW w:w="0" w:type="auto"/>
            <w:gridSpan w:val="2"/>
            <w:tcMar>
              <w:left w:w="108" w:type="dxa"/>
              <w:right w:w="108" w:type="dxa"/>
            </w:tcMar>
            <w:vAlign w:val="center"/>
          </w:tcPr>
          <w:p w14:paraId="1829A57B">
            <w:pPr>
              <w:jc w:val="center"/>
              <w:rPr>
                <w:highlight w:val="none"/>
              </w:rPr>
            </w:pPr>
            <w:r>
              <w:rPr>
                <w:highlight w:val="none"/>
              </w:rPr>
              <w:t>中国危险货物标志：</w:t>
            </w:r>
          </w:p>
        </w:tc>
      </w:tr>
      <w:tr w14:paraId="5DE8B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tcMar>
              <w:left w:w="108" w:type="dxa"/>
              <w:right w:w="108" w:type="dxa"/>
            </w:tcMar>
            <w:vAlign w:val="center"/>
          </w:tcPr>
          <w:p w14:paraId="6F5D74F1">
            <w:pPr>
              <w:jc w:val="center"/>
              <w:rPr>
                <w:highlight w:val="none"/>
              </w:rPr>
            </w:pPr>
            <w:r>
              <w:rPr>
                <w:highlight w:val="none"/>
              </w:rPr>
              <w:t>理化性质</w:t>
            </w:r>
          </w:p>
        </w:tc>
        <w:tc>
          <w:tcPr>
            <w:tcW w:w="0" w:type="auto"/>
            <w:gridSpan w:val="5"/>
            <w:tcMar>
              <w:left w:w="108" w:type="dxa"/>
              <w:right w:w="108" w:type="dxa"/>
            </w:tcMar>
            <w:vAlign w:val="center"/>
          </w:tcPr>
          <w:p w14:paraId="7325DA8A">
            <w:pPr>
              <w:jc w:val="center"/>
              <w:rPr>
                <w:highlight w:val="none"/>
              </w:rPr>
            </w:pPr>
            <w:r>
              <w:rPr>
                <w:highlight w:val="none"/>
              </w:rPr>
              <w:t>外观与特性：无色透明液体，有刺激性气味。</w:t>
            </w:r>
          </w:p>
        </w:tc>
      </w:tr>
      <w:tr w14:paraId="3F34B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094FD0A9">
            <w:pPr>
              <w:jc w:val="center"/>
              <w:rPr>
                <w:highlight w:val="none"/>
              </w:rPr>
            </w:pPr>
          </w:p>
        </w:tc>
        <w:tc>
          <w:tcPr>
            <w:tcW w:w="0" w:type="auto"/>
            <w:tcMar>
              <w:left w:w="108" w:type="dxa"/>
              <w:right w:w="108" w:type="dxa"/>
            </w:tcMar>
            <w:vAlign w:val="center"/>
          </w:tcPr>
          <w:p w14:paraId="4F18E95E">
            <w:pPr>
              <w:jc w:val="center"/>
              <w:rPr>
                <w:highlight w:val="none"/>
              </w:rPr>
            </w:pPr>
            <w:r>
              <w:rPr>
                <w:highlight w:val="none"/>
              </w:rPr>
              <w:t>熔点（℃）</w:t>
            </w:r>
          </w:p>
        </w:tc>
        <w:tc>
          <w:tcPr>
            <w:tcW w:w="0" w:type="auto"/>
            <w:tcMar>
              <w:left w:w="108" w:type="dxa"/>
              <w:right w:w="108" w:type="dxa"/>
            </w:tcMar>
            <w:vAlign w:val="center"/>
          </w:tcPr>
          <w:p w14:paraId="12945E6B">
            <w:pPr>
              <w:jc w:val="center"/>
              <w:rPr>
                <w:highlight w:val="none"/>
              </w:rPr>
            </w:pPr>
            <w:r>
              <w:rPr>
                <w:highlight w:val="none"/>
              </w:rPr>
              <w:t>-97.8</w:t>
            </w:r>
          </w:p>
        </w:tc>
        <w:tc>
          <w:tcPr>
            <w:tcW w:w="0" w:type="auto"/>
            <w:gridSpan w:val="2"/>
            <w:tcMar>
              <w:left w:w="108" w:type="dxa"/>
              <w:right w:w="108" w:type="dxa"/>
            </w:tcMar>
            <w:vAlign w:val="center"/>
          </w:tcPr>
          <w:p w14:paraId="6DF18618">
            <w:pPr>
              <w:jc w:val="center"/>
              <w:rPr>
                <w:highlight w:val="none"/>
              </w:rPr>
            </w:pPr>
            <w:r>
              <w:rPr>
                <w:highlight w:val="none"/>
              </w:rPr>
              <w:t>沸点（℃）</w:t>
            </w:r>
          </w:p>
        </w:tc>
        <w:tc>
          <w:tcPr>
            <w:tcW w:w="0" w:type="auto"/>
            <w:tcMar>
              <w:left w:w="108" w:type="dxa"/>
              <w:right w:w="108" w:type="dxa"/>
            </w:tcMar>
            <w:vAlign w:val="center"/>
          </w:tcPr>
          <w:p w14:paraId="2B4745F9">
            <w:pPr>
              <w:jc w:val="center"/>
              <w:rPr>
                <w:highlight w:val="none"/>
              </w:rPr>
            </w:pPr>
            <w:r>
              <w:rPr>
                <w:highlight w:val="none"/>
              </w:rPr>
              <w:t>64.7</w:t>
            </w:r>
          </w:p>
        </w:tc>
      </w:tr>
      <w:tr w14:paraId="51E19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729D5D64">
            <w:pPr>
              <w:jc w:val="center"/>
              <w:rPr>
                <w:highlight w:val="none"/>
              </w:rPr>
            </w:pPr>
          </w:p>
        </w:tc>
        <w:tc>
          <w:tcPr>
            <w:tcW w:w="0" w:type="auto"/>
            <w:tcMar>
              <w:left w:w="108" w:type="dxa"/>
              <w:right w:w="108" w:type="dxa"/>
            </w:tcMar>
            <w:vAlign w:val="center"/>
          </w:tcPr>
          <w:p w14:paraId="49006C9C">
            <w:pPr>
              <w:jc w:val="center"/>
              <w:rPr>
                <w:highlight w:val="none"/>
              </w:rPr>
            </w:pPr>
            <w:r>
              <w:rPr>
                <w:highlight w:val="none"/>
              </w:rPr>
              <w:t>相对密度（水=1）</w:t>
            </w:r>
          </w:p>
        </w:tc>
        <w:tc>
          <w:tcPr>
            <w:tcW w:w="0" w:type="auto"/>
            <w:tcMar>
              <w:left w:w="108" w:type="dxa"/>
              <w:right w:w="108" w:type="dxa"/>
            </w:tcMar>
            <w:vAlign w:val="center"/>
          </w:tcPr>
          <w:p w14:paraId="5B190ABD">
            <w:pPr>
              <w:jc w:val="center"/>
              <w:rPr>
                <w:highlight w:val="none"/>
              </w:rPr>
            </w:pPr>
            <w:r>
              <w:rPr>
                <w:highlight w:val="none"/>
              </w:rPr>
              <w:t>0.79</w:t>
            </w:r>
          </w:p>
        </w:tc>
        <w:tc>
          <w:tcPr>
            <w:tcW w:w="0" w:type="auto"/>
            <w:gridSpan w:val="2"/>
            <w:tcMar>
              <w:left w:w="108" w:type="dxa"/>
              <w:right w:w="108" w:type="dxa"/>
            </w:tcMar>
            <w:vAlign w:val="center"/>
          </w:tcPr>
          <w:p w14:paraId="4F466E64">
            <w:pPr>
              <w:jc w:val="center"/>
              <w:rPr>
                <w:highlight w:val="none"/>
              </w:rPr>
            </w:pPr>
            <w:r>
              <w:rPr>
                <w:highlight w:val="none"/>
              </w:rPr>
              <w:t>相对密度（空气=1）</w:t>
            </w:r>
          </w:p>
        </w:tc>
        <w:tc>
          <w:tcPr>
            <w:tcW w:w="0" w:type="auto"/>
            <w:tcMar>
              <w:left w:w="108" w:type="dxa"/>
              <w:right w:w="108" w:type="dxa"/>
            </w:tcMar>
            <w:vAlign w:val="center"/>
          </w:tcPr>
          <w:p w14:paraId="707C407C">
            <w:pPr>
              <w:jc w:val="center"/>
              <w:rPr>
                <w:highlight w:val="none"/>
              </w:rPr>
            </w:pPr>
            <w:r>
              <w:rPr>
                <w:highlight w:val="none"/>
              </w:rPr>
              <w:t>1.1</w:t>
            </w:r>
          </w:p>
        </w:tc>
      </w:tr>
      <w:tr w14:paraId="6BC19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385FDAEC">
            <w:pPr>
              <w:jc w:val="center"/>
              <w:rPr>
                <w:highlight w:val="none"/>
              </w:rPr>
            </w:pPr>
          </w:p>
        </w:tc>
        <w:tc>
          <w:tcPr>
            <w:tcW w:w="0" w:type="auto"/>
            <w:tcMar>
              <w:left w:w="108" w:type="dxa"/>
              <w:right w:w="108" w:type="dxa"/>
            </w:tcMar>
            <w:vAlign w:val="center"/>
          </w:tcPr>
          <w:p w14:paraId="42D62C11">
            <w:pPr>
              <w:jc w:val="center"/>
              <w:rPr>
                <w:highlight w:val="none"/>
              </w:rPr>
            </w:pPr>
            <w:r>
              <w:rPr>
                <w:highlight w:val="none"/>
              </w:rPr>
              <w:t>溶解性</w:t>
            </w:r>
          </w:p>
        </w:tc>
        <w:tc>
          <w:tcPr>
            <w:tcW w:w="0" w:type="auto"/>
            <w:gridSpan w:val="4"/>
            <w:tcMar>
              <w:left w:w="108" w:type="dxa"/>
              <w:right w:w="108" w:type="dxa"/>
            </w:tcMar>
            <w:vAlign w:val="center"/>
          </w:tcPr>
          <w:p w14:paraId="3D2C5BE6">
            <w:pPr>
              <w:jc w:val="center"/>
              <w:rPr>
                <w:highlight w:val="none"/>
              </w:rPr>
            </w:pPr>
            <w:r>
              <w:rPr>
                <w:highlight w:val="none"/>
              </w:rPr>
              <w:t>溶于水，可混溶于醇、醚等多</w:t>
            </w:r>
            <w:r>
              <w:rPr>
                <w:rFonts w:hint="eastAsia"/>
                <w:highlight w:val="none"/>
                <w:lang w:eastAsia="zh-CN"/>
              </w:rPr>
              <w:t>种</w:t>
            </w:r>
            <w:r>
              <w:rPr>
                <w:highlight w:val="none"/>
              </w:rPr>
              <w:t>有机溶剂。</w:t>
            </w:r>
          </w:p>
        </w:tc>
      </w:tr>
      <w:tr w14:paraId="61AD9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Mar>
              <w:left w:w="108" w:type="dxa"/>
              <w:right w:w="108" w:type="dxa"/>
            </w:tcMar>
            <w:vAlign w:val="center"/>
          </w:tcPr>
          <w:p w14:paraId="14E747B3">
            <w:pPr>
              <w:jc w:val="center"/>
              <w:rPr>
                <w:highlight w:val="none"/>
              </w:rPr>
            </w:pPr>
            <w:r>
              <w:rPr>
                <w:highlight w:val="none"/>
              </w:rPr>
              <w:t>急性毒性</w:t>
            </w:r>
          </w:p>
        </w:tc>
        <w:tc>
          <w:tcPr>
            <w:tcW w:w="0" w:type="auto"/>
            <w:gridSpan w:val="5"/>
            <w:tcMar>
              <w:left w:w="108" w:type="dxa"/>
              <w:right w:w="108" w:type="dxa"/>
            </w:tcMar>
            <w:vAlign w:val="center"/>
          </w:tcPr>
          <w:p w14:paraId="2F8096E5">
            <w:pPr>
              <w:jc w:val="center"/>
              <w:rPr>
                <w:highlight w:val="none"/>
              </w:rPr>
            </w:pPr>
            <w:r>
              <w:rPr>
                <w:highlight w:val="none"/>
              </w:rPr>
              <w:t>LD50</w:t>
            </w:r>
            <w:r>
              <w:rPr>
                <w:rFonts w:hint="eastAsia"/>
                <w:highlight w:val="none"/>
                <w:lang w:eastAsia="zh-CN"/>
              </w:rPr>
              <w:t>:</w:t>
            </w:r>
            <w:r>
              <w:rPr>
                <w:highlight w:val="none"/>
              </w:rPr>
              <w:t>5628mg/kg</w:t>
            </w:r>
            <w:r>
              <w:rPr>
                <w:rFonts w:hint="eastAsia"/>
                <w:highlight w:val="none"/>
                <w:lang w:eastAsia="zh-CN"/>
              </w:rPr>
              <w:t>（</w:t>
            </w:r>
            <w:r>
              <w:rPr>
                <w:highlight w:val="none"/>
              </w:rPr>
              <w:t>大鼠经口</w:t>
            </w:r>
            <w:r>
              <w:rPr>
                <w:rFonts w:hint="eastAsia"/>
                <w:highlight w:val="none"/>
                <w:lang w:eastAsia="zh-CN"/>
              </w:rPr>
              <w:t>）</w:t>
            </w:r>
            <w:r>
              <w:rPr>
                <w:highlight w:val="none"/>
              </w:rPr>
              <w:t>；15800mg/kg</w:t>
            </w:r>
            <w:r>
              <w:rPr>
                <w:rFonts w:hint="eastAsia"/>
                <w:highlight w:val="none"/>
                <w:lang w:eastAsia="zh-CN"/>
              </w:rPr>
              <w:t>（</w:t>
            </w:r>
            <w:r>
              <w:rPr>
                <w:highlight w:val="none"/>
              </w:rPr>
              <w:t>兔经皮</w:t>
            </w:r>
            <w:r>
              <w:rPr>
                <w:rFonts w:hint="eastAsia"/>
                <w:highlight w:val="none"/>
                <w:lang w:eastAsia="zh-CN"/>
              </w:rPr>
              <w:t>）</w:t>
            </w:r>
            <w:r>
              <w:rPr>
                <w:highlight w:val="none"/>
              </w:rPr>
              <w:t>LC50</w:t>
            </w:r>
            <w:r>
              <w:rPr>
                <w:rFonts w:hint="eastAsia"/>
                <w:highlight w:val="none"/>
                <w:lang w:eastAsia="zh-CN"/>
              </w:rPr>
              <w:t>:</w:t>
            </w:r>
            <w:r>
              <w:rPr>
                <w:highlight w:val="none"/>
              </w:rPr>
              <w:t>83776mg/m</w:t>
            </w:r>
            <w:r>
              <w:rPr>
                <w:highlight w:val="none"/>
                <w:vertAlign w:val="superscript"/>
              </w:rPr>
              <w:t>3</w:t>
            </w:r>
            <w:r>
              <w:rPr>
                <w:highlight w:val="none"/>
              </w:rPr>
              <w:t>，4小时</w:t>
            </w:r>
            <w:r>
              <w:rPr>
                <w:rFonts w:hint="eastAsia"/>
                <w:highlight w:val="none"/>
                <w:lang w:eastAsia="zh-CN"/>
              </w:rPr>
              <w:t>（</w:t>
            </w:r>
            <w:r>
              <w:rPr>
                <w:highlight w:val="none"/>
              </w:rPr>
              <w:t>大鼠吸入</w:t>
            </w:r>
            <w:r>
              <w:rPr>
                <w:rFonts w:hint="eastAsia"/>
                <w:highlight w:val="none"/>
                <w:lang w:eastAsia="zh-CN"/>
              </w:rPr>
              <w:t>）</w:t>
            </w:r>
            <w:r>
              <w:rPr>
                <w:highlight w:val="none"/>
              </w:rPr>
              <w:t>。</w:t>
            </w:r>
          </w:p>
        </w:tc>
      </w:tr>
      <w:tr w14:paraId="7E184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tcMar>
              <w:left w:w="108" w:type="dxa"/>
              <w:right w:w="108" w:type="dxa"/>
            </w:tcMar>
            <w:vAlign w:val="center"/>
          </w:tcPr>
          <w:p w14:paraId="5527E7FF">
            <w:pPr>
              <w:jc w:val="center"/>
              <w:rPr>
                <w:highlight w:val="none"/>
              </w:rPr>
            </w:pPr>
            <w:r>
              <w:rPr>
                <w:highlight w:val="none"/>
              </w:rPr>
              <w:t>健康危害</w:t>
            </w:r>
          </w:p>
        </w:tc>
        <w:tc>
          <w:tcPr>
            <w:tcW w:w="0" w:type="auto"/>
            <w:tcMar>
              <w:left w:w="108" w:type="dxa"/>
              <w:right w:w="108" w:type="dxa"/>
            </w:tcMar>
            <w:vAlign w:val="center"/>
          </w:tcPr>
          <w:p w14:paraId="03FCFF3B">
            <w:pPr>
              <w:jc w:val="center"/>
              <w:rPr>
                <w:highlight w:val="none"/>
              </w:rPr>
            </w:pPr>
            <w:r>
              <w:rPr>
                <w:highlight w:val="none"/>
              </w:rPr>
              <w:t>侵入途径</w:t>
            </w:r>
          </w:p>
        </w:tc>
        <w:tc>
          <w:tcPr>
            <w:tcW w:w="0" w:type="auto"/>
            <w:gridSpan w:val="4"/>
            <w:tcMar>
              <w:left w:w="108" w:type="dxa"/>
              <w:right w:w="108" w:type="dxa"/>
            </w:tcMar>
            <w:vAlign w:val="center"/>
          </w:tcPr>
          <w:p w14:paraId="55A0D894">
            <w:pPr>
              <w:jc w:val="center"/>
              <w:rPr>
                <w:highlight w:val="none"/>
              </w:rPr>
            </w:pPr>
            <w:r>
              <w:rPr>
                <w:highlight w:val="none"/>
              </w:rPr>
              <w:t>吸入、食入、经皮肤吸收。</w:t>
            </w:r>
          </w:p>
        </w:tc>
      </w:tr>
      <w:tr w14:paraId="71697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41D94B23">
            <w:pPr>
              <w:jc w:val="center"/>
              <w:rPr>
                <w:highlight w:val="none"/>
              </w:rPr>
            </w:pPr>
          </w:p>
        </w:tc>
        <w:tc>
          <w:tcPr>
            <w:tcW w:w="0" w:type="auto"/>
            <w:gridSpan w:val="5"/>
            <w:tcMar>
              <w:left w:w="108" w:type="dxa"/>
              <w:right w:w="108" w:type="dxa"/>
            </w:tcMar>
            <w:vAlign w:val="center"/>
          </w:tcPr>
          <w:p w14:paraId="6D6B78B2">
            <w:pPr>
              <w:jc w:val="center"/>
              <w:rPr>
                <w:highlight w:val="none"/>
              </w:rPr>
            </w:pPr>
            <w:r>
              <w:rPr>
                <w:highlight w:val="none"/>
              </w:rPr>
              <w:t>对中枢神经系统有麻醉作用；对视神经和视网膜有特殊选择作用，引起病变，可致</w:t>
            </w:r>
            <w:r>
              <w:rPr>
                <w:rFonts w:hint="eastAsia"/>
                <w:highlight w:val="none"/>
                <w:lang w:eastAsia="zh-CN"/>
              </w:rPr>
              <w:t>代谢性</w:t>
            </w:r>
            <w:r>
              <w:rPr>
                <w:highlight w:val="none"/>
              </w:rPr>
              <w:t>酸中毒。</w:t>
            </w:r>
            <w:r>
              <w:rPr>
                <w:highlight w:val="none"/>
              </w:rPr>
              <w:br w:type="textWrapping"/>
            </w:r>
            <w:r>
              <w:rPr>
                <w:highlight w:val="none"/>
              </w:rPr>
              <w:t>急性中毒：短时大量吸入出现轻度眼上呼吸道刺激症状（口服有胃肠道刺激症状）；</w:t>
            </w:r>
            <w:r>
              <w:rPr>
                <w:rFonts w:hint="eastAsia"/>
                <w:highlight w:val="none"/>
                <w:lang w:eastAsia="zh-CN"/>
              </w:rPr>
              <w:t>经过</w:t>
            </w:r>
            <w:r>
              <w:rPr>
                <w:highlight w:val="none"/>
              </w:rPr>
              <w:t>一段时间潜伏期后出现头痛、头晕、乏力、眩晕、酒醉感、意识</w:t>
            </w:r>
            <w:r>
              <w:rPr>
                <w:rFonts w:hint="eastAsia"/>
                <w:highlight w:val="none"/>
                <w:lang w:eastAsia="zh-CN"/>
              </w:rPr>
              <w:t>蒙眬</w:t>
            </w:r>
            <w:r>
              <w:rPr>
                <w:highlight w:val="none"/>
              </w:rPr>
              <w:t>、诡异</w:t>
            </w:r>
            <w:r>
              <w:rPr>
                <w:rFonts w:hint="eastAsia"/>
                <w:highlight w:val="none"/>
                <w:lang w:eastAsia="zh-CN"/>
              </w:rPr>
              <w:t>，甚至</w:t>
            </w:r>
            <w:r>
              <w:rPr>
                <w:highlight w:val="none"/>
              </w:rPr>
              <w:t>昏迷。视神经及视网膜病变，可有视物模糊、复视等，重者失明。代谢性酸中毒时出现二氧化碳结合力下降、呼吸加速等</w:t>
            </w:r>
            <w:r>
              <w:rPr>
                <w:rFonts w:hint="eastAsia"/>
                <w:highlight w:val="none"/>
                <w:lang w:eastAsia="zh-CN"/>
              </w:rPr>
              <w:t>症状</w:t>
            </w:r>
            <w:r>
              <w:rPr>
                <w:highlight w:val="none"/>
              </w:rPr>
              <w:t>。</w:t>
            </w:r>
            <w:r>
              <w:rPr>
                <w:highlight w:val="none"/>
              </w:rPr>
              <w:br w:type="textWrapping"/>
            </w:r>
            <w:r>
              <w:rPr>
                <w:highlight w:val="none"/>
              </w:rPr>
              <w:t>慢性影响：神经衰弱综合征，植物神经功能失调，</w:t>
            </w:r>
            <w:r>
              <w:rPr>
                <w:rFonts w:hint="eastAsia"/>
                <w:highlight w:val="none"/>
                <w:lang w:eastAsia="zh-CN"/>
              </w:rPr>
              <w:t>黏膜</w:t>
            </w:r>
            <w:r>
              <w:rPr>
                <w:highlight w:val="none"/>
              </w:rPr>
              <w:t>刺激，视力减退等。皮肤出现脱脂、皮炎等。</w:t>
            </w:r>
          </w:p>
        </w:tc>
      </w:tr>
      <w:tr w14:paraId="15D34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tcMar>
              <w:left w:w="108" w:type="dxa"/>
              <w:right w:w="108" w:type="dxa"/>
            </w:tcMar>
            <w:vAlign w:val="center"/>
          </w:tcPr>
          <w:p w14:paraId="10CA6232">
            <w:pPr>
              <w:jc w:val="center"/>
              <w:rPr>
                <w:highlight w:val="none"/>
              </w:rPr>
            </w:pPr>
            <w:r>
              <w:rPr>
                <w:highlight w:val="none"/>
              </w:rPr>
              <w:t>燃烧爆炸危险性</w:t>
            </w:r>
          </w:p>
        </w:tc>
        <w:tc>
          <w:tcPr>
            <w:tcW w:w="0" w:type="auto"/>
            <w:gridSpan w:val="2"/>
            <w:tcMar>
              <w:left w:w="108" w:type="dxa"/>
              <w:right w:w="108" w:type="dxa"/>
            </w:tcMar>
            <w:vAlign w:val="center"/>
          </w:tcPr>
          <w:p w14:paraId="7F9B2EAC">
            <w:pPr>
              <w:jc w:val="center"/>
              <w:rPr>
                <w:highlight w:val="none"/>
              </w:rPr>
            </w:pPr>
            <w:r>
              <w:rPr>
                <w:highlight w:val="none"/>
              </w:rPr>
              <w:t>燃烧性：易燃</w:t>
            </w:r>
          </w:p>
        </w:tc>
        <w:tc>
          <w:tcPr>
            <w:tcW w:w="0" w:type="auto"/>
            <w:gridSpan w:val="3"/>
            <w:tcMar>
              <w:left w:w="108" w:type="dxa"/>
              <w:right w:w="108" w:type="dxa"/>
            </w:tcMar>
            <w:vAlign w:val="center"/>
          </w:tcPr>
          <w:p w14:paraId="55C15FF8">
            <w:pPr>
              <w:jc w:val="center"/>
              <w:rPr>
                <w:highlight w:val="none"/>
              </w:rPr>
            </w:pPr>
            <w:r>
              <w:rPr>
                <w:highlight w:val="none"/>
              </w:rPr>
              <w:t>引燃温度 （℃）：464</w:t>
            </w:r>
          </w:p>
        </w:tc>
      </w:tr>
      <w:tr w14:paraId="75FAC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7454C7D2">
            <w:pPr>
              <w:jc w:val="center"/>
              <w:rPr>
                <w:highlight w:val="none"/>
              </w:rPr>
            </w:pPr>
          </w:p>
        </w:tc>
        <w:tc>
          <w:tcPr>
            <w:tcW w:w="0" w:type="auto"/>
            <w:gridSpan w:val="2"/>
            <w:tcMar>
              <w:left w:w="108" w:type="dxa"/>
              <w:right w:w="108" w:type="dxa"/>
            </w:tcMar>
            <w:vAlign w:val="center"/>
          </w:tcPr>
          <w:p w14:paraId="0D87BC05">
            <w:pPr>
              <w:jc w:val="center"/>
              <w:rPr>
                <w:highlight w:val="none"/>
              </w:rPr>
            </w:pPr>
            <w:r>
              <w:rPr>
                <w:highlight w:val="none"/>
              </w:rPr>
              <w:t>聚合危害：不聚合</w:t>
            </w:r>
          </w:p>
        </w:tc>
        <w:tc>
          <w:tcPr>
            <w:tcW w:w="0" w:type="auto"/>
            <w:gridSpan w:val="3"/>
            <w:tcMar>
              <w:left w:w="108" w:type="dxa"/>
              <w:right w:w="108" w:type="dxa"/>
            </w:tcMar>
            <w:vAlign w:val="center"/>
          </w:tcPr>
          <w:p w14:paraId="7767DF2A">
            <w:pPr>
              <w:jc w:val="center"/>
              <w:rPr>
                <w:highlight w:val="none"/>
              </w:rPr>
            </w:pPr>
            <w:r>
              <w:rPr>
                <w:highlight w:val="none"/>
              </w:rPr>
              <w:t>闪点（℃）（闭杯）：12</w:t>
            </w:r>
          </w:p>
        </w:tc>
      </w:tr>
      <w:tr w14:paraId="62337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442A13FD">
            <w:pPr>
              <w:jc w:val="center"/>
              <w:rPr>
                <w:highlight w:val="none"/>
              </w:rPr>
            </w:pPr>
          </w:p>
        </w:tc>
        <w:tc>
          <w:tcPr>
            <w:tcW w:w="0" w:type="auto"/>
            <w:gridSpan w:val="2"/>
            <w:tcMar>
              <w:left w:w="108" w:type="dxa"/>
              <w:right w:w="108" w:type="dxa"/>
            </w:tcMar>
            <w:vAlign w:val="center"/>
          </w:tcPr>
          <w:p w14:paraId="01A54711">
            <w:pPr>
              <w:jc w:val="center"/>
              <w:rPr>
                <w:highlight w:val="none"/>
              </w:rPr>
            </w:pPr>
            <w:r>
              <w:rPr>
                <w:highlight w:val="none"/>
              </w:rPr>
              <w:t>稳定性：稳定</w:t>
            </w:r>
          </w:p>
        </w:tc>
        <w:tc>
          <w:tcPr>
            <w:tcW w:w="0" w:type="auto"/>
            <w:gridSpan w:val="3"/>
            <w:tcMar>
              <w:left w:w="108" w:type="dxa"/>
              <w:right w:w="108" w:type="dxa"/>
            </w:tcMar>
            <w:vAlign w:val="center"/>
          </w:tcPr>
          <w:p w14:paraId="6352D3C3">
            <w:pPr>
              <w:jc w:val="center"/>
              <w:rPr>
                <w:rFonts w:hint="eastAsia" w:eastAsia="宋体"/>
                <w:highlight w:val="none"/>
                <w:lang w:eastAsia="zh-CN"/>
              </w:rPr>
            </w:pPr>
            <w:r>
              <w:rPr>
                <w:highlight w:val="none"/>
              </w:rPr>
              <w:t>爆炸极限</w:t>
            </w:r>
            <w:r>
              <w:rPr>
                <w:rFonts w:hint="eastAsia"/>
                <w:highlight w:val="none"/>
                <w:lang w:eastAsia="zh-CN"/>
              </w:rPr>
              <w:t>（</w:t>
            </w:r>
            <w:r>
              <w:rPr>
                <w:highlight w:val="none"/>
              </w:rPr>
              <w:t>V%</w:t>
            </w:r>
            <w:r>
              <w:rPr>
                <w:rFonts w:hint="eastAsia"/>
                <w:highlight w:val="none"/>
                <w:lang w:eastAsia="zh-CN"/>
              </w:rPr>
              <w:t>）</w:t>
            </w:r>
            <w:r>
              <w:rPr>
                <w:highlight w:val="none"/>
              </w:rPr>
              <w:t xml:space="preserve">：6 </w:t>
            </w:r>
            <w:r>
              <w:rPr>
                <w:rFonts w:hint="eastAsia"/>
                <w:highlight w:val="none"/>
                <w:lang w:eastAsia="zh-CN"/>
              </w:rPr>
              <w:t>（</w:t>
            </w:r>
            <w:r>
              <w:rPr>
                <w:highlight w:val="none"/>
              </w:rPr>
              <w:t>下限</w:t>
            </w:r>
            <w:r>
              <w:rPr>
                <w:rFonts w:hint="eastAsia"/>
                <w:highlight w:val="none"/>
                <w:lang w:eastAsia="zh-CN"/>
              </w:rPr>
              <w:t>）</w:t>
            </w:r>
            <w:r>
              <w:rPr>
                <w:highlight w:val="none"/>
              </w:rPr>
              <w:t xml:space="preserve">；36.5 </w:t>
            </w:r>
            <w:r>
              <w:rPr>
                <w:rFonts w:hint="eastAsia"/>
                <w:highlight w:val="none"/>
                <w:lang w:eastAsia="zh-CN"/>
              </w:rPr>
              <w:t>（</w:t>
            </w:r>
            <w:r>
              <w:rPr>
                <w:highlight w:val="none"/>
              </w:rPr>
              <w:t>上限</w:t>
            </w:r>
            <w:r>
              <w:rPr>
                <w:rFonts w:hint="eastAsia"/>
                <w:highlight w:val="none"/>
                <w:lang w:eastAsia="zh-CN"/>
              </w:rPr>
              <w:t>）</w:t>
            </w:r>
          </w:p>
        </w:tc>
      </w:tr>
      <w:tr w14:paraId="14C14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407F8512">
            <w:pPr>
              <w:jc w:val="center"/>
              <w:rPr>
                <w:highlight w:val="none"/>
              </w:rPr>
            </w:pPr>
          </w:p>
        </w:tc>
        <w:tc>
          <w:tcPr>
            <w:tcW w:w="0" w:type="auto"/>
            <w:tcMar>
              <w:left w:w="108" w:type="dxa"/>
              <w:right w:w="108" w:type="dxa"/>
            </w:tcMar>
            <w:vAlign w:val="center"/>
          </w:tcPr>
          <w:p w14:paraId="708B24EE">
            <w:pPr>
              <w:jc w:val="center"/>
              <w:rPr>
                <w:highlight w:val="none"/>
              </w:rPr>
            </w:pPr>
            <w:r>
              <w:rPr>
                <w:highlight w:val="none"/>
              </w:rPr>
              <w:t>危险特性</w:t>
            </w:r>
          </w:p>
        </w:tc>
        <w:tc>
          <w:tcPr>
            <w:tcW w:w="0" w:type="auto"/>
            <w:gridSpan w:val="4"/>
            <w:tcMar>
              <w:left w:w="108" w:type="dxa"/>
              <w:right w:w="108" w:type="dxa"/>
            </w:tcMar>
            <w:vAlign w:val="center"/>
          </w:tcPr>
          <w:p w14:paraId="433AE445">
            <w:pPr>
              <w:jc w:val="center"/>
              <w:rPr>
                <w:highlight w:val="none"/>
              </w:rPr>
            </w:pPr>
            <w:r>
              <w:rPr>
                <w:highlight w:val="none"/>
              </w:rPr>
              <w:t>易燃。其</w:t>
            </w:r>
            <w:r>
              <w:rPr>
                <w:rFonts w:hint="eastAsia"/>
                <w:highlight w:val="none"/>
                <w:lang w:eastAsia="zh-CN"/>
              </w:rPr>
              <w:t>蒸汽</w:t>
            </w:r>
            <w:r>
              <w:rPr>
                <w:highlight w:val="none"/>
              </w:rPr>
              <w:t>与空气可形成爆炸性混合物。遇明火、高热能引起燃烧爆炸。与氧化剂接触发生化学反应或引起燃烧。在火场中受热的容器有爆炸危险。其</w:t>
            </w:r>
            <w:r>
              <w:rPr>
                <w:rFonts w:hint="eastAsia"/>
                <w:highlight w:val="none"/>
                <w:lang w:eastAsia="zh-CN"/>
              </w:rPr>
              <w:t>蒸汽</w:t>
            </w:r>
            <w:r>
              <w:rPr>
                <w:highlight w:val="none"/>
              </w:rPr>
              <w:t>比空气重，能在较低处扩散到相当远的地方，遇火源会着火回燃。</w:t>
            </w:r>
          </w:p>
        </w:tc>
      </w:tr>
      <w:tr w14:paraId="7899A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1EE514C6">
            <w:pPr>
              <w:jc w:val="center"/>
              <w:rPr>
                <w:highlight w:val="none"/>
              </w:rPr>
            </w:pPr>
          </w:p>
        </w:tc>
        <w:tc>
          <w:tcPr>
            <w:tcW w:w="0" w:type="auto"/>
            <w:tcMar>
              <w:left w:w="108" w:type="dxa"/>
              <w:right w:w="108" w:type="dxa"/>
            </w:tcMar>
            <w:vAlign w:val="center"/>
          </w:tcPr>
          <w:p w14:paraId="7F51CDA8">
            <w:pPr>
              <w:jc w:val="center"/>
              <w:rPr>
                <w:highlight w:val="none"/>
              </w:rPr>
            </w:pPr>
            <w:r>
              <w:rPr>
                <w:highlight w:val="none"/>
              </w:rPr>
              <w:t>燃烧产物：一氧化碳</w:t>
            </w:r>
          </w:p>
        </w:tc>
        <w:tc>
          <w:tcPr>
            <w:tcW w:w="0" w:type="auto"/>
            <w:gridSpan w:val="4"/>
            <w:tcMar>
              <w:left w:w="108" w:type="dxa"/>
              <w:right w:w="108" w:type="dxa"/>
            </w:tcMar>
            <w:vAlign w:val="center"/>
          </w:tcPr>
          <w:p w14:paraId="29D59B72">
            <w:pPr>
              <w:jc w:val="center"/>
              <w:rPr>
                <w:highlight w:val="none"/>
              </w:rPr>
            </w:pPr>
            <w:r>
              <w:rPr>
                <w:highlight w:val="none"/>
              </w:rPr>
              <w:t>禁忌物：酸类、酸酐、强氧化剂、碱金属</w:t>
            </w:r>
            <w:r>
              <w:rPr>
                <w:rFonts w:hint="eastAsia"/>
                <w:highlight w:val="none"/>
                <w:lang w:eastAsia="zh-CN"/>
              </w:rPr>
              <w:t>扥等</w:t>
            </w:r>
            <w:r>
              <w:rPr>
                <w:highlight w:val="none"/>
              </w:rPr>
              <w:t>。</w:t>
            </w:r>
          </w:p>
        </w:tc>
      </w:tr>
      <w:tr w14:paraId="296F4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tcMar>
              <w:left w:w="108" w:type="dxa"/>
              <w:right w:w="108" w:type="dxa"/>
            </w:tcMar>
            <w:vAlign w:val="center"/>
          </w:tcPr>
          <w:p w14:paraId="0D463368">
            <w:pPr>
              <w:jc w:val="center"/>
              <w:rPr>
                <w:highlight w:val="none"/>
              </w:rPr>
            </w:pPr>
            <w:r>
              <w:rPr>
                <w:highlight w:val="none"/>
              </w:rPr>
              <w:t>灭火方式</w:t>
            </w:r>
          </w:p>
        </w:tc>
        <w:tc>
          <w:tcPr>
            <w:tcW w:w="0" w:type="auto"/>
            <w:gridSpan w:val="5"/>
            <w:tcMar>
              <w:left w:w="108" w:type="dxa"/>
              <w:right w:w="108" w:type="dxa"/>
            </w:tcMar>
            <w:vAlign w:val="center"/>
          </w:tcPr>
          <w:p w14:paraId="08409013">
            <w:pPr>
              <w:jc w:val="center"/>
              <w:rPr>
                <w:highlight w:val="none"/>
              </w:rPr>
            </w:pPr>
            <w:r>
              <w:rPr>
                <w:highlight w:val="none"/>
              </w:rPr>
              <w:t>消防人员必须佩戴防毒面具、穿全身消防服，在上风向灭火。</w:t>
            </w:r>
          </w:p>
        </w:tc>
      </w:tr>
      <w:tr w14:paraId="772AF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4DB94F38">
            <w:pPr>
              <w:jc w:val="center"/>
              <w:rPr>
                <w:highlight w:val="none"/>
              </w:rPr>
            </w:pPr>
          </w:p>
        </w:tc>
        <w:tc>
          <w:tcPr>
            <w:tcW w:w="0" w:type="auto"/>
            <w:gridSpan w:val="5"/>
            <w:tcMar>
              <w:left w:w="108" w:type="dxa"/>
              <w:right w:w="108" w:type="dxa"/>
            </w:tcMar>
            <w:vAlign w:val="center"/>
          </w:tcPr>
          <w:p w14:paraId="5A030EE9">
            <w:pPr>
              <w:jc w:val="center"/>
              <w:rPr>
                <w:highlight w:val="none"/>
              </w:rPr>
            </w:pPr>
            <w:r>
              <w:rPr>
                <w:highlight w:val="none"/>
              </w:rPr>
              <w:t>灭火剂：抗溶性泡沫、干粉、二氧化碳、砂土</w:t>
            </w:r>
            <w:r>
              <w:rPr>
                <w:rFonts w:hint="eastAsia"/>
                <w:highlight w:val="none"/>
                <w:lang w:eastAsia="zh-CN"/>
              </w:rPr>
              <w:t>等</w:t>
            </w:r>
            <w:r>
              <w:rPr>
                <w:highlight w:val="none"/>
              </w:rPr>
              <w:t>。</w:t>
            </w:r>
            <w:r>
              <w:rPr>
                <w:highlight w:val="none"/>
              </w:rPr>
              <w:br w:type="textWrapping"/>
            </w:r>
            <w:r>
              <w:rPr>
                <w:highlight w:val="none"/>
              </w:rPr>
              <w:t>灭火注意事项：尽可能将容器从火场移至空旷处。喷水保持火场容器冷却直至灭火结束。处在火场中的容器若已变色或从安全泄压装置中产生声音，必须马上撤离。</w:t>
            </w:r>
          </w:p>
        </w:tc>
      </w:tr>
      <w:tr w14:paraId="4D767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Mar>
              <w:left w:w="108" w:type="dxa"/>
              <w:right w:w="108" w:type="dxa"/>
            </w:tcMar>
            <w:vAlign w:val="center"/>
          </w:tcPr>
          <w:p w14:paraId="19CC38AB">
            <w:pPr>
              <w:jc w:val="center"/>
              <w:rPr>
                <w:highlight w:val="none"/>
              </w:rPr>
            </w:pPr>
            <w:r>
              <w:rPr>
                <w:highlight w:val="none"/>
              </w:rPr>
              <w:t>泄漏应急处理</w:t>
            </w:r>
          </w:p>
        </w:tc>
        <w:tc>
          <w:tcPr>
            <w:tcW w:w="0" w:type="auto"/>
            <w:gridSpan w:val="5"/>
            <w:tcMar>
              <w:left w:w="108" w:type="dxa"/>
              <w:right w:w="108" w:type="dxa"/>
            </w:tcMar>
            <w:vAlign w:val="center"/>
          </w:tcPr>
          <w:p w14:paraId="5730A008">
            <w:pPr>
              <w:jc w:val="center"/>
              <w:rPr>
                <w:highlight w:val="none"/>
              </w:rPr>
            </w:pPr>
            <w:r>
              <w:rPr>
                <w:highlight w:val="none"/>
              </w:rPr>
              <w:t>消除所有火源。迅速撤离泄漏污染区人员至安全区</w:t>
            </w:r>
            <w:r>
              <w:rPr>
                <w:rFonts w:hint="eastAsia"/>
                <w:highlight w:val="none"/>
                <w:lang w:eastAsia="zh-CN"/>
              </w:rPr>
              <w:t>，</w:t>
            </w:r>
            <w:r>
              <w:rPr>
                <w:highlight w:val="none"/>
              </w:rPr>
              <w:t>并进行隔离</w:t>
            </w:r>
            <w:r>
              <w:rPr>
                <w:rFonts w:hint="eastAsia"/>
                <w:highlight w:val="none"/>
                <w:lang w:eastAsia="zh-CN"/>
              </w:rPr>
              <w:t>，</w:t>
            </w:r>
            <w:r>
              <w:rPr>
                <w:highlight w:val="none"/>
              </w:rPr>
              <w:t>严格限制出入。切断火源。建议应急处理人员戴自给正压式呼吸器</w:t>
            </w:r>
            <w:r>
              <w:rPr>
                <w:rFonts w:hint="eastAsia"/>
                <w:highlight w:val="none"/>
                <w:lang w:eastAsia="zh-CN"/>
              </w:rPr>
              <w:t>，</w:t>
            </w:r>
            <w:r>
              <w:rPr>
                <w:highlight w:val="none"/>
              </w:rPr>
              <w:t>穿防静电工作服</w:t>
            </w:r>
            <w:r>
              <w:rPr>
                <w:rFonts w:hint="eastAsia"/>
                <w:highlight w:val="none"/>
                <w:lang w:eastAsia="zh-CN"/>
              </w:rPr>
              <w:t>，</w:t>
            </w:r>
            <w:r>
              <w:rPr>
                <w:highlight w:val="none"/>
              </w:rPr>
              <w:t>不要直接接触泄漏物</w:t>
            </w:r>
            <w:r>
              <w:rPr>
                <w:rFonts w:hint="eastAsia"/>
                <w:highlight w:val="none"/>
                <w:lang w:eastAsia="zh-CN"/>
              </w:rPr>
              <w:t>，</w:t>
            </w:r>
            <w:r>
              <w:rPr>
                <w:highlight w:val="none"/>
              </w:rPr>
              <w:t>尽可能切断泄漏源。防止流入下水道、排洪沟等限制空间。小量泄漏：用砂土或其他不燃材料吸附或吸收。也可以用大量水冲洗</w:t>
            </w:r>
            <w:r>
              <w:rPr>
                <w:rFonts w:hint="eastAsia"/>
                <w:highlight w:val="none"/>
                <w:lang w:eastAsia="zh-CN"/>
              </w:rPr>
              <w:t>，</w:t>
            </w:r>
            <w:r>
              <w:rPr>
                <w:highlight w:val="none"/>
              </w:rPr>
              <w:t>洗水稀释后放入废水系统。大量泄漏：构筑围堤或挖坑收容</w:t>
            </w:r>
            <w:r>
              <w:rPr>
                <w:rFonts w:hint="eastAsia"/>
                <w:highlight w:val="none"/>
                <w:lang w:eastAsia="zh-CN"/>
              </w:rPr>
              <w:t>，</w:t>
            </w:r>
            <w:r>
              <w:rPr>
                <w:highlight w:val="none"/>
              </w:rPr>
              <w:t>用泡沫覆盖</w:t>
            </w:r>
            <w:r>
              <w:rPr>
                <w:rFonts w:hint="eastAsia"/>
                <w:highlight w:val="none"/>
                <w:lang w:eastAsia="zh-CN"/>
              </w:rPr>
              <w:t>，</w:t>
            </w:r>
            <w:r>
              <w:rPr>
                <w:highlight w:val="none"/>
              </w:rPr>
              <w:t>降低</w:t>
            </w:r>
            <w:r>
              <w:rPr>
                <w:rFonts w:hint="eastAsia"/>
                <w:highlight w:val="none"/>
                <w:lang w:eastAsia="zh-CN"/>
              </w:rPr>
              <w:t>蒸汽</w:t>
            </w:r>
            <w:r>
              <w:rPr>
                <w:highlight w:val="none"/>
              </w:rPr>
              <w:t>危害。用防爆泵转移至槽车或专用收集罐内</w:t>
            </w:r>
            <w:r>
              <w:rPr>
                <w:rFonts w:hint="eastAsia"/>
                <w:highlight w:val="none"/>
                <w:lang w:eastAsia="zh-CN"/>
              </w:rPr>
              <w:t>，</w:t>
            </w:r>
            <w:r>
              <w:rPr>
                <w:highlight w:val="none"/>
              </w:rPr>
              <w:t>回收或至废物处理场所处置。</w:t>
            </w:r>
          </w:p>
        </w:tc>
      </w:tr>
      <w:tr w14:paraId="4DEF9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Mar>
              <w:left w:w="108" w:type="dxa"/>
              <w:right w:w="108" w:type="dxa"/>
            </w:tcMar>
            <w:vAlign w:val="center"/>
          </w:tcPr>
          <w:p w14:paraId="4982D277">
            <w:pPr>
              <w:jc w:val="center"/>
              <w:rPr>
                <w:highlight w:val="none"/>
              </w:rPr>
            </w:pPr>
            <w:r>
              <w:rPr>
                <w:highlight w:val="none"/>
              </w:rPr>
              <w:t>消除方法</w:t>
            </w:r>
          </w:p>
        </w:tc>
        <w:tc>
          <w:tcPr>
            <w:tcW w:w="0" w:type="auto"/>
            <w:gridSpan w:val="5"/>
            <w:tcMar>
              <w:left w:w="108" w:type="dxa"/>
              <w:right w:w="108" w:type="dxa"/>
            </w:tcMar>
            <w:vAlign w:val="center"/>
          </w:tcPr>
          <w:p w14:paraId="6ECD3DDF">
            <w:pPr>
              <w:jc w:val="center"/>
              <w:rPr>
                <w:highlight w:val="none"/>
              </w:rPr>
            </w:pPr>
            <w:r>
              <w:rPr>
                <w:highlight w:val="none"/>
              </w:rPr>
              <w:t>建议用焚烧法处置，与燃料混合后，再焚烧。焚烧炉排出的气体要通过洗涤器除去</w:t>
            </w:r>
          </w:p>
        </w:tc>
      </w:tr>
      <w:tr w14:paraId="1A720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Mar>
              <w:left w:w="108" w:type="dxa"/>
              <w:right w:w="108" w:type="dxa"/>
            </w:tcMar>
            <w:vAlign w:val="center"/>
          </w:tcPr>
          <w:p w14:paraId="32D4A64F">
            <w:pPr>
              <w:jc w:val="center"/>
              <w:rPr>
                <w:highlight w:val="none"/>
              </w:rPr>
            </w:pPr>
            <w:r>
              <w:rPr>
                <w:highlight w:val="none"/>
              </w:rPr>
              <w:t>操作注意事项</w:t>
            </w:r>
          </w:p>
        </w:tc>
        <w:tc>
          <w:tcPr>
            <w:tcW w:w="0" w:type="auto"/>
            <w:gridSpan w:val="5"/>
            <w:tcMar>
              <w:left w:w="108" w:type="dxa"/>
              <w:right w:w="108" w:type="dxa"/>
            </w:tcMar>
            <w:vAlign w:val="center"/>
          </w:tcPr>
          <w:p w14:paraId="50502A18">
            <w:pPr>
              <w:jc w:val="center"/>
              <w:rPr>
                <w:highlight w:val="none"/>
              </w:rPr>
            </w:pPr>
            <w:r>
              <w:rPr>
                <w:highlight w:val="none"/>
              </w:rPr>
              <w:t>密闭操作，加强通风。操作人员必须经过专门培训，严格遵守操作规程。建议操作人员佩戴过滤式防毒面具（半面罩），戴化学安全防护眼镜</w:t>
            </w:r>
            <w:r>
              <w:rPr>
                <w:rFonts w:hint="eastAsia"/>
                <w:highlight w:val="none"/>
                <w:lang w:eastAsia="zh-CN"/>
              </w:rPr>
              <w:t>，</w:t>
            </w:r>
            <w:r>
              <w:rPr>
                <w:highlight w:val="none"/>
              </w:rPr>
              <w:t>穿防静电工作服</w:t>
            </w:r>
            <w:r>
              <w:rPr>
                <w:rFonts w:hint="eastAsia"/>
                <w:highlight w:val="none"/>
                <w:lang w:eastAsia="zh-CN"/>
              </w:rPr>
              <w:t>，</w:t>
            </w:r>
            <w:r>
              <w:rPr>
                <w:highlight w:val="none"/>
              </w:rPr>
              <w:t>戴橡胶手套。远离火种、热源。工作场所严禁吸烟。使用防爆型的通风系统和设备防止</w:t>
            </w:r>
            <w:r>
              <w:rPr>
                <w:rFonts w:hint="eastAsia"/>
                <w:highlight w:val="none"/>
                <w:lang w:eastAsia="zh-CN"/>
              </w:rPr>
              <w:t>蒸汽</w:t>
            </w:r>
            <w:r>
              <w:rPr>
                <w:highlight w:val="none"/>
              </w:rPr>
              <w:t>泄漏到工作场所以及空气中。避免与氧化剂、酸类、碱金属</w:t>
            </w:r>
            <w:r>
              <w:rPr>
                <w:rFonts w:hint="eastAsia"/>
                <w:highlight w:val="none"/>
                <w:lang w:eastAsia="zh-CN"/>
              </w:rPr>
              <w:t>等</w:t>
            </w:r>
            <w:r>
              <w:rPr>
                <w:highlight w:val="none"/>
              </w:rPr>
              <w:t>接触。灌装时应控制流速，且有接地装置，防止静电积聚。配备相应品种和数量的消防器材及泄漏应急处理设备。倒空的容器可能</w:t>
            </w:r>
            <w:r>
              <w:rPr>
                <w:rFonts w:hint="eastAsia"/>
                <w:highlight w:val="none"/>
                <w:lang w:eastAsia="zh-CN"/>
              </w:rPr>
              <w:t>会</w:t>
            </w:r>
            <w:r>
              <w:rPr>
                <w:highlight w:val="none"/>
              </w:rPr>
              <w:t>残留有害</w:t>
            </w:r>
            <w:r>
              <w:rPr>
                <w:rFonts w:hint="eastAsia"/>
                <w:highlight w:val="none"/>
                <w:lang w:eastAsia="zh-CN"/>
              </w:rPr>
              <w:t>物质</w:t>
            </w:r>
            <w:r>
              <w:rPr>
                <w:highlight w:val="none"/>
              </w:rPr>
              <w:t>。</w:t>
            </w:r>
          </w:p>
        </w:tc>
      </w:tr>
      <w:tr w14:paraId="6000B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tcMar>
              <w:left w:w="108" w:type="dxa"/>
              <w:right w:w="108" w:type="dxa"/>
            </w:tcMar>
            <w:vAlign w:val="center"/>
          </w:tcPr>
          <w:p w14:paraId="6A6B485B">
            <w:pPr>
              <w:jc w:val="center"/>
              <w:rPr>
                <w:highlight w:val="none"/>
              </w:rPr>
            </w:pPr>
            <w:r>
              <w:rPr>
                <w:highlight w:val="none"/>
              </w:rPr>
              <w:t>防护措施</w:t>
            </w:r>
          </w:p>
        </w:tc>
        <w:tc>
          <w:tcPr>
            <w:tcW w:w="0" w:type="auto"/>
            <w:tcMar>
              <w:left w:w="108" w:type="dxa"/>
              <w:right w:w="108" w:type="dxa"/>
            </w:tcMar>
            <w:vAlign w:val="center"/>
          </w:tcPr>
          <w:p w14:paraId="54BC9D32">
            <w:pPr>
              <w:jc w:val="center"/>
              <w:rPr>
                <w:highlight w:val="none"/>
              </w:rPr>
            </w:pPr>
            <w:r>
              <w:rPr>
                <w:highlight w:val="none"/>
              </w:rPr>
              <w:t>呼吸系统防护</w:t>
            </w:r>
          </w:p>
        </w:tc>
        <w:tc>
          <w:tcPr>
            <w:tcW w:w="0" w:type="auto"/>
            <w:gridSpan w:val="4"/>
            <w:tcMar>
              <w:left w:w="108" w:type="dxa"/>
              <w:right w:w="108" w:type="dxa"/>
            </w:tcMar>
            <w:vAlign w:val="center"/>
          </w:tcPr>
          <w:p w14:paraId="63D62BAE">
            <w:pPr>
              <w:jc w:val="center"/>
              <w:rPr>
                <w:highlight w:val="none"/>
              </w:rPr>
            </w:pPr>
            <w:r>
              <w:rPr>
                <w:highlight w:val="none"/>
              </w:rPr>
              <w:t>可能接触其</w:t>
            </w:r>
            <w:r>
              <w:rPr>
                <w:rFonts w:hint="eastAsia"/>
                <w:highlight w:val="none"/>
                <w:lang w:eastAsia="zh-CN"/>
              </w:rPr>
              <w:t>蒸汽</w:t>
            </w:r>
            <w:r>
              <w:rPr>
                <w:highlight w:val="none"/>
              </w:rPr>
              <w:t>时，应该佩戴过滤式防毒面具</w:t>
            </w:r>
            <w:r>
              <w:rPr>
                <w:rFonts w:hint="eastAsia"/>
                <w:highlight w:val="none"/>
                <w:lang w:eastAsia="zh-CN"/>
              </w:rPr>
              <w:t>（</w:t>
            </w:r>
            <w:r>
              <w:rPr>
                <w:highlight w:val="none"/>
              </w:rPr>
              <w:t>半面罩</w:t>
            </w:r>
            <w:r>
              <w:rPr>
                <w:rFonts w:hint="eastAsia"/>
                <w:highlight w:val="none"/>
                <w:lang w:eastAsia="zh-CN"/>
              </w:rPr>
              <w:t>）</w:t>
            </w:r>
            <w:r>
              <w:rPr>
                <w:highlight w:val="none"/>
              </w:rPr>
              <w:t>。紧急事态抢救或撤离时，建议佩戴空气呼吸器。</w:t>
            </w:r>
          </w:p>
        </w:tc>
      </w:tr>
      <w:tr w14:paraId="2B2B5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41F9B4D7">
            <w:pPr>
              <w:jc w:val="center"/>
              <w:rPr>
                <w:highlight w:val="none"/>
              </w:rPr>
            </w:pPr>
          </w:p>
        </w:tc>
        <w:tc>
          <w:tcPr>
            <w:tcW w:w="0" w:type="auto"/>
            <w:tcMar>
              <w:left w:w="108" w:type="dxa"/>
              <w:right w:w="108" w:type="dxa"/>
            </w:tcMar>
            <w:vAlign w:val="center"/>
          </w:tcPr>
          <w:p w14:paraId="34837821">
            <w:pPr>
              <w:jc w:val="center"/>
              <w:rPr>
                <w:highlight w:val="none"/>
              </w:rPr>
            </w:pPr>
            <w:r>
              <w:rPr>
                <w:highlight w:val="none"/>
              </w:rPr>
              <w:t>眼睛防护</w:t>
            </w:r>
          </w:p>
        </w:tc>
        <w:tc>
          <w:tcPr>
            <w:tcW w:w="0" w:type="auto"/>
            <w:gridSpan w:val="4"/>
            <w:tcMar>
              <w:left w:w="108" w:type="dxa"/>
              <w:right w:w="108" w:type="dxa"/>
            </w:tcMar>
            <w:vAlign w:val="center"/>
          </w:tcPr>
          <w:p w14:paraId="300620EA">
            <w:pPr>
              <w:jc w:val="center"/>
              <w:rPr>
                <w:highlight w:val="none"/>
              </w:rPr>
            </w:pPr>
            <w:r>
              <w:rPr>
                <w:highlight w:val="none"/>
              </w:rPr>
              <w:t>戴化学安全防护眼镜。</w:t>
            </w:r>
          </w:p>
        </w:tc>
      </w:tr>
      <w:tr w14:paraId="399B0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71613AE3">
            <w:pPr>
              <w:jc w:val="center"/>
              <w:rPr>
                <w:highlight w:val="none"/>
              </w:rPr>
            </w:pPr>
          </w:p>
        </w:tc>
        <w:tc>
          <w:tcPr>
            <w:tcW w:w="0" w:type="auto"/>
            <w:tcMar>
              <w:left w:w="108" w:type="dxa"/>
              <w:right w:w="108" w:type="dxa"/>
            </w:tcMar>
            <w:vAlign w:val="center"/>
          </w:tcPr>
          <w:p w14:paraId="0F346D3F">
            <w:pPr>
              <w:jc w:val="center"/>
              <w:rPr>
                <w:highlight w:val="none"/>
              </w:rPr>
            </w:pPr>
            <w:r>
              <w:rPr>
                <w:highlight w:val="none"/>
              </w:rPr>
              <w:t>身体防护</w:t>
            </w:r>
          </w:p>
        </w:tc>
        <w:tc>
          <w:tcPr>
            <w:tcW w:w="0" w:type="auto"/>
            <w:gridSpan w:val="4"/>
            <w:tcMar>
              <w:left w:w="108" w:type="dxa"/>
              <w:right w:w="108" w:type="dxa"/>
            </w:tcMar>
            <w:vAlign w:val="center"/>
          </w:tcPr>
          <w:p w14:paraId="74031984">
            <w:pPr>
              <w:jc w:val="center"/>
              <w:rPr>
                <w:highlight w:val="none"/>
              </w:rPr>
            </w:pPr>
            <w:r>
              <w:rPr>
                <w:highlight w:val="none"/>
              </w:rPr>
              <w:t>穿防静电工作服。</w:t>
            </w:r>
          </w:p>
        </w:tc>
      </w:tr>
      <w:tr w14:paraId="452C5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26F5EF19">
            <w:pPr>
              <w:jc w:val="center"/>
              <w:rPr>
                <w:highlight w:val="none"/>
              </w:rPr>
            </w:pPr>
          </w:p>
        </w:tc>
        <w:tc>
          <w:tcPr>
            <w:tcW w:w="0" w:type="auto"/>
            <w:tcMar>
              <w:left w:w="108" w:type="dxa"/>
              <w:right w:w="108" w:type="dxa"/>
            </w:tcMar>
            <w:vAlign w:val="center"/>
          </w:tcPr>
          <w:p w14:paraId="41F241BD">
            <w:pPr>
              <w:jc w:val="center"/>
              <w:rPr>
                <w:highlight w:val="none"/>
              </w:rPr>
            </w:pPr>
            <w:r>
              <w:rPr>
                <w:highlight w:val="none"/>
              </w:rPr>
              <w:t>手防护</w:t>
            </w:r>
          </w:p>
        </w:tc>
        <w:tc>
          <w:tcPr>
            <w:tcW w:w="0" w:type="auto"/>
            <w:gridSpan w:val="4"/>
            <w:tcMar>
              <w:left w:w="108" w:type="dxa"/>
              <w:right w:w="108" w:type="dxa"/>
            </w:tcMar>
            <w:vAlign w:val="center"/>
          </w:tcPr>
          <w:p w14:paraId="362CB5E5">
            <w:pPr>
              <w:jc w:val="center"/>
              <w:rPr>
                <w:highlight w:val="none"/>
              </w:rPr>
            </w:pPr>
            <w:r>
              <w:rPr>
                <w:highlight w:val="none"/>
              </w:rPr>
              <w:t>戴橡胶手套。</w:t>
            </w:r>
          </w:p>
        </w:tc>
      </w:tr>
      <w:tr w14:paraId="3F491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5944D939">
            <w:pPr>
              <w:jc w:val="center"/>
              <w:rPr>
                <w:highlight w:val="none"/>
              </w:rPr>
            </w:pPr>
          </w:p>
        </w:tc>
        <w:tc>
          <w:tcPr>
            <w:tcW w:w="0" w:type="auto"/>
            <w:tcMar>
              <w:left w:w="108" w:type="dxa"/>
              <w:right w:w="108" w:type="dxa"/>
            </w:tcMar>
            <w:vAlign w:val="center"/>
          </w:tcPr>
          <w:p w14:paraId="75123334">
            <w:pPr>
              <w:jc w:val="center"/>
              <w:rPr>
                <w:rFonts w:hint="eastAsia" w:eastAsia="宋体"/>
                <w:highlight w:val="none"/>
                <w:lang w:eastAsia="zh-CN"/>
              </w:rPr>
            </w:pPr>
            <w:r>
              <w:rPr>
                <w:highlight w:val="none"/>
              </w:rPr>
              <w:t>其</w:t>
            </w:r>
            <w:r>
              <w:rPr>
                <w:rFonts w:hint="eastAsia"/>
                <w:highlight w:val="none"/>
                <w:lang w:eastAsia="zh-CN"/>
              </w:rPr>
              <w:t>他</w:t>
            </w:r>
            <w:r>
              <w:rPr>
                <w:highlight w:val="none"/>
              </w:rPr>
              <w:t>防护</w:t>
            </w:r>
            <w:r>
              <w:rPr>
                <w:rFonts w:hint="eastAsia"/>
                <w:highlight w:val="none"/>
                <w:lang w:eastAsia="zh-CN"/>
              </w:rPr>
              <w:t>措施</w:t>
            </w:r>
          </w:p>
        </w:tc>
        <w:tc>
          <w:tcPr>
            <w:tcW w:w="0" w:type="auto"/>
            <w:gridSpan w:val="4"/>
            <w:tcMar>
              <w:left w:w="108" w:type="dxa"/>
              <w:right w:w="108" w:type="dxa"/>
            </w:tcMar>
            <w:vAlign w:val="center"/>
          </w:tcPr>
          <w:p w14:paraId="3F00CC99">
            <w:pPr>
              <w:jc w:val="center"/>
              <w:rPr>
                <w:highlight w:val="none"/>
              </w:rPr>
            </w:pPr>
            <w:r>
              <w:rPr>
                <w:highlight w:val="none"/>
              </w:rPr>
              <w:t>工作现场禁止吸烟、进食和饮水。工作完毕，淋浴更衣</w:t>
            </w:r>
            <w:r>
              <w:rPr>
                <w:rFonts w:hint="eastAsia"/>
                <w:highlight w:val="none"/>
                <w:lang w:eastAsia="zh-CN"/>
              </w:rPr>
              <w:t>。</w:t>
            </w:r>
            <w:r>
              <w:rPr>
                <w:highlight w:val="none"/>
              </w:rPr>
              <w:t>实行就业前和定期的体检。</w:t>
            </w:r>
          </w:p>
        </w:tc>
      </w:tr>
      <w:tr w14:paraId="14787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Mar>
              <w:left w:w="108" w:type="dxa"/>
              <w:right w:w="108" w:type="dxa"/>
            </w:tcMar>
            <w:vAlign w:val="center"/>
          </w:tcPr>
          <w:p w14:paraId="4A25F422">
            <w:pPr>
              <w:jc w:val="center"/>
              <w:rPr>
                <w:highlight w:val="none"/>
              </w:rPr>
            </w:pPr>
            <w:r>
              <w:rPr>
                <w:highlight w:val="none"/>
              </w:rPr>
              <w:t>储存注意事项</w:t>
            </w:r>
          </w:p>
        </w:tc>
        <w:tc>
          <w:tcPr>
            <w:tcW w:w="0" w:type="auto"/>
            <w:gridSpan w:val="5"/>
            <w:tcMar>
              <w:left w:w="108" w:type="dxa"/>
              <w:right w:w="108" w:type="dxa"/>
            </w:tcMar>
            <w:vAlign w:val="center"/>
          </w:tcPr>
          <w:p w14:paraId="3659FD11">
            <w:pPr>
              <w:jc w:val="center"/>
              <w:rPr>
                <w:highlight w:val="none"/>
              </w:rPr>
            </w:pPr>
            <w:r>
              <w:rPr>
                <w:highlight w:val="none"/>
              </w:rPr>
              <w:t>储存在阴凉、通风的库房。远离火种、热源。库温不宜超过30℃。保持容器密封。应与氧化剂、酸类、碱金属分开存放，切忌混储。采用防爆型照明、通风设施。禁止使用易产生火花的机械设备和工具。储区应备有泄漏应急处理设备和合适的收容材料。</w:t>
            </w:r>
          </w:p>
        </w:tc>
      </w:tr>
      <w:tr w14:paraId="3AFF2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3" w:hRule="atLeast"/>
          <w:jc w:val="center"/>
        </w:trPr>
        <w:tc>
          <w:tcPr>
            <w:tcW w:w="0" w:type="auto"/>
            <w:tcMar>
              <w:left w:w="108" w:type="dxa"/>
              <w:right w:w="108" w:type="dxa"/>
            </w:tcMar>
            <w:vAlign w:val="center"/>
          </w:tcPr>
          <w:p w14:paraId="181DC1B4">
            <w:pPr>
              <w:jc w:val="center"/>
              <w:rPr>
                <w:highlight w:val="none"/>
              </w:rPr>
            </w:pPr>
            <w:r>
              <w:rPr>
                <w:highlight w:val="none"/>
              </w:rPr>
              <w:t>废弃处置方法</w:t>
            </w:r>
          </w:p>
        </w:tc>
        <w:tc>
          <w:tcPr>
            <w:tcW w:w="0" w:type="auto"/>
            <w:gridSpan w:val="5"/>
            <w:tcMar>
              <w:left w:w="108" w:type="dxa"/>
              <w:right w:w="108" w:type="dxa"/>
            </w:tcMar>
            <w:vAlign w:val="center"/>
          </w:tcPr>
          <w:p w14:paraId="210C5C34">
            <w:pPr>
              <w:jc w:val="center"/>
              <w:rPr>
                <w:rFonts w:hint="eastAsia" w:eastAsia="宋体"/>
                <w:highlight w:val="none"/>
                <w:lang w:eastAsia="zh-CN"/>
              </w:rPr>
            </w:pPr>
            <w:r>
              <w:rPr>
                <w:highlight w:val="none"/>
              </w:rPr>
              <w:t>建议用焚烧法处置，与燃料混合后，再焚烧。焚烧炉排出的气体要通过洗涤器除去。废弃注意事项：处置前应参阅国家和地方有关法规</w:t>
            </w:r>
            <w:r>
              <w:rPr>
                <w:rFonts w:hint="eastAsia"/>
                <w:highlight w:val="none"/>
                <w:lang w:eastAsia="zh-CN"/>
              </w:rPr>
              <w:t>。</w:t>
            </w:r>
          </w:p>
        </w:tc>
      </w:tr>
      <w:tr w14:paraId="3F53C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Mar>
              <w:left w:w="108" w:type="dxa"/>
              <w:right w:w="108" w:type="dxa"/>
            </w:tcMar>
            <w:vAlign w:val="center"/>
          </w:tcPr>
          <w:p w14:paraId="15D8196C">
            <w:pPr>
              <w:jc w:val="center"/>
              <w:rPr>
                <w:highlight w:val="none"/>
              </w:rPr>
            </w:pPr>
            <w:r>
              <w:rPr>
                <w:highlight w:val="none"/>
              </w:rPr>
              <w:t>运输注意事项</w:t>
            </w:r>
          </w:p>
        </w:tc>
        <w:tc>
          <w:tcPr>
            <w:tcW w:w="0" w:type="auto"/>
            <w:gridSpan w:val="5"/>
            <w:tcMar>
              <w:left w:w="108" w:type="dxa"/>
              <w:right w:w="108" w:type="dxa"/>
            </w:tcMar>
            <w:vAlign w:val="center"/>
          </w:tcPr>
          <w:p w14:paraId="18CEA95D">
            <w:pPr>
              <w:jc w:val="center"/>
              <w:rPr>
                <w:highlight w:val="none"/>
              </w:rPr>
            </w:pPr>
            <w:r>
              <w:rPr>
                <w:highlight w:val="none"/>
              </w:rPr>
              <w:t>本品铁路运输时限使用钢制企业自备罐车装运，装运前需报有关部门批准。运输时运输车辆应配备相应品种和数量的消防器材及泄漏应急处理设备</w:t>
            </w:r>
            <w:r>
              <w:rPr>
                <w:rFonts w:hint="eastAsia"/>
                <w:highlight w:val="none"/>
                <w:lang w:eastAsia="zh-CN"/>
              </w:rPr>
              <w:t>。</w:t>
            </w:r>
            <w:r>
              <w:rPr>
                <w:highlight w:val="none"/>
              </w:rPr>
              <w:t>夏季最好早晚运输。运输时所用的槽（罐）车应有接地线，槽内可设孔隔板以减少</w:t>
            </w:r>
            <w:r>
              <w:rPr>
                <w:rFonts w:hint="eastAsia"/>
                <w:highlight w:val="none"/>
                <w:lang w:eastAsia="zh-CN"/>
              </w:rPr>
              <w:t>振荡</w:t>
            </w:r>
            <w:r>
              <w:rPr>
                <w:highlight w:val="none"/>
              </w:rPr>
              <w:t>产生静电。严禁与氧化剂、酸类、碱金属、食用化学品等混装混运。运输途中应防晒</w:t>
            </w:r>
            <w:r>
              <w:rPr>
                <w:rFonts w:hint="eastAsia"/>
                <w:highlight w:val="none"/>
                <w:lang w:eastAsia="zh-CN"/>
              </w:rPr>
              <w:t>、防</w:t>
            </w:r>
            <w:r>
              <w:rPr>
                <w:highlight w:val="none"/>
              </w:rPr>
              <w:t>曝晒、</w:t>
            </w:r>
            <w:r>
              <w:rPr>
                <w:rFonts w:hint="eastAsia"/>
                <w:highlight w:val="none"/>
                <w:lang w:eastAsia="zh-CN"/>
              </w:rPr>
              <w:t>防</w:t>
            </w:r>
            <w:r>
              <w:rPr>
                <w:highlight w:val="none"/>
              </w:rPr>
              <w:t>雨淋、防高温。中途停留时应远离火种、热源、高温区。装运该物品的车辆排气管必须配备防火装置。禁止使用易产生火花的机械设备和工具装卸</w:t>
            </w:r>
            <w:r>
              <w:rPr>
                <w:rFonts w:hint="eastAsia"/>
                <w:highlight w:val="none"/>
                <w:lang w:eastAsia="zh-CN"/>
              </w:rPr>
              <w:t>该物品。</w:t>
            </w:r>
            <w:r>
              <w:rPr>
                <w:highlight w:val="none"/>
              </w:rPr>
              <w:t>公路运输时要按规定路线行驶</w:t>
            </w:r>
            <w:r>
              <w:rPr>
                <w:rFonts w:hint="eastAsia"/>
                <w:highlight w:val="none"/>
                <w:lang w:eastAsia="zh-CN"/>
              </w:rPr>
              <w:t>，</w:t>
            </w:r>
            <w:r>
              <w:rPr>
                <w:highlight w:val="none"/>
              </w:rPr>
              <w:t>勿在居民区和人口稠密区停留。铁路运输时要禁止溜放</w:t>
            </w:r>
            <w:r>
              <w:rPr>
                <w:rFonts w:hint="eastAsia"/>
                <w:highlight w:val="none"/>
                <w:lang w:eastAsia="zh-CN"/>
              </w:rPr>
              <w:t>，</w:t>
            </w:r>
            <w:r>
              <w:rPr>
                <w:highlight w:val="none"/>
              </w:rPr>
              <w:t>严禁用木船、水泥船</w:t>
            </w:r>
            <w:r>
              <w:rPr>
                <w:rFonts w:hint="eastAsia"/>
                <w:highlight w:val="none"/>
                <w:lang w:eastAsia="zh-CN"/>
              </w:rPr>
              <w:t>等</w:t>
            </w:r>
            <w:r>
              <w:rPr>
                <w:highlight w:val="none"/>
              </w:rPr>
              <w:t>装运运输。</w:t>
            </w:r>
          </w:p>
        </w:tc>
      </w:tr>
    </w:tbl>
    <w:p w14:paraId="374EDE07">
      <w:pPr>
        <w:spacing w:line="360" w:lineRule="auto"/>
        <w:jc w:val="center"/>
        <w:rPr>
          <w:rFonts w:hint="eastAsia" w:ascii="Times New Roman" w:hAnsi="Times New Roman" w:eastAsia="宋体" w:cs="Times New Roman"/>
          <w:b/>
          <w:bCs/>
          <w:sz w:val="21"/>
          <w:szCs w:val="21"/>
          <w:highlight w:val="none"/>
          <w:lang w:val="en-US" w:eastAsia="zh-CN"/>
        </w:rPr>
      </w:pPr>
      <w:r>
        <w:rPr>
          <w:rFonts w:hint="eastAsia" w:ascii="Times New Roman" w:hAnsi="Times New Roman" w:eastAsia="宋体" w:cs="Times New Roman"/>
          <w:b/>
          <w:bCs/>
          <w:sz w:val="21"/>
          <w:szCs w:val="21"/>
          <w:highlight w:val="none"/>
          <w:lang w:val="en-US" w:eastAsia="zh-CN"/>
        </w:rPr>
        <w:t>表</w:t>
      </w:r>
      <w:r>
        <w:rPr>
          <w:rFonts w:hint="eastAsia" w:cs="Times New Roman"/>
          <w:b/>
          <w:bCs/>
          <w:sz w:val="21"/>
          <w:szCs w:val="21"/>
          <w:highlight w:val="none"/>
          <w:lang w:val="en-US" w:eastAsia="zh-CN"/>
        </w:rPr>
        <w:t>3.2</w:t>
      </w:r>
      <w:r>
        <w:rPr>
          <w:rFonts w:hint="eastAsia" w:ascii="Times New Roman" w:hAnsi="Times New Roman" w:eastAsia="宋体" w:cs="Times New Roman"/>
          <w:b/>
          <w:bCs/>
          <w:sz w:val="21"/>
          <w:szCs w:val="21"/>
          <w:highlight w:val="none"/>
          <w:lang w:val="en-US" w:eastAsia="zh-CN"/>
        </w:rPr>
        <w:t>-8   乙酸</w:t>
      </w:r>
      <w:r>
        <w:rPr>
          <w:rFonts w:hint="eastAsia" w:cs="Times New Roman"/>
          <w:b/>
          <w:bCs/>
          <w:sz w:val="21"/>
          <w:szCs w:val="21"/>
          <w:highlight w:val="none"/>
          <w:lang w:val="en-US" w:eastAsia="zh-CN"/>
        </w:rPr>
        <w:t>的</w:t>
      </w:r>
      <w:r>
        <w:rPr>
          <w:rFonts w:hint="eastAsia" w:ascii="Times New Roman" w:hAnsi="Times New Roman" w:eastAsia="宋体" w:cs="Times New Roman"/>
          <w:b/>
          <w:bCs/>
          <w:sz w:val="21"/>
          <w:szCs w:val="21"/>
          <w:highlight w:val="none"/>
          <w:lang w:val="en-US" w:eastAsia="zh-CN"/>
        </w:rPr>
        <w:t>理化性质及危险特性</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71"/>
        <w:gridCol w:w="961"/>
        <w:gridCol w:w="284"/>
        <w:gridCol w:w="260"/>
        <w:gridCol w:w="1165"/>
        <w:gridCol w:w="2284"/>
        <w:gridCol w:w="249"/>
        <w:gridCol w:w="249"/>
        <w:gridCol w:w="2697"/>
      </w:tblGrid>
      <w:tr w14:paraId="28612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tcMar>
              <w:left w:w="108" w:type="dxa"/>
              <w:right w:w="108" w:type="dxa"/>
            </w:tcMar>
            <w:vAlign w:val="center"/>
          </w:tcPr>
          <w:p w14:paraId="13D2839A">
            <w:pPr>
              <w:jc w:val="center"/>
              <w:rPr>
                <w:highlight w:val="none"/>
              </w:rPr>
            </w:pPr>
            <w:r>
              <w:rPr>
                <w:highlight w:val="none"/>
              </w:rPr>
              <w:t>标识</w:t>
            </w:r>
          </w:p>
        </w:tc>
        <w:tc>
          <w:tcPr>
            <w:tcW w:w="0" w:type="auto"/>
            <w:gridSpan w:val="6"/>
            <w:tcMar>
              <w:left w:w="108" w:type="dxa"/>
              <w:right w:w="108" w:type="dxa"/>
            </w:tcMar>
            <w:vAlign w:val="center"/>
          </w:tcPr>
          <w:p w14:paraId="7352ABA6">
            <w:pPr>
              <w:jc w:val="center"/>
              <w:rPr>
                <w:highlight w:val="none"/>
              </w:rPr>
            </w:pPr>
            <w:r>
              <w:rPr>
                <w:highlight w:val="none"/>
              </w:rPr>
              <w:t>中文名：乙酸；醋酸</w:t>
            </w:r>
          </w:p>
        </w:tc>
        <w:tc>
          <w:tcPr>
            <w:tcW w:w="0" w:type="auto"/>
            <w:gridSpan w:val="2"/>
            <w:tcMar>
              <w:left w:w="108" w:type="dxa"/>
              <w:right w:w="108" w:type="dxa"/>
            </w:tcMar>
            <w:vAlign w:val="center"/>
          </w:tcPr>
          <w:p w14:paraId="270AEF96">
            <w:pPr>
              <w:jc w:val="center"/>
              <w:rPr>
                <w:highlight w:val="none"/>
              </w:rPr>
            </w:pPr>
            <w:r>
              <w:rPr>
                <w:highlight w:val="none"/>
              </w:rPr>
              <w:t>危险化学品目录序号：2630</w:t>
            </w:r>
          </w:p>
        </w:tc>
      </w:tr>
      <w:tr w14:paraId="422F2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7B29FCA4">
            <w:pPr>
              <w:jc w:val="center"/>
              <w:rPr>
                <w:highlight w:val="none"/>
              </w:rPr>
            </w:pPr>
          </w:p>
        </w:tc>
        <w:tc>
          <w:tcPr>
            <w:tcW w:w="0" w:type="auto"/>
            <w:gridSpan w:val="6"/>
            <w:tcMar>
              <w:left w:w="108" w:type="dxa"/>
              <w:right w:w="108" w:type="dxa"/>
            </w:tcMar>
            <w:vAlign w:val="center"/>
          </w:tcPr>
          <w:p w14:paraId="0B9043C2">
            <w:pPr>
              <w:jc w:val="center"/>
              <w:rPr>
                <w:highlight w:val="none"/>
              </w:rPr>
            </w:pPr>
            <w:r>
              <w:rPr>
                <w:highlight w:val="none"/>
              </w:rPr>
              <w:t>英文名：acetic acid</w:t>
            </w:r>
          </w:p>
        </w:tc>
        <w:tc>
          <w:tcPr>
            <w:tcW w:w="0" w:type="auto"/>
            <w:gridSpan w:val="2"/>
            <w:tcMar>
              <w:left w:w="108" w:type="dxa"/>
              <w:right w:w="108" w:type="dxa"/>
            </w:tcMar>
            <w:vAlign w:val="center"/>
          </w:tcPr>
          <w:p w14:paraId="284D2EBF">
            <w:pPr>
              <w:jc w:val="center"/>
              <w:rPr>
                <w:highlight w:val="none"/>
              </w:rPr>
            </w:pPr>
            <w:r>
              <w:rPr>
                <w:highlight w:val="none"/>
              </w:rPr>
              <w:t>UN编号：2798</w:t>
            </w:r>
          </w:p>
        </w:tc>
      </w:tr>
      <w:tr w14:paraId="2EAD9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0121B25E">
            <w:pPr>
              <w:jc w:val="center"/>
              <w:rPr>
                <w:highlight w:val="none"/>
              </w:rPr>
            </w:pPr>
          </w:p>
        </w:tc>
        <w:tc>
          <w:tcPr>
            <w:tcW w:w="0" w:type="auto"/>
            <w:gridSpan w:val="2"/>
            <w:tcMar>
              <w:left w:w="108" w:type="dxa"/>
              <w:right w:w="108" w:type="dxa"/>
            </w:tcMar>
            <w:vAlign w:val="center"/>
          </w:tcPr>
          <w:p w14:paraId="3F15738F">
            <w:pPr>
              <w:jc w:val="center"/>
              <w:rPr>
                <w:highlight w:val="none"/>
              </w:rPr>
            </w:pPr>
            <w:r>
              <w:rPr>
                <w:highlight w:val="none"/>
              </w:rPr>
              <w:t>分子式：C</w:t>
            </w:r>
            <w:r>
              <w:rPr>
                <w:highlight w:val="none"/>
                <w:vertAlign w:val="subscript"/>
              </w:rPr>
              <w:t>2</w:t>
            </w:r>
            <w:r>
              <w:rPr>
                <w:highlight w:val="none"/>
              </w:rPr>
              <w:t>H</w:t>
            </w:r>
            <w:r>
              <w:rPr>
                <w:highlight w:val="none"/>
                <w:vertAlign w:val="subscript"/>
              </w:rPr>
              <w:t>4</w:t>
            </w:r>
            <w:r>
              <w:rPr>
                <w:highlight w:val="none"/>
              </w:rPr>
              <w:t>O</w:t>
            </w:r>
            <w:r>
              <w:rPr>
                <w:highlight w:val="none"/>
                <w:vertAlign w:val="subscript"/>
              </w:rPr>
              <w:t>2</w:t>
            </w:r>
          </w:p>
        </w:tc>
        <w:tc>
          <w:tcPr>
            <w:tcW w:w="0" w:type="auto"/>
            <w:gridSpan w:val="4"/>
            <w:tcMar>
              <w:left w:w="108" w:type="dxa"/>
              <w:right w:w="108" w:type="dxa"/>
            </w:tcMar>
            <w:vAlign w:val="center"/>
          </w:tcPr>
          <w:p w14:paraId="0BE94E96">
            <w:pPr>
              <w:jc w:val="center"/>
              <w:rPr>
                <w:highlight w:val="none"/>
              </w:rPr>
            </w:pPr>
            <w:r>
              <w:rPr>
                <w:highlight w:val="none"/>
              </w:rPr>
              <w:t>分子量：60.05</w:t>
            </w:r>
          </w:p>
        </w:tc>
        <w:tc>
          <w:tcPr>
            <w:tcW w:w="0" w:type="auto"/>
            <w:gridSpan w:val="2"/>
            <w:tcMar>
              <w:left w:w="108" w:type="dxa"/>
              <w:right w:w="108" w:type="dxa"/>
            </w:tcMar>
            <w:vAlign w:val="center"/>
          </w:tcPr>
          <w:p w14:paraId="74663D2A">
            <w:pPr>
              <w:jc w:val="center"/>
              <w:rPr>
                <w:highlight w:val="none"/>
              </w:rPr>
            </w:pPr>
            <w:r>
              <w:rPr>
                <w:highlight w:val="none"/>
              </w:rPr>
              <w:t>CAS号：64-19-7</w:t>
            </w:r>
          </w:p>
        </w:tc>
      </w:tr>
      <w:tr w14:paraId="6C959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tcMar>
              <w:left w:w="108" w:type="dxa"/>
              <w:right w:w="108" w:type="dxa"/>
            </w:tcMar>
            <w:vAlign w:val="center"/>
          </w:tcPr>
          <w:p w14:paraId="325156A4">
            <w:pPr>
              <w:jc w:val="center"/>
              <w:rPr>
                <w:highlight w:val="none"/>
              </w:rPr>
            </w:pPr>
            <w:r>
              <w:rPr>
                <w:highlight w:val="none"/>
              </w:rPr>
              <w:t>理化性质</w:t>
            </w:r>
          </w:p>
        </w:tc>
        <w:tc>
          <w:tcPr>
            <w:tcW w:w="0" w:type="auto"/>
            <w:tcMar>
              <w:left w:w="108" w:type="dxa"/>
              <w:right w:w="108" w:type="dxa"/>
            </w:tcMar>
            <w:vAlign w:val="center"/>
          </w:tcPr>
          <w:p w14:paraId="0C303092">
            <w:pPr>
              <w:jc w:val="center"/>
              <w:rPr>
                <w:highlight w:val="none"/>
              </w:rPr>
            </w:pPr>
            <w:r>
              <w:rPr>
                <w:highlight w:val="none"/>
              </w:rPr>
              <w:t>外观与形状</w:t>
            </w:r>
          </w:p>
        </w:tc>
        <w:tc>
          <w:tcPr>
            <w:tcW w:w="0" w:type="auto"/>
            <w:gridSpan w:val="7"/>
            <w:tcMar>
              <w:left w:w="108" w:type="dxa"/>
              <w:right w:w="108" w:type="dxa"/>
            </w:tcMar>
            <w:vAlign w:val="center"/>
          </w:tcPr>
          <w:p w14:paraId="78F9D023">
            <w:pPr>
              <w:jc w:val="center"/>
              <w:rPr>
                <w:highlight w:val="none"/>
              </w:rPr>
            </w:pPr>
            <w:r>
              <w:rPr>
                <w:highlight w:val="none"/>
              </w:rPr>
              <w:t>无色透明液体或结晶，有刺激性气味</w:t>
            </w:r>
          </w:p>
        </w:tc>
      </w:tr>
      <w:tr w14:paraId="0FFE8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3BEF8D9D">
            <w:pPr>
              <w:jc w:val="center"/>
              <w:rPr>
                <w:highlight w:val="none"/>
              </w:rPr>
            </w:pPr>
          </w:p>
        </w:tc>
        <w:tc>
          <w:tcPr>
            <w:tcW w:w="0" w:type="auto"/>
            <w:tcMar>
              <w:left w:w="108" w:type="dxa"/>
              <w:right w:w="108" w:type="dxa"/>
            </w:tcMar>
            <w:vAlign w:val="center"/>
          </w:tcPr>
          <w:p w14:paraId="08BBC0A1">
            <w:pPr>
              <w:jc w:val="center"/>
              <w:rPr>
                <w:highlight w:val="none"/>
              </w:rPr>
            </w:pPr>
            <w:r>
              <w:rPr>
                <w:highlight w:val="none"/>
              </w:rPr>
              <w:t>熔点（℃）</w:t>
            </w:r>
          </w:p>
        </w:tc>
        <w:tc>
          <w:tcPr>
            <w:tcW w:w="0" w:type="auto"/>
            <w:gridSpan w:val="3"/>
            <w:tcMar>
              <w:left w:w="108" w:type="dxa"/>
              <w:right w:w="108" w:type="dxa"/>
            </w:tcMar>
            <w:vAlign w:val="center"/>
          </w:tcPr>
          <w:p w14:paraId="3370892D">
            <w:pPr>
              <w:jc w:val="center"/>
              <w:rPr>
                <w:highlight w:val="none"/>
              </w:rPr>
            </w:pPr>
            <w:r>
              <w:rPr>
                <w:highlight w:val="none"/>
              </w:rPr>
              <w:t>16.7</w:t>
            </w:r>
          </w:p>
        </w:tc>
        <w:tc>
          <w:tcPr>
            <w:tcW w:w="0" w:type="auto"/>
            <w:gridSpan w:val="2"/>
            <w:tcMar>
              <w:left w:w="108" w:type="dxa"/>
              <w:right w:w="108" w:type="dxa"/>
            </w:tcMar>
            <w:vAlign w:val="center"/>
          </w:tcPr>
          <w:p w14:paraId="1915E43D">
            <w:pPr>
              <w:jc w:val="center"/>
              <w:rPr>
                <w:highlight w:val="none"/>
              </w:rPr>
            </w:pPr>
            <w:r>
              <w:rPr>
                <w:highlight w:val="none"/>
              </w:rPr>
              <w:t>密度（g/cm</w:t>
            </w:r>
            <w:r>
              <w:rPr>
                <w:highlight w:val="none"/>
                <w:vertAlign w:val="superscript"/>
              </w:rPr>
              <w:t>3</w:t>
            </w:r>
            <w:r>
              <w:rPr>
                <w:highlight w:val="none"/>
              </w:rPr>
              <w:t>）</w:t>
            </w:r>
          </w:p>
        </w:tc>
        <w:tc>
          <w:tcPr>
            <w:tcW w:w="0" w:type="auto"/>
            <w:gridSpan w:val="2"/>
            <w:tcMar>
              <w:left w:w="108" w:type="dxa"/>
              <w:right w:w="108" w:type="dxa"/>
            </w:tcMar>
            <w:vAlign w:val="center"/>
          </w:tcPr>
          <w:p w14:paraId="2D0A9DEA">
            <w:pPr>
              <w:jc w:val="center"/>
              <w:rPr>
                <w:highlight w:val="none"/>
              </w:rPr>
            </w:pPr>
            <w:r>
              <w:rPr>
                <w:highlight w:val="none"/>
              </w:rPr>
              <w:t>1.05</w:t>
            </w:r>
          </w:p>
        </w:tc>
      </w:tr>
      <w:tr w14:paraId="53DD4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6A61365B">
            <w:pPr>
              <w:jc w:val="center"/>
              <w:rPr>
                <w:highlight w:val="none"/>
              </w:rPr>
            </w:pPr>
          </w:p>
        </w:tc>
        <w:tc>
          <w:tcPr>
            <w:tcW w:w="0" w:type="auto"/>
            <w:tcMar>
              <w:left w:w="108" w:type="dxa"/>
              <w:right w:w="108" w:type="dxa"/>
            </w:tcMar>
            <w:vAlign w:val="center"/>
          </w:tcPr>
          <w:p w14:paraId="013B7253">
            <w:pPr>
              <w:jc w:val="center"/>
              <w:rPr>
                <w:highlight w:val="none"/>
              </w:rPr>
            </w:pPr>
            <w:r>
              <w:rPr>
                <w:highlight w:val="none"/>
              </w:rPr>
              <w:t>沸点（℃）</w:t>
            </w:r>
          </w:p>
        </w:tc>
        <w:tc>
          <w:tcPr>
            <w:tcW w:w="0" w:type="auto"/>
            <w:gridSpan w:val="3"/>
            <w:tcMar>
              <w:left w:w="108" w:type="dxa"/>
              <w:right w:w="108" w:type="dxa"/>
            </w:tcMar>
            <w:vAlign w:val="center"/>
          </w:tcPr>
          <w:p w14:paraId="788C0580">
            <w:pPr>
              <w:jc w:val="center"/>
              <w:rPr>
                <w:highlight w:val="none"/>
              </w:rPr>
            </w:pPr>
            <w:r>
              <w:rPr>
                <w:highlight w:val="none"/>
              </w:rPr>
              <w:t>118.1</w:t>
            </w:r>
          </w:p>
        </w:tc>
        <w:tc>
          <w:tcPr>
            <w:tcW w:w="0" w:type="auto"/>
            <w:gridSpan w:val="2"/>
            <w:tcMar>
              <w:left w:w="108" w:type="dxa"/>
              <w:right w:w="108" w:type="dxa"/>
            </w:tcMar>
            <w:vAlign w:val="center"/>
          </w:tcPr>
          <w:p w14:paraId="31D77D76">
            <w:pPr>
              <w:jc w:val="center"/>
              <w:rPr>
                <w:highlight w:val="none"/>
              </w:rPr>
            </w:pPr>
            <w:r>
              <w:rPr>
                <w:highlight w:val="none"/>
              </w:rPr>
              <w:t>饱和</w:t>
            </w:r>
            <w:r>
              <w:rPr>
                <w:rFonts w:hint="eastAsia"/>
                <w:highlight w:val="none"/>
                <w:lang w:eastAsia="zh-CN"/>
              </w:rPr>
              <w:t>蒸汽</w:t>
            </w:r>
            <w:r>
              <w:rPr>
                <w:highlight w:val="none"/>
              </w:rPr>
              <w:t>压（kPa）</w:t>
            </w:r>
          </w:p>
        </w:tc>
        <w:tc>
          <w:tcPr>
            <w:tcW w:w="0" w:type="auto"/>
            <w:gridSpan w:val="2"/>
            <w:tcMar>
              <w:left w:w="108" w:type="dxa"/>
              <w:right w:w="108" w:type="dxa"/>
            </w:tcMar>
            <w:vAlign w:val="center"/>
          </w:tcPr>
          <w:p w14:paraId="5E48D4AB">
            <w:pPr>
              <w:jc w:val="center"/>
              <w:rPr>
                <w:highlight w:val="none"/>
              </w:rPr>
            </w:pPr>
            <w:r>
              <w:rPr>
                <w:highlight w:val="none"/>
              </w:rPr>
              <w:t>1.57（20℃）</w:t>
            </w:r>
          </w:p>
        </w:tc>
      </w:tr>
      <w:tr w14:paraId="0D838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0C0D3A9B">
            <w:pPr>
              <w:jc w:val="center"/>
              <w:rPr>
                <w:highlight w:val="none"/>
              </w:rPr>
            </w:pPr>
          </w:p>
        </w:tc>
        <w:tc>
          <w:tcPr>
            <w:tcW w:w="0" w:type="auto"/>
            <w:tcMar>
              <w:left w:w="108" w:type="dxa"/>
              <w:right w:w="108" w:type="dxa"/>
            </w:tcMar>
            <w:vAlign w:val="center"/>
          </w:tcPr>
          <w:p w14:paraId="0E41A252">
            <w:pPr>
              <w:jc w:val="center"/>
              <w:rPr>
                <w:highlight w:val="none"/>
              </w:rPr>
            </w:pPr>
            <w:r>
              <w:rPr>
                <w:highlight w:val="none"/>
              </w:rPr>
              <w:t>溶解性</w:t>
            </w:r>
          </w:p>
        </w:tc>
        <w:tc>
          <w:tcPr>
            <w:tcW w:w="0" w:type="auto"/>
            <w:gridSpan w:val="7"/>
            <w:tcMar>
              <w:left w:w="108" w:type="dxa"/>
              <w:right w:w="108" w:type="dxa"/>
            </w:tcMar>
            <w:vAlign w:val="center"/>
          </w:tcPr>
          <w:p w14:paraId="233DF09A">
            <w:pPr>
              <w:jc w:val="center"/>
              <w:rPr>
                <w:highlight w:val="none"/>
              </w:rPr>
            </w:pPr>
            <w:r>
              <w:rPr>
                <w:highlight w:val="none"/>
              </w:rPr>
              <w:t>溶于水、醚、甘油、四氯化碳等常用有机溶剂，不溶于二硫化碳和C12以上脂肪烃。</w:t>
            </w:r>
          </w:p>
        </w:tc>
      </w:tr>
      <w:tr w14:paraId="0C636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tcMar>
              <w:left w:w="108" w:type="dxa"/>
              <w:right w:w="108" w:type="dxa"/>
            </w:tcMar>
            <w:vAlign w:val="center"/>
          </w:tcPr>
          <w:p w14:paraId="22EAF3EA">
            <w:pPr>
              <w:jc w:val="center"/>
              <w:rPr>
                <w:highlight w:val="none"/>
              </w:rPr>
            </w:pPr>
            <w:r>
              <w:rPr>
                <w:highlight w:val="none"/>
              </w:rPr>
              <w:t>毒性及健康危害</w:t>
            </w:r>
          </w:p>
        </w:tc>
        <w:tc>
          <w:tcPr>
            <w:tcW w:w="0" w:type="auto"/>
            <w:tcMar>
              <w:left w:w="108" w:type="dxa"/>
              <w:right w:w="108" w:type="dxa"/>
            </w:tcMar>
            <w:vAlign w:val="center"/>
          </w:tcPr>
          <w:p w14:paraId="1CF99C91">
            <w:pPr>
              <w:jc w:val="center"/>
              <w:rPr>
                <w:highlight w:val="none"/>
              </w:rPr>
            </w:pPr>
            <w:r>
              <w:rPr>
                <w:highlight w:val="none"/>
              </w:rPr>
              <w:t>侵入途径</w:t>
            </w:r>
          </w:p>
        </w:tc>
        <w:tc>
          <w:tcPr>
            <w:tcW w:w="0" w:type="auto"/>
            <w:gridSpan w:val="7"/>
            <w:tcMar>
              <w:left w:w="108" w:type="dxa"/>
              <w:right w:w="108" w:type="dxa"/>
            </w:tcMar>
            <w:vAlign w:val="center"/>
          </w:tcPr>
          <w:p w14:paraId="56980339">
            <w:pPr>
              <w:jc w:val="center"/>
              <w:rPr>
                <w:highlight w:val="none"/>
              </w:rPr>
            </w:pPr>
            <w:r>
              <w:rPr>
                <w:highlight w:val="none"/>
              </w:rPr>
              <w:t>吸入、食入，经皮肤吸入。</w:t>
            </w:r>
          </w:p>
        </w:tc>
      </w:tr>
      <w:tr w14:paraId="59A71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35963AAF">
            <w:pPr>
              <w:jc w:val="center"/>
              <w:rPr>
                <w:highlight w:val="none"/>
              </w:rPr>
            </w:pPr>
          </w:p>
        </w:tc>
        <w:tc>
          <w:tcPr>
            <w:tcW w:w="0" w:type="auto"/>
            <w:tcMar>
              <w:left w:w="108" w:type="dxa"/>
              <w:right w:w="108" w:type="dxa"/>
            </w:tcMar>
            <w:vAlign w:val="center"/>
          </w:tcPr>
          <w:p w14:paraId="409FBB08">
            <w:pPr>
              <w:jc w:val="center"/>
              <w:rPr>
                <w:highlight w:val="none"/>
              </w:rPr>
            </w:pPr>
            <w:r>
              <w:rPr>
                <w:highlight w:val="none"/>
              </w:rPr>
              <w:t>急性毒性</w:t>
            </w:r>
          </w:p>
        </w:tc>
        <w:tc>
          <w:tcPr>
            <w:tcW w:w="0" w:type="auto"/>
            <w:gridSpan w:val="7"/>
            <w:tcMar>
              <w:left w:w="108" w:type="dxa"/>
              <w:right w:w="108" w:type="dxa"/>
            </w:tcMar>
            <w:vAlign w:val="center"/>
          </w:tcPr>
          <w:p w14:paraId="212DE6B5">
            <w:pPr>
              <w:jc w:val="center"/>
              <w:rPr>
                <w:highlight w:val="none"/>
              </w:rPr>
            </w:pPr>
            <w:r>
              <w:rPr>
                <w:highlight w:val="none"/>
              </w:rPr>
              <w:t>LD50：大鼠经口 LD50：3530mg/kg；1060mg/kg（兔经皮）LC50：13791mg/m3，1小时（小鼠吸入）</w:t>
            </w:r>
          </w:p>
        </w:tc>
      </w:tr>
      <w:tr w14:paraId="6F110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2ED647CB">
            <w:pPr>
              <w:jc w:val="center"/>
              <w:rPr>
                <w:highlight w:val="none"/>
              </w:rPr>
            </w:pPr>
          </w:p>
        </w:tc>
        <w:tc>
          <w:tcPr>
            <w:tcW w:w="0" w:type="auto"/>
            <w:tcMar>
              <w:left w:w="108" w:type="dxa"/>
              <w:right w:w="108" w:type="dxa"/>
            </w:tcMar>
            <w:vAlign w:val="center"/>
          </w:tcPr>
          <w:p w14:paraId="747AF474">
            <w:pPr>
              <w:jc w:val="center"/>
              <w:rPr>
                <w:highlight w:val="none"/>
              </w:rPr>
            </w:pPr>
            <w:r>
              <w:rPr>
                <w:highlight w:val="none"/>
              </w:rPr>
              <w:t>健康危害</w:t>
            </w:r>
          </w:p>
        </w:tc>
        <w:tc>
          <w:tcPr>
            <w:tcW w:w="0" w:type="auto"/>
            <w:gridSpan w:val="7"/>
            <w:tcMar>
              <w:left w:w="108" w:type="dxa"/>
              <w:right w:w="108" w:type="dxa"/>
            </w:tcMar>
            <w:vAlign w:val="center"/>
          </w:tcPr>
          <w:p w14:paraId="633AF935">
            <w:pPr>
              <w:jc w:val="center"/>
              <w:rPr>
                <w:highlight w:val="none"/>
              </w:rPr>
            </w:pPr>
            <w:r>
              <w:rPr>
                <w:highlight w:val="none"/>
              </w:rPr>
              <w:t>吸入本品蒸汽对鼻、喉和呼吸道有刺激性。对眼有强烈刺激作用。皮肤接触，轻者出现红斑，重者引起化学灼伤和水泡。误服浓乙酸，口腔和消化道可产生糜烂，出现带血呕吐、腹泻甚至尿闭、尿毒症和血尿，重者可因休克而致死。慢性影响：眼睑水肿、结膜充血、慢性咽炎和支气管炎</w:t>
            </w:r>
            <w:r>
              <w:rPr>
                <w:rFonts w:hint="eastAsia"/>
                <w:highlight w:val="none"/>
                <w:lang w:eastAsia="zh-CN"/>
              </w:rPr>
              <w:t>等</w:t>
            </w:r>
            <w:r>
              <w:rPr>
                <w:highlight w:val="none"/>
              </w:rPr>
              <w:t>。长期反复接触，可致皮肤干燥、脱脂和皮炎。</w:t>
            </w:r>
          </w:p>
        </w:tc>
      </w:tr>
      <w:tr w14:paraId="54949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tcMar>
              <w:left w:w="108" w:type="dxa"/>
              <w:right w:w="108" w:type="dxa"/>
            </w:tcMar>
            <w:vAlign w:val="center"/>
          </w:tcPr>
          <w:p w14:paraId="5CBE1768">
            <w:pPr>
              <w:jc w:val="center"/>
              <w:rPr>
                <w:highlight w:val="none"/>
              </w:rPr>
            </w:pPr>
            <w:r>
              <w:rPr>
                <w:highlight w:val="none"/>
              </w:rPr>
              <w:t>燃烧爆炸危险性</w:t>
            </w:r>
          </w:p>
        </w:tc>
        <w:tc>
          <w:tcPr>
            <w:tcW w:w="0" w:type="auto"/>
            <w:tcMar>
              <w:left w:w="108" w:type="dxa"/>
              <w:right w:w="108" w:type="dxa"/>
            </w:tcMar>
            <w:vAlign w:val="center"/>
          </w:tcPr>
          <w:p w14:paraId="6B245720">
            <w:pPr>
              <w:jc w:val="center"/>
              <w:rPr>
                <w:highlight w:val="none"/>
              </w:rPr>
            </w:pPr>
            <w:r>
              <w:rPr>
                <w:highlight w:val="none"/>
              </w:rPr>
              <w:t>燃烧性</w:t>
            </w:r>
          </w:p>
        </w:tc>
        <w:tc>
          <w:tcPr>
            <w:tcW w:w="0" w:type="auto"/>
            <w:gridSpan w:val="2"/>
            <w:tcMar>
              <w:left w:w="108" w:type="dxa"/>
              <w:right w:w="108" w:type="dxa"/>
            </w:tcMar>
            <w:vAlign w:val="center"/>
          </w:tcPr>
          <w:p w14:paraId="3D951E70">
            <w:pPr>
              <w:jc w:val="center"/>
              <w:rPr>
                <w:highlight w:val="none"/>
              </w:rPr>
            </w:pPr>
            <w:r>
              <w:rPr>
                <w:highlight w:val="none"/>
              </w:rPr>
              <w:t>易燃</w:t>
            </w:r>
          </w:p>
        </w:tc>
        <w:tc>
          <w:tcPr>
            <w:tcW w:w="0" w:type="auto"/>
            <w:gridSpan w:val="2"/>
            <w:tcMar>
              <w:left w:w="108" w:type="dxa"/>
              <w:right w:w="108" w:type="dxa"/>
            </w:tcMar>
            <w:vAlign w:val="center"/>
          </w:tcPr>
          <w:p w14:paraId="74AA173E">
            <w:pPr>
              <w:jc w:val="center"/>
              <w:rPr>
                <w:highlight w:val="none"/>
              </w:rPr>
            </w:pPr>
            <w:r>
              <w:rPr>
                <w:highlight w:val="none"/>
              </w:rPr>
              <w:t>燃烧分解物</w:t>
            </w:r>
          </w:p>
        </w:tc>
        <w:tc>
          <w:tcPr>
            <w:tcW w:w="0" w:type="auto"/>
            <w:gridSpan w:val="3"/>
            <w:tcMar>
              <w:left w:w="108" w:type="dxa"/>
              <w:right w:w="108" w:type="dxa"/>
            </w:tcMar>
            <w:vAlign w:val="center"/>
          </w:tcPr>
          <w:p w14:paraId="662E097D">
            <w:pPr>
              <w:jc w:val="center"/>
              <w:rPr>
                <w:highlight w:val="none"/>
              </w:rPr>
            </w:pPr>
            <w:r>
              <w:rPr>
                <w:highlight w:val="none"/>
              </w:rPr>
              <w:t>一氧化碳、二氧化碳</w:t>
            </w:r>
          </w:p>
        </w:tc>
      </w:tr>
      <w:tr w14:paraId="441ED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7F0581D0">
            <w:pPr>
              <w:jc w:val="center"/>
              <w:rPr>
                <w:highlight w:val="none"/>
              </w:rPr>
            </w:pPr>
          </w:p>
        </w:tc>
        <w:tc>
          <w:tcPr>
            <w:tcW w:w="0" w:type="auto"/>
            <w:tcMar>
              <w:left w:w="108" w:type="dxa"/>
              <w:right w:w="108" w:type="dxa"/>
            </w:tcMar>
            <w:vAlign w:val="center"/>
          </w:tcPr>
          <w:p w14:paraId="3613D0E1">
            <w:pPr>
              <w:jc w:val="center"/>
              <w:rPr>
                <w:rFonts w:hint="eastAsia" w:eastAsia="宋体"/>
                <w:highlight w:val="none"/>
                <w:lang w:eastAsia="zh-CN"/>
              </w:rPr>
            </w:pPr>
            <w:r>
              <w:rPr>
                <w:highlight w:val="none"/>
              </w:rPr>
              <w:t>闪点</w:t>
            </w:r>
            <w:r>
              <w:rPr>
                <w:rFonts w:hint="eastAsia"/>
                <w:highlight w:val="none"/>
                <w:lang w:eastAsia="zh-CN"/>
              </w:rPr>
              <w:t>（</w:t>
            </w:r>
            <w:r>
              <w:rPr>
                <w:highlight w:val="none"/>
              </w:rPr>
              <w:t>℃</w:t>
            </w:r>
            <w:r>
              <w:rPr>
                <w:rFonts w:hint="eastAsia"/>
                <w:highlight w:val="none"/>
                <w:lang w:eastAsia="zh-CN"/>
              </w:rPr>
              <w:t>）</w:t>
            </w:r>
          </w:p>
        </w:tc>
        <w:tc>
          <w:tcPr>
            <w:tcW w:w="0" w:type="auto"/>
            <w:gridSpan w:val="2"/>
            <w:tcMar>
              <w:left w:w="108" w:type="dxa"/>
              <w:right w:w="108" w:type="dxa"/>
            </w:tcMar>
            <w:vAlign w:val="center"/>
          </w:tcPr>
          <w:p w14:paraId="38FB2ACA">
            <w:pPr>
              <w:jc w:val="center"/>
              <w:rPr>
                <w:highlight w:val="none"/>
              </w:rPr>
            </w:pPr>
            <w:r>
              <w:rPr>
                <w:highlight w:val="none"/>
              </w:rPr>
              <w:t>40</w:t>
            </w:r>
          </w:p>
        </w:tc>
        <w:tc>
          <w:tcPr>
            <w:tcW w:w="0" w:type="auto"/>
            <w:gridSpan w:val="2"/>
            <w:tcMar>
              <w:left w:w="108" w:type="dxa"/>
              <w:right w:w="108" w:type="dxa"/>
            </w:tcMar>
            <w:vAlign w:val="center"/>
          </w:tcPr>
          <w:p w14:paraId="3C68CD7D">
            <w:pPr>
              <w:jc w:val="center"/>
              <w:rPr>
                <w:highlight w:val="none"/>
              </w:rPr>
            </w:pPr>
            <w:r>
              <w:rPr>
                <w:highlight w:val="none"/>
              </w:rPr>
              <w:t>爆炸上限（%：）</w:t>
            </w:r>
          </w:p>
        </w:tc>
        <w:tc>
          <w:tcPr>
            <w:tcW w:w="0" w:type="auto"/>
            <w:gridSpan w:val="3"/>
            <w:tcMar>
              <w:left w:w="108" w:type="dxa"/>
              <w:right w:w="108" w:type="dxa"/>
            </w:tcMar>
            <w:vAlign w:val="center"/>
          </w:tcPr>
          <w:p w14:paraId="36F58E0A">
            <w:pPr>
              <w:jc w:val="center"/>
              <w:rPr>
                <w:highlight w:val="none"/>
              </w:rPr>
            </w:pPr>
            <w:r>
              <w:rPr>
                <w:highlight w:val="none"/>
              </w:rPr>
              <w:t>16.0</w:t>
            </w:r>
          </w:p>
        </w:tc>
      </w:tr>
      <w:tr w14:paraId="33661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02DACF23">
            <w:pPr>
              <w:jc w:val="center"/>
              <w:rPr>
                <w:highlight w:val="none"/>
              </w:rPr>
            </w:pPr>
          </w:p>
        </w:tc>
        <w:tc>
          <w:tcPr>
            <w:tcW w:w="0" w:type="auto"/>
            <w:tcMar>
              <w:left w:w="108" w:type="dxa"/>
              <w:right w:w="108" w:type="dxa"/>
            </w:tcMar>
            <w:vAlign w:val="center"/>
          </w:tcPr>
          <w:p w14:paraId="6B2C7E99">
            <w:pPr>
              <w:jc w:val="center"/>
              <w:rPr>
                <w:rFonts w:hint="eastAsia" w:eastAsia="宋体"/>
                <w:highlight w:val="none"/>
                <w:lang w:eastAsia="zh-CN"/>
              </w:rPr>
            </w:pPr>
            <w:r>
              <w:rPr>
                <w:highlight w:val="none"/>
              </w:rPr>
              <w:t>自燃温度</w:t>
            </w:r>
            <w:r>
              <w:rPr>
                <w:rFonts w:hint="eastAsia"/>
                <w:highlight w:val="none"/>
                <w:lang w:eastAsia="zh-CN"/>
              </w:rPr>
              <w:t>（</w:t>
            </w:r>
            <w:r>
              <w:rPr>
                <w:highlight w:val="none"/>
              </w:rPr>
              <w:t>℃</w:t>
            </w:r>
            <w:r>
              <w:rPr>
                <w:rFonts w:hint="eastAsia"/>
                <w:highlight w:val="none"/>
                <w:lang w:eastAsia="zh-CN"/>
              </w:rPr>
              <w:t>）</w:t>
            </w:r>
          </w:p>
        </w:tc>
        <w:tc>
          <w:tcPr>
            <w:tcW w:w="0" w:type="auto"/>
            <w:gridSpan w:val="2"/>
            <w:tcMar>
              <w:left w:w="108" w:type="dxa"/>
              <w:right w:w="108" w:type="dxa"/>
            </w:tcMar>
            <w:vAlign w:val="center"/>
          </w:tcPr>
          <w:p w14:paraId="6424FCE2">
            <w:pPr>
              <w:jc w:val="center"/>
              <w:rPr>
                <w:highlight w:val="none"/>
              </w:rPr>
            </w:pPr>
            <w:r>
              <w:rPr>
                <w:highlight w:val="none"/>
              </w:rPr>
              <w:t>427</w:t>
            </w:r>
          </w:p>
        </w:tc>
        <w:tc>
          <w:tcPr>
            <w:tcW w:w="0" w:type="auto"/>
            <w:gridSpan w:val="2"/>
            <w:tcMar>
              <w:left w:w="108" w:type="dxa"/>
              <w:right w:w="108" w:type="dxa"/>
            </w:tcMar>
            <w:vAlign w:val="center"/>
          </w:tcPr>
          <w:p w14:paraId="024AD2BB">
            <w:pPr>
              <w:jc w:val="center"/>
              <w:rPr>
                <w:highlight w:val="none"/>
              </w:rPr>
            </w:pPr>
            <w:r>
              <w:rPr>
                <w:highlight w:val="none"/>
              </w:rPr>
              <w:t>爆炸下限（%：）</w:t>
            </w:r>
          </w:p>
        </w:tc>
        <w:tc>
          <w:tcPr>
            <w:tcW w:w="0" w:type="auto"/>
            <w:gridSpan w:val="3"/>
            <w:tcMar>
              <w:left w:w="108" w:type="dxa"/>
              <w:right w:w="108" w:type="dxa"/>
            </w:tcMar>
            <w:vAlign w:val="center"/>
          </w:tcPr>
          <w:p w14:paraId="2D3E275E">
            <w:pPr>
              <w:jc w:val="center"/>
              <w:rPr>
                <w:highlight w:val="none"/>
              </w:rPr>
            </w:pPr>
            <w:r>
              <w:rPr>
                <w:highlight w:val="none"/>
              </w:rPr>
              <w:t>5.4</w:t>
            </w:r>
          </w:p>
        </w:tc>
      </w:tr>
      <w:tr w14:paraId="2E4C4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14B7CFCC">
            <w:pPr>
              <w:jc w:val="center"/>
              <w:rPr>
                <w:highlight w:val="none"/>
              </w:rPr>
            </w:pPr>
          </w:p>
        </w:tc>
        <w:tc>
          <w:tcPr>
            <w:tcW w:w="0" w:type="auto"/>
            <w:tcMar>
              <w:left w:w="108" w:type="dxa"/>
              <w:right w:w="108" w:type="dxa"/>
            </w:tcMar>
            <w:vAlign w:val="center"/>
          </w:tcPr>
          <w:p w14:paraId="2DBEC518">
            <w:pPr>
              <w:jc w:val="center"/>
              <w:rPr>
                <w:highlight w:val="none"/>
              </w:rPr>
            </w:pPr>
            <w:r>
              <w:rPr>
                <w:highlight w:val="none"/>
              </w:rPr>
              <w:t>危险特性</w:t>
            </w:r>
          </w:p>
        </w:tc>
        <w:tc>
          <w:tcPr>
            <w:tcW w:w="0" w:type="auto"/>
            <w:gridSpan w:val="7"/>
            <w:tcMar>
              <w:left w:w="108" w:type="dxa"/>
              <w:right w:w="108" w:type="dxa"/>
            </w:tcMar>
            <w:vAlign w:val="center"/>
          </w:tcPr>
          <w:p w14:paraId="2A78F2D3">
            <w:pPr>
              <w:jc w:val="center"/>
              <w:rPr>
                <w:highlight w:val="none"/>
              </w:rPr>
            </w:pPr>
            <w:r>
              <w:rPr>
                <w:highlight w:val="none"/>
              </w:rPr>
              <w:t>易燃，其蒸汽与空气可形成爆炸性混合物，遇明火、高热能引起燃烧爆炸。与铬酸、过氧化钠、硝酸或其他氧化剂接触，有爆炸的危险。具有较强</w:t>
            </w:r>
            <w:r>
              <w:rPr>
                <w:rFonts w:hint="eastAsia"/>
                <w:highlight w:val="none"/>
                <w:lang w:eastAsia="zh-CN"/>
              </w:rPr>
              <w:t>的</w:t>
            </w:r>
            <w:r>
              <w:rPr>
                <w:highlight w:val="none"/>
              </w:rPr>
              <w:t>腐蚀性。</w:t>
            </w:r>
          </w:p>
        </w:tc>
      </w:tr>
      <w:tr w14:paraId="25511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4DE6016B">
            <w:pPr>
              <w:jc w:val="center"/>
              <w:rPr>
                <w:highlight w:val="none"/>
              </w:rPr>
            </w:pPr>
          </w:p>
        </w:tc>
        <w:tc>
          <w:tcPr>
            <w:tcW w:w="0" w:type="auto"/>
            <w:tcMar>
              <w:left w:w="108" w:type="dxa"/>
              <w:right w:w="108" w:type="dxa"/>
            </w:tcMar>
            <w:vAlign w:val="center"/>
          </w:tcPr>
          <w:p w14:paraId="0785D6A8">
            <w:pPr>
              <w:jc w:val="center"/>
              <w:rPr>
                <w:highlight w:val="none"/>
              </w:rPr>
            </w:pPr>
            <w:r>
              <w:rPr>
                <w:highlight w:val="none"/>
              </w:rPr>
              <w:t>建规火险分级</w:t>
            </w:r>
          </w:p>
        </w:tc>
        <w:tc>
          <w:tcPr>
            <w:tcW w:w="0" w:type="auto"/>
            <w:gridSpan w:val="2"/>
            <w:tcMar>
              <w:left w:w="108" w:type="dxa"/>
              <w:right w:w="108" w:type="dxa"/>
            </w:tcMar>
            <w:vAlign w:val="center"/>
          </w:tcPr>
          <w:p w14:paraId="648C0650">
            <w:pPr>
              <w:jc w:val="center"/>
              <w:rPr>
                <w:highlight w:val="none"/>
              </w:rPr>
            </w:pPr>
            <w:r>
              <w:rPr>
                <w:highlight w:val="none"/>
              </w:rPr>
              <w:t>乙类</w:t>
            </w:r>
          </w:p>
        </w:tc>
        <w:tc>
          <w:tcPr>
            <w:tcW w:w="0" w:type="auto"/>
            <w:tcMar>
              <w:left w:w="108" w:type="dxa"/>
              <w:right w:w="108" w:type="dxa"/>
            </w:tcMar>
            <w:vAlign w:val="center"/>
          </w:tcPr>
          <w:p w14:paraId="049BFB90">
            <w:pPr>
              <w:jc w:val="center"/>
              <w:rPr>
                <w:highlight w:val="none"/>
              </w:rPr>
            </w:pPr>
            <w:r>
              <w:rPr>
                <w:highlight w:val="none"/>
              </w:rPr>
              <w:t>稳定性</w:t>
            </w:r>
          </w:p>
        </w:tc>
        <w:tc>
          <w:tcPr>
            <w:tcW w:w="0" w:type="auto"/>
            <w:tcMar>
              <w:left w:w="108" w:type="dxa"/>
              <w:right w:w="108" w:type="dxa"/>
            </w:tcMar>
            <w:vAlign w:val="center"/>
          </w:tcPr>
          <w:p w14:paraId="3ED40378">
            <w:pPr>
              <w:jc w:val="center"/>
              <w:rPr>
                <w:highlight w:val="none"/>
              </w:rPr>
            </w:pPr>
            <w:r>
              <w:rPr>
                <w:highlight w:val="none"/>
              </w:rPr>
              <w:t>稳定</w:t>
            </w:r>
          </w:p>
        </w:tc>
        <w:tc>
          <w:tcPr>
            <w:tcW w:w="0" w:type="auto"/>
            <w:gridSpan w:val="2"/>
            <w:tcMar>
              <w:left w:w="108" w:type="dxa"/>
              <w:right w:w="108" w:type="dxa"/>
            </w:tcMar>
            <w:vAlign w:val="center"/>
          </w:tcPr>
          <w:p w14:paraId="72EB8562">
            <w:pPr>
              <w:jc w:val="center"/>
              <w:rPr>
                <w:highlight w:val="none"/>
              </w:rPr>
            </w:pPr>
            <w:r>
              <w:rPr>
                <w:highlight w:val="none"/>
              </w:rPr>
              <w:t>聚合危害</w:t>
            </w:r>
          </w:p>
        </w:tc>
        <w:tc>
          <w:tcPr>
            <w:tcW w:w="0" w:type="auto"/>
            <w:tcMar>
              <w:left w:w="108" w:type="dxa"/>
              <w:right w:w="108" w:type="dxa"/>
            </w:tcMar>
            <w:vAlign w:val="center"/>
          </w:tcPr>
          <w:p w14:paraId="17852953">
            <w:pPr>
              <w:jc w:val="center"/>
              <w:rPr>
                <w:highlight w:val="none"/>
              </w:rPr>
            </w:pPr>
            <w:r>
              <w:rPr>
                <w:highlight w:val="none"/>
              </w:rPr>
              <w:t>不聚合</w:t>
            </w:r>
          </w:p>
        </w:tc>
      </w:tr>
      <w:tr w14:paraId="133A3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3E6E42A6">
            <w:pPr>
              <w:jc w:val="center"/>
              <w:rPr>
                <w:highlight w:val="none"/>
              </w:rPr>
            </w:pPr>
          </w:p>
        </w:tc>
        <w:tc>
          <w:tcPr>
            <w:tcW w:w="0" w:type="auto"/>
            <w:tcMar>
              <w:left w:w="108" w:type="dxa"/>
              <w:right w:w="108" w:type="dxa"/>
            </w:tcMar>
            <w:vAlign w:val="center"/>
          </w:tcPr>
          <w:p w14:paraId="3349AD00">
            <w:pPr>
              <w:jc w:val="center"/>
              <w:rPr>
                <w:highlight w:val="none"/>
              </w:rPr>
            </w:pPr>
            <w:r>
              <w:rPr>
                <w:highlight w:val="none"/>
              </w:rPr>
              <w:t>禁忌物</w:t>
            </w:r>
          </w:p>
        </w:tc>
        <w:tc>
          <w:tcPr>
            <w:tcW w:w="0" w:type="auto"/>
            <w:gridSpan w:val="7"/>
            <w:tcMar>
              <w:left w:w="108" w:type="dxa"/>
              <w:right w:w="108" w:type="dxa"/>
            </w:tcMar>
            <w:vAlign w:val="center"/>
          </w:tcPr>
          <w:p w14:paraId="68710A27">
            <w:pPr>
              <w:jc w:val="center"/>
              <w:rPr>
                <w:highlight w:val="none"/>
              </w:rPr>
            </w:pPr>
            <w:r>
              <w:rPr>
                <w:highlight w:val="none"/>
              </w:rPr>
              <w:t>强碱、强氧化剂</w:t>
            </w:r>
          </w:p>
        </w:tc>
      </w:tr>
      <w:tr w14:paraId="6D9E7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6850E6D2">
            <w:pPr>
              <w:jc w:val="center"/>
              <w:rPr>
                <w:highlight w:val="none"/>
              </w:rPr>
            </w:pPr>
          </w:p>
        </w:tc>
        <w:tc>
          <w:tcPr>
            <w:tcW w:w="0" w:type="auto"/>
            <w:tcMar>
              <w:left w:w="108" w:type="dxa"/>
              <w:right w:w="108" w:type="dxa"/>
            </w:tcMar>
            <w:vAlign w:val="center"/>
          </w:tcPr>
          <w:p w14:paraId="7CF7A5B2">
            <w:pPr>
              <w:jc w:val="center"/>
              <w:rPr>
                <w:highlight w:val="none"/>
              </w:rPr>
            </w:pPr>
            <w:r>
              <w:rPr>
                <w:highlight w:val="none"/>
              </w:rPr>
              <w:t>灭火方法</w:t>
            </w:r>
          </w:p>
        </w:tc>
        <w:tc>
          <w:tcPr>
            <w:tcW w:w="0" w:type="auto"/>
            <w:gridSpan w:val="7"/>
            <w:tcMar>
              <w:left w:w="108" w:type="dxa"/>
              <w:right w:w="108" w:type="dxa"/>
            </w:tcMar>
            <w:vAlign w:val="center"/>
          </w:tcPr>
          <w:p w14:paraId="79B575C3">
            <w:pPr>
              <w:jc w:val="center"/>
              <w:rPr>
                <w:highlight w:val="none"/>
              </w:rPr>
            </w:pPr>
            <w:r>
              <w:rPr>
                <w:highlight w:val="none"/>
              </w:rPr>
              <w:t>用水喷射逸出液体，使其稀释成不燃性混合物，并用雾状水保护消防人员。灭火剂：雾状水、抗溶性泡沫、干粉、二氧化碳</w:t>
            </w:r>
            <w:r>
              <w:rPr>
                <w:rFonts w:hint="eastAsia"/>
                <w:highlight w:val="none"/>
                <w:lang w:eastAsia="zh-CN"/>
              </w:rPr>
              <w:t>等</w:t>
            </w:r>
            <w:r>
              <w:rPr>
                <w:highlight w:val="none"/>
              </w:rPr>
              <w:t>。</w:t>
            </w:r>
          </w:p>
        </w:tc>
      </w:tr>
      <w:tr w14:paraId="5A53E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6" w:hRule="atLeast"/>
          <w:jc w:val="center"/>
        </w:trPr>
        <w:tc>
          <w:tcPr>
            <w:tcW w:w="0" w:type="auto"/>
            <w:tcMar>
              <w:left w:w="108" w:type="dxa"/>
              <w:right w:w="108" w:type="dxa"/>
            </w:tcMar>
            <w:vAlign w:val="center"/>
          </w:tcPr>
          <w:p w14:paraId="13716A1E">
            <w:pPr>
              <w:jc w:val="center"/>
              <w:rPr>
                <w:highlight w:val="none"/>
              </w:rPr>
            </w:pPr>
            <w:r>
              <w:rPr>
                <w:highlight w:val="none"/>
              </w:rPr>
              <w:t>急救措施</w:t>
            </w:r>
          </w:p>
        </w:tc>
        <w:tc>
          <w:tcPr>
            <w:tcW w:w="0" w:type="auto"/>
            <w:gridSpan w:val="8"/>
            <w:tcMar>
              <w:left w:w="108" w:type="dxa"/>
              <w:right w:w="108" w:type="dxa"/>
            </w:tcMar>
            <w:vAlign w:val="center"/>
          </w:tcPr>
          <w:p w14:paraId="0670C67E">
            <w:pPr>
              <w:jc w:val="center"/>
              <w:rPr>
                <w:highlight w:val="none"/>
              </w:rPr>
            </w:pPr>
            <w:r>
              <w:rPr>
                <w:highlight w:val="none"/>
              </w:rPr>
              <w:t>皮肤接触：脱去污染的衣物，用大量流动清水或5%Na</w:t>
            </w:r>
            <w:r>
              <w:rPr>
                <w:highlight w:val="none"/>
                <w:vertAlign w:val="subscript"/>
              </w:rPr>
              <w:t>2</w:t>
            </w:r>
            <w:r>
              <w:rPr>
                <w:highlight w:val="none"/>
              </w:rPr>
              <w:t>CO</w:t>
            </w:r>
            <w:r>
              <w:rPr>
                <w:highlight w:val="none"/>
                <w:vertAlign w:val="subscript"/>
              </w:rPr>
              <w:t>3</w:t>
            </w:r>
            <w:r>
              <w:rPr>
                <w:highlight w:val="none"/>
              </w:rPr>
              <w:t>、乙酸涂抹冲洗</w:t>
            </w:r>
            <w:r>
              <w:rPr>
                <w:rFonts w:hint="eastAsia"/>
                <w:highlight w:val="none"/>
                <w:lang w:eastAsia="zh-CN"/>
              </w:rPr>
              <w:t>后</w:t>
            </w:r>
            <w:r>
              <w:rPr>
                <w:highlight w:val="none"/>
              </w:rPr>
              <w:t>再用水彻底冲洗至少15分钟。就医。眼睛接触：提起眼睑，用大量流动清水或生理盐水彻底冲洗至少15分钟。就医。吸入：迅速脱离现场至空气新鲜处，保持呼吸道通畅。</w:t>
            </w:r>
            <w:r>
              <w:rPr>
                <w:rFonts w:hint="eastAsia"/>
                <w:highlight w:val="none"/>
                <w:lang w:eastAsia="zh-CN"/>
              </w:rPr>
              <w:t>如果患者感到呼吸困难，应该给患者输氧。</w:t>
            </w:r>
            <w:r>
              <w:rPr>
                <w:highlight w:val="none"/>
              </w:rPr>
              <w:t>如呼吸停止，立即进行人工呼吸。食入：用水漱口。催吐，必要时饮用牛奶与蛋白混合液</w:t>
            </w:r>
            <w:r>
              <w:rPr>
                <w:rFonts w:hint="eastAsia"/>
                <w:highlight w:val="none"/>
                <w:lang w:eastAsia="zh-CN"/>
              </w:rPr>
              <w:t>，</w:t>
            </w:r>
            <w:r>
              <w:rPr>
                <w:highlight w:val="none"/>
              </w:rPr>
              <w:t>就医。</w:t>
            </w:r>
          </w:p>
        </w:tc>
      </w:tr>
      <w:tr w14:paraId="6A20F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Mar>
              <w:left w:w="108" w:type="dxa"/>
              <w:right w:w="108" w:type="dxa"/>
            </w:tcMar>
            <w:vAlign w:val="center"/>
          </w:tcPr>
          <w:p w14:paraId="6878B3E4">
            <w:pPr>
              <w:jc w:val="center"/>
              <w:rPr>
                <w:highlight w:val="none"/>
              </w:rPr>
            </w:pPr>
            <w:r>
              <w:rPr>
                <w:highlight w:val="none"/>
              </w:rPr>
              <w:t>泄漏处置</w:t>
            </w:r>
          </w:p>
        </w:tc>
        <w:tc>
          <w:tcPr>
            <w:tcW w:w="0" w:type="auto"/>
            <w:gridSpan w:val="8"/>
            <w:tcMar>
              <w:left w:w="108" w:type="dxa"/>
              <w:right w:w="108" w:type="dxa"/>
            </w:tcMar>
            <w:vAlign w:val="center"/>
          </w:tcPr>
          <w:p w14:paraId="22EB1C93">
            <w:pPr>
              <w:jc w:val="center"/>
              <w:rPr>
                <w:highlight w:val="none"/>
              </w:rPr>
            </w:pPr>
            <w:r>
              <w:rPr>
                <w:highlight w:val="none"/>
              </w:rPr>
              <w:t>小量泄漏：用砂土、干燥石灰或苏打灰混合中和后再用水冲洗。大量泄漏：构筑围堤或挖坑收容。喷雾状水冷却和稀释蒸汽，保护现场人员、把泄漏物稀释成不燃物。用防爆泵转移至槽车或专用收集器内，回收或运至废物处理场所处理。</w:t>
            </w:r>
          </w:p>
        </w:tc>
      </w:tr>
      <w:tr w14:paraId="4CD53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Mar>
              <w:left w:w="108" w:type="dxa"/>
              <w:right w:w="108" w:type="dxa"/>
            </w:tcMar>
            <w:vAlign w:val="center"/>
          </w:tcPr>
          <w:p w14:paraId="66395BBF">
            <w:pPr>
              <w:jc w:val="center"/>
              <w:rPr>
                <w:highlight w:val="none"/>
              </w:rPr>
            </w:pPr>
            <w:r>
              <w:rPr>
                <w:highlight w:val="none"/>
              </w:rPr>
              <w:t>储运注意事项</w:t>
            </w:r>
          </w:p>
        </w:tc>
        <w:tc>
          <w:tcPr>
            <w:tcW w:w="0" w:type="auto"/>
            <w:gridSpan w:val="8"/>
            <w:tcMar>
              <w:left w:w="108" w:type="dxa"/>
              <w:right w:w="108" w:type="dxa"/>
            </w:tcMar>
            <w:vAlign w:val="center"/>
          </w:tcPr>
          <w:p w14:paraId="20958B59">
            <w:pPr>
              <w:jc w:val="center"/>
              <w:rPr>
                <w:rFonts w:hint="eastAsia" w:eastAsia="宋体"/>
                <w:highlight w:val="none"/>
                <w:lang w:val="en-US" w:eastAsia="zh-CN"/>
              </w:rPr>
            </w:pPr>
            <w:r>
              <w:rPr>
                <w:highlight w:val="none"/>
              </w:rPr>
              <w:t>储存：储存于阴凉、通风</w:t>
            </w:r>
            <w:r>
              <w:rPr>
                <w:rFonts w:hint="eastAsia"/>
                <w:highlight w:val="none"/>
                <w:lang w:eastAsia="zh-CN"/>
              </w:rPr>
              <w:t>的</w:t>
            </w:r>
            <w:r>
              <w:rPr>
                <w:highlight w:val="none"/>
              </w:rPr>
              <w:t>库房，远离火种、热源。库温不高于室温保存至16℃以上不使冻结。应与氧化剂、碱类和可燃物分开存放，切忌混储，地面用耐酸混凝土或刷涂耐腐材料。采用防爆型照明、通风设施。禁止使用易产生火花的机械设备和工具。储存区应备有泄漏应急处理设备和合适的收容材料。运输：装运前需报有关部门批准。钢瓶戴好安全帽，钢瓶平放并用三角木垫卡牢，防止滚动，不可交叉。运输车辆应配备相应品种和数量的消防器材。运输途中防曝晒、雨淋、防高</w:t>
            </w:r>
            <w:r>
              <w:rPr>
                <w:rFonts w:hint="eastAsia"/>
                <w:highlight w:val="none"/>
                <w:lang w:val="en-US" w:eastAsia="zh-CN"/>
              </w:rPr>
              <w:t>温。</w:t>
            </w:r>
          </w:p>
        </w:tc>
      </w:tr>
    </w:tbl>
    <w:p w14:paraId="1E15B346">
      <w:pPr>
        <w:spacing w:line="360" w:lineRule="auto"/>
        <w:jc w:val="center"/>
        <w:rPr>
          <w:rFonts w:hint="eastAsia" w:ascii="Times New Roman" w:hAnsi="Times New Roman" w:eastAsia="宋体" w:cs="Times New Roman"/>
          <w:b/>
          <w:bCs/>
          <w:sz w:val="21"/>
          <w:szCs w:val="21"/>
          <w:highlight w:val="none"/>
          <w:lang w:val="en-US" w:eastAsia="zh-CN"/>
        </w:rPr>
      </w:pPr>
      <w:r>
        <w:rPr>
          <w:rFonts w:hint="eastAsia" w:ascii="Times New Roman" w:hAnsi="Times New Roman" w:eastAsia="宋体" w:cs="Times New Roman"/>
          <w:b/>
          <w:bCs/>
          <w:sz w:val="21"/>
          <w:szCs w:val="21"/>
          <w:highlight w:val="none"/>
          <w:lang w:val="en-US" w:eastAsia="zh-CN"/>
        </w:rPr>
        <w:t>表</w:t>
      </w:r>
      <w:r>
        <w:rPr>
          <w:rFonts w:hint="eastAsia" w:cs="Times New Roman"/>
          <w:b/>
          <w:bCs/>
          <w:sz w:val="21"/>
          <w:szCs w:val="21"/>
          <w:highlight w:val="none"/>
          <w:lang w:val="en-US" w:eastAsia="zh-CN"/>
        </w:rPr>
        <w:t>3.2</w:t>
      </w:r>
      <w:r>
        <w:rPr>
          <w:rFonts w:hint="eastAsia" w:ascii="Times New Roman" w:hAnsi="Times New Roman" w:eastAsia="宋体" w:cs="Times New Roman"/>
          <w:b/>
          <w:bCs/>
          <w:sz w:val="21"/>
          <w:szCs w:val="21"/>
          <w:highlight w:val="none"/>
          <w:lang w:val="en-US" w:eastAsia="zh-CN"/>
        </w:rPr>
        <w:t>-9   正丙醇（1-丙醇）的理化性质及危险特性</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69"/>
        <w:gridCol w:w="1129"/>
        <w:gridCol w:w="1454"/>
        <w:gridCol w:w="3014"/>
        <w:gridCol w:w="2554"/>
      </w:tblGrid>
      <w:tr w14:paraId="388BE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tcMar>
              <w:left w:w="108" w:type="dxa"/>
              <w:right w:w="108" w:type="dxa"/>
            </w:tcMar>
            <w:vAlign w:val="center"/>
          </w:tcPr>
          <w:p w14:paraId="13D1EF27">
            <w:pPr>
              <w:jc w:val="center"/>
              <w:rPr>
                <w:highlight w:val="none"/>
              </w:rPr>
            </w:pPr>
            <w:r>
              <w:rPr>
                <w:highlight w:val="none"/>
              </w:rPr>
              <w:t>标识</w:t>
            </w:r>
          </w:p>
        </w:tc>
        <w:tc>
          <w:tcPr>
            <w:tcW w:w="0" w:type="auto"/>
            <w:gridSpan w:val="3"/>
            <w:tcMar>
              <w:left w:w="108" w:type="dxa"/>
              <w:right w:w="108" w:type="dxa"/>
            </w:tcMar>
            <w:vAlign w:val="center"/>
          </w:tcPr>
          <w:p w14:paraId="561F3B1B">
            <w:pPr>
              <w:jc w:val="center"/>
              <w:rPr>
                <w:highlight w:val="none"/>
              </w:rPr>
            </w:pPr>
            <w:r>
              <w:rPr>
                <w:highlight w:val="none"/>
              </w:rPr>
              <w:t>别名：1-丙醇</w:t>
            </w:r>
          </w:p>
        </w:tc>
        <w:tc>
          <w:tcPr>
            <w:tcW w:w="0" w:type="auto"/>
            <w:tcMar>
              <w:left w:w="108" w:type="dxa"/>
              <w:right w:w="108" w:type="dxa"/>
            </w:tcMar>
            <w:vAlign w:val="center"/>
          </w:tcPr>
          <w:p w14:paraId="79EC7C3A">
            <w:pPr>
              <w:jc w:val="center"/>
              <w:rPr>
                <w:highlight w:val="none"/>
              </w:rPr>
            </w:pPr>
            <w:r>
              <w:rPr>
                <w:highlight w:val="none"/>
              </w:rPr>
              <w:t>UN编号：1274</w:t>
            </w:r>
          </w:p>
        </w:tc>
      </w:tr>
      <w:tr w14:paraId="5EA07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02637C5D">
            <w:pPr>
              <w:jc w:val="center"/>
              <w:rPr>
                <w:highlight w:val="none"/>
              </w:rPr>
            </w:pPr>
          </w:p>
        </w:tc>
        <w:tc>
          <w:tcPr>
            <w:tcW w:w="0" w:type="auto"/>
            <w:gridSpan w:val="2"/>
            <w:tcMar>
              <w:left w:w="108" w:type="dxa"/>
              <w:right w:w="108" w:type="dxa"/>
            </w:tcMar>
            <w:vAlign w:val="center"/>
          </w:tcPr>
          <w:p w14:paraId="50A30FB1">
            <w:pPr>
              <w:jc w:val="center"/>
              <w:rPr>
                <w:highlight w:val="none"/>
              </w:rPr>
            </w:pPr>
            <w:r>
              <w:rPr>
                <w:highlight w:val="none"/>
              </w:rPr>
              <w:t>英文名：1-propyl alcohol</w:t>
            </w:r>
          </w:p>
        </w:tc>
        <w:tc>
          <w:tcPr>
            <w:tcW w:w="0" w:type="auto"/>
            <w:gridSpan w:val="2"/>
            <w:tcMar>
              <w:left w:w="108" w:type="dxa"/>
              <w:right w:w="108" w:type="dxa"/>
            </w:tcMar>
            <w:vAlign w:val="center"/>
          </w:tcPr>
          <w:p w14:paraId="5C6AC644">
            <w:pPr>
              <w:jc w:val="center"/>
              <w:rPr>
                <w:highlight w:val="none"/>
              </w:rPr>
            </w:pPr>
            <w:r>
              <w:rPr>
                <w:highlight w:val="none"/>
              </w:rPr>
              <w:t>危险化学品编号：32064</w:t>
            </w:r>
          </w:p>
        </w:tc>
      </w:tr>
      <w:tr w14:paraId="231C4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35D26E43">
            <w:pPr>
              <w:jc w:val="center"/>
              <w:rPr>
                <w:highlight w:val="none"/>
              </w:rPr>
            </w:pPr>
          </w:p>
        </w:tc>
        <w:tc>
          <w:tcPr>
            <w:tcW w:w="0" w:type="auto"/>
            <w:gridSpan w:val="2"/>
            <w:tcMar>
              <w:left w:w="108" w:type="dxa"/>
              <w:right w:w="108" w:type="dxa"/>
            </w:tcMar>
            <w:vAlign w:val="center"/>
          </w:tcPr>
          <w:p w14:paraId="40F7B942">
            <w:pPr>
              <w:jc w:val="center"/>
              <w:rPr>
                <w:highlight w:val="none"/>
              </w:rPr>
            </w:pPr>
            <w:r>
              <w:rPr>
                <w:highlight w:val="none"/>
              </w:rPr>
              <w:t>分子式：C</w:t>
            </w:r>
            <w:r>
              <w:rPr>
                <w:highlight w:val="none"/>
                <w:vertAlign w:val="subscript"/>
              </w:rPr>
              <w:t>3</w:t>
            </w:r>
            <w:r>
              <w:rPr>
                <w:highlight w:val="none"/>
              </w:rPr>
              <w:t>H</w:t>
            </w:r>
            <w:r>
              <w:rPr>
                <w:highlight w:val="none"/>
                <w:vertAlign w:val="subscript"/>
              </w:rPr>
              <w:t>8</w:t>
            </w:r>
            <w:r>
              <w:rPr>
                <w:highlight w:val="none"/>
              </w:rPr>
              <w:t>O</w:t>
            </w:r>
          </w:p>
        </w:tc>
        <w:tc>
          <w:tcPr>
            <w:tcW w:w="0" w:type="auto"/>
            <w:tcMar>
              <w:left w:w="108" w:type="dxa"/>
              <w:right w:w="108" w:type="dxa"/>
            </w:tcMar>
            <w:vAlign w:val="center"/>
          </w:tcPr>
          <w:p w14:paraId="4CF29E2E">
            <w:pPr>
              <w:jc w:val="center"/>
              <w:rPr>
                <w:highlight w:val="none"/>
              </w:rPr>
            </w:pPr>
            <w:r>
              <w:rPr>
                <w:highlight w:val="none"/>
              </w:rPr>
              <w:t>分子量：60.10</w:t>
            </w:r>
          </w:p>
        </w:tc>
        <w:tc>
          <w:tcPr>
            <w:tcW w:w="0" w:type="auto"/>
            <w:tcMar>
              <w:left w:w="108" w:type="dxa"/>
              <w:right w:w="108" w:type="dxa"/>
            </w:tcMar>
            <w:vAlign w:val="center"/>
          </w:tcPr>
          <w:p w14:paraId="3F639C03">
            <w:pPr>
              <w:jc w:val="center"/>
              <w:rPr>
                <w:highlight w:val="none"/>
              </w:rPr>
            </w:pPr>
            <w:r>
              <w:rPr>
                <w:highlight w:val="none"/>
              </w:rPr>
              <w:t>CAS号：71-23-8</w:t>
            </w:r>
          </w:p>
        </w:tc>
      </w:tr>
      <w:tr w14:paraId="3E976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tcMar>
              <w:left w:w="108" w:type="dxa"/>
              <w:right w:w="108" w:type="dxa"/>
            </w:tcMar>
            <w:vAlign w:val="center"/>
          </w:tcPr>
          <w:p w14:paraId="6A56A439">
            <w:pPr>
              <w:jc w:val="center"/>
              <w:rPr>
                <w:highlight w:val="none"/>
              </w:rPr>
            </w:pPr>
            <w:r>
              <w:rPr>
                <w:highlight w:val="none"/>
              </w:rPr>
              <w:t>理化性质</w:t>
            </w:r>
          </w:p>
        </w:tc>
        <w:tc>
          <w:tcPr>
            <w:tcW w:w="0" w:type="auto"/>
            <w:tcMar>
              <w:left w:w="108" w:type="dxa"/>
              <w:right w:w="108" w:type="dxa"/>
            </w:tcMar>
            <w:vAlign w:val="center"/>
          </w:tcPr>
          <w:p w14:paraId="652413B5">
            <w:pPr>
              <w:jc w:val="center"/>
              <w:rPr>
                <w:highlight w:val="none"/>
              </w:rPr>
            </w:pPr>
            <w:r>
              <w:rPr>
                <w:highlight w:val="none"/>
              </w:rPr>
              <w:t>外观与性状</w:t>
            </w:r>
          </w:p>
        </w:tc>
        <w:tc>
          <w:tcPr>
            <w:tcW w:w="0" w:type="auto"/>
            <w:gridSpan w:val="3"/>
            <w:tcMar>
              <w:left w:w="108" w:type="dxa"/>
              <w:right w:w="108" w:type="dxa"/>
            </w:tcMar>
            <w:vAlign w:val="center"/>
          </w:tcPr>
          <w:p w14:paraId="077E6787">
            <w:pPr>
              <w:jc w:val="center"/>
              <w:rPr>
                <w:highlight w:val="none"/>
              </w:rPr>
            </w:pPr>
            <w:r>
              <w:rPr>
                <w:highlight w:val="none"/>
              </w:rPr>
              <w:t>无色液体。</w:t>
            </w:r>
          </w:p>
        </w:tc>
      </w:tr>
      <w:tr w14:paraId="76153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7D08BC7F">
            <w:pPr>
              <w:jc w:val="center"/>
              <w:rPr>
                <w:highlight w:val="none"/>
              </w:rPr>
            </w:pPr>
          </w:p>
        </w:tc>
        <w:tc>
          <w:tcPr>
            <w:tcW w:w="0" w:type="auto"/>
            <w:tcMar>
              <w:left w:w="108" w:type="dxa"/>
              <w:right w:w="108" w:type="dxa"/>
            </w:tcMar>
            <w:vAlign w:val="center"/>
          </w:tcPr>
          <w:p w14:paraId="3231D54B">
            <w:pPr>
              <w:jc w:val="center"/>
              <w:rPr>
                <w:highlight w:val="none"/>
              </w:rPr>
            </w:pPr>
            <w:r>
              <w:rPr>
                <w:highlight w:val="none"/>
              </w:rPr>
              <w:t>熔点（℃）</w:t>
            </w:r>
          </w:p>
        </w:tc>
        <w:tc>
          <w:tcPr>
            <w:tcW w:w="0" w:type="auto"/>
            <w:tcMar>
              <w:left w:w="108" w:type="dxa"/>
              <w:right w:w="108" w:type="dxa"/>
            </w:tcMar>
            <w:vAlign w:val="center"/>
          </w:tcPr>
          <w:p w14:paraId="10D29D83">
            <w:pPr>
              <w:jc w:val="center"/>
              <w:rPr>
                <w:highlight w:val="none"/>
              </w:rPr>
            </w:pPr>
            <w:r>
              <w:rPr>
                <w:highlight w:val="none"/>
              </w:rPr>
              <w:t>-127</w:t>
            </w:r>
          </w:p>
        </w:tc>
        <w:tc>
          <w:tcPr>
            <w:tcW w:w="0" w:type="auto"/>
            <w:tcMar>
              <w:left w:w="108" w:type="dxa"/>
              <w:right w:w="108" w:type="dxa"/>
            </w:tcMar>
            <w:vAlign w:val="center"/>
          </w:tcPr>
          <w:p w14:paraId="4FA86E7D">
            <w:pPr>
              <w:jc w:val="center"/>
              <w:rPr>
                <w:rFonts w:hint="eastAsia" w:eastAsia="宋体"/>
                <w:highlight w:val="none"/>
                <w:lang w:eastAsia="zh-CN"/>
              </w:rPr>
            </w:pPr>
            <w:r>
              <w:rPr>
                <w:highlight w:val="none"/>
              </w:rPr>
              <w:t>相对密度</w:t>
            </w:r>
            <w:r>
              <w:rPr>
                <w:rFonts w:hint="eastAsia"/>
                <w:highlight w:val="none"/>
                <w:lang w:eastAsia="zh-CN"/>
              </w:rPr>
              <w:t>（</w:t>
            </w:r>
            <w:r>
              <w:rPr>
                <w:highlight w:val="none"/>
              </w:rPr>
              <w:t>水=1</w:t>
            </w:r>
            <w:r>
              <w:rPr>
                <w:rFonts w:hint="eastAsia"/>
                <w:highlight w:val="none"/>
                <w:lang w:eastAsia="zh-CN"/>
              </w:rPr>
              <w:t>）</w:t>
            </w:r>
          </w:p>
        </w:tc>
        <w:tc>
          <w:tcPr>
            <w:tcW w:w="0" w:type="auto"/>
            <w:tcMar>
              <w:left w:w="108" w:type="dxa"/>
              <w:right w:w="108" w:type="dxa"/>
            </w:tcMar>
            <w:vAlign w:val="center"/>
          </w:tcPr>
          <w:p w14:paraId="1B47A64B">
            <w:pPr>
              <w:jc w:val="center"/>
              <w:rPr>
                <w:highlight w:val="none"/>
              </w:rPr>
            </w:pPr>
            <w:r>
              <w:rPr>
                <w:highlight w:val="none"/>
              </w:rPr>
              <w:t>0.80</w:t>
            </w:r>
          </w:p>
        </w:tc>
      </w:tr>
      <w:tr w14:paraId="0B967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0B47FB66">
            <w:pPr>
              <w:jc w:val="center"/>
              <w:rPr>
                <w:highlight w:val="none"/>
              </w:rPr>
            </w:pPr>
          </w:p>
        </w:tc>
        <w:tc>
          <w:tcPr>
            <w:tcW w:w="0" w:type="auto"/>
            <w:tcMar>
              <w:left w:w="108" w:type="dxa"/>
              <w:right w:w="108" w:type="dxa"/>
            </w:tcMar>
            <w:vAlign w:val="center"/>
          </w:tcPr>
          <w:p w14:paraId="395FAA64">
            <w:pPr>
              <w:jc w:val="center"/>
              <w:rPr>
                <w:highlight w:val="none"/>
              </w:rPr>
            </w:pPr>
            <w:r>
              <w:rPr>
                <w:highlight w:val="none"/>
              </w:rPr>
              <w:t>沸点（℃）</w:t>
            </w:r>
          </w:p>
        </w:tc>
        <w:tc>
          <w:tcPr>
            <w:tcW w:w="0" w:type="auto"/>
            <w:tcMar>
              <w:left w:w="108" w:type="dxa"/>
              <w:right w:w="108" w:type="dxa"/>
            </w:tcMar>
            <w:vAlign w:val="center"/>
          </w:tcPr>
          <w:p w14:paraId="2427C941">
            <w:pPr>
              <w:jc w:val="center"/>
              <w:rPr>
                <w:highlight w:val="none"/>
              </w:rPr>
            </w:pPr>
            <w:r>
              <w:rPr>
                <w:highlight w:val="none"/>
              </w:rPr>
              <w:t>97.1</w:t>
            </w:r>
          </w:p>
        </w:tc>
        <w:tc>
          <w:tcPr>
            <w:tcW w:w="0" w:type="auto"/>
            <w:tcMar>
              <w:left w:w="108" w:type="dxa"/>
              <w:right w:w="108" w:type="dxa"/>
            </w:tcMar>
            <w:vAlign w:val="center"/>
          </w:tcPr>
          <w:p w14:paraId="1516C903">
            <w:pPr>
              <w:jc w:val="center"/>
              <w:rPr>
                <w:highlight w:val="none"/>
              </w:rPr>
            </w:pPr>
            <w:r>
              <w:rPr>
                <w:highlight w:val="none"/>
              </w:rPr>
              <w:t>相对蒸汽密度（空气=1）</w:t>
            </w:r>
          </w:p>
        </w:tc>
        <w:tc>
          <w:tcPr>
            <w:tcW w:w="0" w:type="auto"/>
            <w:tcMar>
              <w:left w:w="108" w:type="dxa"/>
              <w:right w:w="108" w:type="dxa"/>
            </w:tcMar>
            <w:vAlign w:val="center"/>
          </w:tcPr>
          <w:p w14:paraId="4AE7B79D">
            <w:pPr>
              <w:jc w:val="center"/>
              <w:rPr>
                <w:highlight w:val="none"/>
              </w:rPr>
            </w:pPr>
            <w:r>
              <w:rPr>
                <w:highlight w:val="none"/>
              </w:rPr>
              <w:t>2.07</w:t>
            </w:r>
          </w:p>
        </w:tc>
      </w:tr>
      <w:tr w14:paraId="63F84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4FD62610">
            <w:pPr>
              <w:jc w:val="center"/>
              <w:rPr>
                <w:highlight w:val="none"/>
              </w:rPr>
            </w:pPr>
          </w:p>
        </w:tc>
        <w:tc>
          <w:tcPr>
            <w:tcW w:w="0" w:type="auto"/>
            <w:tcMar>
              <w:left w:w="108" w:type="dxa"/>
              <w:right w:w="108" w:type="dxa"/>
            </w:tcMar>
            <w:vAlign w:val="center"/>
          </w:tcPr>
          <w:p w14:paraId="5240516F">
            <w:pPr>
              <w:jc w:val="center"/>
              <w:rPr>
                <w:highlight w:val="none"/>
              </w:rPr>
            </w:pPr>
            <w:r>
              <w:rPr>
                <w:highlight w:val="none"/>
              </w:rPr>
              <w:t>闪点（℃）</w:t>
            </w:r>
          </w:p>
        </w:tc>
        <w:tc>
          <w:tcPr>
            <w:tcW w:w="0" w:type="auto"/>
            <w:tcMar>
              <w:left w:w="108" w:type="dxa"/>
              <w:right w:w="108" w:type="dxa"/>
            </w:tcMar>
            <w:vAlign w:val="center"/>
          </w:tcPr>
          <w:p w14:paraId="6E6A4C02">
            <w:pPr>
              <w:jc w:val="center"/>
              <w:rPr>
                <w:highlight w:val="none"/>
              </w:rPr>
            </w:pPr>
            <w:r>
              <w:rPr>
                <w:highlight w:val="none"/>
              </w:rPr>
              <w:t>15</w:t>
            </w:r>
          </w:p>
        </w:tc>
        <w:tc>
          <w:tcPr>
            <w:tcW w:w="0" w:type="auto"/>
            <w:tcMar>
              <w:left w:w="108" w:type="dxa"/>
              <w:right w:w="108" w:type="dxa"/>
            </w:tcMar>
            <w:vAlign w:val="center"/>
          </w:tcPr>
          <w:p w14:paraId="7CABDECC">
            <w:pPr>
              <w:jc w:val="center"/>
              <w:rPr>
                <w:highlight w:val="none"/>
              </w:rPr>
            </w:pPr>
            <w:r>
              <w:rPr>
                <w:highlight w:val="none"/>
              </w:rPr>
              <w:t>饱和蒸汽压（kPa）</w:t>
            </w:r>
          </w:p>
        </w:tc>
        <w:tc>
          <w:tcPr>
            <w:tcW w:w="0" w:type="auto"/>
            <w:tcMar>
              <w:left w:w="108" w:type="dxa"/>
              <w:right w:w="108" w:type="dxa"/>
            </w:tcMar>
            <w:vAlign w:val="center"/>
          </w:tcPr>
          <w:p w14:paraId="65B2BA9E">
            <w:pPr>
              <w:jc w:val="center"/>
              <w:rPr>
                <w:rFonts w:hint="eastAsia" w:eastAsia="宋体"/>
                <w:highlight w:val="none"/>
                <w:lang w:eastAsia="zh-CN"/>
              </w:rPr>
            </w:pPr>
            <w:r>
              <w:rPr>
                <w:highlight w:val="none"/>
              </w:rPr>
              <w:t>1.33</w:t>
            </w:r>
            <w:r>
              <w:rPr>
                <w:rFonts w:hint="eastAsia"/>
                <w:highlight w:val="none"/>
                <w:lang w:eastAsia="zh-CN"/>
              </w:rPr>
              <w:t>（</w:t>
            </w:r>
            <w:r>
              <w:rPr>
                <w:highlight w:val="none"/>
              </w:rPr>
              <w:t>14.7℃</w:t>
            </w:r>
            <w:r>
              <w:rPr>
                <w:rFonts w:hint="eastAsia"/>
                <w:highlight w:val="none"/>
                <w:lang w:eastAsia="zh-CN"/>
              </w:rPr>
              <w:t>）</w:t>
            </w:r>
          </w:p>
        </w:tc>
      </w:tr>
      <w:tr w14:paraId="75EE6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304EEFFD">
            <w:pPr>
              <w:jc w:val="center"/>
              <w:rPr>
                <w:highlight w:val="none"/>
              </w:rPr>
            </w:pPr>
          </w:p>
        </w:tc>
        <w:tc>
          <w:tcPr>
            <w:tcW w:w="0" w:type="auto"/>
            <w:tcMar>
              <w:left w:w="108" w:type="dxa"/>
              <w:right w:w="108" w:type="dxa"/>
            </w:tcMar>
            <w:vAlign w:val="center"/>
          </w:tcPr>
          <w:p w14:paraId="5DCE06C2">
            <w:pPr>
              <w:jc w:val="center"/>
              <w:rPr>
                <w:rFonts w:hint="eastAsia" w:eastAsia="宋体"/>
                <w:highlight w:val="none"/>
                <w:lang w:eastAsia="zh-CN"/>
              </w:rPr>
            </w:pPr>
            <w:r>
              <w:rPr>
                <w:highlight w:val="none"/>
              </w:rPr>
              <w:t>引燃温度</w:t>
            </w:r>
            <w:r>
              <w:rPr>
                <w:rFonts w:hint="eastAsia"/>
                <w:highlight w:val="none"/>
                <w:lang w:eastAsia="zh-CN"/>
              </w:rPr>
              <w:t>（</w:t>
            </w:r>
            <w:r>
              <w:rPr>
                <w:highlight w:val="none"/>
              </w:rPr>
              <w:t>℃</w:t>
            </w:r>
            <w:r>
              <w:rPr>
                <w:rFonts w:hint="eastAsia"/>
                <w:highlight w:val="none"/>
                <w:lang w:eastAsia="zh-CN"/>
              </w:rPr>
              <w:t>）</w:t>
            </w:r>
          </w:p>
        </w:tc>
        <w:tc>
          <w:tcPr>
            <w:tcW w:w="0" w:type="auto"/>
            <w:tcMar>
              <w:left w:w="108" w:type="dxa"/>
              <w:right w:w="108" w:type="dxa"/>
            </w:tcMar>
            <w:vAlign w:val="center"/>
          </w:tcPr>
          <w:p w14:paraId="43E3D3B0">
            <w:pPr>
              <w:jc w:val="center"/>
              <w:rPr>
                <w:highlight w:val="none"/>
              </w:rPr>
            </w:pPr>
            <w:r>
              <w:rPr>
                <w:highlight w:val="none"/>
              </w:rPr>
              <w:t>392</w:t>
            </w:r>
          </w:p>
        </w:tc>
        <w:tc>
          <w:tcPr>
            <w:tcW w:w="0" w:type="auto"/>
            <w:tcMar>
              <w:left w:w="108" w:type="dxa"/>
              <w:right w:w="108" w:type="dxa"/>
            </w:tcMar>
            <w:vAlign w:val="center"/>
          </w:tcPr>
          <w:p w14:paraId="014A8700">
            <w:pPr>
              <w:jc w:val="center"/>
              <w:rPr>
                <w:rFonts w:hint="eastAsia" w:eastAsia="宋体"/>
                <w:highlight w:val="none"/>
                <w:lang w:eastAsia="zh-CN"/>
              </w:rPr>
            </w:pPr>
            <w:r>
              <w:rPr>
                <w:highlight w:val="none"/>
              </w:rPr>
              <w:t>爆炸上限/下限%</w:t>
            </w:r>
            <w:r>
              <w:rPr>
                <w:rFonts w:hint="eastAsia"/>
                <w:highlight w:val="none"/>
                <w:lang w:eastAsia="zh-CN"/>
              </w:rPr>
              <w:t>（</w:t>
            </w:r>
            <w:r>
              <w:rPr>
                <w:highlight w:val="none"/>
              </w:rPr>
              <w:t>V/V</w:t>
            </w:r>
            <w:r>
              <w:rPr>
                <w:rFonts w:hint="eastAsia"/>
                <w:highlight w:val="none"/>
                <w:lang w:eastAsia="zh-CN"/>
              </w:rPr>
              <w:t>）</w:t>
            </w:r>
          </w:p>
        </w:tc>
        <w:tc>
          <w:tcPr>
            <w:tcW w:w="0" w:type="auto"/>
            <w:tcMar>
              <w:left w:w="108" w:type="dxa"/>
              <w:right w:w="108" w:type="dxa"/>
            </w:tcMar>
            <w:vAlign w:val="center"/>
          </w:tcPr>
          <w:p w14:paraId="25214D33">
            <w:pPr>
              <w:jc w:val="center"/>
              <w:rPr>
                <w:highlight w:val="none"/>
              </w:rPr>
            </w:pPr>
            <w:r>
              <w:rPr>
                <w:highlight w:val="none"/>
              </w:rPr>
              <w:t>13.72.0</w:t>
            </w:r>
          </w:p>
        </w:tc>
      </w:tr>
      <w:tr w14:paraId="1333B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760A8C22">
            <w:pPr>
              <w:jc w:val="center"/>
              <w:rPr>
                <w:highlight w:val="none"/>
              </w:rPr>
            </w:pPr>
          </w:p>
        </w:tc>
        <w:tc>
          <w:tcPr>
            <w:tcW w:w="0" w:type="auto"/>
            <w:tcMar>
              <w:left w:w="108" w:type="dxa"/>
              <w:right w:w="108" w:type="dxa"/>
            </w:tcMar>
            <w:vAlign w:val="center"/>
          </w:tcPr>
          <w:p w14:paraId="00821DB2">
            <w:pPr>
              <w:jc w:val="center"/>
              <w:rPr>
                <w:rFonts w:hint="eastAsia" w:eastAsia="宋体"/>
                <w:highlight w:val="none"/>
                <w:lang w:eastAsia="zh-CN"/>
              </w:rPr>
            </w:pPr>
            <w:r>
              <w:rPr>
                <w:highlight w:val="none"/>
              </w:rPr>
              <w:t>临界压力</w:t>
            </w:r>
            <w:r>
              <w:rPr>
                <w:rFonts w:hint="eastAsia"/>
                <w:highlight w:val="none"/>
                <w:lang w:eastAsia="zh-CN"/>
              </w:rPr>
              <w:t>（</w:t>
            </w:r>
            <w:r>
              <w:rPr>
                <w:highlight w:val="none"/>
              </w:rPr>
              <w:t>MPa</w:t>
            </w:r>
            <w:r>
              <w:rPr>
                <w:rFonts w:hint="eastAsia"/>
                <w:highlight w:val="none"/>
                <w:lang w:eastAsia="zh-CN"/>
              </w:rPr>
              <w:t>）</w:t>
            </w:r>
          </w:p>
        </w:tc>
        <w:tc>
          <w:tcPr>
            <w:tcW w:w="0" w:type="auto"/>
            <w:tcMar>
              <w:left w:w="108" w:type="dxa"/>
              <w:right w:w="108" w:type="dxa"/>
            </w:tcMar>
            <w:vAlign w:val="center"/>
          </w:tcPr>
          <w:p w14:paraId="1DFA56E2">
            <w:pPr>
              <w:jc w:val="center"/>
              <w:rPr>
                <w:highlight w:val="none"/>
              </w:rPr>
            </w:pPr>
            <w:r>
              <w:rPr>
                <w:highlight w:val="none"/>
              </w:rPr>
              <w:t>5.17</w:t>
            </w:r>
          </w:p>
        </w:tc>
        <w:tc>
          <w:tcPr>
            <w:tcW w:w="0" w:type="auto"/>
            <w:tcMar>
              <w:left w:w="108" w:type="dxa"/>
              <w:right w:w="108" w:type="dxa"/>
            </w:tcMar>
            <w:vAlign w:val="center"/>
          </w:tcPr>
          <w:p w14:paraId="49B5BB03">
            <w:pPr>
              <w:jc w:val="center"/>
              <w:rPr>
                <w:rFonts w:hint="eastAsia" w:eastAsia="宋体"/>
                <w:highlight w:val="none"/>
                <w:lang w:eastAsia="zh-CN"/>
              </w:rPr>
            </w:pPr>
            <w:r>
              <w:rPr>
                <w:highlight w:val="none"/>
              </w:rPr>
              <w:t>临界温度</w:t>
            </w:r>
            <w:r>
              <w:rPr>
                <w:rFonts w:hint="eastAsia"/>
                <w:highlight w:val="none"/>
                <w:lang w:eastAsia="zh-CN"/>
              </w:rPr>
              <w:t>（</w:t>
            </w:r>
            <w:r>
              <w:rPr>
                <w:highlight w:val="none"/>
              </w:rPr>
              <w:t>℃</w:t>
            </w:r>
            <w:r>
              <w:rPr>
                <w:rFonts w:hint="eastAsia"/>
                <w:highlight w:val="none"/>
                <w:lang w:eastAsia="zh-CN"/>
              </w:rPr>
              <w:t>）</w:t>
            </w:r>
          </w:p>
        </w:tc>
        <w:tc>
          <w:tcPr>
            <w:tcW w:w="0" w:type="auto"/>
            <w:tcMar>
              <w:left w:w="108" w:type="dxa"/>
              <w:right w:w="108" w:type="dxa"/>
            </w:tcMar>
            <w:vAlign w:val="center"/>
          </w:tcPr>
          <w:p w14:paraId="2C1F2D7A">
            <w:pPr>
              <w:jc w:val="center"/>
              <w:rPr>
                <w:highlight w:val="none"/>
              </w:rPr>
            </w:pPr>
            <w:r>
              <w:rPr>
                <w:highlight w:val="none"/>
              </w:rPr>
              <w:t>263.6</w:t>
            </w:r>
          </w:p>
        </w:tc>
      </w:tr>
      <w:tr w14:paraId="4BBFE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5EC0C614">
            <w:pPr>
              <w:rPr>
                <w:highlight w:val="none"/>
              </w:rPr>
            </w:pPr>
          </w:p>
        </w:tc>
        <w:tc>
          <w:tcPr>
            <w:tcW w:w="0" w:type="auto"/>
            <w:tcMar>
              <w:left w:w="108" w:type="dxa"/>
              <w:right w:w="108" w:type="dxa"/>
            </w:tcMar>
            <w:vAlign w:val="center"/>
          </w:tcPr>
          <w:p w14:paraId="5FABC652">
            <w:pPr>
              <w:jc w:val="center"/>
              <w:rPr>
                <w:highlight w:val="none"/>
              </w:rPr>
            </w:pPr>
            <w:r>
              <w:rPr>
                <w:highlight w:val="none"/>
              </w:rPr>
              <w:t>主要用途</w:t>
            </w:r>
          </w:p>
        </w:tc>
        <w:tc>
          <w:tcPr>
            <w:tcW w:w="0" w:type="auto"/>
            <w:gridSpan w:val="3"/>
            <w:tcMar>
              <w:left w:w="108" w:type="dxa"/>
              <w:right w:w="108" w:type="dxa"/>
            </w:tcMar>
            <w:vAlign w:val="center"/>
          </w:tcPr>
          <w:p w14:paraId="3B1CC3C7">
            <w:pPr>
              <w:jc w:val="center"/>
              <w:rPr>
                <w:highlight w:val="none"/>
              </w:rPr>
            </w:pPr>
            <w:r>
              <w:rPr>
                <w:highlight w:val="none"/>
              </w:rPr>
              <w:t>用作溶剂用于制药、油漆和化妆品等。</w:t>
            </w:r>
          </w:p>
        </w:tc>
      </w:tr>
      <w:tr w14:paraId="20D1B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tcMar>
              <w:left w:w="108" w:type="dxa"/>
              <w:right w:w="108" w:type="dxa"/>
            </w:tcMar>
            <w:vAlign w:val="center"/>
          </w:tcPr>
          <w:p w14:paraId="1576A777">
            <w:pPr>
              <w:jc w:val="center"/>
              <w:rPr>
                <w:highlight w:val="none"/>
              </w:rPr>
            </w:pPr>
            <w:r>
              <w:rPr>
                <w:highlight w:val="none"/>
              </w:rPr>
              <w:t>毒性及健康危害</w:t>
            </w:r>
          </w:p>
        </w:tc>
        <w:tc>
          <w:tcPr>
            <w:tcW w:w="0" w:type="auto"/>
            <w:tcMar>
              <w:left w:w="108" w:type="dxa"/>
              <w:right w:w="108" w:type="dxa"/>
            </w:tcMar>
            <w:vAlign w:val="center"/>
          </w:tcPr>
          <w:p w14:paraId="00606D0A">
            <w:pPr>
              <w:jc w:val="center"/>
              <w:rPr>
                <w:highlight w:val="none"/>
              </w:rPr>
            </w:pPr>
            <w:r>
              <w:rPr>
                <w:highlight w:val="none"/>
              </w:rPr>
              <w:t>溶解性</w:t>
            </w:r>
          </w:p>
        </w:tc>
        <w:tc>
          <w:tcPr>
            <w:tcW w:w="0" w:type="auto"/>
            <w:gridSpan w:val="3"/>
            <w:tcMar>
              <w:left w:w="108" w:type="dxa"/>
              <w:right w:w="108" w:type="dxa"/>
            </w:tcMar>
            <w:vAlign w:val="center"/>
          </w:tcPr>
          <w:p w14:paraId="362883F9">
            <w:pPr>
              <w:jc w:val="center"/>
              <w:rPr>
                <w:highlight w:val="none"/>
              </w:rPr>
            </w:pPr>
            <w:r>
              <w:rPr>
                <w:highlight w:val="none"/>
              </w:rPr>
              <w:t>与水混溶，可混溶于醇、醚等多数有机溶剂。</w:t>
            </w:r>
          </w:p>
        </w:tc>
      </w:tr>
      <w:tr w14:paraId="0D69D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09328FB5">
            <w:pPr>
              <w:jc w:val="center"/>
              <w:rPr>
                <w:highlight w:val="none"/>
              </w:rPr>
            </w:pPr>
          </w:p>
        </w:tc>
        <w:tc>
          <w:tcPr>
            <w:tcW w:w="0" w:type="auto"/>
            <w:vMerge w:val="restart"/>
            <w:tcMar>
              <w:left w:w="108" w:type="dxa"/>
              <w:right w:w="108" w:type="dxa"/>
            </w:tcMar>
            <w:vAlign w:val="center"/>
          </w:tcPr>
          <w:p w14:paraId="63DB7960">
            <w:pPr>
              <w:jc w:val="center"/>
              <w:rPr>
                <w:highlight w:val="none"/>
              </w:rPr>
            </w:pPr>
            <w:r>
              <w:rPr>
                <w:highlight w:val="none"/>
              </w:rPr>
              <w:t>毒性</w:t>
            </w:r>
          </w:p>
        </w:tc>
        <w:tc>
          <w:tcPr>
            <w:tcW w:w="0" w:type="auto"/>
            <w:gridSpan w:val="3"/>
            <w:tcMar>
              <w:left w:w="108" w:type="dxa"/>
              <w:right w:w="108" w:type="dxa"/>
            </w:tcMar>
            <w:vAlign w:val="center"/>
          </w:tcPr>
          <w:p w14:paraId="1CEAFC7B">
            <w:pPr>
              <w:jc w:val="center"/>
              <w:rPr>
                <w:rFonts w:hint="eastAsia" w:eastAsia="宋体"/>
                <w:highlight w:val="none"/>
                <w:lang w:eastAsia="zh-CN"/>
              </w:rPr>
            </w:pPr>
            <w:r>
              <w:rPr>
                <w:highlight w:val="none"/>
              </w:rPr>
              <w:t>LD50：1870 mg/kg</w:t>
            </w:r>
            <w:r>
              <w:rPr>
                <w:rFonts w:hint="eastAsia"/>
                <w:highlight w:val="none"/>
                <w:lang w:eastAsia="zh-CN"/>
              </w:rPr>
              <w:t>（</w:t>
            </w:r>
            <w:r>
              <w:rPr>
                <w:highlight w:val="none"/>
              </w:rPr>
              <w:t>大鼠经口</w:t>
            </w:r>
            <w:r>
              <w:rPr>
                <w:rFonts w:hint="eastAsia"/>
                <w:highlight w:val="none"/>
                <w:lang w:eastAsia="zh-CN"/>
              </w:rPr>
              <w:t>）</w:t>
            </w:r>
            <w:r>
              <w:rPr>
                <w:highlight w:val="none"/>
              </w:rPr>
              <w:t>；5040 mg/kg</w:t>
            </w:r>
            <w:r>
              <w:rPr>
                <w:rFonts w:hint="eastAsia"/>
                <w:highlight w:val="none"/>
                <w:lang w:eastAsia="zh-CN"/>
              </w:rPr>
              <w:t>（</w:t>
            </w:r>
            <w:r>
              <w:rPr>
                <w:highlight w:val="none"/>
              </w:rPr>
              <w:t>兔经皮</w:t>
            </w:r>
            <w:r>
              <w:rPr>
                <w:rFonts w:hint="eastAsia"/>
                <w:highlight w:val="none"/>
                <w:lang w:eastAsia="zh-CN"/>
              </w:rPr>
              <w:t>）</w:t>
            </w:r>
            <w:r>
              <w:rPr>
                <w:highlight w:val="none"/>
              </w:rPr>
              <w:br w:type="textWrapping"/>
            </w:r>
            <w:r>
              <w:rPr>
                <w:highlight w:val="none"/>
              </w:rPr>
              <w:t>LC50：48000 mg/m</w:t>
            </w:r>
            <w:r>
              <w:rPr>
                <w:highlight w:val="none"/>
                <w:vertAlign w:val="superscript"/>
              </w:rPr>
              <w:t>3</w:t>
            </w:r>
            <w:r>
              <w:rPr>
                <w:rFonts w:hint="eastAsia"/>
                <w:highlight w:val="none"/>
                <w:lang w:eastAsia="zh-CN"/>
              </w:rPr>
              <w:t>（</w:t>
            </w:r>
            <w:r>
              <w:rPr>
                <w:highlight w:val="none"/>
              </w:rPr>
              <w:t>小鼠吸入</w:t>
            </w:r>
            <w:r>
              <w:rPr>
                <w:rFonts w:hint="eastAsia"/>
                <w:highlight w:val="none"/>
                <w:lang w:eastAsia="zh-CN"/>
              </w:rPr>
              <w:t>）</w:t>
            </w:r>
          </w:p>
        </w:tc>
      </w:tr>
      <w:tr w14:paraId="1E25F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57CAC400">
            <w:pPr>
              <w:jc w:val="center"/>
              <w:rPr>
                <w:highlight w:val="none"/>
              </w:rPr>
            </w:pPr>
          </w:p>
        </w:tc>
        <w:tc>
          <w:tcPr>
            <w:tcW w:w="0" w:type="auto"/>
            <w:vMerge w:val="continue"/>
            <w:tcMar>
              <w:left w:w="108" w:type="dxa"/>
              <w:right w:w="108" w:type="dxa"/>
            </w:tcMar>
            <w:vAlign w:val="center"/>
          </w:tcPr>
          <w:p w14:paraId="37C460A8">
            <w:pPr>
              <w:jc w:val="center"/>
              <w:rPr>
                <w:highlight w:val="none"/>
              </w:rPr>
            </w:pPr>
          </w:p>
        </w:tc>
        <w:tc>
          <w:tcPr>
            <w:tcW w:w="0" w:type="auto"/>
            <w:gridSpan w:val="3"/>
            <w:tcMar>
              <w:left w:w="108" w:type="dxa"/>
              <w:right w:w="108" w:type="dxa"/>
            </w:tcMar>
            <w:vAlign w:val="center"/>
          </w:tcPr>
          <w:p w14:paraId="61C4A4D5">
            <w:pPr>
              <w:jc w:val="center"/>
              <w:rPr>
                <w:highlight w:val="none"/>
              </w:rPr>
            </w:pPr>
            <w:r>
              <w:rPr>
                <w:highlight w:val="none"/>
              </w:rPr>
              <w:t>接触高浓度</w:t>
            </w:r>
            <w:r>
              <w:rPr>
                <w:rFonts w:hint="eastAsia"/>
                <w:highlight w:val="none"/>
                <w:lang w:eastAsia="zh-CN"/>
              </w:rPr>
              <w:t>蒸汽后</w:t>
            </w:r>
            <w:r>
              <w:rPr>
                <w:highlight w:val="none"/>
              </w:rPr>
              <w:t>出现头痛、</w:t>
            </w:r>
            <w:r>
              <w:rPr>
                <w:rFonts w:hint="eastAsia"/>
                <w:highlight w:val="none"/>
                <w:lang w:eastAsia="zh-CN"/>
              </w:rPr>
              <w:t>嗜睡</w:t>
            </w:r>
            <w:r>
              <w:rPr>
                <w:highlight w:val="none"/>
              </w:rPr>
              <w:t>、共济失调以及眼、鼻、喉</w:t>
            </w:r>
            <w:r>
              <w:rPr>
                <w:rFonts w:hint="eastAsia"/>
                <w:highlight w:val="none"/>
                <w:lang w:eastAsia="zh-CN"/>
              </w:rPr>
              <w:t>等</w:t>
            </w:r>
            <w:r>
              <w:rPr>
                <w:highlight w:val="none"/>
              </w:rPr>
              <w:t>刺激症状。</w:t>
            </w:r>
            <w:r>
              <w:rPr>
                <w:highlight w:val="none"/>
              </w:rPr>
              <w:br w:type="textWrapping"/>
            </w:r>
            <w:r>
              <w:rPr>
                <w:highlight w:val="none"/>
              </w:rPr>
              <w:t>口服可致恶心、呕吐、腹痛、腹泻、</w:t>
            </w:r>
            <w:r>
              <w:rPr>
                <w:rFonts w:hint="eastAsia"/>
                <w:highlight w:val="none"/>
                <w:lang w:eastAsia="zh-CN"/>
              </w:rPr>
              <w:t>嗜睡</w:t>
            </w:r>
            <w:r>
              <w:rPr>
                <w:highlight w:val="none"/>
              </w:rPr>
              <w:t>、昏迷甚至死亡。长期皮肤接触可致皮肤干燥、裂纹。</w:t>
            </w:r>
          </w:p>
        </w:tc>
      </w:tr>
      <w:tr w14:paraId="3FA9E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tcMar>
              <w:left w:w="108" w:type="dxa"/>
              <w:right w:w="108" w:type="dxa"/>
            </w:tcMar>
            <w:vAlign w:val="center"/>
          </w:tcPr>
          <w:p w14:paraId="2C826868">
            <w:pPr>
              <w:jc w:val="center"/>
              <w:rPr>
                <w:highlight w:val="none"/>
              </w:rPr>
            </w:pPr>
            <w:r>
              <w:rPr>
                <w:highlight w:val="none"/>
              </w:rPr>
              <w:t>燃烧爆炸危险性</w:t>
            </w:r>
          </w:p>
        </w:tc>
        <w:tc>
          <w:tcPr>
            <w:tcW w:w="0" w:type="auto"/>
            <w:tcMar>
              <w:left w:w="108" w:type="dxa"/>
              <w:right w:w="108" w:type="dxa"/>
            </w:tcMar>
            <w:vAlign w:val="center"/>
          </w:tcPr>
          <w:p w14:paraId="036544B5">
            <w:pPr>
              <w:jc w:val="center"/>
              <w:rPr>
                <w:highlight w:val="none"/>
              </w:rPr>
            </w:pPr>
            <w:r>
              <w:rPr>
                <w:highlight w:val="none"/>
              </w:rPr>
              <w:t>燃爆危险</w:t>
            </w:r>
          </w:p>
        </w:tc>
        <w:tc>
          <w:tcPr>
            <w:tcW w:w="0" w:type="auto"/>
            <w:gridSpan w:val="3"/>
            <w:tcMar>
              <w:left w:w="108" w:type="dxa"/>
              <w:right w:w="108" w:type="dxa"/>
            </w:tcMar>
            <w:vAlign w:val="center"/>
          </w:tcPr>
          <w:p w14:paraId="7D177032">
            <w:pPr>
              <w:jc w:val="center"/>
              <w:rPr>
                <w:highlight w:val="none"/>
              </w:rPr>
            </w:pPr>
            <w:r>
              <w:rPr>
                <w:highlight w:val="none"/>
              </w:rPr>
              <w:t>本品易燃，</w:t>
            </w:r>
            <w:r>
              <w:rPr>
                <w:rFonts w:hint="eastAsia"/>
                <w:highlight w:val="none"/>
                <w:lang w:eastAsia="zh-CN"/>
              </w:rPr>
              <w:t>具有</w:t>
            </w:r>
            <w:r>
              <w:rPr>
                <w:highlight w:val="none"/>
              </w:rPr>
              <w:t>刺激性。</w:t>
            </w:r>
          </w:p>
        </w:tc>
      </w:tr>
      <w:tr w14:paraId="7F20E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31B7820D">
            <w:pPr>
              <w:jc w:val="center"/>
              <w:rPr>
                <w:highlight w:val="none"/>
              </w:rPr>
            </w:pPr>
          </w:p>
        </w:tc>
        <w:tc>
          <w:tcPr>
            <w:tcW w:w="0" w:type="auto"/>
            <w:tcMar>
              <w:left w:w="108" w:type="dxa"/>
              <w:right w:w="108" w:type="dxa"/>
            </w:tcMar>
            <w:vAlign w:val="center"/>
          </w:tcPr>
          <w:p w14:paraId="56E77AC8">
            <w:pPr>
              <w:jc w:val="center"/>
              <w:rPr>
                <w:highlight w:val="none"/>
              </w:rPr>
            </w:pPr>
            <w:r>
              <w:rPr>
                <w:highlight w:val="none"/>
              </w:rPr>
              <w:t>危险特性</w:t>
            </w:r>
          </w:p>
        </w:tc>
        <w:tc>
          <w:tcPr>
            <w:tcW w:w="0" w:type="auto"/>
            <w:gridSpan w:val="3"/>
            <w:tcMar>
              <w:left w:w="108" w:type="dxa"/>
              <w:right w:w="108" w:type="dxa"/>
            </w:tcMar>
            <w:vAlign w:val="center"/>
          </w:tcPr>
          <w:p w14:paraId="7B23FBD4">
            <w:pPr>
              <w:jc w:val="center"/>
              <w:rPr>
                <w:highlight w:val="none"/>
              </w:rPr>
            </w:pPr>
            <w:r>
              <w:rPr>
                <w:highlight w:val="none"/>
              </w:rPr>
              <w:t>易燃，其</w:t>
            </w:r>
            <w:r>
              <w:rPr>
                <w:rFonts w:hint="eastAsia"/>
                <w:highlight w:val="none"/>
                <w:lang w:eastAsia="zh-CN"/>
              </w:rPr>
              <w:t>蒸汽</w:t>
            </w:r>
            <w:r>
              <w:rPr>
                <w:highlight w:val="none"/>
              </w:rPr>
              <w:t>与空气可形成爆炸性混合物。遇明火、高热能引起燃烧爆炸。与氧化剂接触发生化学反应或引起燃烧。在火场中，受热的容器有爆炸危险。其</w:t>
            </w:r>
            <w:r>
              <w:rPr>
                <w:rFonts w:hint="eastAsia"/>
                <w:highlight w:val="none"/>
                <w:lang w:eastAsia="zh-CN"/>
              </w:rPr>
              <w:t>蒸汽</w:t>
            </w:r>
            <w:r>
              <w:rPr>
                <w:highlight w:val="none"/>
              </w:rPr>
              <w:t>比空气重，能在较低处扩散到相当远的地方，遇火源</w:t>
            </w:r>
            <w:r>
              <w:rPr>
                <w:rFonts w:hint="eastAsia"/>
                <w:highlight w:val="none"/>
                <w:lang w:eastAsia="zh-CN"/>
              </w:rPr>
              <w:t>就</w:t>
            </w:r>
            <w:r>
              <w:rPr>
                <w:highlight w:val="none"/>
              </w:rPr>
              <w:t>会着火回燃。</w:t>
            </w:r>
          </w:p>
        </w:tc>
      </w:tr>
      <w:tr w14:paraId="450A4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6AC53386">
            <w:pPr>
              <w:jc w:val="center"/>
              <w:rPr>
                <w:highlight w:val="none"/>
              </w:rPr>
            </w:pPr>
          </w:p>
        </w:tc>
        <w:tc>
          <w:tcPr>
            <w:tcW w:w="0" w:type="auto"/>
            <w:tcMar>
              <w:left w:w="108" w:type="dxa"/>
              <w:right w:w="108" w:type="dxa"/>
            </w:tcMar>
            <w:vAlign w:val="center"/>
          </w:tcPr>
          <w:p w14:paraId="02890FE0">
            <w:pPr>
              <w:jc w:val="center"/>
              <w:rPr>
                <w:highlight w:val="none"/>
              </w:rPr>
            </w:pPr>
            <w:r>
              <w:rPr>
                <w:highlight w:val="none"/>
              </w:rPr>
              <w:t>灭火方法</w:t>
            </w:r>
          </w:p>
        </w:tc>
        <w:tc>
          <w:tcPr>
            <w:tcW w:w="0" w:type="auto"/>
            <w:gridSpan w:val="3"/>
            <w:tcMar>
              <w:left w:w="108" w:type="dxa"/>
              <w:right w:w="108" w:type="dxa"/>
            </w:tcMar>
            <w:vAlign w:val="center"/>
          </w:tcPr>
          <w:p w14:paraId="0A79FCD9">
            <w:pPr>
              <w:jc w:val="center"/>
              <w:rPr>
                <w:highlight w:val="none"/>
              </w:rPr>
            </w:pPr>
            <w:r>
              <w:rPr>
                <w:highlight w:val="none"/>
              </w:rPr>
              <w:t>尽可能将容器从火场移至空旷处。喷水保持火场容器冷却，直至灭火结束。处在火场中的容器若已变色或从安全阀装置中产生声音，必须马上撤离。灭火剂：抗溶性泡沫、干粉、二氧化碳、砂土</w:t>
            </w:r>
            <w:r>
              <w:rPr>
                <w:rFonts w:hint="eastAsia"/>
                <w:highlight w:val="none"/>
                <w:lang w:eastAsia="zh-CN"/>
              </w:rPr>
              <w:t>等</w:t>
            </w:r>
            <w:r>
              <w:rPr>
                <w:highlight w:val="none"/>
              </w:rPr>
              <w:t>。</w:t>
            </w:r>
          </w:p>
        </w:tc>
      </w:tr>
      <w:tr w14:paraId="4B2DD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3C736102">
            <w:pPr>
              <w:jc w:val="center"/>
              <w:rPr>
                <w:highlight w:val="none"/>
              </w:rPr>
            </w:pPr>
          </w:p>
        </w:tc>
        <w:tc>
          <w:tcPr>
            <w:tcW w:w="0" w:type="auto"/>
            <w:tcMar>
              <w:left w:w="108" w:type="dxa"/>
              <w:right w:w="108" w:type="dxa"/>
            </w:tcMar>
            <w:vAlign w:val="center"/>
          </w:tcPr>
          <w:p w14:paraId="25E5BE17">
            <w:pPr>
              <w:jc w:val="center"/>
              <w:rPr>
                <w:highlight w:val="none"/>
              </w:rPr>
            </w:pPr>
            <w:r>
              <w:rPr>
                <w:highlight w:val="none"/>
              </w:rPr>
              <w:t>有害分解产物</w:t>
            </w:r>
          </w:p>
        </w:tc>
        <w:tc>
          <w:tcPr>
            <w:tcW w:w="0" w:type="auto"/>
            <w:gridSpan w:val="3"/>
            <w:tcMar>
              <w:left w:w="108" w:type="dxa"/>
              <w:right w:w="108" w:type="dxa"/>
            </w:tcMar>
            <w:vAlign w:val="center"/>
          </w:tcPr>
          <w:p w14:paraId="4FD105FA">
            <w:pPr>
              <w:jc w:val="center"/>
              <w:rPr>
                <w:highlight w:val="none"/>
              </w:rPr>
            </w:pPr>
            <w:r>
              <w:rPr>
                <w:highlight w:val="none"/>
              </w:rPr>
              <w:t>一氧化碳、二氧化碳。</w:t>
            </w:r>
          </w:p>
        </w:tc>
      </w:tr>
      <w:tr w14:paraId="6DBA3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tcMar>
              <w:left w:w="108" w:type="dxa"/>
              <w:right w:w="108" w:type="dxa"/>
            </w:tcMar>
            <w:vAlign w:val="center"/>
          </w:tcPr>
          <w:p w14:paraId="7CF90F26">
            <w:pPr>
              <w:jc w:val="center"/>
              <w:rPr>
                <w:highlight w:val="none"/>
              </w:rPr>
            </w:pPr>
            <w:r>
              <w:rPr>
                <w:highlight w:val="none"/>
              </w:rPr>
              <w:t>急救措施</w:t>
            </w:r>
          </w:p>
        </w:tc>
        <w:tc>
          <w:tcPr>
            <w:tcW w:w="0" w:type="auto"/>
            <w:gridSpan w:val="4"/>
            <w:tcMar>
              <w:left w:w="108" w:type="dxa"/>
              <w:right w:w="108" w:type="dxa"/>
            </w:tcMar>
            <w:vAlign w:val="center"/>
          </w:tcPr>
          <w:p w14:paraId="3726F37F">
            <w:pPr>
              <w:jc w:val="center"/>
              <w:rPr>
                <w:highlight w:val="none"/>
              </w:rPr>
            </w:pPr>
            <w:r>
              <w:rPr>
                <w:highlight w:val="none"/>
              </w:rPr>
              <w:t>①皮肤接触：脱去污染的衣物，用肥皂水和清水彻底冲洗皮肤。</w:t>
            </w:r>
            <w:r>
              <w:rPr>
                <w:highlight w:val="none"/>
              </w:rPr>
              <w:br w:type="textWrapping"/>
            </w:r>
            <w:r>
              <w:rPr>
                <w:highlight w:val="none"/>
              </w:rPr>
              <w:t>②眼睛接触：提起眼睑，用流动水或生理盐水冲洗。就医。</w:t>
            </w:r>
            <w:r>
              <w:rPr>
                <w:highlight w:val="none"/>
              </w:rPr>
              <w:br w:type="textWrapping"/>
            </w:r>
            <w:r>
              <w:rPr>
                <w:highlight w:val="none"/>
              </w:rPr>
              <w:t>③吸入：迅速脱离现场至空气新鲜处。保持呼吸道通畅。</w:t>
            </w:r>
            <w:r>
              <w:rPr>
                <w:rFonts w:hint="eastAsia"/>
                <w:highlight w:val="none"/>
                <w:lang w:eastAsia="zh-CN"/>
              </w:rPr>
              <w:t>如果患者感到呼吸困难，应该给患者输氧。</w:t>
            </w:r>
            <w:r>
              <w:rPr>
                <w:highlight w:val="none"/>
              </w:rPr>
              <w:t>如呼吸停止，立即进行人工呼吸。就医。</w:t>
            </w:r>
            <w:r>
              <w:rPr>
                <w:highlight w:val="none"/>
              </w:rPr>
              <w:br w:type="textWrapping"/>
            </w:r>
            <w:r>
              <w:rPr>
                <w:highlight w:val="none"/>
              </w:rPr>
              <w:t>④食入：饮足量温水，催吐。洗胃。就医。</w:t>
            </w:r>
          </w:p>
        </w:tc>
      </w:tr>
      <w:tr w14:paraId="7C67F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6D7BFFB2">
            <w:pPr>
              <w:rPr>
                <w:highlight w:val="none"/>
              </w:rPr>
            </w:pPr>
          </w:p>
        </w:tc>
        <w:tc>
          <w:tcPr>
            <w:tcW w:w="0" w:type="auto"/>
            <w:vMerge w:val="restart"/>
            <w:tcMar>
              <w:left w:w="108" w:type="dxa"/>
              <w:right w:w="108" w:type="dxa"/>
            </w:tcMar>
            <w:vAlign w:val="center"/>
          </w:tcPr>
          <w:p w14:paraId="5C7F2DA3">
            <w:pPr>
              <w:jc w:val="center"/>
              <w:rPr>
                <w:highlight w:val="none"/>
              </w:rPr>
            </w:pPr>
            <w:r>
              <w:rPr>
                <w:highlight w:val="none"/>
              </w:rPr>
              <w:t>泄漏处置</w:t>
            </w:r>
          </w:p>
        </w:tc>
        <w:tc>
          <w:tcPr>
            <w:tcW w:w="0" w:type="auto"/>
            <w:gridSpan w:val="3"/>
            <w:tcMar>
              <w:left w:w="108" w:type="dxa"/>
              <w:right w:w="108" w:type="dxa"/>
            </w:tcMar>
            <w:vAlign w:val="center"/>
          </w:tcPr>
          <w:p w14:paraId="49FB3109">
            <w:pPr>
              <w:jc w:val="center"/>
              <w:rPr>
                <w:highlight w:val="none"/>
              </w:rPr>
            </w:pPr>
            <w:r>
              <w:rPr>
                <w:highlight w:val="none"/>
              </w:rPr>
              <w:t>迅速撤离泄漏污染区人员至安全区，并进行隔离，严格限制出入。切断火源。建议应急处理人员戴自给正压式呼吸器，穿静电防护服。尽可能切断泄漏源。防止流入下水道、排洪沟等限制性空间。小量泄漏：用砂土或其他不燃材料吸附或吸收。也可以用大量水冲洗，洗水稀释后放入废水系统。大量泄漏：构筑围堤或挖坑收容。用泡沫覆盖，降低</w:t>
            </w:r>
            <w:r>
              <w:rPr>
                <w:rFonts w:hint="eastAsia"/>
                <w:highlight w:val="none"/>
                <w:lang w:eastAsia="zh-CN"/>
              </w:rPr>
              <w:t>蒸汽</w:t>
            </w:r>
            <w:r>
              <w:rPr>
                <w:highlight w:val="none"/>
              </w:rPr>
              <w:t>灾害。用防爆泵转移至槽车或专用收集器内，回收或运至废物处理场所处置。</w:t>
            </w:r>
          </w:p>
        </w:tc>
      </w:tr>
      <w:tr w14:paraId="31112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tcMar>
              <w:left w:w="108" w:type="dxa"/>
              <w:right w:w="108" w:type="dxa"/>
            </w:tcMar>
            <w:vAlign w:val="center"/>
          </w:tcPr>
          <w:p w14:paraId="586B6DAE">
            <w:pPr>
              <w:rPr>
                <w:highlight w:val="none"/>
              </w:rPr>
            </w:pPr>
          </w:p>
        </w:tc>
        <w:tc>
          <w:tcPr>
            <w:tcW w:w="0" w:type="auto"/>
            <w:vMerge w:val="continue"/>
            <w:tcMar>
              <w:left w:w="108" w:type="dxa"/>
              <w:right w:w="108" w:type="dxa"/>
            </w:tcMar>
            <w:vAlign w:val="center"/>
          </w:tcPr>
          <w:p w14:paraId="32CC88A0">
            <w:pPr>
              <w:jc w:val="center"/>
              <w:rPr>
                <w:highlight w:val="none"/>
              </w:rPr>
            </w:pPr>
          </w:p>
        </w:tc>
        <w:tc>
          <w:tcPr>
            <w:tcW w:w="0" w:type="auto"/>
            <w:tcMar>
              <w:left w:w="108" w:type="dxa"/>
              <w:right w:w="108" w:type="dxa"/>
            </w:tcMar>
            <w:vAlign w:val="center"/>
          </w:tcPr>
          <w:p w14:paraId="71AE740C">
            <w:pPr>
              <w:jc w:val="center"/>
              <w:rPr>
                <w:highlight w:val="none"/>
              </w:rPr>
            </w:pPr>
            <w:r>
              <w:rPr>
                <w:highlight w:val="none"/>
              </w:rPr>
              <w:t>储运注意事项</w:t>
            </w:r>
          </w:p>
        </w:tc>
        <w:tc>
          <w:tcPr>
            <w:tcW w:w="0" w:type="auto"/>
            <w:gridSpan w:val="2"/>
            <w:tcMar>
              <w:left w:w="108" w:type="dxa"/>
              <w:right w:w="108" w:type="dxa"/>
            </w:tcMar>
            <w:vAlign w:val="center"/>
          </w:tcPr>
          <w:p w14:paraId="4879C58B">
            <w:pPr>
              <w:jc w:val="center"/>
              <w:rPr>
                <w:highlight w:val="none"/>
              </w:rPr>
            </w:pPr>
            <w:r>
              <w:rPr>
                <w:highlight w:val="none"/>
              </w:rPr>
              <w:t>①储存注意事项：</w:t>
            </w:r>
            <w:r>
              <w:rPr>
                <w:highlight w:val="none"/>
              </w:rPr>
              <w:br w:type="textWrapping"/>
            </w:r>
            <w:r>
              <w:rPr>
                <w:highlight w:val="none"/>
              </w:rPr>
              <w:t>储存于阴凉、通风的库房。远离火种、热源。库温不宜超过30℃。保持容器密封。应与氧化剂、酸类、卤素、食用化学药品</w:t>
            </w:r>
            <w:r>
              <w:rPr>
                <w:rFonts w:hint="eastAsia"/>
                <w:highlight w:val="none"/>
                <w:lang w:eastAsia="zh-CN"/>
              </w:rPr>
              <w:t>等</w:t>
            </w:r>
            <w:r>
              <w:rPr>
                <w:highlight w:val="none"/>
              </w:rPr>
              <w:t>分开存放，切忌混储。采用</w:t>
            </w:r>
            <w:r>
              <w:rPr>
                <w:rFonts w:hint="eastAsia"/>
                <w:highlight w:val="none"/>
                <w:lang w:eastAsia="zh-CN"/>
              </w:rPr>
              <w:t>密闭</w:t>
            </w:r>
            <w:r>
              <w:rPr>
                <w:highlight w:val="none"/>
              </w:rPr>
              <w:t>型照明、通风设施。禁止使用会产生火花的机械设备和工具。储区应备有泄漏应急处理设备和合适的收容材料。</w:t>
            </w:r>
            <w:r>
              <w:rPr>
                <w:highlight w:val="none"/>
              </w:rPr>
              <w:br w:type="textWrapping"/>
            </w:r>
            <w:r>
              <w:rPr>
                <w:highlight w:val="none"/>
              </w:rPr>
              <w:t>②操作注意事项：</w:t>
            </w:r>
            <w:r>
              <w:rPr>
                <w:highlight w:val="none"/>
              </w:rPr>
              <w:br w:type="textWrapping"/>
            </w:r>
            <w:r>
              <w:rPr>
                <w:highlight w:val="none"/>
              </w:rPr>
              <w:t>运输时运输车辆应配备相应品种和数量的消防器材及泄漏应急处理设备。夏季最好早晚运输。运输时所用的槽（罐）车应有接地链，槽内可设孔隔板以减少</w:t>
            </w:r>
            <w:r>
              <w:rPr>
                <w:rFonts w:hint="eastAsia"/>
                <w:highlight w:val="none"/>
                <w:lang w:eastAsia="zh-CN"/>
              </w:rPr>
              <w:t>振荡</w:t>
            </w:r>
            <w:r>
              <w:rPr>
                <w:highlight w:val="none"/>
              </w:rPr>
              <w:t>产生静电。严禁与氧化剂、酸类、卤素、食用化学药品等混装混运。运输途中应防止</w:t>
            </w:r>
            <w:r>
              <w:rPr>
                <w:rFonts w:hint="eastAsia"/>
                <w:highlight w:val="none"/>
                <w:lang w:eastAsia="zh-CN"/>
              </w:rPr>
              <w:t>暴晒</w:t>
            </w:r>
            <w:r>
              <w:rPr>
                <w:highlight w:val="none"/>
              </w:rPr>
              <w:t>、雨淋。防高温。中途停留时要远离火种、热源、高温区。装运该物品的车辆排气管必须配备阻火装置，禁止使用易产生火花的机械设备和工具装卸。公路运输时要按规定路线行驶，勿在居民区和人口稠密区停留。铁路运输时要禁止溜放。严禁用木船、水泥船</w:t>
            </w:r>
            <w:r>
              <w:rPr>
                <w:rFonts w:hint="eastAsia"/>
                <w:highlight w:val="none"/>
                <w:lang w:eastAsia="zh-CN"/>
              </w:rPr>
              <w:t>等方式</w:t>
            </w:r>
            <w:r>
              <w:rPr>
                <w:highlight w:val="none"/>
              </w:rPr>
              <w:t>散装运输。</w:t>
            </w:r>
          </w:p>
        </w:tc>
      </w:tr>
    </w:tbl>
    <w:p w14:paraId="3CC293AE">
      <w:pPr>
        <w:spacing w:line="360" w:lineRule="auto"/>
        <w:jc w:val="center"/>
        <w:rPr>
          <w:rFonts w:hint="eastAsia" w:ascii="Times New Roman" w:hAnsi="Times New Roman" w:eastAsia="宋体" w:cs="Times New Roman"/>
          <w:b/>
          <w:bCs/>
          <w:sz w:val="21"/>
          <w:szCs w:val="21"/>
          <w:highlight w:val="none"/>
          <w:lang w:val="en-US" w:eastAsia="zh-CN"/>
        </w:rPr>
      </w:pPr>
      <w:r>
        <w:rPr>
          <w:rFonts w:hint="eastAsia" w:ascii="Times New Roman" w:hAnsi="Times New Roman" w:eastAsia="宋体" w:cs="Times New Roman"/>
          <w:b/>
          <w:bCs/>
          <w:sz w:val="21"/>
          <w:szCs w:val="21"/>
          <w:highlight w:val="none"/>
          <w:lang w:val="en-US" w:eastAsia="zh-CN"/>
        </w:rPr>
        <w:t>表</w:t>
      </w:r>
      <w:r>
        <w:rPr>
          <w:rFonts w:hint="eastAsia" w:cs="Times New Roman"/>
          <w:b/>
          <w:bCs/>
          <w:sz w:val="21"/>
          <w:szCs w:val="21"/>
          <w:highlight w:val="none"/>
          <w:lang w:val="en-US" w:eastAsia="zh-CN"/>
        </w:rPr>
        <w:t>3.2</w:t>
      </w:r>
      <w:r>
        <w:rPr>
          <w:rFonts w:hint="eastAsia" w:ascii="Times New Roman" w:hAnsi="Times New Roman" w:eastAsia="宋体" w:cs="Times New Roman"/>
          <w:b/>
          <w:bCs/>
          <w:sz w:val="21"/>
          <w:szCs w:val="21"/>
          <w:highlight w:val="none"/>
          <w:lang w:val="en-US" w:eastAsia="zh-CN"/>
        </w:rPr>
        <w:t>-10   乙醛的理化性质及危险特性</w:t>
      </w:r>
    </w:p>
    <w:tbl>
      <w:tblPr>
        <w:tblStyle w:val="19"/>
        <w:tblW w:w="47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26"/>
        <w:gridCol w:w="1021"/>
        <w:gridCol w:w="1602"/>
        <w:gridCol w:w="2293"/>
        <w:gridCol w:w="3026"/>
      </w:tblGrid>
      <w:tr w14:paraId="7813C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0" w:type="auto"/>
            <w:vMerge w:val="restart"/>
            <w:tcMar>
              <w:left w:w="108" w:type="dxa"/>
              <w:right w:w="108" w:type="dxa"/>
            </w:tcMar>
            <w:vAlign w:val="center"/>
          </w:tcPr>
          <w:p w14:paraId="387128F3">
            <w:pPr>
              <w:jc w:val="center"/>
              <w:rPr>
                <w:highlight w:val="none"/>
              </w:rPr>
            </w:pPr>
            <w:r>
              <w:rPr>
                <w:highlight w:val="none"/>
              </w:rPr>
              <w:t>标识</w:t>
            </w:r>
          </w:p>
        </w:tc>
        <w:tc>
          <w:tcPr>
            <w:tcW w:w="4536" w:type="dxa"/>
            <w:gridSpan w:val="3"/>
            <w:tcMar>
              <w:left w:w="108" w:type="dxa"/>
              <w:right w:w="108" w:type="dxa"/>
            </w:tcMar>
            <w:vAlign w:val="center"/>
          </w:tcPr>
          <w:p w14:paraId="7D32A9AE">
            <w:pPr>
              <w:jc w:val="center"/>
              <w:rPr>
                <w:highlight w:val="none"/>
              </w:rPr>
            </w:pPr>
            <w:r>
              <w:rPr>
                <w:highlight w:val="none"/>
              </w:rPr>
              <w:t>中文别名：醋醛 英文名：acetaldehyde</w:t>
            </w:r>
          </w:p>
        </w:tc>
        <w:tc>
          <w:tcPr>
            <w:tcW w:w="3216" w:type="dxa"/>
            <w:tcMar>
              <w:left w:w="108" w:type="dxa"/>
              <w:right w:w="108" w:type="dxa"/>
            </w:tcMar>
            <w:vAlign w:val="center"/>
          </w:tcPr>
          <w:p w14:paraId="22E59234">
            <w:pPr>
              <w:jc w:val="center"/>
              <w:rPr>
                <w:highlight w:val="none"/>
              </w:rPr>
            </w:pPr>
            <w:r>
              <w:rPr>
                <w:highlight w:val="none"/>
              </w:rPr>
              <w:t>UN编号：1089</w:t>
            </w:r>
          </w:p>
        </w:tc>
      </w:tr>
      <w:tr w14:paraId="2A265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 w:hRule="atLeast"/>
          <w:jc w:val="center"/>
        </w:trPr>
        <w:tc>
          <w:tcPr>
            <w:tcW w:w="0" w:type="auto"/>
            <w:vMerge w:val="continue"/>
            <w:tcMar>
              <w:left w:w="108" w:type="dxa"/>
              <w:right w:w="108" w:type="dxa"/>
            </w:tcMar>
            <w:vAlign w:val="center"/>
          </w:tcPr>
          <w:p w14:paraId="12E00FEB">
            <w:pPr>
              <w:jc w:val="center"/>
              <w:rPr>
                <w:highlight w:val="none"/>
              </w:rPr>
            </w:pPr>
          </w:p>
        </w:tc>
        <w:tc>
          <w:tcPr>
            <w:tcW w:w="4536" w:type="dxa"/>
            <w:gridSpan w:val="3"/>
            <w:tcMar>
              <w:left w:w="108" w:type="dxa"/>
              <w:right w:w="108" w:type="dxa"/>
            </w:tcMar>
            <w:vAlign w:val="center"/>
          </w:tcPr>
          <w:p w14:paraId="0C47CC47">
            <w:pPr>
              <w:jc w:val="center"/>
              <w:rPr>
                <w:highlight w:val="none"/>
              </w:rPr>
            </w:pPr>
            <w:r>
              <w:rPr>
                <w:highlight w:val="none"/>
              </w:rPr>
              <w:t>CAS号：75-07-0</w:t>
            </w:r>
          </w:p>
        </w:tc>
        <w:tc>
          <w:tcPr>
            <w:tcW w:w="3216" w:type="dxa"/>
            <w:tcMar>
              <w:left w:w="108" w:type="dxa"/>
              <w:right w:w="108" w:type="dxa"/>
            </w:tcMar>
            <w:vAlign w:val="center"/>
          </w:tcPr>
          <w:p w14:paraId="00C6469B">
            <w:pPr>
              <w:jc w:val="center"/>
              <w:rPr>
                <w:highlight w:val="none"/>
              </w:rPr>
            </w:pPr>
            <w:r>
              <w:rPr>
                <w:highlight w:val="none"/>
              </w:rPr>
              <w:t>危险化学品编号：31022</w:t>
            </w:r>
          </w:p>
        </w:tc>
      </w:tr>
      <w:tr w14:paraId="33791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5" w:hRule="atLeast"/>
          <w:jc w:val="center"/>
        </w:trPr>
        <w:tc>
          <w:tcPr>
            <w:tcW w:w="0" w:type="auto"/>
            <w:vMerge w:val="continue"/>
            <w:tcMar>
              <w:left w:w="108" w:type="dxa"/>
              <w:right w:w="108" w:type="dxa"/>
            </w:tcMar>
            <w:vAlign w:val="center"/>
          </w:tcPr>
          <w:p w14:paraId="0CD6DD19">
            <w:pPr>
              <w:rPr>
                <w:highlight w:val="none"/>
              </w:rPr>
            </w:pPr>
          </w:p>
        </w:tc>
        <w:tc>
          <w:tcPr>
            <w:tcW w:w="4536" w:type="dxa"/>
            <w:gridSpan w:val="3"/>
            <w:tcMar>
              <w:left w:w="108" w:type="dxa"/>
              <w:right w:w="108" w:type="dxa"/>
            </w:tcMar>
            <w:vAlign w:val="center"/>
          </w:tcPr>
          <w:p w14:paraId="08900C3B">
            <w:pPr>
              <w:jc w:val="center"/>
              <w:rPr>
                <w:rFonts w:ascii="Times New Roman" w:hAnsi="Times New Roman" w:eastAsia="宋体" w:cs="Times New Roman"/>
                <w:highlight w:val="none"/>
              </w:rPr>
            </w:pPr>
            <w:r>
              <w:rPr>
                <w:rFonts w:ascii="Times New Roman" w:hAnsi="Times New Roman" w:eastAsia="宋体" w:cs="Times New Roman"/>
                <w:highlight w:val="none"/>
              </w:rPr>
              <w:t>分子式：C</w:t>
            </w:r>
            <w:r>
              <w:rPr>
                <w:rFonts w:ascii="Times New Roman" w:hAnsi="Times New Roman" w:eastAsia="宋体" w:cs="Times New Roman"/>
                <w:highlight w:val="none"/>
                <w:vertAlign w:val="subscript"/>
              </w:rPr>
              <w:t>2</w:t>
            </w:r>
            <w:r>
              <w:rPr>
                <w:rFonts w:ascii="Times New Roman" w:hAnsi="Times New Roman" w:eastAsia="宋体" w:cs="Times New Roman"/>
                <w:highlight w:val="none"/>
              </w:rPr>
              <w:t>H</w:t>
            </w:r>
            <w:r>
              <w:rPr>
                <w:rFonts w:ascii="Times New Roman" w:hAnsi="Times New Roman" w:eastAsia="宋体" w:cs="Times New Roman"/>
                <w:highlight w:val="none"/>
                <w:vertAlign w:val="subscript"/>
              </w:rPr>
              <w:t>4</w:t>
            </w:r>
            <w:r>
              <w:rPr>
                <w:rFonts w:ascii="Times New Roman" w:hAnsi="Times New Roman" w:eastAsia="宋体" w:cs="Times New Roman"/>
                <w:highlight w:val="none"/>
              </w:rPr>
              <w:t>O</w:t>
            </w:r>
          </w:p>
        </w:tc>
        <w:tc>
          <w:tcPr>
            <w:tcW w:w="3216" w:type="dxa"/>
            <w:tcMar>
              <w:left w:w="108" w:type="dxa"/>
              <w:right w:w="108" w:type="dxa"/>
            </w:tcMar>
            <w:vAlign w:val="center"/>
          </w:tcPr>
          <w:p w14:paraId="0ABA60D2">
            <w:pPr>
              <w:jc w:val="center"/>
              <w:rPr>
                <w:rFonts w:ascii="Times New Roman" w:hAnsi="Times New Roman" w:eastAsia="宋体" w:cs="Times New Roman"/>
                <w:highlight w:val="none"/>
              </w:rPr>
            </w:pPr>
            <w:r>
              <w:rPr>
                <w:rFonts w:ascii="Times New Roman" w:hAnsi="Times New Roman" w:eastAsia="宋体" w:cs="Times New Roman"/>
                <w:highlight w:val="none"/>
              </w:rPr>
              <w:t>分子量：44.05</w:t>
            </w:r>
          </w:p>
        </w:tc>
      </w:tr>
      <w:tr w14:paraId="39DDF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atLeast"/>
          <w:jc w:val="center"/>
        </w:trPr>
        <w:tc>
          <w:tcPr>
            <w:tcW w:w="0" w:type="auto"/>
            <w:vMerge w:val="restart"/>
            <w:tcMar>
              <w:left w:w="108" w:type="dxa"/>
              <w:right w:w="108" w:type="dxa"/>
            </w:tcMar>
            <w:vAlign w:val="center"/>
          </w:tcPr>
          <w:p w14:paraId="1340E660">
            <w:pPr>
              <w:rPr>
                <w:highlight w:val="none"/>
              </w:rPr>
            </w:pPr>
            <w:r>
              <w:rPr>
                <w:highlight w:val="none"/>
              </w:rPr>
              <w:t>理化性质</w:t>
            </w:r>
          </w:p>
        </w:tc>
        <w:tc>
          <w:tcPr>
            <w:tcW w:w="0" w:type="auto"/>
            <w:tcMar>
              <w:left w:w="108" w:type="dxa"/>
              <w:right w:w="108" w:type="dxa"/>
            </w:tcMar>
            <w:vAlign w:val="center"/>
          </w:tcPr>
          <w:p w14:paraId="5A9F350C">
            <w:pPr>
              <w:jc w:val="center"/>
              <w:rPr>
                <w:rFonts w:ascii="Times New Roman" w:hAnsi="Times New Roman" w:eastAsia="宋体" w:cs="Times New Roman"/>
                <w:highlight w:val="none"/>
              </w:rPr>
            </w:pPr>
            <w:r>
              <w:rPr>
                <w:rFonts w:ascii="Times New Roman" w:hAnsi="Times New Roman" w:eastAsia="宋体" w:cs="Times New Roman"/>
                <w:highlight w:val="none"/>
              </w:rPr>
              <w:t>外观与形状</w:t>
            </w:r>
          </w:p>
        </w:tc>
        <w:tc>
          <w:tcPr>
            <w:tcW w:w="0" w:type="auto"/>
            <w:gridSpan w:val="3"/>
            <w:tcMar>
              <w:left w:w="108" w:type="dxa"/>
              <w:right w:w="108" w:type="dxa"/>
            </w:tcMar>
            <w:vAlign w:val="center"/>
          </w:tcPr>
          <w:p w14:paraId="2307434B">
            <w:pPr>
              <w:jc w:val="center"/>
              <w:rPr>
                <w:rFonts w:ascii="Times New Roman" w:hAnsi="Times New Roman" w:eastAsia="宋体" w:cs="Times New Roman"/>
                <w:highlight w:val="none"/>
              </w:rPr>
            </w:pPr>
            <w:r>
              <w:rPr>
                <w:rFonts w:ascii="Times New Roman" w:hAnsi="Times New Roman" w:eastAsia="宋体" w:cs="Times New Roman"/>
                <w:highlight w:val="none"/>
              </w:rPr>
              <w:t>无色液体，有强烈的刺激气味。</w:t>
            </w:r>
          </w:p>
        </w:tc>
      </w:tr>
      <w:tr w14:paraId="0AED5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0" w:type="auto"/>
            <w:vMerge w:val="continue"/>
            <w:tcMar>
              <w:left w:w="108" w:type="dxa"/>
              <w:right w:w="108" w:type="dxa"/>
            </w:tcMar>
            <w:vAlign w:val="center"/>
          </w:tcPr>
          <w:p w14:paraId="6E7A74B5">
            <w:pPr>
              <w:rPr>
                <w:highlight w:val="none"/>
              </w:rPr>
            </w:pPr>
          </w:p>
        </w:tc>
        <w:tc>
          <w:tcPr>
            <w:tcW w:w="0" w:type="auto"/>
            <w:tcMar>
              <w:left w:w="108" w:type="dxa"/>
              <w:right w:w="108" w:type="dxa"/>
            </w:tcMar>
            <w:vAlign w:val="center"/>
          </w:tcPr>
          <w:p w14:paraId="18A4E015">
            <w:pPr>
              <w:jc w:val="center"/>
              <w:rPr>
                <w:rFonts w:ascii="Times New Roman" w:hAnsi="Times New Roman" w:eastAsia="宋体" w:cs="Times New Roman"/>
                <w:highlight w:val="none"/>
              </w:rPr>
            </w:pPr>
            <w:r>
              <w:rPr>
                <w:rFonts w:ascii="Times New Roman" w:hAnsi="Times New Roman" w:eastAsia="宋体" w:cs="Times New Roman"/>
                <w:highlight w:val="none"/>
              </w:rPr>
              <w:t>熔点（℃）</w:t>
            </w:r>
          </w:p>
        </w:tc>
        <w:tc>
          <w:tcPr>
            <w:tcW w:w="1443" w:type="dxa"/>
            <w:tcMar>
              <w:left w:w="108" w:type="dxa"/>
              <w:right w:w="108" w:type="dxa"/>
            </w:tcMar>
            <w:vAlign w:val="center"/>
          </w:tcPr>
          <w:p w14:paraId="4DEF0201">
            <w:pPr>
              <w:jc w:val="center"/>
              <w:rPr>
                <w:rFonts w:ascii="Times New Roman" w:hAnsi="Times New Roman" w:eastAsia="宋体" w:cs="Times New Roman"/>
                <w:highlight w:val="none"/>
              </w:rPr>
            </w:pPr>
            <w:r>
              <w:rPr>
                <w:rFonts w:ascii="Times New Roman" w:hAnsi="Times New Roman" w:eastAsia="宋体" w:cs="Times New Roman"/>
                <w:highlight w:val="none"/>
              </w:rPr>
              <w:t>-123.5</w:t>
            </w:r>
          </w:p>
        </w:tc>
        <w:tc>
          <w:tcPr>
            <w:tcW w:w="2241" w:type="dxa"/>
            <w:tcMar>
              <w:left w:w="108" w:type="dxa"/>
              <w:right w:w="108" w:type="dxa"/>
            </w:tcMar>
            <w:vAlign w:val="center"/>
          </w:tcPr>
          <w:p w14:paraId="39C25C67">
            <w:pPr>
              <w:jc w:val="center"/>
              <w:rPr>
                <w:rFonts w:hint="eastAsia" w:ascii="Times New Roman" w:hAnsi="Times New Roman" w:eastAsia="宋体" w:cs="Times New Roman"/>
                <w:highlight w:val="none"/>
                <w:lang w:eastAsia="zh-CN"/>
              </w:rPr>
            </w:pPr>
            <w:r>
              <w:rPr>
                <w:rFonts w:ascii="Times New Roman" w:hAnsi="Times New Roman" w:eastAsia="宋体" w:cs="Times New Roman"/>
                <w:highlight w:val="none"/>
              </w:rPr>
              <w:t>相对密度</w:t>
            </w:r>
            <w:r>
              <w:rPr>
                <w:rFonts w:hint="eastAsia" w:cs="Times New Roman"/>
                <w:highlight w:val="none"/>
                <w:lang w:eastAsia="zh-CN"/>
              </w:rPr>
              <w:t>（</w:t>
            </w:r>
            <w:r>
              <w:rPr>
                <w:rFonts w:ascii="Times New Roman" w:hAnsi="Times New Roman" w:eastAsia="宋体" w:cs="Times New Roman"/>
                <w:highlight w:val="none"/>
              </w:rPr>
              <w:t>水=1</w:t>
            </w:r>
            <w:r>
              <w:rPr>
                <w:rFonts w:hint="eastAsia" w:cs="Times New Roman"/>
                <w:highlight w:val="none"/>
                <w:lang w:eastAsia="zh-CN"/>
              </w:rPr>
              <w:t>）</w:t>
            </w:r>
          </w:p>
        </w:tc>
        <w:tc>
          <w:tcPr>
            <w:tcW w:w="3216" w:type="dxa"/>
            <w:tcMar>
              <w:left w:w="108" w:type="dxa"/>
              <w:right w:w="108" w:type="dxa"/>
            </w:tcMar>
            <w:vAlign w:val="center"/>
          </w:tcPr>
          <w:p w14:paraId="06884FD1">
            <w:pPr>
              <w:jc w:val="center"/>
              <w:rPr>
                <w:rFonts w:ascii="Times New Roman" w:hAnsi="Times New Roman" w:eastAsia="宋体" w:cs="Times New Roman"/>
                <w:highlight w:val="none"/>
              </w:rPr>
            </w:pPr>
            <w:r>
              <w:rPr>
                <w:rFonts w:ascii="Times New Roman" w:hAnsi="Times New Roman" w:eastAsia="宋体" w:cs="Times New Roman"/>
                <w:highlight w:val="none"/>
              </w:rPr>
              <w:t>0.78</w:t>
            </w:r>
          </w:p>
        </w:tc>
      </w:tr>
      <w:tr w14:paraId="7B9A0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3" w:hRule="atLeast"/>
          <w:jc w:val="center"/>
        </w:trPr>
        <w:tc>
          <w:tcPr>
            <w:tcW w:w="0" w:type="auto"/>
            <w:vMerge w:val="continue"/>
            <w:tcMar>
              <w:left w:w="108" w:type="dxa"/>
              <w:right w:w="108" w:type="dxa"/>
            </w:tcMar>
            <w:vAlign w:val="center"/>
          </w:tcPr>
          <w:p w14:paraId="089247C1">
            <w:pPr>
              <w:rPr>
                <w:highlight w:val="none"/>
              </w:rPr>
            </w:pPr>
          </w:p>
        </w:tc>
        <w:tc>
          <w:tcPr>
            <w:tcW w:w="0" w:type="auto"/>
            <w:tcMar>
              <w:left w:w="108" w:type="dxa"/>
              <w:right w:w="108" w:type="dxa"/>
            </w:tcMar>
            <w:vAlign w:val="center"/>
          </w:tcPr>
          <w:p w14:paraId="2AA28527">
            <w:pPr>
              <w:jc w:val="center"/>
              <w:rPr>
                <w:rFonts w:ascii="Times New Roman" w:hAnsi="Times New Roman" w:eastAsia="宋体" w:cs="Times New Roman"/>
                <w:highlight w:val="none"/>
              </w:rPr>
            </w:pPr>
            <w:r>
              <w:rPr>
                <w:rFonts w:ascii="Times New Roman" w:hAnsi="Times New Roman" w:eastAsia="宋体" w:cs="Times New Roman"/>
                <w:highlight w:val="none"/>
              </w:rPr>
              <w:t>沸点（℃）</w:t>
            </w:r>
          </w:p>
        </w:tc>
        <w:tc>
          <w:tcPr>
            <w:tcW w:w="1443" w:type="dxa"/>
            <w:tcMar>
              <w:left w:w="108" w:type="dxa"/>
              <w:right w:w="108" w:type="dxa"/>
            </w:tcMar>
            <w:vAlign w:val="center"/>
          </w:tcPr>
          <w:p w14:paraId="7A297C05">
            <w:pPr>
              <w:jc w:val="center"/>
              <w:rPr>
                <w:rFonts w:ascii="Times New Roman" w:hAnsi="Times New Roman" w:eastAsia="宋体" w:cs="Times New Roman"/>
                <w:highlight w:val="none"/>
              </w:rPr>
            </w:pPr>
            <w:r>
              <w:rPr>
                <w:rFonts w:ascii="Times New Roman" w:hAnsi="Times New Roman" w:eastAsia="宋体" w:cs="Times New Roman"/>
                <w:highlight w:val="none"/>
              </w:rPr>
              <w:t>20.8</w:t>
            </w:r>
          </w:p>
        </w:tc>
        <w:tc>
          <w:tcPr>
            <w:tcW w:w="2241" w:type="dxa"/>
            <w:tcMar>
              <w:left w:w="108" w:type="dxa"/>
              <w:right w:w="108" w:type="dxa"/>
            </w:tcMar>
            <w:vAlign w:val="center"/>
          </w:tcPr>
          <w:p w14:paraId="42DA73CE">
            <w:pPr>
              <w:jc w:val="center"/>
              <w:rPr>
                <w:rFonts w:ascii="Times New Roman" w:hAnsi="Times New Roman" w:eastAsia="宋体" w:cs="Times New Roman"/>
                <w:highlight w:val="none"/>
              </w:rPr>
            </w:pPr>
            <w:r>
              <w:rPr>
                <w:rFonts w:ascii="Times New Roman" w:hAnsi="Times New Roman" w:eastAsia="宋体" w:cs="Times New Roman"/>
                <w:highlight w:val="none"/>
              </w:rPr>
              <w:t>相对蒸汽密度（空气=1）</w:t>
            </w:r>
          </w:p>
        </w:tc>
        <w:tc>
          <w:tcPr>
            <w:tcW w:w="3216" w:type="dxa"/>
            <w:tcMar>
              <w:left w:w="108" w:type="dxa"/>
              <w:right w:w="108" w:type="dxa"/>
            </w:tcMar>
            <w:vAlign w:val="center"/>
          </w:tcPr>
          <w:p w14:paraId="4A4F5A92">
            <w:pPr>
              <w:jc w:val="center"/>
              <w:rPr>
                <w:rFonts w:ascii="Times New Roman" w:hAnsi="Times New Roman" w:eastAsia="宋体" w:cs="Times New Roman"/>
                <w:highlight w:val="none"/>
              </w:rPr>
            </w:pPr>
            <w:r>
              <w:rPr>
                <w:rFonts w:ascii="Times New Roman" w:hAnsi="Times New Roman" w:eastAsia="宋体" w:cs="Times New Roman"/>
                <w:highlight w:val="none"/>
              </w:rPr>
              <w:t>1.52</w:t>
            </w:r>
          </w:p>
        </w:tc>
      </w:tr>
      <w:tr w14:paraId="4BF4E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7" w:hRule="atLeast"/>
          <w:jc w:val="center"/>
        </w:trPr>
        <w:tc>
          <w:tcPr>
            <w:tcW w:w="0" w:type="auto"/>
            <w:vMerge w:val="continue"/>
            <w:tcMar>
              <w:left w:w="108" w:type="dxa"/>
              <w:right w:w="108" w:type="dxa"/>
            </w:tcMar>
            <w:vAlign w:val="center"/>
          </w:tcPr>
          <w:p w14:paraId="0C941C85">
            <w:pPr>
              <w:rPr>
                <w:highlight w:val="none"/>
              </w:rPr>
            </w:pPr>
          </w:p>
        </w:tc>
        <w:tc>
          <w:tcPr>
            <w:tcW w:w="0" w:type="auto"/>
            <w:tcMar>
              <w:left w:w="108" w:type="dxa"/>
              <w:right w:w="108" w:type="dxa"/>
            </w:tcMar>
            <w:vAlign w:val="center"/>
          </w:tcPr>
          <w:p w14:paraId="32B73553">
            <w:pPr>
              <w:jc w:val="center"/>
              <w:rPr>
                <w:rFonts w:ascii="Times New Roman" w:hAnsi="Times New Roman" w:eastAsia="宋体" w:cs="Times New Roman"/>
                <w:highlight w:val="none"/>
              </w:rPr>
            </w:pPr>
            <w:r>
              <w:rPr>
                <w:rFonts w:ascii="Times New Roman" w:hAnsi="Times New Roman" w:eastAsia="宋体" w:cs="Times New Roman"/>
                <w:highlight w:val="none"/>
              </w:rPr>
              <w:t>闪点（℃）</w:t>
            </w:r>
          </w:p>
        </w:tc>
        <w:tc>
          <w:tcPr>
            <w:tcW w:w="1443" w:type="dxa"/>
            <w:tcMar>
              <w:left w:w="108" w:type="dxa"/>
              <w:right w:w="108" w:type="dxa"/>
            </w:tcMar>
            <w:vAlign w:val="center"/>
          </w:tcPr>
          <w:p w14:paraId="4391CDD7">
            <w:pPr>
              <w:jc w:val="center"/>
              <w:rPr>
                <w:rFonts w:ascii="Times New Roman" w:hAnsi="Times New Roman" w:eastAsia="宋体" w:cs="Times New Roman"/>
                <w:highlight w:val="none"/>
              </w:rPr>
            </w:pPr>
            <w:r>
              <w:rPr>
                <w:rFonts w:ascii="Times New Roman" w:hAnsi="Times New Roman" w:eastAsia="宋体" w:cs="Times New Roman"/>
                <w:highlight w:val="none"/>
              </w:rPr>
              <w:t>-39</w:t>
            </w:r>
          </w:p>
        </w:tc>
        <w:tc>
          <w:tcPr>
            <w:tcW w:w="2241" w:type="dxa"/>
            <w:tcMar>
              <w:left w:w="108" w:type="dxa"/>
              <w:right w:w="108" w:type="dxa"/>
            </w:tcMar>
            <w:vAlign w:val="center"/>
          </w:tcPr>
          <w:p w14:paraId="2E0FD684">
            <w:pPr>
              <w:jc w:val="center"/>
              <w:rPr>
                <w:rFonts w:ascii="Times New Roman" w:hAnsi="Times New Roman" w:eastAsia="宋体" w:cs="Times New Roman"/>
                <w:highlight w:val="none"/>
              </w:rPr>
            </w:pPr>
            <w:r>
              <w:rPr>
                <w:rFonts w:ascii="Times New Roman" w:hAnsi="Times New Roman" w:eastAsia="宋体" w:cs="Times New Roman"/>
                <w:highlight w:val="none"/>
              </w:rPr>
              <w:t>饱和蒸汽压（kPa）</w:t>
            </w:r>
          </w:p>
        </w:tc>
        <w:tc>
          <w:tcPr>
            <w:tcW w:w="3216" w:type="dxa"/>
            <w:tcMar>
              <w:left w:w="108" w:type="dxa"/>
              <w:right w:w="108" w:type="dxa"/>
            </w:tcMar>
            <w:vAlign w:val="center"/>
          </w:tcPr>
          <w:p w14:paraId="286C9241">
            <w:pPr>
              <w:jc w:val="center"/>
              <w:rPr>
                <w:rFonts w:hint="eastAsia" w:ascii="Times New Roman" w:hAnsi="Times New Roman" w:eastAsia="宋体" w:cs="Times New Roman"/>
                <w:highlight w:val="none"/>
                <w:lang w:eastAsia="zh-CN"/>
              </w:rPr>
            </w:pPr>
            <w:r>
              <w:rPr>
                <w:rFonts w:ascii="Times New Roman" w:hAnsi="Times New Roman" w:eastAsia="宋体" w:cs="Times New Roman"/>
                <w:highlight w:val="none"/>
              </w:rPr>
              <w:t>98.64</w:t>
            </w:r>
            <w:r>
              <w:rPr>
                <w:rFonts w:hint="eastAsia" w:cs="Times New Roman"/>
                <w:highlight w:val="none"/>
                <w:lang w:eastAsia="zh-CN"/>
              </w:rPr>
              <w:t>（</w:t>
            </w:r>
            <w:r>
              <w:rPr>
                <w:rFonts w:ascii="Times New Roman" w:hAnsi="Times New Roman" w:eastAsia="宋体" w:cs="Times New Roman"/>
                <w:highlight w:val="none"/>
              </w:rPr>
              <w:t>20℃</w:t>
            </w:r>
            <w:r>
              <w:rPr>
                <w:rFonts w:hint="eastAsia" w:cs="Times New Roman"/>
                <w:highlight w:val="none"/>
                <w:lang w:eastAsia="zh-CN"/>
              </w:rPr>
              <w:t>）</w:t>
            </w:r>
          </w:p>
        </w:tc>
      </w:tr>
      <w:tr w14:paraId="058A6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7" w:hRule="atLeast"/>
          <w:jc w:val="center"/>
        </w:trPr>
        <w:tc>
          <w:tcPr>
            <w:tcW w:w="0" w:type="auto"/>
            <w:vMerge w:val="continue"/>
            <w:tcMar>
              <w:left w:w="108" w:type="dxa"/>
              <w:right w:w="108" w:type="dxa"/>
            </w:tcMar>
            <w:vAlign w:val="center"/>
          </w:tcPr>
          <w:p w14:paraId="6FEE09D7">
            <w:pPr>
              <w:rPr>
                <w:highlight w:val="none"/>
              </w:rPr>
            </w:pPr>
          </w:p>
        </w:tc>
        <w:tc>
          <w:tcPr>
            <w:tcW w:w="0" w:type="auto"/>
            <w:tcMar>
              <w:left w:w="108" w:type="dxa"/>
              <w:right w:w="108" w:type="dxa"/>
            </w:tcMar>
            <w:vAlign w:val="center"/>
          </w:tcPr>
          <w:p w14:paraId="415765F2">
            <w:pPr>
              <w:jc w:val="center"/>
              <w:rPr>
                <w:rFonts w:hint="eastAsia" w:ascii="Times New Roman" w:hAnsi="Times New Roman" w:eastAsia="宋体" w:cs="Times New Roman"/>
                <w:highlight w:val="none"/>
                <w:lang w:eastAsia="zh-CN"/>
              </w:rPr>
            </w:pPr>
            <w:r>
              <w:rPr>
                <w:rFonts w:ascii="Times New Roman" w:hAnsi="Times New Roman" w:eastAsia="宋体" w:cs="Times New Roman"/>
                <w:highlight w:val="none"/>
              </w:rPr>
              <w:t>引燃温度</w:t>
            </w:r>
            <w:r>
              <w:rPr>
                <w:rFonts w:hint="eastAsia" w:cs="Times New Roman"/>
                <w:highlight w:val="none"/>
                <w:lang w:eastAsia="zh-CN"/>
              </w:rPr>
              <w:t>（</w:t>
            </w:r>
            <w:r>
              <w:rPr>
                <w:rFonts w:ascii="Times New Roman" w:hAnsi="Times New Roman" w:eastAsia="宋体" w:cs="Times New Roman"/>
                <w:highlight w:val="none"/>
              </w:rPr>
              <w:t>℃</w:t>
            </w:r>
            <w:r>
              <w:rPr>
                <w:rFonts w:hint="eastAsia" w:cs="Times New Roman"/>
                <w:highlight w:val="none"/>
                <w:lang w:eastAsia="zh-CN"/>
              </w:rPr>
              <w:t>）</w:t>
            </w:r>
          </w:p>
        </w:tc>
        <w:tc>
          <w:tcPr>
            <w:tcW w:w="1443" w:type="dxa"/>
            <w:tcMar>
              <w:left w:w="108" w:type="dxa"/>
              <w:right w:w="108" w:type="dxa"/>
            </w:tcMar>
            <w:vAlign w:val="center"/>
          </w:tcPr>
          <w:p w14:paraId="1F4787C2">
            <w:pPr>
              <w:jc w:val="center"/>
              <w:rPr>
                <w:rFonts w:ascii="Times New Roman" w:hAnsi="Times New Roman" w:eastAsia="宋体" w:cs="Times New Roman"/>
                <w:highlight w:val="none"/>
              </w:rPr>
            </w:pPr>
            <w:r>
              <w:rPr>
                <w:rFonts w:ascii="Times New Roman" w:hAnsi="Times New Roman" w:eastAsia="宋体" w:cs="Times New Roman"/>
                <w:highlight w:val="none"/>
              </w:rPr>
              <w:t>140</w:t>
            </w:r>
          </w:p>
        </w:tc>
        <w:tc>
          <w:tcPr>
            <w:tcW w:w="2241" w:type="dxa"/>
            <w:tcMar>
              <w:left w:w="108" w:type="dxa"/>
              <w:right w:w="108" w:type="dxa"/>
            </w:tcMar>
            <w:vAlign w:val="center"/>
          </w:tcPr>
          <w:p w14:paraId="42ABACE5">
            <w:pPr>
              <w:jc w:val="center"/>
              <w:rPr>
                <w:rFonts w:ascii="Times New Roman" w:hAnsi="Times New Roman" w:eastAsia="宋体" w:cs="Times New Roman"/>
                <w:highlight w:val="none"/>
              </w:rPr>
            </w:pPr>
            <w:r>
              <w:rPr>
                <w:rFonts w:ascii="Times New Roman" w:hAnsi="Times New Roman" w:eastAsia="宋体" w:cs="Times New Roman"/>
                <w:highlight w:val="none"/>
              </w:rPr>
              <w:t>爆炸上限/下限</w:t>
            </w:r>
            <w:r>
              <w:rPr>
                <w:rFonts w:hint="eastAsia" w:cs="Times New Roman"/>
                <w:highlight w:val="none"/>
                <w:lang w:eastAsia="zh-CN"/>
              </w:rPr>
              <w:t>（</w:t>
            </w:r>
            <w:r>
              <w:rPr>
                <w:rFonts w:ascii="Times New Roman" w:hAnsi="Times New Roman" w:eastAsia="宋体" w:cs="Times New Roman"/>
                <w:highlight w:val="none"/>
              </w:rPr>
              <w:t>%</w:t>
            </w:r>
            <w:r>
              <w:rPr>
                <w:rFonts w:hint="eastAsia" w:cs="Times New Roman"/>
                <w:highlight w:val="none"/>
                <w:lang w:eastAsia="zh-CN"/>
              </w:rPr>
              <w:t>）</w:t>
            </w:r>
            <w:r>
              <w:rPr>
                <w:rFonts w:ascii="Times New Roman" w:hAnsi="Times New Roman" w:eastAsia="宋体" w:cs="Times New Roman"/>
                <w:highlight w:val="none"/>
              </w:rPr>
              <w:t>V/V</w:t>
            </w:r>
          </w:p>
        </w:tc>
        <w:tc>
          <w:tcPr>
            <w:tcW w:w="3216" w:type="dxa"/>
            <w:tcMar>
              <w:left w:w="108" w:type="dxa"/>
              <w:right w:w="108" w:type="dxa"/>
            </w:tcMar>
            <w:vAlign w:val="center"/>
          </w:tcPr>
          <w:p w14:paraId="6D3922E3">
            <w:pPr>
              <w:jc w:val="center"/>
              <w:rPr>
                <w:rFonts w:ascii="Times New Roman" w:hAnsi="Times New Roman" w:eastAsia="宋体" w:cs="Times New Roman"/>
                <w:highlight w:val="none"/>
              </w:rPr>
            </w:pPr>
            <w:r>
              <w:rPr>
                <w:rFonts w:ascii="Times New Roman" w:hAnsi="Times New Roman" w:eastAsia="宋体" w:cs="Times New Roman"/>
                <w:highlight w:val="none"/>
              </w:rPr>
              <w:t>57.0/4.0</w:t>
            </w:r>
          </w:p>
        </w:tc>
      </w:tr>
      <w:tr w14:paraId="39265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0" w:type="auto"/>
            <w:vMerge w:val="continue"/>
            <w:tcMar>
              <w:left w:w="108" w:type="dxa"/>
              <w:right w:w="108" w:type="dxa"/>
            </w:tcMar>
            <w:vAlign w:val="center"/>
          </w:tcPr>
          <w:p w14:paraId="3FA5F882">
            <w:pPr>
              <w:rPr>
                <w:highlight w:val="none"/>
              </w:rPr>
            </w:pPr>
          </w:p>
        </w:tc>
        <w:tc>
          <w:tcPr>
            <w:tcW w:w="0" w:type="auto"/>
            <w:tcMar>
              <w:left w:w="108" w:type="dxa"/>
              <w:right w:w="108" w:type="dxa"/>
            </w:tcMar>
            <w:vAlign w:val="center"/>
          </w:tcPr>
          <w:p w14:paraId="6838FE3D">
            <w:pPr>
              <w:jc w:val="center"/>
              <w:rPr>
                <w:rFonts w:hint="eastAsia" w:eastAsia="宋体"/>
                <w:highlight w:val="none"/>
                <w:lang w:eastAsia="zh-CN"/>
              </w:rPr>
            </w:pPr>
            <w:r>
              <w:rPr>
                <w:highlight w:val="none"/>
              </w:rPr>
              <w:t>临界压力</w:t>
            </w:r>
            <w:r>
              <w:rPr>
                <w:rFonts w:hint="eastAsia"/>
                <w:highlight w:val="none"/>
                <w:lang w:eastAsia="zh-CN"/>
              </w:rPr>
              <w:t>（</w:t>
            </w:r>
            <w:r>
              <w:rPr>
                <w:highlight w:val="none"/>
              </w:rPr>
              <w:t>Mpa</w:t>
            </w:r>
            <w:r>
              <w:rPr>
                <w:rFonts w:hint="eastAsia"/>
                <w:highlight w:val="none"/>
                <w:lang w:eastAsia="zh-CN"/>
              </w:rPr>
              <w:t>）</w:t>
            </w:r>
          </w:p>
        </w:tc>
        <w:tc>
          <w:tcPr>
            <w:tcW w:w="1443" w:type="dxa"/>
            <w:tcMar>
              <w:left w:w="108" w:type="dxa"/>
              <w:right w:w="108" w:type="dxa"/>
            </w:tcMar>
            <w:vAlign w:val="center"/>
          </w:tcPr>
          <w:p w14:paraId="3A02FB50">
            <w:pPr>
              <w:jc w:val="center"/>
              <w:rPr>
                <w:highlight w:val="none"/>
              </w:rPr>
            </w:pPr>
            <w:r>
              <w:rPr>
                <w:highlight w:val="none"/>
              </w:rPr>
              <w:t>无资料</w:t>
            </w:r>
          </w:p>
        </w:tc>
        <w:tc>
          <w:tcPr>
            <w:tcW w:w="2241" w:type="dxa"/>
            <w:tcMar>
              <w:left w:w="108" w:type="dxa"/>
              <w:right w:w="108" w:type="dxa"/>
            </w:tcMar>
            <w:vAlign w:val="center"/>
          </w:tcPr>
          <w:p w14:paraId="3B98DD5A">
            <w:pPr>
              <w:jc w:val="center"/>
              <w:rPr>
                <w:rFonts w:hint="eastAsia" w:eastAsia="宋体"/>
                <w:highlight w:val="none"/>
                <w:lang w:eastAsia="zh-CN"/>
              </w:rPr>
            </w:pPr>
            <w:r>
              <w:rPr>
                <w:highlight w:val="none"/>
              </w:rPr>
              <w:t>临界温度</w:t>
            </w:r>
            <w:r>
              <w:rPr>
                <w:rFonts w:hint="eastAsia"/>
                <w:highlight w:val="none"/>
                <w:lang w:eastAsia="zh-CN"/>
              </w:rPr>
              <w:t>（</w:t>
            </w:r>
            <w:r>
              <w:rPr>
                <w:highlight w:val="none"/>
              </w:rPr>
              <w:t>℃</w:t>
            </w:r>
            <w:r>
              <w:rPr>
                <w:rFonts w:hint="eastAsia"/>
                <w:highlight w:val="none"/>
                <w:lang w:eastAsia="zh-CN"/>
              </w:rPr>
              <w:t>）</w:t>
            </w:r>
          </w:p>
        </w:tc>
        <w:tc>
          <w:tcPr>
            <w:tcW w:w="3216" w:type="dxa"/>
            <w:tcMar>
              <w:left w:w="108" w:type="dxa"/>
              <w:right w:w="108" w:type="dxa"/>
            </w:tcMar>
            <w:vAlign w:val="center"/>
          </w:tcPr>
          <w:p w14:paraId="02B25391">
            <w:pPr>
              <w:jc w:val="center"/>
              <w:rPr>
                <w:highlight w:val="none"/>
              </w:rPr>
            </w:pPr>
            <w:r>
              <w:rPr>
                <w:highlight w:val="none"/>
              </w:rPr>
              <w:t>188</w:t>
            </w:r>
          </w:p>
        </w:tc>
      </w:tr>
      <w:tr w14:paraId="61E21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5" w:hRule="atLeast"/>
          <w:jc w:val="center"/>
        </w:trPr>
        <w:tc>
          <w:tcPr>
            <w:tcW w:w="0" w:type="auto"/>
            <w:vMerge w:val="continue"/>
            <w:tcMar>
              <w:left w:w="108" w:type="dxa"/>
              <w:right w:w="108" w:type="dxa"/>
            </w:tcMar>
            <w:vAlign w:val="center"/>
          </w:tcPr>
          <w:p w14:paraId="60114B3E">
            <w:pPr>
              <w:rPr>
                <w:highlight w:val="none"/>
              </w:rPr>
            </w:pPr>
          </w:p>
        </w:tc>
        <w:tc>
          <w:tcPr>
            <w:tcW w:w="0" w:type="auto"/>
            <w:tcMar>
              <w:left w:w="108" w:type="dxa"/>
              <w:right w:w="108" w:type="dxa"/>
            </w:tcMar>
            <w:vAlign w:val="center"/>
          </w:tcPr>
          <w:p w14:paraId="0B4C8D2B">
            <w:pPr>
              <w:jc w:val="center"/>
              <w:rPr>
                <w:highlight w:val="none"/>
              </w:rPr>
            </w:pPr>
            <w:r>
              <w:rPr>
                <w:highlight w:val="none"/>
              </w:rPr>
              <w:t>主要用途</w:t>
            </w:r>
          </w:p>
        </w:tc>
        <w:tc>
          <w:tcPr>
            <w:tcW w:w="0" w:type="auto"/>
            <w:gridSpan w:val="3"/>
            <w:tcMar>
              <w:left w:w="108" w:type="dxa"/>
              <w:right w:w="108" w:type="dxa"/>
            </w:tcMar>
            <w:vAlign w:val="center"/>
          </w:tcPr>
          <w:p w14:paraId="28AC20FB">
            <w:pPr>
              <w:jc w:val="center"/>
              <w:rPr>
                <w:highlight w:val="none"/>
              </w:rPr>
            </w:pPr>
            <w:r>
              <w:rPr>
                <w:highlight w:val="none"/>
              </w:rPr>
              <w:t>用于制造醋酸、醋酐和合成树脂。</w:t>
            </w:r>
          </w:p>
        </w:tc>
      </w:tr>
      <w:tr w14:paraId="7E829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5" w:hRule="atLeast"/>
          <w:jc w:val="center"/>
        </w:trPr>
        <w:tc>
          <w:tcPr>
            <w:tcW w:w="0" w:type="auto"/>
            <w:vMerge w:val="continue"/>
            <w:tcMar>
              <w:left w:w="108" w:type="dxa"/>
              <w:right w:w="108" w:type="dxa"/>
            </w:tcMar>
            <w:vAlign w:val="center"/>
          </w:tcPr>
          <w:p w14:paraId="36F4F524">
            <w:pPr>
              <w:rPr>
                <w:highlight w:val="none"/>
              </w:rPr>
            </w:pPr>
          </w:p>
        </w:tc>
        <w:tc>
          <w:tcPr>
            <w:tcW w:w="0" w:type="auto"/>
            <w:tcMar>
              <w:left w:w="108" w:type="dxa"/>
              <w:right w:w="108" w:type="dxa"/>
            </w:tcMar>
            <w:vAlign w:val="center"/>
          </w:tcPr>
          <w:p w14:paraId="4F219F49">
            <w:pPr>
              <w:jc w:val="center"/>
              <w:rPr>
                <w:highlight w:val="none"/>
              </w:rPr>
            </w:pPr>
            <w:r>
              <w:rPr>
                <w:highlight w:val="none"/>
              </w:rPr>
              <w:t>溶解性</w:t>
            </w:r>
          </w:p>
        </w:tc>
        <w:tc>
          <w:tcPr>
            <w:tcW w:w="0" w:type="auto"/>
            <w:gridSpan w:val="3"/>
            <w:tcMar>
              <w:left w:w="108" w:type="dxa"/>
              <w:right w:w="108" w:type="dxa"/>
            </w:tcMar>
            <w:vAlign w:val="center"/>
          </w:tcPr>
          <w:p w14:paraId="03C38C51">
            <w:pPr>
              <w:jc w:val="center"/>
              <w:rPr>
                <w:highlight w:val="none"/>
              </w:rPr>
            </w:pPr>
            <w:r>
              <w:rPr>
                <w:highlight w:val="none"/>
              </w:rPr>
              <w:t>溶于水，可混溶于乙醇</w:t>
            </w:r>
            <w:r>
              <w:rPr>
                <w:rFonts w:hint="eastAsia"/>
                <w:highlight w:val="none"/>
                <w:lang w:eastAsia="zh-CN"/>
              </w:rPr>
              <w:t>和</w:t>
            </w:r>
            <w:r>
              <w:rPr>
                <w:highlight w:val="none"/>
              </w:rPr>
              <w:t>乙醚。</w:t>
            </w:r>
          </w:p>
        </w:tc>
      </w:tr>
      <w:tr w14:paraId="5E6AC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0" w:type="auto"/>
            <w:vMerge w:val="restart"/>
            <w:tcMar>
              <w:left w:w="108" w:type="dxa"/>
              <w:right w:w="108" w:type="dxa"/>
            </w:tcMar>
            <w:vAlign w:val="center"/>
          </w:tcPr>
          <w:p w14:paraId="0E483838">
            <w:pPr>
              <w:jc w:val="center"/>
              <w:rPr>
                <w:highlight w:val="none"/>
              </w:rPr>
            </w:pPr>
            <w:r>
              <w:rPr>
                <w:highlight w:val="none"/>
              </w:rPr>
              <w:t>毒性及健康危害</w:t>
            </w:r>
          </w:p>
        </w:tc>
        <w:tc>
          <w:tcPr>
            <w:tcW w:w="0" w:type="auto"/>
            <w:tcMar>
              <w:left w:w="108" w:type="dxa"/>
              <w:right w:w="108" w:type="dxa"/>
            </w:tcMar>
            <w:vAlign w:val="center"/>
          </w:tcPr>
          <w:p w14:paraId="685E3BB9">
            <w:pPr>
              <w:jc w:val="center"/>
              <w:rPr>
                <w:highlight w:val="none"/>
              </w:rPr>
            </w:pPr>
            <w:r>
              <w:rPr>
                <w:highlight w:val="none"/>
              </w:rPr>
              <w:t>急性毒性</w:t>
            </w:r>
          </w:p>
        </w:tc>
        <w:tc>
          <w:tcPr>
            <w:tcW w:w="0" w:type="auto"/>
            <w:gridSpan w:val="3"/>
            <w:tcMar>
              <w:left w:w="108" w:type="dxa"/>
              <w:right w:w="108" w:type="dxa"/>
            </w:tcMar>
            <w:vAlign w:val="center"/>
          </w:tcPr>
          <w:p w14:paraId="0E374039">
            <w:pPr>
              <w:jc w:val="center"/>
              <w:rPr>
                <w:rFonts w:hint="eastAsia" w:eastAsia="宋体"/>
                <w:highlight w:val="none"/>
                <w:lang w:eastAsia="zh-CN"/>
              </w:rPr>
            </w:pPr>
            <w:r>
              <w:rPr>
                <w:highlight w:val="none"/>
              </w:rPr>
              <w:t>LD50：1930 mg/kg</w:t>
            </w:r>
            <w:r>
              <w:rPr>
                <w:rFonts w:hint="eastAsia"/>
                <w:highlight w:val="none"/>
                <w:lang w:eastAsia="zh-CN"/>
              </w:rPr>
              <w:t>（</w:t>
            </w:r>
            <w:r>
              <w:rPr>
                <w:highlight w:val="none"/>
              </w:rPr>
              <w:t>大鼠经口</w:t>
            </w:r>
            <w:r>
              <w:rPr>
                <w:rFonts w:hint="eastAsia"/>
                <w:highlight w:val="none"/>
                <w:lang w:eastAsia="zh-CN"/>
              </w:rPr>
              <w:t>）</w:t>
            </w:r>
            <w:r>
              <w:rPr>
                <w:highlight w:val="none"/>
              </w:rPr>
              <w:t xml:space="preserve"> LC50：37000mg/m</w:t>
            </w:r>
            <w:r>
              <w:rPr>
                <w:highlight w:val="none"/>
                <w:vertAlign w:val="superscript"/>
              </w:rPr>
              <w:t>3</w:t>
            </w:r>
            <w:r>
              <w:rPr>
                <w:highlight w:val="none"/>
              </w:rPr>
              <w:t>，1/2小时</w:t>
            </w:r>
            <w:r>
              <w:rPr>
                <w:rFonts w:hint="eastAsia"/>
                <w:highlight w:val="none"/>
                <w:lang w:eastAsia="zh-CN"/>
              </w:rPr>
              <w:t>（</w:t>
            </w:r>
            <w:r>
              <w:rPr>
                <w:highlight w:val="none"/>
              </w:rPr>
              <w:t>大鼠吸入</w:t>
            </w:r>
            <w:r>
              <w:rPr>
                <w:rFonts w:hint="eastAsia"/>
                <w:highlight w:val="none"/>
                <w:lang w:eastAsia="zh-CN"/>
              </w:rPr>
              <w:t>）</w:t>
            </w:r>
          </w:p>
        </w:tc>
      </w:tr>
      <w:tr w14:paraId="71D68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32" w:hRule="atLeast"/>
          <w:jc w:val="center"/>
        </w:trPr>
        <w:tc>
          <w:tcPr>
            <w:tcW w:w="0" w:type="auto"/>
            <w:vMerge w:val="continue"/>
            <w:tcMar>
              <w:left w:w="108" w:type="dxa"/>
              <w:right w:w="108" w:type="dxa"/>
            </w:tcMar>
            <w:vAlign w:val="center"/>
          </w:tcPr>
          <w:p w14:paraId="33F9A17A">
            <w:pPr>
              <w:jc w:val="center"/>
              <w:rPr>
                <w:highlight w:val="none"/>
              </w:rPr>
            </w:pPr>
          </w:p>
        </w:tc>
        <w:tc>
          <w:tcPr>
            <w:tcW w:w="0" w:type="auto"/>
            <w:tcMar>
              <w:left w:w="108" w:type="dxa"/>
              <w:right w:w="108" w:type="dxa"/>
            </w:tcMar>
            <w:vAlign w:val="center"/>
          </w:tcPr>
          <w:p w14:paraId="4E92E5E2">
            <w:pPr>
              <w:jc w:val="center"/>
              <w:rPr>
                <w:highlight w:val="none"/>
              </w:rPr>
            </w:pPr>
            <w:r>
              <w:rPr>
                <w:highlight w:val="none"/>
              </w:rPr>
              <w:t>健康危害</w:t>
            </w:r>
          </w:p>
        </w:tc>
        <w:tc>
          <w:tcPr>
            <w:tcW w:w="0" w:type="auto"/>
            <w:gridSpan w:val="3"/>
            <w:tcMar>
              <w:left w:w="108" w:type="dxa"/>
              <w:right w:w="108" w:type="dxa"/>
            </w:tcMar>
            <w:vAlign w:val="center"/>
          </w:tcPr>
          <w:p w14:paraId="508FFED9">
            <w:pPr>
              <w:jc w:val="center"/>
              <w:rPr>
                <w:highlight w:val="none"/>
              </w:rPr>
            </w:pPr>
            <w:r>
              <w:rPr>
                <w:highlight w:val="none"/>
              </w:rPr>
              <w:t>低浓度</w:t>
            </w:r>
            <w:r>
              <w:rPr>
                <w:rFonts w:hint="eastAsia"/>
                <w:highlight w:val="none"/>
                <w:lang w:eastAsia="zh-CN"/>
              </w:rPr>
              <w:t>会</w:t>
            </w:r>
            <w:r>
              <w:rPr>
                <w:highlight w:val="none"/>
              </w:rPr>
              <w:t>引起眼、鼻及上呼吸道刺激症状及支气管炎。高浓度吸入尚有麻醉作用。表现出头痛、嗜睡、神志不清及支气管炎、肺水肿、腹泻、蛋白尿和心肌脂肪变性</w:t>
            </w:r>
            <w:r>
              <w:rPr>
                <w:rFonts w:hint="eastAsia"/>
                <w:highlight w:val="none"/>
                <w:lang w:eastAsia="zh-CN"/>
              </w:rPr>
              <w:t>等症状</w:t>
            </w:r>
            <w:r>
              <w:rPr>
                <w:highlight w:val="none"/>
              </w:rPr>
              <w:t>。可致死。误服</w:t>
            </w:r>
            <w:r>
              <w:rPr>
                <w:rFonts w:hint="eastAsia"/>
                <w:highlight w:val="none"/>
                <w:lang w:eastAsia="zh-CN"/>
              </w:rPr>
              <w:t>可</w:t>
            </w:r>
            <w:r>
              <w:rPr>
                <w:highlight w:val="none"/>
              </w:rPr>
              <w:t>出现胃肠道刺激症状、麻醉作用以及心、肝、肾损害。对皮肤有腐蚀性。反复接触</w:t>
            </w:r>
            <w:r>
              <w:rPr>
                <w:rFonts w:hint="eastAsia"/>
                <w:highlight w:val="none"/>
                <w:lang w:eastAsia="zh-CN"/>
              </w:rPr>
              <w:t>蒸汽会</w:t>
            </w:r>
            <w:r>
              <w:rPr>
                <w:highlight w:val="none"/>
              </w:rPr>
              <w:t>引起皮炎、结膜炎。慢性中毒：类似酒精中毒。表现出体重减轻、贫血、谵妄、视听幻觉、智力丧失和精神障碍。</w:t>
            </w:r>
          </w:p>
        </w:tc>
      </w:tr>
      <w:tr w14:paraId="3EB5D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5" w:hRule="atLeast"/>
          <w:jc w:val="center"/>
        </w:trPr>
        <w:tc>
          <w:tcPr>
            <w:tcW w:w="0" w:type="auto"/>
            <w:vMerge w:val="restart"/>
            <w:tcMar>
              <w:left w:w="108" w:type="dxa"/>
              <w:right w:w="108" w:type="dxa"/>
            </w:tcMar>
            <w:vAlign w:val="center"/>
          </w:tcPr>
          <w:p w14:paraId="38B8C4F3">
            <w:pPr>
              <w:jc w:val="center"/>
              <w:rPr>
                <w:highlight w:val="none"/>
              </w:rPr>
            </w:pPr>
            <w:r>
              <w:rPr>
                <w:highlight w:val="none"/>
              </w:rPr>
              <w:t>燃烧爆炸危险性</w:t>
            </w:r>
          </w:p>
        </w:tc>
        <w:tc>
          <w:tcPr>
            <w:tcW w:w="0" w:type="auto"/>
            <w:tcMar>
              <w:left w:w="108" w:type="dxa"/>
              <w:right w:w="108" w:type="dxa"/>
            </w:tcMar>
            <w:vAlign w:val="center"/>
          </w:tcPr>
          <w:p w14:paraId="78D661AD">
            <w:pPr>
              <w:jc w:val="center"/>
              <w:rPr>
                <w:highlight w:val="none"/>
              </w:rPr>
            </w:pPr>
            <w:r>
              <w:rPr>
                <w:highlight w:val="none"/>
              </w:rPr>
              <w:t>燃爆危险</w:t>
            </w:r>
          </w:p>
        </w:tc>
        <w:tc>
          <w:tcPr>
            <w:tcW w:w="0" w:type="auto"/>
            <w:gridSpan w:val="3"/>
            <w:tcMar>
              <w:left w:w="108" w:type="dxa"/>
              <w:right w:w="108" w:type="dxa"/>
            </w:tcMar>
            <w:vAlign w:val="center"/>
          </w:tcPr>
          <w:p w14:paraId="0A0346E6">
            <w:pPr>
              <w:jc w:val="center"/>
              <w:rPr>
                <w:highlight w:val="none"/>
              </w:rPr>
            </w:pPr>
            <w:r>
              <w:rPr>
                <w:highlight w:val="none"/>
              </w:rPr>
              <w:t>本品极易燃烧，</w:t>
            </w:r>
            <w:r>
              <w:rPr>
                <w:rFonts w:hint="eastAsia"/>
                <w:highlight w:val="none"/>
                <w:lang w:eastAsia="zh-CN"/>
              </w:rPr>
              <w:t>具有</w:t>
            </w:r>
            <w:r>
              <w:rPr>
                <w:highlight w:val="none"/>
              </w:rPr>
              <w:t>刺激性</w:t>
            </w:r>
            <w:r>
              <w:rPr>
                <w:rFonts w:hint="eastAsia"/>
                <w:highlight w:val="none"/>
                <w:lang w:eastAsia="zh-CN"/>
              </w:rPr>
              <w:t>、</w:t>
            </w:r>
            <w:r>
              <w:rPr>
                <w:highlight w:val="none"/>
              </w:rPr>
              <w:t>致敏性。</w:t>
            </w:r>
          </w:p>
        </w:tc>
      </w:tr>
      <w:tr w14:paraId="410BF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86" w:hRule="atLeast"/>
          <w:jc w:val="center"/>
        </w:trPr>
        <w:tc>
          <w:tcPr>
            <w:tcW w:w="0" w:type="auto"/>
            <w:vMerge w:val="continue"/>
            <w:tcMar>
              <w:left w:w="108" w:type="dxa"/>
              <w:right w:w="108" w:type="dxa"/>
            </w:tcMar>
            <w:vAlign w:val="center"/>
          </w:tcPr>
          <w:p w14:paraId="129651AA">
            <w:pPr>
              <w:jc w:val="center"/>
              <w:rPr>
                <w:highlight w:val="none"/>
              </w:rPr>
            </w:pPr>
          </w:p>
        </w:tc>
        <w:tc>
          <w:tcPr>
            <w:tcW w:w="0" w:type="auto"/>
            <w:tcMar>
              <w:left w:w="108" w:type="dxa"/>
              <w:right w:w="108" w:type="dxa"/>
            </w:tcMar>
            <w:vAlign w:val="center"/>
          </w:tcPr>
          <w:p w14:paraId="7A8557EF">
            <w:pPr>
              <w:jc w:val="center"/>
              <w:rPr>
                <w:highlight w:val="none"/>
              </w:rPr>
            </w:pPr>
            <w:r>
              <w:rPr>
                <w:highlight w:val="none"/>
              </w:rPr>
              <w:t>危险特性</w:t>
            </w:r>
          </w:p>
        </w:tc>
        <w:tc>
          <w:tcPr>
            <w:tcW w:w="0" w:type="auto"/>
            <w:gridSpan w:val="3"/>
            <w:tcMar>
              <w:left w:w="108" w:type="dxa"/>
              <w:right w:w="108" w:type="dxa"/>
            </w:tcMar>
            <w:vAlign w:val="center"/>
          </w:tcPr>
          <w:p w14:paraId="3523650A">
            <w:pPr>
              <w:jc w:val="center"/>
              <w:rPr>
                <w:highlight w:val="none"/>
              </w:rPr>
            </w:pPr>
            <w:r>
              <w:rPr>
                <w:highlight w:val="none"/>
              </w:rPr>
              <w:t>极易燃，甚至在低温下的微量也能与空气形成爆炸性混合物</w:t>
            </w:r>
            <w:r>
              <w:rPr>
                <w:rFonts w:hint="eastAsia"/>
                <w:highlight w:val="none"/>
                <w:lang w:eastAsia="zh-CN"/>
              </w:rPr>
              <w:t>。</w:t>
            </w:r>
            <w:r>
              <w:rPr>
                <w:highlight w:val="none"/>
              </w:rPr>
              <w:t>遇火星、高温、氧化剂、易燃物、氨、硫化氢、卤素、磷、强碱、胺类、醇、酮、酯、酚等有燃烧爆炸危险。在空气中含量若升高至能产生爆炸性的过氧化物，受热可能发生剧烈的聚合反应。其</w:t>
            </w:r>
            <w:r>
              <w:rPr>
                <w:rFonts w:hint="eastAsia"/>
                <w:highlight w:val="none"/>
                <w:lang w:eastAsia="zh-CN"/>
              </w:rPr>
              <w:t>蒸汽</w:t>
            </w:r>
            <w:r>
              <w:rPr>
                <w:highlight w:val="none"/>
              </w:rPr>
              <w:t>比空气重，能在较低处扩散到相当远的地方，遇火源会着火回燃。</w:t>
            </w:r>
          </w:p>
        </w:tc>
      </w:tr>
      <w:tr w14:paraId="7EE58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0" w:type="auto"/>
            <w:vMerge w:val="continue"/>
            <w:tcMar>
              <w:left w:w="108" w:type="dxa"/>
              <w:right w:w="108" w:type="dxa"/>
            </w:tcMar>
            <w:vAlign w:val="center"/>
          </w:tcPr>
          <w:p w14:paraId="1CA5D405">
            <w:pPr>
              <w:jc w:val="center"/>
              <w:rPr>
                <w:highlight w:val="none"/>
              </w:rPr>
            </w:pPr>
          </w:p>
        </w:tc>
        <w:tc>
          <w:tcPr>
            <w:tcW w:w="0" w:type="auto"/>
            <w:tcMar>
              <w:left w:w="108" w:type="dxa"/>
              <w:right w:w="108" w:type="dxa"/>
            </w:tcMar>
            <w:vAlign w:val="center"/>
          </w:tcPr>
          <w:p w14:paraId="60943ADC">
            <w:pPr>
              <w:jc w:val="center"/>
              <w:rPr>
                <w:highlight w:val="none"/>
              </w:rPr>
            </w:pPr>
            <w:r>
              <w:rPr>
                <w:highlight w:val="none"/>
              </w:rPr>
              <w:t>灭火方法</w:t>
            </w:r>
          </w:p>
        </w:tc>
        <w:tc>
          <w:tcPr>
            <w:tcW w:w="0" w:type="auto"/>
            <w:gridSpan w:val="3"/>
            <w:tcMar>
              <w:left w:w="108" w:type="dxa"/>
              <w:right w:w="108" w:type="dxa"/>
            </w:tcMar>
            <w:vAlign w:val="center"/>
          </w:tcPr>
          <w:p w14:paraId="73D9EAE7">
            <w:pPr>
              <w:jc w:val="center"/>
              <w:rPr>
                <w:highlight w:val="none"/>
              </w:rPr>
            </w:pPr>
            <w:r>
              <w:rPr>
                <w:highlight w:val="none"/>
              </w:rPr>
              <w:t>遇到大火，消防人员须在有防爆掩蔽处操作。抗溶性泡沫、二氧化碳、干粉、砂土。用水灭火无效。</w:t>
            </w:r>
          </w:p>
        </w:tc>
      </w:tr>
      <w:tr w14:paraId="2B935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0" w:type="auto"/>
            <w:vMerge w:val="continue"/>
            <w:tcMar>
              <w:left w:w="108" w:type="dxa"/>
              <w:right w:w="108" w:type="dxa"/>
            </w:tcMar>
            <w:vAlign w:val="center"/>
          </w:tcPr>
          <w:p w14:paraId="7B897BE7">
            <w:pPr>
              <w:jc w:val="center"/>
              <w:rPr>
                <w:highlight w:val="none"/>
              </w:rPr>
            </w:pPr>
          </w:p>
        </w:tc>
        <w:tc>
          <w:tcPr>
            <w:tcW w:w="0" w:type="auto"/>
            <w:tcMar>
              <w:left w:w="108" w:type="dxa"/>
              <w:right w:w="108" w:type="dxa"/>
            </w:tcMar>
            <w:vAlign w:val="center"/>
          </w:tcPr>
          <w:p w14:paraId="3578E83B">
            <w:pPr>
              <w:jc w:val="center"/>
              <w:rPr>
                <w:highlight w:val="none"/>
              </w:rPr>
            </w:pPr>
            <w:r>
              <w:rPr>
                <w:highlight w:val="none"/>
              </w:rPr>
              <w:t>有害分解产物</w:t>
            </w:r>
          </w:p>
        </w:tc>
        <w:tc>
          <w:tcPr>
            <w:tcW w:w="0" w:type="auto"/>
            <w:gridSpan w:val="3"/>
            <w:tcMar>
              <w:left w:w="108" w:type="dxa"/>
              <w:right w:w="108" w:type="dxa"/>
            </w:tcMar>
            <w:vAlign w:val="center"/>
          </w:tcPr>
          <w:p w14:paraId="624B116B">
            <w:pPr>
              <w:jc w:val="center"/>
              <w:rPr>
                <w:highlight w:val="none"/>
              </w:rPr>
            </w:pPr>
            <w:r>
              <w:rPr>
                <w:highlight w:val="none"/>
              </w:rPr>
              <w:t>一氧化碳、二氧化碳。</w:t>
            </w:r>
          </w:p>
        </w:tc>
      </w:tr>
      <w:tr w14:paraId="62991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5" w:hRule="atLeast"/>
          <w:jc w:val="center"/>
        </w:trPr>
        <w:tc>
          <w:tcPr>
            <w:tcW w:w="0" w:type="auto"/>
            <w:vMerge w:val="restart"/>
            <w:tcMar>
              <w:left w:w="108" w:type="dxa"/>
              <w:right w:w="108" w:type="dxa"/>
            </w:tcMar>
            <w:vAlign w:val="center"/>
          </w:tcPr>
          <w:p w14:paraId="65CE82BC">
            <w:pPr>
              <w:jc w:val="center"/>
              <w:rPr>
                <w:highlight w:val="none"/>
              </w:rPr>
            </w:pPr>
            <w:r>
              <w:rPr>
                <w:highlight w:val="none"/>
              </w:rPr>
              <w:t>急救措施</w:t>
            </w:r>
          </w:p>
        </w:tc>
        <w:tc>
          <w:tcPr>
            <w:tcW w:w="0" w:type="auto"/>
            <w:gridSpan w:val="4"/>
            <w:tcMar>
              <w:left w:w="108" w:type="dxa"/>
              <w:right w:w="108" w:type="dxa"/>
            </w:tcMar>
            <w:vAlign w:val="center"/>
          </w:tcPr>
          <w:p w14:paraId="5963D43D">
            <w:pPr>
              <w:jc w:val="center"/>
              <w:rPr>
                <w:highlight w:val="none"/>
              </w:rPr>
            </w:pPr>
            <w:r>
              <w:rPr>
                <w:highlight w:val="none"/>
              </w:rPr>
              <w:t>①皮肤接触：脱去污染的衣物，用肥皂水和清水彻底冲洗皮肤。</w:t>
            </w:r>
          </w:p>
        </w:tc>
      </w:tr>
      <w:tr w14:paraId="5848D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5" w:hRule="atLeast"/>
          <w:jc w:val="center"/>
        </w:trPr>
        <w:tc>
          <w:tcPr>
            <w:tcW w:w="0" w:type="auto"/>
            <w:vMerge w:val="continue"/>
            <w:tcMar>
              <w:left w:w="108" w:type="dxa"/>
              <w:right w:w="108" w:type="dxa"/>
            </w:tcMar>
            <w:vAlign w:val="center"/>
          </w:tcPr>
          <w:p w14:paraId="2C35F5BF">
            <w:pPr>
              <w:jc w:val="center"/>
              <w:rPr>
                <w:highlight w:val="none"/>
              </w:rPr>
            </w:pPr>
          </w:p>
        </w:tc>
        <w:tc>
          <w:tcPr>
            <w:tcW w:w="0" w:type="auto"/>
            <w:gridSpan w:val="4"/>
            <w:tcMar>
              <w:left w:w="108" w:type="dxa"/>
              <w:right w:w="108" w:type="dxa"/>
            </w:tcMar>
            <w:vAlign w:val="center"/>
          </w:tcPr>
          <w:p w14:paraId="6883A97B">
            <w:pPr>
              <w:jc w:val="center"/>
              <w:rPr>
                <w:highlight w:val="none"/>
              </w:rPr>
            </w:pPr>
            <w:r>
              <w:rPr>
                <w:highlight w:val="none"/>
              </w:rPr>
              <w:t>②眼睛接触：提起眼睑，用流动清水或生理盐水冲洗。就医。</w:t>
            </w:r>
          </w:p>
        </w:tc>
      </w:tr>
      <w:tr w14:paraId="411AB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0" w:type="auto"/>
            <w:vMerge w:val="continue"/>
            <w:tcMar>
              <w:left w:w="108" w:type="dxa"/>
              <w:right w:w="108" w:type="dxa"/>
            </w:tcMar>
            <w:vAlign w:val="center"/>
          </w:tcPr>
          <w:p w14:paraId="43D6A009">
            <w:pPr>
              <w:jc w:val="center"/>
              <w:rPr>
                <w:highlight w:val="none"/>
              </w:rPr>
            </w:pPr>
          </w:p>
        </w:tc>
        <w:tc>
          <w:tcPr>
            <w:tcW w:w="0" w:type="auto"/>
            <w:gridSpan w:val="4"/>
            <w:tcMar>
              <w:left w:w="108" w:type="dxa"/>
              <w:right w:w="108" w:type="dxa"/>
            </w:tcMar>
            <w:vAlign w:val="center"/>
          </w:tcPr>
          <w:p w14:paraId="10380F15">
            <w:pPr>
              <w:jc w:val="center"/>
              <w:rPr>
                <w:highlight w:val="none"/>
              </w:rPr>
            </w:pPr>
            <w:r>
              <w:rPr>
                <w:highlight w:val="none"/>
              </w:rPr>
              <w:t>③吸入：迅速脱离现场至空气新鲜处。保持呼吸道通畅。</w:t>
            </w:r>
            <w:r>
              <w:rPr>
                <w:rFonts w:hint="eastAsia"/>
                <w:highlight w:val="none"/>
                <w:lang w:eastAsia="zh-CN"/>
              </w:rPr>
              <w:t>如果患者感到呼吸困难，应该给患者输氧。</w:t>
            </w:r>
            <w:r>
              <w:rPr>
                <w:highlight w:val="none"/>
              </w:rPr>
              <w:t>如呼吸停止，立即进行人工呼吸。就医。</w:t>
            </w:r>
          </w:p>
        </w:tc>
      </w:tr>
      <w:tr w14:paraId="1CAA7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5" w:hRule="atLeast"/>
          <w:jc w:val="center"/>
        </w:trPr>
        <w:tc>
          <w:tcPr>
            <w:tcW w:w="0" w:type="auto"/>
            <w:vMerge w:val="continue"/>
            <w:tcMar>
              <w:left w:w="108" w:type="dxa"/>
              <w:right w:w="108" w:type="dxa"/>
            </w:tcMar>
            <w:vAlign w:val="center"/>
          </w:tcPr>
          <w:p w14:paraId="0CA7BE22">
            <w:pPr>
              <w:jc w:val="center"/>
              <w:rPr>
                <w:highlight w:val="none"/>
              </w:rPr>
            </w:pPr>
          </w:p>
        </w:tc>
        <w:tc>
          <w:tcPr>
            <w:tcW w:w="0" w:type="auto"/>
            <w:gridSpan w:val="4"/>
            <w:tcMar>
              <w:left w:w="108" w:type="dxa"/>
              <w:right w:w="108" w:type="dxa"/>
            </w:tcMar>
            <w:vAlign w:val="center"/>
          </w:tcPr>
          <w:p w14:paraId="06D36B4D">
            <w:pPr>
              <w:jc w:val="center"/>
              <w:rPr>
                <w:highlight w:val="none"/>
              </w:rPr>
            </w:pPr>
            <w:r>
              <w:rPr>
                <w:highlight w:val="none"/>
              </w:rPr>
              <w:t>④食入：饮足量温水，催吐。就医。</w:t>
            </w:r>
          </w:p>
        </w:tc>
      </w:tr>
      <w:tr w14:paraId="35269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32" w:hRule="atLeast"/>
          <w:jc w:val="center"/>
        </w:trPr>
        <w:tc>
          <w:tcPr>
            <w:tcW w:w="0" w:type="auto"/>
            <w:tcMar>
              <w:left w:w="108" w:type="dxa"/>
              <w:right w:w="108" w:type="dxa"/>
            </w:tcMar>
            <w:vAlign w:val="center"/>
          </w:tcPr>
          <w:p w14:paraId="3E77081D">
            <w:pPr>
              <w:jc w:val="center"/>
              <w:rPr>
                <w:highlight w:val="none"/>
              </w:rPr>
            </w:pPr>
            <w:r>
              <w:rPr>
                <w:highlight w:val="none"/>
              </w:rPr>
              <w:t>泄漏处置</w:t>
            </w:r>
          </w:p>
        </w:tc>
        <w:tc>
          <w:tcPr>
            <w:tcW w:w="0" w:type="auto"/>
            <w:gridSpan w:val="4"/>
            <w:tcMar>
              <w:left w:w="108" w:type="dxa"/>
              <w:right w:w="108" w:type="dxa"/>
            </w:tcMar>
            <w:vAlign w:val="center"/>
          </w:tcPr>
          <w:p w14:paraId="4B52578B">
            <w:pPr>
              <w:jc w:val="center"/>
              <w:rPr>
                <w:highlight w:val="none"/>
              </w:rPr>
            </w:pPr>
            <w:r>
              <w:rPr>
                <w:highlight w:val="none"/>
              </w:rPr>
              <w:t>迅速撤离泄漏污染区人员至安全区，并进行隔离，严格限制出入，切断火源。建议应急处理人员戴自给正压式呼吸器，穿防火纯棉工作服。尽可能切断泄漏源。防止</w:t>
            </w:r>
            <w:r>
              <w:rPr>
                <w:rFonts w:hint="eastAsia"/>
                <w:highlight w:val="none"/>
                <w:lang w:eastAsia="zh-CN"/>
              </w:rPr>
              <w:t>泄漏</w:t>
            </w:r>
            <w:r>
              <w:rPr>
                <w:highlight w:val="none"/>
              </w:rPr>
              <w:t>流入下水道、排沟等限制空间。小量泄漏：用砂土或其他不可燃材料吸附或吸收。也可以用大量水冲洗，洗水稀释后导入废水系统。大量泄漏：构筑围堤或挖坑收容。喷雾状水冷却和稀释蒸汽，保护现场人员、把泄漏物稀释成不燃物。用防爆泵转移至槽车或专用收集容器内，回收或至废物处理所处置。</w:t>
            </w:r>
          </w:p>
        </w:tc>
      </w:tr>
      <w:tr w14:paraId="34950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4" w:hRule="atLeast"/>
          <w:jc w:val="center"/>
        </w:trPr>
        <w:tc>
          <w:tcPr>
            <w:tcW w:w="0" w:type="auto"/>
            <w:tcMar>
              <w:left w:w="108" w:type="dxa"/>
              <w:right w:w="108" w:type="dxa"/>
            </w:tcMar>
            <w:vAlign w:val="center"/>
          </w:tcPr>
          <w:p w14:paraId="54B9905F">
            <w:pPr>
              <w:jc w:val="center"/>
              <w:rPr>
                <w:highlight w:val="none"/>
              </w:rPr>
            </w:pPr>
            <w:r>
              <w:rPr>
                <w:highlight w:val="none"/>
              </w:rPr>
              <w:t>储运注意事项</w:t>
            </w:r>
          </w:p>
        </w:tc>
        <w:tc>
          <w:tcPr>
            <w:tcW w:w="7752" w:type="dxa"/>
            <w:gridSpan w:val="4"/>
            <w:tcMar>
              <w:left w:w="108" w:type="dxa"/>
              <w:right w:w="108" w:type="dxa"/>
            </w:tcMar>
            <w:vAlign w:val="center"/>
          </w:tcPr>
          <w:p w14:paraId="28B18584">
            <w:pPr>
              <w:jc w:val="center"/>
              <w:rPr>
                <w:highlight w:val="none"/>
              </w:rPr>
            </w:pPr>
            <w:r>
              <w:rPr>
                <w:highlight w:val="none"/>
              </w:rPr>
              <w:t>①储存注意事项：储存于阴凉、通风的库房。远离火种、热源。库温不宜超过25℃。包装要求密封，不可与空气接触。应与氧化剂、还原剂、酸类等分开存放，切忌混储。不宜大量储存或久存。采用防爆型照明、通风设施。禁止使用易产生火花的机械设备和工具。储存区应备有泄漏应急处理设备和合适的收容材料。</w:t>
            </w:r>
          </w:p>
          <w:p w14:paraId="64D417B8">
            <w:pPr>
              <w:jc w:val="center"/>
              <w:rPr>
                <w:highlight w:val="none"/>
              </w:rPr>
            </w:pPr>
            <w:r>
              <w:rPr>
                <w:highlight w:val="none"/>
              </w:rPr>
              <w:t>②运输注意事项：本品铁路运输时限使用由液化气企业自备罐车装运，装运前需报有关部门批准。运输时运输车辆应配备相应的种类和数量的消防器材及泄漏应急处理设备。夏季最好早晚运输。运输时所用的槽（罐）车应有接地链，槽内可设金属隔板以减少</w:t>
            </w:r>
            <w:r>
              <w:rPr>
                <w:rFonts w:hint="eastAsia"/>
                <w:highlight w:val="none"/>
                <w:lang w:eastAsia="zh-CN"/>
              </w:rPr>
              <w:t>振动</w:t>
            </w:r>
            <w:r>
              <w:rPr>
                <w:highlight w:val="none"/>
              </w:rPr>
              <w:t>产生静电。严禁与氧化剂、还原剂、酸类、食用化学品等混装混运。运输途中应防止</w:t>
            </w:r>
            <w:r>
              <w:rPr>
                <w:rFonts w:hint="eastAsia"/>
                <w:highlight w:val="none"/>
                <w:lang w:eastAsia="zh-CN"/>
              </w:rPr>
              <w:t>暴晒</w:t>
            </w:r>
            <w:r>
              <w:rPr>
                <w:highlight w:val="none"/>
              </w:rPr>
              <w:t>、雨淋，防高温。中途停留时应远离火种、热源、高温区。装运该物品的车辆排气管必须配备阻火装置，禁止使用易产生火花的机械设备和工具装卸。公路运输时要按国家规定路线行驶，勿在居民区和人口稠密区停留。铁路运输时要禁止溜放。严禁用木船、水泥船</w:t>
            </w:r>
            <w:r>
              <w:rPr>
                <w:rFonts w:hint="eastAsia"/>
                <w:highlight w:val="none"/>
                <w:lang w:eastAsia="zh-CN"/>
              </w:rPr>
              <w:t>等方式</w:t>
            </w:r>
            <w:r>
              <w:rPr>
                <w:highlight w:val="none"/>
              </w:rPr>
              <w:t>散装运输。</w:t>
            </w:r>
          </w:p>
        </w:tc>
      </w:tr>
    </w:tbl>
    <w:p w14:paraId="02BCE416">
      <w:pPr>
        <w:spacing w:line="360" w:lineRule="auto"/>
        <w:jc w:val="center"/>
        <w:rPr>
          <w:rFonts w:hint="eastAsia" w:ascii="Times New Roman" w:hAnsi="Times New Roman" w:eastAsia="宋体" w:cs="Times New Roman"/>
          <w:b/>
          <w:bCs/>
          <w:sz w:val="21"/>
          <w:szCs w:val="21"/>
          <w:highlight w:val="none"/>
          <w:lang w:val="en-US" w:eastAsia="zh-CN"/>
        </w:rPr>
      </w:pPr>
      <w:r>
        <w:rPr>
          <w:rFonts w:hint="eastAsia" w:ascii="Times New Roman" w:hAnsi="Times New Roman" w:eastAsia="宋体" w:cs="Times New Roman"/>
          <w:b/>
          <w:bCs/>
          <w:sz w:val="21"/>
          <w:szCs w:val="21"/>
          <w:highlight w:val="none"/>
          <w:lang w:val="en-US" w:eastAsia="zh-CN"/>
        </w:rPr>
        <w:t>表</w:t>
      </w:r>
      <w:r>
        <w:rPr>
          <w:rFonts w:hint="eastAsia" w:cs="Times New Roman"/>
          <w:b/>
          <w:bCs/>
          <w:sz w:val="21"/>
          <w:szCs w:val="21"/>
          <w:highlight w:val="none"/>
          <w:lang w:val="en-US" w:eastAsia="zh-CN"/>
        </w:rPr>
        <w:t>3.2</w:t>
      </w:r>
      <w:r>
        <w:rPr>
          <w:rFonts w:hint="eastAsia" w:ascii="Times New Roman" w:hAnsi="Times New Roman" w:eastAsia="宋体" w:cs="Times New Roman"/>
          <w:b/>
          <w:bCs/>
          <w:sz w:val="21"/>
          <w:szCs w:val="21"/>
          <w:highlight w:val="none"/>
          <w:lang w:val="en-US" w:eastAsia="zh-CN"/>
        </w:rPr>
        <w:t>-11   乙烷的理化性质及危险特性</w:t>
      </w:r>
    </w:p>
    <w:tbl>
      <w:tblPr>
        <w:tblStyle w:val="19"/>
        <w:tblW w:w="472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4"/>
        <w:gridCol w:w="1422"/>
        <w:gridCol w:w="1309"/>
        <w:gridCol w:w="664"/>
        <w:gridCol w:w="11"/>
        <w:gridCol w:w="2004"/>
        <w:gridCol w:w="118"/>
        <w:gridCol w:w="661"/>
        <w:gridCol w:w="1490"/>
        <w:gridCol w:w="2"/>
      </w:tblGrid>
      <w:tr w14:paraId="3EE15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restart"/>
            <w:tcMar>
              <w:left w:w="108" w:type="dxa"/>
              <w:right w:w="108" w:type="dxa"/>
            </w:tcMar>
            <w:vAlign w:val="center"/>
          </w:tcPr>
          <w:p w14:paraId="6A53FF1D">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标识</w:t>
            </w:r>
          </w:p>
        </w:tc>
        <w:tc>
          <w:tcPr>
            <w:tcW w:w="862" w:type="pct"/>
            <w:tcMar>
              <w:left w:w="108" w:type="dxa"/>
              <w:right w:w="108" w:type="dxa"/>
            </w:tcMar>
            <w:vAlign w:val="center"/>
          </w:tcPr>
          <w:p w14:paraId="55FA970A">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中文名称：</w:t>
            </w:r>
          </w:p>
        </w:tc>
        <w:tc>
          <w:tcPr>
            <w:tcW w:w="3795" w:type="pct"/>
            <w:gridSpan w:val="8"/>
            <w:tcMar>
              <w:left w:w="108" w:type="dxa"/>
              <w:right w:w="108" w:type="dxa"/>
            </w:tcMar>
            <w:vAlign w:val="center"/>
          </w:tcPr>
          <w:p w14:paraId="44FADE58">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乙烷</w:t>
            </w:r>
          </w:p>
        </w:tc>
      </w:tr>
      <w:tr w14:paraId="776BE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continue"/>
            <w:tcMar>
              <w:left w:w="108" w:type="dxa"/>
              <w:right w:w="108" w:type="dxa"/>
            </w:tcMar>
            <w:vAlign w:val="center"/>
          </w:tcPr>
          <w:p w14:paraId="28D92598">
            <w:pPr>
              <w:jc w:val="center"/>
              <w:rPr>
                <w:rFonts w:hint="default" w:ascii="Times New Roman" w:hAnsi="Times New Roman" w:cs="Times New Roman" w:eastAsiaTheme="minorEastAsia"/>
                <w:sz w:val="21"/>
                <w:szCs w:val="21"/>
                <w:highlight w:val="none"/>
              </w:rPr>
            </w:pPr>
          </w:p>
        </w:tc>
        <w:tc>
          <w:tcPr>
            <w:tcW w:w="862" w:type="pct"/>
            <w:tcMar>
              <w:left w:w="108" w:type="dxa"/>
              <w:right w:w="108" w:type="dxa"/>
            </w:tcMar>
            <w:vAlign w:val="center"/>
          </w:tcPr>
          <w:p w14:paraId="05520C3F">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英文名称：</w:t>
            </w:r>
          </w:p>
        </w:tc>
        <w:tc>
          <w:tcPr>
            <w:tcW w:w="3795" w:type="pct"/>
            <w:gridSpan w:val="8"/>
            <w:tcMar>
              <w:left w:w="108" w:type="dxa"/>
              <w:right w:w="108" w:type="dxa"/>
            </w:tcMar>
            <w:vAlign w:val="center"/>
          </w:tcPr>
          <w:p w14:paraId="17776269">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ethane</w:t>
            </w:r>
          </w:p>
        </w:tc>
      </w:tr>
      <w:tr w14:paraId="55E59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continue"/>
            <w:tcMar>
              <w:left w:w="108" w:type="dxa"/>
              <w:right w:w="108" w:type="dxa"/>
            </w:tcMar>
            <w:vAlign w:val="center"/>
          </w:tcPr>
          <w:p w14:paraId="7A3A5F99">
            <w:pPr>
              <w:jc w:val="center"/>
              <w:rPr>
                <w:rFonts w:hint="default" w:ascii="Times New Roman" w:hAnsi="Times New Roman" w:cs="Times New Roman" w:eastAsiaTheme="minorEastAsia"/>
                <w:sz w:val="21"/>
                <w:szCs w:val="21"/>
                <w:highlight w:val="none"/>
              </w:rPr>
            </w:pPr>
          </w:p>
        </w:tc>
        <w:tc>
          <w:tcPr>
            <w:tcW w:w="862" w:type="pct"/>
            <w:tcMar>
              <w:left w:w="108" w:type="dxa"/>
              <w:right w:w="108" w:type="dxa"/>
            </w:tcMar>
            <w:vAlign w:val="center"/>
          </w:tcPr>
          <w:p w14:paraId="2D78EC09">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分子式：</w:t>
            </w:r>
          </w:p>
        </w:tc>
        <w:tc>
          <w:tcPr>
            <w:tcW w:w="1196" w:type="pct"/>
            <w:gridSpan w:val="2"/>
            <w:tcMar>
              <w:left w:w="108" w:type="dxa"/>
              <w:right w:w="108" w:type="dxa"/>
            </w:tcMar>
            <w:vAlign w:val="center"/>
          </w:tcPr>
          <w:p w14:paraId="07CA3AEE">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C</w:t>
            </w:r>
            <w:r>
              <w:rPr>
                <w:rFonts w:hint="default" w:ascii="Times New Roman" w:hAnsi="Times New Roman" w:cs="Times New Roman" w:eastAsiaTheme="minorEastAsia"/>
                <w:sz w:val="21"/>
                <w:szCs w:val="21"/>
                <w:highlight w:val="none"/>
                <w:vertAlign w:val="subscript"/>
              </w:rPr>
              <w:t>2</w:t>
            </w:r>
            <w:r>
              <w:rPr>
                <w:rFonts w:hint="default" w:ascii="Times New Roman" w:hAnsi="Times New Roman" w:cs="Times New Roman" w:eastAsiaTheme="minorEastAsia"/>
                <w:sz w:val="21"/>
                <w:szCs w:val="21"/>
                <w:highlight w:val="none"/>
              </w:rPr>
              <w:t>H</w:t>
            </w:r>
            <w:r>
              <w:rPr>
                <w:rFonts w:hint="default" w:ascii="Times New Roman" w:hAnsi="Times New Roman" w:cs="Times New Roman" w:eastAsiaTheme="minorEastAsia"/>
                <w:sz w:val="21"/>
                <w:szCs w:val="21"/>
                <w:highlight w:val="none"/>
                <w:vertAlign w:val="subscript"/>
              </w:rPr>
              <w:t>6</w:t>
            </w:r>
          </w:p>
        </w:tc>
        <w:tc>
          <w:tcPr>
            <w:tcW w:w="1694" w:type="pct"/>
            <w:gridSpan w:val="4"/>
            <w:tcMar>
              <w:left w:w="108" w:type="dxa"/>
              <w:right w:w="108" w:type="dxa"/>
            </w:tcMar>
            <w:vAlign w:val="center"/>
          </w:tcPr>
          <w:p w14:paraId="3C69FEE6">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相对分子质量：</w:t>
            </w:r>
          </w:p>
        </w:tc>
        <w:tc>
          <w:tcPr>
            <w:tcW w:w="904" w:type="pct"/>
            <w:gridSpan w:val="2"/>
            <w:tcMar>
              <w:left w:w="108" w:type="dxa"/>
              <w:right w:w="108" w:type="dxa"/>
            </w:tcMar>
            <w:vAlign w:val="center"/>
          </w:tcPr>
          <w:p w14:paraId="4A1EF9A6">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30.08</w:t>
            </w:r>
          </w:p>
        </w:tc>
      </w:tr>
      <w:tr w14:paraId="6802F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continue"/>
            <w:tcMar>
              <w:left w:w="108" w:type="dxa"/>
              <w:right w:w="108" w:type="dxa"/>
            </w:tcMar>
            <w:vAlign w:val="center"/>
          </w:tcPr>
          <w:p w14:paraId="135133FE">
            <w:pPr>
              <w:jc w:val="center"/>
              <w:rPr>
                <w:rFonts w:hint="default" w:ascii="Times New Roman" w:hAnsi="Times New Roman" w:cs="Times New Roman" w:eastAsiaTheme="minorEastAsia"/>
                <w:sz w:val="21"/>
                <w:szCs w:val="21"/>
                <w:highlight w:val="none"/>
              </w:rPr>
            </w:pPr>
          </w:p>
        </w:tc>
        <w:tc>
          <w:tcPr>
            <w:tcW w:w="862" w:type="pct"/>
            <w:tcMar>
              <w:left w:w="108" w:type="dxa"/>
              <w:right w:w="108" w:type="dxa"/>
            </w:tcMar>
            <w:vAlign w:val="center"/>
          </w:tcPr>
          <w:p w14:paraId="0328A56F">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用途：</w:t>
            </w:r>
          </w:p>
        </w:tc>
        <w:tc>
          <w:tcPr>
            <w:tcW w:w="3795" w:type="pct"/>
            <w:gridSpan w:val="8"/>
            <w:tcMar>
              <w:left w:w="108" w:type="dxa"/>
              <w:right w:w="108" w:type="dxa"/>
            </w:tcMar>
            <w:vAlign w:val="center"/>
          </w:tcPr>
          <w:p w14:paraId="1ECED284">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用于制乙烯、氯乙烯、乙炔</w:t>
            </w:r>
            <w:r>
              <w:rPr>
                <w:rFonts w:hint="eastAsia" w:cs="Times New Roman" w:eastAsiaTheme="minorEastAsia"/>
                <w:sz w:val="21"/>
                <w:szCs w:val="21"/>
                <w:highlight w:val="none"/>
                <w:lang w:eastAsia="zh-CN"/>
              </w:rPr>
              <w:t>等</w:t>
            </w:r>
            <w:r>
              <w:rPr>
                <w:rFonts w:hint="default" w:ascii="Times New Roman" w:hAnsi="Times New Roman" w:cs="Times New Roman" w:eastAsiaTheme="minorEastAsia"/>
                <w:sz w:val="21"/>
                <w:szCs w:val="21"/>
                <w:highlight w:val="none"/>
              </w:rPr>
              <w:t>，用作冷冻剂、燃料等。</w:t>
            </w:r>
          </w:p>
        </w:tc>
      </w:tr>
      <w:tr w14:paraId="09BC0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restart"/>
            <w:tcMar>
              <w:left w:w="108" w:type="dxa"/>
              <w:right w:w="108" w:type="dxa"/>
            </w:tcMar>
            <w:vAlign w:val="center"/>
          </w:tcPr>
          <w:p w14:paraId="2576B176">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危险概述</w:t>
            </w:r>
          </w:p>
        </w:tc>
        <w:tc>
          <w:tcPr>
            <w:tcW w:w="862" w:type="pct"/>
            <w:tcMar>
              <w:left w:w="108" w:type="dxa"/>
              <w:right w:w="108" w:type="dxa"/>
            </w:tcMar>
            <w:vAlign w:val="center"/>
          </w:tcPr>
          <w:p w14:paraId="2A1105A9">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概述：</w:t>
            </w:r>
          </w:p>
        </w:tc>
        <w:tc>
          <w:tcPr>
            <w:tcW w:w="3795" w:type="pct"/>
            <w:gridSpan w:val="8"/>
            <w:tcMar>
              <w:left w:w="108" w:type="dxa"/>
              <w:right w:w="108" w:type="dxa"/>
            </w:tcMar>
            <w:vAlign w:val="center"/>
          </w:tcPr>
          <w:p w14:paraId="6AA47F79">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极易燃气体，内装加压气体；遇热可能爆炸。</w:t>
            </w:r>
          </w:p>
        </w:tc>
      </w:tr>
      <w:tr w14:paraId="2372D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continue"/>
            <w:tcMar>
              <w:left w:w="108" w:type="dxa"/>
              <w:right w:w="108" w:type="dxa"/>
            </w:tcMar>
            <w:vAlign w:val="center"/>
          </w:tcPr>
          <w:p w14:paraId="165B2504">
            <w:pPr>
              <w:jc w:val="center"/>
              <w:rPr>
                <w:rFonts w:hint="default" w:ascii="Times New Roman" w:hAnsi="Times New Roman" w:cs="Times New Roman" w:eastAsiaTheme="minorEastAsia"/>
                <w:sz w:val="21"/>
                <w:szCs w:val="21"/>
                <w:highlight w:val="none"/>
              </w:rPr>
            </w:pPr>
          </w:p>
        </w:tc>
        <w:tc>
          <w:tcPr>
            <w:tcW w:w="862" w:type="pct"/>
            <w:tcMar>
              <w:left w:w="108" w:type="dxa"/>
              <w:right w:w="108" w:type="dxa"/>
            </w:tcMar>
            <w:vAlign w:val="center"/>
          </w:tcPr>
          <w:p w14:paraId="0F7D6DE5">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危险性类别：</w:t>
            </w:r>
          </w:p>
        </w:tc>
        <w:tc>
          <w:tcPr>
            <w:tcW w:w="3795" w:type="pct"/>
            <w:gridSpan w:val="8"/>
            <w:tcMar>
              <w:left w:w="108" w:type="dxa"/>
              <w:right w:w="108" w:type="dxa"/>
            </w:tcMar>
            <w:vAlign w:val="center"/>
          </w:tcPr>
          <w:p w14:paraId="272A4CB3">
            <w:pPr>
              <w:jc w:val="center"/>
              <w:rPr>
                <w:rFonts w:hint="eastAsia" w:ascii="Times New Roman" w:hAnsi="Times New Roman" w:cs="Times New Roman" w:eastAsiaTheme="minorEastAsia"/>
                <w:sz w:val="21"/>
                <w:szCs w:val="21"/>
                <w:highlight w:val="none"/>
                <w:lang w:eastAsia="zh-CN"/>
              </w:rPr>
            </w:pPr>
            <w:r>
              <w:rPr>
                <w:rFonts w:hint="default" w:ascii="Times New Roman" w:hAnsi="Times New Roman" w:cs="Times New Roman" w:eastAsiaTheme="minorEastAsia"/>
                <w:sz w:val="21"/>
                <w:szCs w:val="21"/>
                <w:highlight w:val="none"/>
              </w:rPr>
              <w:t>易燃气体，类：1；加压气体</w:t>
            </w:r>
            <w:r>
              <w:rPr>
                <w:rFonts w:hint="eastAsia" w:cs="Times New Roman" w:eastAsiaTheme="minorEastAsia"/>
                <w:sz w:val="21"/>
                <w:szCs w:val="21"/>
                <w:highlight w:val="none"/>
                <w:lang w:eastAsia="zh-CN"/>
              </w:rPr>
              <w:t>。</w:t>
            </w:r>
          </w:p>
        </w:tc>
      </w:tr>
      <w:tr w14:paraId="2FFA2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continue"/>
            <w:tcMar>
              <w:left w:w="108" w:type="dxa"/>
              <w:right w:w="108" w:type="dxa"/>
            </w:tcMar>
            <w:vAlign w:val="center"/>
          </w:tcPr>
          <w:p w14:paraId="1A9FB56B">
            <w:pPr>
              <w:jc w:val="center"/>
              <w:rPr>
                <w:rFonts w:hint="default" w:ascii="Times New Roman" w:hAnsi="Times New Roman" w:cs="Times New Roman" w:eastAsiaTheme="minorEastAsia"/>
                <w:sz w:val="21"/>
                <w:szCs w:val="21"/>
                <w:highlight w:val="none"/>
              </w:rPr>
            </w:pPr>
          </w:p>
        </w:tc>
        <w:tc>
          <w:tcPr>
            <w:tcW w:w="862" w:type="pct"/>
            <w:tcMar>
              <w:left w:w="108" w:type="dxa"/>
              <w:right w:w="108" w:type="dxa"/>
            </w:tcMar>
            <w:vAlign w:val="center"/>
          </w:tcPr>
          <w:p w14:paraId="4BA54744">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防范说明：</w:t>
            </w:r>
          </w:p>
        </w:tc>
        <w:tc>
          <w:tcPr>
            <w:tcW w:w="3795" w:type="pct"/>
            <w:gridSpan w:val="8"/>
            <w:tcMar>
              <w:left w:w="108" w:type="dxa"/>
              <w:right w:w="108" w:type="dxa"/>
            </w:tcMar>
            <w:vAlign w:val="center"/>
          </w:tcPr>
          <w:p w14:paraId="1CBE31F2">
            <w:pPr>
              <w:jc w:val="left"/>
              <w:rPr>
                <w:rFonts w:hint="eastAsia" w:ascii="Times New Roman" w:hAnsi="Times New Roman" w:cs="Times New Roman" w:eastAsiaTheme="minorEastAsia"/>
                <w:sz w:val="21"/>
                <w:szCs w:val="21"/>
                <w:highlight w:val="none"/>
                <w:lang w:eastAsia="zh-CN"/>
              </w:rPr>
            </w:pPr>
            <w:r>
              <w:rPr>
                <w:rFonts w:hint="default" w:ascii="Times New Roman" w:hAnsi="Times New Roman" w:cs="Times New Roman" w:eastAsiaTheme="minorEastAsia"/>
                <w:sz w:val="21"/>
                <w:szCs w:val="21"/>
                <w:highlight w:val="none"/>
              </w:rPr>
              <w:t>预防措施：远离热源、火花、明火、热表面</w:t>
            </w:r>
            <w:r>
              <w:rPr>
                <w:rFonts w:hint="eastAsia" w:cs="Times New Roman" w:eastAsiaTheme="minorEastAsia"/>
                <w:sz w:val="21"/>
                <w:szCs w:val="21"/>
                <w:highlight w:val="none"/>
                <w:lang w:eastAsia="zh-CN"/>
              </w:rPr>
              <w:t>等</w:t>
            </w:r>
            <w:r>
              <w:rPr>
                <w:rFonts w:hint="default" w:ascii="Times New Roman" w:hAnsi="Times New Roman" w:cs="Times New Roman" w:eastAsiaTheme="minorEastAsia"/>
                <w:sz w:val="21"/>
                <w:szCs w:val="21"/>
                <w:highlight w:val="none"/>
              </w:rPr>
              <w:t>。禁止吸烟。</w:t>
            </w:r>
            <w:r>
              <w:rPr>
                <w:rFonts w:hint="default" w:ascii="Times New Roman" w:hAnsi="Times New Roman" w:cs="Times New Roman" w:eastAsiaTheme="minorEastAsia"/>
                <w:sz w:val="21"/>
                <w:szCs w:val="21"/>
                <w:highlight w:val="none"/>
              </w:rPr>
              <w:br w:type="textWrapping"/>
            </w:r>
            <w:r>
              <w:rPr>
                <w:rFonts w:hint="default" w:ascii="Times New Roman" w:hAnsi="Times New Roman" w:cs="Times New Roman" w:eastAsiaTheme="minorEastAsia"/>
                <w:sz w:val="21"/>
                <w:szCs w:val="21"/>
                <w:highlight w:val="none"/>
              </w:rPr>
              <w:t>事故响应：漏气着火：切勿灭火，除非漏气能够安全地制止。如果没有危险，消除一切火源。</w:t>
            </w:r>
            <w:r>
              <w:rPr>
                <w:rFonts w:hint="default" w:ascii="Times New Roman" w:hAnsi="Times New Roman" w:cs="Times New Roman" w:eastAsiaTheme="minorEastAsia"/>
                <w:sz w:val="21"/>
                <w:szCs w:val="21"/>
                <w:highlight w:val="none"/>
              </w:rPr>
              <w:br w:type="textWrapping"/>
            </w:r>
            <w:r>
              <w:rPr>
                <w:rFonts w:hint="default" w:ascii="Times New Roman" w:hAnsi="Times New Roman" w:cs="Times New Roman" w:eastAsiaTheme="minorEastAsia"/>
                <w:sz w:val="21"/>
                <w:szCs w:val="21"/>
                <w:highlight w:val="none"/>
              </w:rPr>
              <w:t>安全储存：存放在通风良好的地方。防日晒。存放在通风良好的地方。</w:t>
            </w:r>
            <w:r>
              <w:rPr>
                <w:rFonts w:hint="default" w:ascii="Times New Roman" w:hAnsi="Times New Roman" w:cs="Times New Roman" w:eastAsiaTheme="minorEastAsia"/>
                <w:sz w:val="21"/>
                <w:szCs w:val="21"/>
                <w:highlight w:val="none"/>
              </w:rPr>
              <w:br w:type="textWrapping"/>
            </w:r>
            <w:r>
              <w:rPr>
                <w:rFonts w:hint="default" w:ascii="Times New Roman" w:hAnsi="Times New Roman" w:cs="Times New Roman" w:eastAsiaTheme="minorEastAsia"/>
                <w:sz w:val="21"/>
                <w:szCs w:val="21"/>
                <w:highlight w:val="none"/>
              </w:rPr>
              <w:t>废弃处置：</w:t>
            </w:r>
            <w:r>
              <w:rPr>
                <w:rFonts w:hint="eastAsia" w:cs="Times New Roman" w:eastAsiaTheme="minorEastAsia"/>
                <w:sz w:val="21"/>
                <w:szCs w:val="21"/>
                <w:highlight w:val="none"/>
                <w:lang w:eastAsia="zh-CN"/>
              </w:rPr>
              <w:t>无。</w:t>
            </w:r>
          </w:p>
        </w:tc>
      </w:tr>
      <w:tr w14:paraId="76E46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continue"/>
            <w:tcMar>
              <w:left w:w="108" w:type="dxa"/>
              <w:right w:w="108" w:type="dxa"/>
            </w:tcMar>
            <w:vAlign w:val="center"/>
          </w:tcPr>
          <w:p w14:paraId="6F71242A">
            <w:pPr>
              <w:jc w:val="center"/>
              <w:rPr>
                <w:rFonts w:hint="default" w:ascii="Times New Roman" w:hAnsi="Times New Roman" w:cs="Times New Roman" w:eastAsiaTheme="minorEastAsia"/>
                <w:sz w:val="21"/>
                <w:szCs w:val="21"/>
                <w:highlight w:val="none"/>
              </w:rPr>
            </w:pPr>
          </w:p>
        </w:tc>
        <w:tc>
          <w:tcPr>
            <w:tcW w:w="862" w:type="pct"/>
            <w:tcMar>
              <w:left w:w="108" w:type="dxa"/>
              <w:right w:w="108" w:type="dxa"/>
            </w:tcMar>
            <w:vAlign w:val="center"/>
          </w:tcPr>
          <w:p w14:paraId="1CE6466E">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物理和化学危险：</w:t>
            </w:r>
          </w:p>
        </w:tc>
        <w:tc>
          <w:tcPr>
            <w:tcW w:w="3795" w:type="pct"/>
            <w:gridSpan w:val="8"/>
            <w:tcMar>
              <w:left w:w="108" w:type="dxa"/>
              <w:right w:w="108" w:type="dxa"/>
            </w:tcMar>
            <w:vAlign w:val="center"/>
          </w:tcPr>
          <w:p w14:paraId="60BE9DA0">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极易燃，与空气混合能形成爆炸性混合物。</w:t>
            </w:r>
          </w:p>
        </w:tc>
      </w:tr>
      <w:tr w14:paraId="73AAB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continue"/>
            <w:tcMar>
              <w:left w:w="108" w:type="dxa"/>
              <w:right w:w="108" w:type="dxa"/>
            </w:tcMar>
            <w:vAlign w:val="center"/>
          </w:tcPr>
          <w:p w14:paraId="5DF2D9E1">
            <w:pPr>
              <w:jc w:val="center"/>
              <w:rPr>
                <w:rFonts w:hint="default" w:ascii="Times New Roman" w:hAnsi="Times New Roman" w:cs="Times New Roman" w:eastAsiaTheme="minorEastAsia"/>
                <w:sz w:val="21"/>
                <w:szCs w:val="21"/>
                <w:highlight w:val="none"/>
              </w:rPr>
            </w:pPr>
          </w:p>
        </w:tc>
        <w:tc>
          <w:tcPr>
            <w:tcW w:w="862" w:type="pct"/>
            <w:tcMar>
              <w:left w:w="108" w:type="dxa"/>
              <w:right w:w="108" w:type="dxa"/>
            </w:tcMar>
            <w:vAlign w:val="center"/>
          </w:tcPr>
          <w:p w14:paraId="548E9F34">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健康危害：</w:t>
            </w:r>
          </w:p>
        </w:tc>
        <w:tc>
          <w:tcPr>
            <w:tcW w:w="3795" w:type="pct"/>
            <w:gridSpan w:val="8"/>
            <w:tcMar>
              <w:left w:w="108" w:type="dxa"/>
              <w:right w:w="108" w:type="dxa"/>
            </w:tcMar>
            <w:vAlign w:val="center"/>
          </w:tcPr>
          <w:p w14:paraId="08E2BBAC">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高浓度时，有单纯性窒息作用。有轻度麻醉作用。空气中浓度大于6%时，出现眩晕、轻度恶心、麻醉症状；达40%以上时，可引起惊厥，甚至窒息死亡。</w:t>
            </w:r>
          </w:p>
        </w:tc>
      </w:tr>
      <w:tr w14:paraId="11FAD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continue"/>
            <w:tcMar>
              <w:left w:w="108" w:type="dxa"/>
              <w:right w:w="108" w:type="dxa"/>
            </w:tcMar>
            <w:vAlign w:val="center"/>
          </w:tcPr>
          <w:p w14:paraId="724CDEAF">
            <w:pPr>
              <w:jc w:val="center"/>
              <w:rPr>
                <w:rFonts w:hint="default" w:ascii="Times New Roman" w:hAnsi="Times New Roman" w:cs="Times New Roman" w:eastAsiaTheme="minorEastAsia"/>
                <w:sz w:val="21"/>
                <w:szCs w:val="21"/>
                <w:highlight w:val="none"/>
              </w:rPr>
            </w:pPr>
          </w:p>
        </w:tc>
        <w:tc>
          <w:tcPr>
            <w:tcW w:w="862" w:type="pct"/>
            <w:tcMar>
              <w:left w:w="108" w:type="dxa"/>
              <w:right w:w="108" w:type="dxa"/>
            </w:tcMar>
            <w:vAlign w:val="center"/>
          </w:tcPr>
          <w:p w14:paraId="6FFFB487">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环境危害：</w:t>
            </w:r>
          </w:p>
        </w:tc>
        <w:tc>
          <w:tcPr>
            <w:tcW w:w="3795" w:type="pct"/>
            <w:gridSpan w:val="8"/>
            <w:tcMar>
              <w:left w:w="108" w:type="dxa"/>
              <w:right w:w="108" w:type="dxa"/>
            </w:tcMar>
            <w:vAlign w:val="center"/>
          </w:tcPr>
          <w:p w14:paraId="00E3AB75">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对环境可能有害。</w:t>
            </w:r>
          </w:p>
        </w:tc>
      </w:tr>
      <w:tr w14:paraId="55C6C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continue"/>
            <w:tcMar>
              <w:left w:w="108" w:type="dxa"/>
              <w:right w:w="108" w:type="dxa"/>
            </w:tcMar>
            <w:vAlign w:val="center"/>
          </w:tcPr>
          <w:p w14:paraId="104C0AA7">
            <w:pPr>
              <w:jc w:val="center"/>
              <w:rPr>
                <w:rFonts w:hint="default" w:ascii="Times New Roman" w:hAnsi="Times New Roman" w:cs="Times New Roman" w:eastAsiaTheme="minorEastAsia"/>
                <w:sz w:val="21"/>
                <w:szCs w:val="21"/>
                <w:highlight w:val="none"/>
              </w:rPr>
            </w:pPr>
          </w:p>
        </w:tc>
        <w:tc>
          <w:tcPr>
            <w:tcW w:w="862" w:type="pct"/>
            <w:tcMar>
              <w:left w:w="108" w:type="dxa"/>
              <w:right w:w="108" w:type="dxa"/>
            </w:tcMar>
            <w:vAlign w:val="center"/>
          </w:tcPr>
          <w:p w14:paraId="73EBF129">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成分/组成信息</w:t>
            </w:r>
          </w:p>
        </w:tc>
        <w:tc>
          <w:tcPr>
            <w:tcW w:w="3795" w:type="pct"/>
            <w:gridSpan w:val="8"/>
            <w:tcMar>
              <w:left w:w="108" w:type="dxa"/>
              <w:right w:w="108" w:type="dxa"/>
            </w:tcMar>
            <w:vAlign w:val="center"/>
          </w:tcPr>
          <w:p w14:paraId="45595ACA">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 xml:space="preserve">☑ 物质 </w:t>
            </w:r>
            <w:r>
              <w:rPr>
                <w:rFonts w:hint="eastAsia" w:cs="Times New Roman" w:eastAsiaTheme="minorEastAsia"/>
                <w:sz w:val="21"/>
                <w:szCs w:val="21"/>
                <w:highlight w:val="none"/>
                <w:lang w:eastAsia="zh-CN"/>
              </w:rPr>
              <w:t>，</w:t>
            </w:r>
            <w:r>
              <w:rPr>
                <w:rFonts w:hint="default" w:ascii="Times New Roman" w:hAnsi="Times New Roman" w:cs="Times New Roman" w:eastAsiaTheme="minorEastAsia"/>
                <w:sz w:val="21"/>
                <w:szCs w:val="21"/>
                <w:highlight w:val="none"/>
              </w:rPr>
              <w:t>口混合物：</w:t>
            </w:r>
          </w:p>
        </w:tc>
      </w:tr>
      <w:tr w14:paraId="64F9E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continue"/>
            <w:tcMar>
              <w:left w:w="108" w:type="dxa"/>
              <w:right w:w="108" w:type="dxa"/>
            </w:tcMar>
            <w:vAlign w:val="center"/>
          </w:tcPr>
          <w:p w14:paraId="46B1B024">
            <w:pPr>
              <w:jc w:val="center"/>
              <w:rPr>
                <w:rFonts w:hint="default" w:ascii="Times New Roman" w:hAnsi="Times New Roman" w:cs="Times New Roman" w:eastAsiaTheme="minorEastAsia"/>
                <w:sz w:val="21"/>
                <w:szCs w:val="21"/>
                <w:highlight w:val="none"/>
              </w:rPr>
            </w:pPr>
          </w:p>
        </w:tc>
        <w:tc>
          <w:tcPr>
            <w:tcW w:w="862" w:type="pct"/>
            <w:tcMar>
              <w:left w:w="108" w:type="dxa"/>
              <w:right w:w="108" w:type="dxa"/>
            </w:tcMar>
            <w:vAlign w:val="center"/>
          </w:tcPr>
          <w:p w14:paraId="4E0110C4">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急救</w:t>
            </w:r>
          </w:p>
        </w:tc>
        <w:tc>
          <w:tcPr>
            <w:tcW w:w="3795" w:type="pct"/>
            <w:gridSpan w:val="8"/>
            <w:tcMar>
              <w:left w:w="108" w:type="dxa"/>
              <w:right w:w="108" w:type="dxa"/>
            </w:tcMar>
            <w:vAlign w:val="center"/>
          </w:tcPr>
          <w:p w14:paraId="5BA29931">
            <w:pPr>
              <w:jc w:val="center"/>
              <w:rPr>
                <w:rFonts w:hint="eastAsia" w:ascii="Times New Roman" w:hAnsi="Times New Roman" w:cs="Times New Roman" w:eastAsiaTheme="minorEastAsia"/>
                <w:sz w:val="21"/>
                <w:szCs w:val="21"/>
                <w:highlight w:val="none"/>
                <w:lang w:eastAsia="zh-CN"/>
              </w:rPr>
            </w:pPr>
            <w:r>
              <w:rPr>
                <w:rFonts w:hint="default" w:ascii="Times New Roman" w:hAnsi="Times New Roman" w:cs="Times New Roman" w:eastAsiaTheme="minorEastAsia"/>
                <w:sz w:val="21"/>
                <w:szCs w:val="21"/>
                <w:highlight w:val="none"/>
              </w:rPr>
              <w:t>吸入：迅速脱离现场至空气新鲜处。保持呼吸道通畅。</w:t>
            </w:r>
            <w:r>
              <w:rPr>
                <w:rFonts w:hint="eastAsia" w:cs="Times New Roman" w:eastAsiaTheme="minorEastAsia"/>
                <w:sz w:val="21"/>
                <w:szCs w:val="21"/>
                <w:highlight w:val="none"/>
                <w:lang w:eastAsia="zh-CN"/>
              </w:rPr>
              <w:t>如果患者感到呼吸困难，应该给患者输氧。</w:t>
            </w:r>
            <w:r>
              <w:rPr>
                <w:rFonts w:hint="default" w:ascii="Times New Roman" w:hAnsi="Times New Roman" w:cs="Times New Roman" w:eastAsiaTheme="minorEastAsia"/>
                <w:sz w:val="21"/>
                <w:szCs w:val="21"/>
                <w:highlight w:val="none"/>
              </w:rPr>
              <w:t>如呼吸、心跳停止，立即进行心肺复苏术。就医</w:t>
            </w:r>
            <w:r>
              <w:rPr>
                <w:rFonts w:hint="eastAsia" w:cs="Times New Roman" w:eastAsiaTheme="minorEastAsia"/>
                <w:sz w:val="21"/>
                <w:szCs w:val="21"/>
                <w:highlight w:val="none"/>
                <w:lang w:eastAsia="zh-CN"/>
              </w:rPr>
              <w:t>。</w:t>
            </w:r>
          </w:p>
        </w:tc>
      </w:tr>
      <w:tr w14:paraId="41ABC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continue"/>
            <w:tcMar>
              <w:left w:w="108" w:type="dxa"/>
              <w:right w:w="108" w:type="dxa"/>
            </w:tcMar>
            <w:vAlign w:val="center"/>
          </w:tcPr>
          <w:p w14:paraId="35979634">
            <w:pPr>
              <w:jc w:val="center"/>
              <w:rPr>
                <w:rFonts w:hint="default" w:ascii="Times New Roman" w:hAnsi="Times New Roman" w:cs="Times New Roman" w:eastAsiaTheme="minorEastAsia"/>
                <w:sz w:val="21"/>
                <w:szCs w:val="21"/>
                <w:highlight w:val="none"/>
              </w:rPr>
            </w:pPr>
          </w:p>
        </w:tc>
        <w:tc>
          <w:tcPr>
            <w:tcW w:w="862" w:type="pct"/>
            <w:tcMar>
              <w:left w:w="108" w:type="dxa"/>
              <w:right w:w="108" w:type="dxa"/>
            </w:tcMar>
            <w:vAlign w:val="center"/>
          </w:tcPr>
          <w:p w14:paraId="0D6EA1E6">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措施</w:t>
            </w:r>
          </w:p>
        </w:tc>
        <w:tc>
          <w:tcPr>
            <w:tcW w:w="1196" w:type="pct"/>
            <w:gridSpan w:val="2"/>
            <w:tcMar>
              <w:left w:w="108" w:type="dxa"/>
              <w:right w:w="108" w:type="dxa"/>
            </w:tcMar>
            <w:vAlign w:val="center"/>
          </w:tcPr>
          <w:p w14:paraId="5493EF4E">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皮肤接触：</w:t>
            </w:r>
          </w:p>
        </w:tc>
        <w:tc>
          <w:tcPr>
            <w:tcW w:w="2599" w:type="pct"/>
            <w:gridSpan w:val="6"/>
            <w:tcMar>
              <w:left w:w="108" w:type="dxa"/>
              <w:right w:w="108" w:type="dxa"/>
            </w:tcMar>
            <w:vAlign w:val="center"/>
          </w:tcPr>
          <w:p w14:paraId="5146FF01">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w:t>
            </w:r>
          </w:p>
        </w:tc>
      </w:tr>
      <w:tr w14:paraId="22D79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tcMar>
              <w:left w:w="108" w:type="dxa"/>
              <w:right w:w="108" w:type="dxa"/>
            </w:tcMar>
            <w:vAlign w:val="center"/>
          </w:tcPr>
          <w:p w14:paraId="3F780BC6">
            <w:pPr>
              <w:jc w:val="center"/>
              <w:rPr>
                <w:rFonts w:hint="default" w:ascii="Times New Roman" w:hAnsi="Times New Roman" w:cs="Times New Roman" w:eastAsiaTheme="minorEastAsia"/>
                <w:sz w:val="21"/>
                <w:szCs w:val="21"/>
                <w:highlight w:val="none"/>
              </w:rPr>
            </w:pPr>
          </w:p>
        </w:tc>
        <w:tc>
          <w:tcPr>
            <w:tcW w:w="862" w:type="pct"/>
            <w:tcMar>
              <w:left w:w="108" w:type="dxa"/>
              <w:right w:w="108" w:type="dxa"/>
            </w:tcMar>
            <w:vAlign w:val="center"/>
          </w:tcPr>
          <w:p w14:paraId="63D85D96">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眼睛接触：</w:t>
            </w:r>
          </w:p>
        </w:tc>
        <w:tc>
          <w:tcPr>
            <w:tcW w:w="3795" w:type="pct"/>
            <w:gridSpan w:val="8"/>
            <w:tcMar>
              <w:left w:w="108" w:type="dxa"/>
              <w:right w:w="108" w:type="dxa"/>
            </w:tcMar>
            <w:vAlign w:val="center"/>
          </w:tcPr>
          <w:p w14:paraId="0F5E9F08">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w:t>
            </w:r>
          </w:p>
        </w:tc>
      </w:tr>
      <w:tr w14:paraId="2E45E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tcMar>
              <w:left w:w="108" w:type="dxa"/>
              <w:right w:w="108" w:type="dxa"/>
            </w:tcMar>
            <w:vAlign w:val="center"/>
          </w:tcPr>
          <w:p w14:paraId="59F35960">
            <w:pPr>
              <w:jc w:val="center"/>
              <w:rPr>
                <w:rFonts w:hint="default" w:ascii="Times New Roman" w:hAnsi="Times New Roman" w:cs="Times New Roman" w:eastAsiaTheme="minorEastAsia"/>
                <w:sz w:val="21"/>
                <w:szCs w:val="21"/>
                <w:highlight w:val="none"/>
              </w:rPr>
            </w:pPr>
          </w:p>
        </w:tc>
        <w:tc>
          <w:tcPr>
            <w:tcW w:w="862" w:type="pct"/>
            <w:tcMar>
              <w:left w:w="108" w:type="dxa"/>
              <w:right w:w="108" w:type="dxa"/>
            </w:tcMar>
            <w:vAlign w:val="center"/>
          </w:tcPr>
          <w:p w14:paraId="4C43BE4F">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食入：</w:t>
            </w:r>
          </w:p>
        </w:tc>
        <w:tc>
          <w:tcPr>
            <w:tcW w:w="3795" w:type="pct"/>
            <w:gridSpan w:val="8"/>
            <w:tcMar>
              <w:left w:w="108" w:type="dxa"/>
              <w:right w:w="108" w:type="dxa"/>
            </w:tcMar>
            <w:vAlign w:val="center"/>
          </w:tcPr>
          <w:p w14:paraId="4C55EE4C">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w:t>
            </w:r>
          </w:p>
        </w:tc>
      </w:tr>
      <w:tr w14:paraId="5ADD7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restart"/>
            <w:tcMar>
              <w:left w:w="108" w:type="dxa"/>
              <w:right w:w="108" w:type="dxa"/>
            </w:tcMar>
            <w:vAlign w:val="center"/>
          </w:tcPr>
          <w:p w14:paraId="2013F15D">
            <w:pPr>
              <w:jc w:val="center"/>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rPr>
              <w:t>消防</w:t>
            </w:r>
            <w:r>
              <w:rPr>
                <w:rFonts w:hint="default" w:ascii="Times New Roman" w:hAnsi="Times New Roman" w:cs="Times New Roman" w:eastAsiaTheme="minorEastAsia"/>
                <w:sz w:val="21"/>
                <w:szCs w:val="21"/>
                <w:highlight w:val="none"/>
                <w:lang w:val="en-US" w:eastAsia="zh-CN"/>
              </w:rPr>
              <w:t>措施</w:t>
            </w:r>
          </w:p>
        </w:tc>
        <w:tc>
          <w:tcPr>
            <w:tcW w:w="862" w:type="pct"/>
            <w:tcMar>
              <w:left w:w="108" w:type="dxa"/>
              <w:right w:w="108" w:type="dxa"/>
            </w:tcMar>
            <w:vAlign w:val="center"/>
          </w:tcPr>
          <w:p w14:paraId="72AC1A2E">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灭火剂：</w:t>
            </w:r>
          </w:p>
        </w:tc>
        <w:tc>
          <w:tcPr>
            <w:tcW w:w="3795" w:type="pct"/>
            <w:gridSpan w:val="8"/>
            <w:tcMar>
              <w:left w:w="108" w:type="dxa"/>
              <w:right w:w="108" w:type="dxa"/>
            </w:tcMar>
            <w:vAlign w:val="center"/>
          </w:tcPr>
          <w:p w14:paraId="647389BA">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用雾状水、泡沫、二氧化碳、干粉</w:t>
            </w:r>
            <w:r>
              <w:rPr>
                <w:rFonts w:hint="eastAsia" w:cs="Times New Roman" w:eastAsiaTheme="minorEastAsia"/>
                <w:sz w:val="21"/>
                <w:szCs w:val="21"/>
                <w:highlight w:val="none"/>
                <w:lang w:eastAsia="zh-CN"/>
              </w:rPr>
              <w:t>等</w:t>
            </w:r>
            <w:r>
              <w:rPr>
                <w:rFonts w:hint="default" w:ascii="Times New Roman" w:hAnsi="Times New Roman" w:cs="Times New Roman" w:eastAsiaTheme="minorEastAsia"/>
                <w:sz w:val="21"/>
                <w:szCs w:val="21"/>
                <w:highlight w:val="none"/>
              </w:rPr>
              <w:t>灭火。</w:t>
            </w:r>
          </w:p>
        </w:tc>
      </w:tr>
      <w:tr w14:paraId="2C202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continue"/>
            <w:tcMar>
              <w:left w:w="108" w:type="dxa"/>
              <w:right w:w="108" w:type="dxa"/>
            </w:tcMar>
            <w:vAlign w:val="center"/>
          </w:tcPr>
          <w:p w14:paraId="6235AA7C">
            <w:pPr>
              <w:jc w:val="center"/>
              <w:rPr>
                <w:rFonts w:hint="default" w:ascii="Times New Roman" w:hAnsi="Times New Roman" w:cs="Times New Roman" w:eastAsiaTheme="minorEastAsia"/>
                <w:sz w:val="21"/>
                <w:szCs w:val="21"/>
                <w:highlight w:val="none"/>
              </w:rPr>
            </w:pPr>
          </w:p>
        </w:tc>
        <w:tc>
          <w:tcPr>
            <w:tcW w:w="862" w:type="pct"/>
            <w:tcMar>
              <w:left w:w="108" w:type="dxa"/>
              <w:right w:w="108" w:type="dxa"/>
            </w:tcMar>
            <w:vAlign w:val="center"/>
          </w:tcPr>
          <w:p w14:paraId="52286A2E">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特别危险性：</w:t>
            </w:r>
          </w:p>
        </w:tc>
        <w:tc>
          <w:tcPr>
            <w:tcW w:w="3795" w:type="pct"/>
            <w:gridSpan w:val="8"/>
            <w:tcMar>
              <w:left w:w="108" w:type="dxa"/>
              <w:right w:w="108" w:type="dxa"/>
            </w:tcMar>
            <w:vAlign w:val="center"/>
          </w:tcPr>
          <w:p w14:paraId="4F4EB252">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与空气混合能形成爆炸性混合物，遇热源和明火有燃烧爆炸的危险。与氧、氯等接触会发生剧烈的化学反应。燃烧</w:t>
            </w:r>
            <w:r>
              <w:rPr>
                <w:rFonts w:hint="eastAsia" w:cs="Times New Roman" w:eastAsiaTheme="minorEastAsia"/>
                <w:sz w:val="21"/>
                <w:szCs w:val="21"/>
                <w:highlight w:val="none"/>
                <w:lang w:eastAsia="zh-CN"/>
              </w:rPr>
              <w:t>会</w:t>
            </w:r>
            <w:r>
              <w:rPr>
                <w:rFonts w:hint="default" w:ascii="Times New Roman" w:hAnsi="Times New Roman" w:cs="Times New Roman" w:eastAsiaTheme="minorEastAsia"/>
                <w:sz w:val="21"/>
                <w:szCs w:val="21"/>
                <w:highlight w:val="none"/>
              </w:rPr>
              <w:t>生成有害的一氧化碳。</w:t>
            </w:r>
          </w:p>
        </w:tc>
      </w:tr>
      <w:tr w14:paraId="02F80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continue"/>
            <w:tcMar>
              <w:left w:w="108" w:type="dxa"/>
              <w:right w:w="108" w:type="dxa"/>
            </w:tcMar>
            <w:vAlign w:val="center"/>
          </w:tcPr>
          <w:p w14:paraId="4CE8FC65">
            <w:pPr>
              <w:jc w:val="center"/>
              <w:rPr>
                <w:rFonts w:hint="default" w:ascii="Times New Roman" w:hAnsi="Times New Roman" w:cs="Times New Roman" w:eastAsiaTheme="minorEastAsia"/>
                <w:sz w:val="21"/>
                <w:szCs w:val="21"/>
                <w:highlight w:val="none"/>
              </w:rPr>
            </w:pPr>
          </w:p>
        </w:tc>
        <w:tc>
          <w:tcPr>
            <w:tcW w:w="4657" w:type="pct"/>
            <w:gridSpan w:val="9"/>
            <w:tcMar>
              <w:left w:w="108" w:type="dxa"/>
              <w:right w:w="108" w:type="dxa"/>
            </w:tcMar>
            <w:vAlign w:val="center"/>
          </w:tcPr>
          <w:p w14:paraId="7191A519">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注意事项及防护措施：</w:t>
            </w:r>
          </w:p>
          <w:p w14:paraId="21930A15">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切断气源。若不能切断气源，则不允许熄灭泄漏处的火焰。消防人员必须佩戴空气呼吸器、穿全身防火防毒服，在上风向灭火。尽可能将容器从火场移至空旷处。喷水保持火场容器冷却。直至灭火结束。</w:t>
            </w:r>
          </w:p>
        </w:tc>
      </w:tr>
      <w:tr w14:paraId="58EF5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tcMar>
              <w:left w:w="108" w:type="dxa"/>
              <w:right w:w="108" w:type="dxa"/>
            </w:tcMar>
            <w:vAlign w:val="center"/>
          </w:tcPr>
          <w:p w14:paraId="69F77CFB">
            <w:pPr>
              <w:jc w:val="center"/>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泄漏应急措施</w:t>
            </w:r>
          </w:p>
        </w:tc>
        <w:tc>
          <w:tcPr>
            <w:tcW w:w="4657" w:type="pct"/>
            <w:gridSpan w:val="9"/>
            <w:tcMar>
              <w:left w:w="108" w:type="dxa"/>
              <w:right w:w="108" w:type="dxa"/>
            </w:tcMar>
            <w:vAlign w:val="center"/>
          </w:tcPr>
          <w:p w14:paraId="0FF4C59D">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作业人员防护措施、防护装备和应急处置程序：</w:t>
            </w:r>
            <w:r>
              <w:rPr>
                <w:rFonts w:hint="default" w:ascii="Times New Roman" w:hAnsi="Times New Roman" w:cs="Times New Roman" w:eastAsiaTheme="minorEastAsia"/>
                <w:sz w:val="21"/>
                <w:szCs w:val="21"/>
                <w:highlight w:val="none"/>
              </w:rPr>
              <w:br w:type="textWrapping"/>
            </w:r>
            <w:r>
              <w:rPr>
                <w:rFonts w:hint="default" w:ascii="Times New Roman" w:hAnsi="Times New Roman" w:cs="Times New Roman" w:eastAsiaTheme="minorEastAsia"/>
                <w:sz w:val="21"/>
                <w:szCs w:val="21"/>
                <w:highlight w:val="none"/>
              </w:rPr>
              <w:t>消除所有火源。根据气体扩散的影响区域划定警戒区，无关人员从侧风、上风向撤离至安全区。建议应急处理人员戴正压自给式呼吸器，穿防静电服。作业时使用的所有设备应接地。尽可能切断泄漏源。若可能翻动容器，使之逸出气体而非液体。喷雾状水抑制</w:t>
            </w:r>
            <w:r>
              <w:rPr>
                <w:rFonts w:hint="eastAsia" w:cs="Times New Roman" w:eastAsiaTheme="minorEastAsia"/>
                <w:sz w:val="21"/>
                <w:szCs w:val="21"/>
                <w:highlight w:val="none"/>
                <w:lang w:eastAsia="zh-CN"/>
              </w:rPr>
              <w:t>蒸汽</w:t>
            </w:r>
            <w:r>
              <w:rPr>
                <w:rFonts w:hint="default" w:ascii="Times New Roman" w:hAnsi="Times New Roman" w:cs="Times New Roman" w:eastAsiaTheme="minorEastAsia"/>
                <w:sz w:val="21"/>
                <w:szCs w:val="21"/>
                <w:highlight w:val="none"/>
              </w:rPr>
              <w:t>或改变</w:t>
            </w:r>
            <w:r>
              <w:rPr>
                <w:rFonts w:hint="eastAsia" w:cs="Times New Roman" w:eastAsiaTheme="minorEastAsia"/>
                <w:sz w:val="21"/>
                <w:szCs w:val="21"/>
                <w:highlight w:val="none"/>
                <w:lang w:eastAsia="zh-CN"/>
              </w:rPr>
              <w:t>蒸汽</w:t>
            </w:r>
            <w:r>
              <w:rPr>
                <w:rFonts w:hint="default" w:ascii="Times New Roman" w:hAnsi="Times New Roman" w:cs="Times New Roman" w:eastAsiaTheme="minorEastAsia"/>
                <w:sz w:val="21"/>
                <w:szCs w:val="21"/>
                <w:highlight w:val="none"/>
              </w:rPr>
              <w:t>云流向，避免水流入接触泄漏物。禁止用水直接冲击泄漏物或泄漏源。</w:t>
            </w:r>
          </w:p>
          <w:p w14:paraId="67F6A35E">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环境保护措施：</w:t>
            </w:r>
            <w:r>
              <w:rPr>
                <w:rFonts w:hint="default" w:ascii="Times New Roman" w:hAnsi="Times New Roman" w:cs="Times New Roman" w:eastAsiaTheme="minorEastAsia"/>
                <w:sz w:val="21"/>
                <w:szCs w:val="21"/>
                <w:highlight w:val="none"/>
              </w:rPr>
              <w:br w:type="textWrapping"/>
            </w:r>
            <w:r>
              <w:rPr>
                <w:rFonts w:hint="eastAsia" w:cs="Times New Roman" w:eastAsiaTheme="minorEastAsia"/>
                <w:sz w:val="21"/>
                <w:szCs w:val="21"/>
                <w:highlight w:val="none"/>
                <w:lang w:eastAsia="zh-CN"/>
              </w:rPr>
              <w:t>防止气体通过下水道、通风系统和有限空间等方式</w:t>
            </w:r>
            <w:r>
              <w:rPr>
                <w:rFonts w:hint="default" w:ascii="Times New Roman" w:hAnsi="Times New Roman" w:cs="Times New Roman" w:eastAsiaTheme="minorEastAsia"/>
                <w:sz w:val="21"/>
                <w:szCs w:val="21"/>
                <w:highlight w:val="none"/>
              </w:rPr>
              <w:t>扩散。</w:t>
            </w:r>
            <w:r>
              <w:rPr>
                <w:rFonts w:hint="default" w:ascii="Times New Roman" w:hAnsi="Times New Roman" w:cs="Times New Roman" w:eastAsiaTheme="minorEastAsia"/>
                <w:sz w:val="21"/>
                <w:szCs w:val="21"/>
                <w:highlight w:val="none"/>
              </w:rPr>
              <w:br w:type="textWrapping"/>
            </w:r>
            <w:r>
              <w:rPr>
                <w:rFonts w:hint="default" w:ascii="Times New Roman" w:hAnsi="Times New Roman" w:cs="Times New Roman" w:eastAsiaTheme="minorEastAsia"/>
                <w:sz w:val="21"/>
                <w:szCs w:val="21"/>
                <w:highlight w:val="none"/>
              </w:rPr>
              <w:t>泄漏化学品的收容、清除方法及所使用的处置材料：</w:t>
            </w:r>
            <w:r>
              <w:rPr>
                <w:rFonts w:hint="default" w:ascii="Times New Roman" w:hAnsi="Times New Roman" w:cs="Times New Roman" w:eastAsiaTheme="minorEastAsia"/>
                <w:sz w:val="21"/>
                <w:szCs w:val="21"/>
                <w:highlight w:val="none"/>
              </w:rPr>
              <w:br w:type="textWrapping"/>
            </w:r>
            <w:r>
              <w:rPr>
                <w:rFonts w:hint="default" w:ascii="Times New Roman" w:hAnsi="Times New Roman" w:cs="Times New Roman" w:eastAsiaTheme="minorEastAsia"/>
                <w:sz w:val="21"/>
                <w:szCs w:val="21"/>
                <w:highlight w:val="none"/>
              </w:rPr>
              <w:t>隔离泄漏区直至气体散尽。</w:t>
            </w:r>
          </w:p>
        </w:tc>
      </w:tr>
      <w:tr w14:paraId="4C731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restart"/>
            <w:tcMar>
              <w:left w:w="108" w:type="dxa"/>
              <w:right w:w="108" w:type="dxa"/>
            </w:tcMar>
            <w:vAlign w:val="center"/>
          </w:tcPr>
          <w:p w14:paraId="7DD27697">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操作与储存</w:t>
            </w:r>
          </w:p>
        </w:tc>
        <w:tc>
          <w:tcPr>
            <w:tcW w:w="862" w:type="pct"/>
            <w:tcMar>
              <w:left w:w="108" w:type="dxa"/>
              <w:right w:w="108" w:type="dxa"/>
            </w:tcMar>
            <w:vAlign w:val="center"/>
          </w:tcPr>
          <w:p w14:paraId="3F54BAA1">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操作注意事项：</w:t>
            </w:r>
          </w:p>
        </w:tc>
        <w:tc>
          <w:tcPr>
            <w:tcW w:w="3795" w:type="pct"/>
            <w:gridSpan w:val="8"/>
            <w:tcMar>
              <w:left w:w="108" w:type="dxa"/>
              <w:right w:w="108" w:type="dxa"/>
            </w:tcMar>
            <w:vAlign w:val="center"/>
          </w:tcPr>
          <w:p w14:paraId="1C064E87">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密闭操作，全面通风。操作人员必须经过专门培训，严格遵守操作规程。建议操作人员穿戴防静电工作服。远离火种、热源。工作场所严禁吸烟。使用防爆型的通风系统和设备。防止气体泄漏到工作场所空气中。避免与氧化剂、卤素接触。在传送过程中，钢瓶和容器必须接地和跨接，防止产生静电。搬运时轻装轻卸。防止钢瓶在地面滚动。配备相应品种和数量的消防器材及泄漏应急处理设备。</w:t>
            </w:r>
          </w:p>
        </w:tc>
      </w:tr>
      <w:tr w14:paraId="3A3A6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continue"/>
            <w:tcMar>
              <w:left w:w="108" w:type="dxa"/>
              <w:right w:w="108" w:type="dxa"/>
            </w:tcMar>
            <w:vAlign w:val="center"/>
          </w:tcPr>
          <w:p w14:paraId="1B62B2B3">
            <w:pPr>
              <w:jc w:val="center"/>
              <w:rPr>
                <w:rFonts w:hint="default" w:ascii="Times New Roman" w:hAnsi="Times New Roman" w:cs="Times New Roman" w:eastAsiaTheme="minorEastAsia"/>
                <w:sz w:val="21"/>
                <w:szCs w:val="21"/>
                <w:highlight w:val="none"/>
              </w:rPr>
            </w:pPr>
          </w:p>
        </w:tc>
        <w:tc>
          <w:tcPr>
            <w:tcW w:w="862" w:type="pct"/>
            <w:tcMar>
              <w:left w:w="108" w:type="dxa"/>
              <w:right w:w="108" w:type="dxa"/>
            </w:tcMar>
            <w:vAlign w:val="center"/>
          </w:tcPr>
          <w:p w14:paraId="21638DB6">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储存注意事项：</w:t>
            </w:r>
          </w:p>
        </w:tc>
        <w:tc>
          <w:tcPr>
            <w:tcW w:w="3795" w:type="pct"/>
            <w:gridSpan w:val="8"/>
            <w:tcMar>
              <w:left w:w="108" w:type="dxa"/>
              <w:right w:w="108" w:type="dxa"/>
            </w:tcMar>
            <w:vAlign w:val="center"/>
          </w:tcPr>
          <w:p w14:paraId="6E83A74D">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储存于阴凉、通风的易燃气体专用库房。远离火种、热源。库温不宜超过30℃。应与氧化剂、卤素分开存放，切忌混储。采用防爆型照明、通风设施。禁止</w:t>
            </w:r>
            <w:r>
              <w:rPr>
                <w:rFonts w:hint="eastAsia" w:cs="Times New Roman" w:eastAsiaTheme="minorEastAsia"/>
                <w:sz w:val="21"/>
                <w:szCs w:val="21"/>
                <w:highlight w:val="none"/>
                <w:lang w:eastAsia="zh-CN"/>
              </w:rPr>
              <w:t>使用</w:t>
            </w:r>
            <w:r>
              <w:rPr>
                <w:rFonts w:hint="default" w:ascii="Times New Roman" w:hAnsi="Times New Roman" w:cs="Times New Roman" w:eastAsiaTheme="minorEastAsia"/>
                <w:sz w:val="21"/>
                <w:szCs w:val="21"/>
                <w:highlight w:val="none"/>
              </w:rPr>
              <w:t>易燃产生火花的机械设备和工具。储区应备有泄漏应急处理设备。</w:t>
            </w:r>
          </w:p>
        </w:tc>
      </w:tr>
      <w:tr w14:paraId="25560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restart"/>
            <w:tcMar>
              <w:left w:w="108" w:type="dxa"/>
              <w:right w:w="108" w:type="dxa"/>
            </w:tcMar>
            <w:vAlign w:val="center"/>
          </w:tcPr>
          <w:p w14:paraId="76302956">
            <w:pPr>
              <w:jc w:val="center"/>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接触控制和防护</w:t>
            </w:r>
          </w:p>
        </w:tc>
        <w:tc>
          <w:tcPr>
            <w:tcW w:w="862" w:type="pct"/>
            <w:tcMar>
              <w:left w:w="108" w:type="dxa"/>
              <w:right w:w="108" w:type="dxa"/>
            </w:tcMar>
            <w:vAlign w:val="center"/>
          </w:tcPr>
          <w:p w14:paraId="7C819767">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职业接触限值：</w:t>
            </w:r>
          </w:p>
        </w:tc>
        <w:tc>
          <w:tcPr>
            <w:tcW w:w="793" w:type="pct"/>
            <w:tcMar>
              <w:left w:w="108" w:type="dxa"/>
              <w:right w:w="108" w:type="dxa"/>
            </w:tcMar>
            <w:vAlign w:val="center"/>
          </w:tcPr>
          <w:p w14:paraId="44B91D40">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未制定标准</w:t>
            </w:r>
          </w:p>
        </w:tc>
        <w:tc>
          <w:tcPr>
            <w:tcW w:w="1624" w:type="pct"/>
            <w:gridSpan w:val="3"/>
            <w:tcMar>
              <w:left w:w="108" w:type="dxa"/>
              <w:right w:w="108" w:type="dxa"/>
            </w:tcMar>
            <w:vAlign w:val="center"/>
          </w:tcPr>
          <w:p w14:paraId="63B426A2">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生物接触限值：</w:t>
            </w:r>
          </w:p>
        </w:tc>
        <w:tc>
          <w:tcPr>
            <w:tcW w:w="1377" w:type="pct"/>
            <w:gridSpan w:val="4"/>
            <w:tcMar>
              <w:left w:w="108" w:type="dxa"/>
              <w:right w:w="108" w:type="dxa"/>
            </w:tcMar>
            <w:vAlign w:val="center"/>
          </w:tcPr>
          <w:p w14:paraId="24F4A4C5">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未制定标准</w:t>
            </w:r>
          </w:p>
        </w:tc>
      </w:tr>
      <w:tr w14:paraId="66615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continue"/>
            <w:tcMar>
              <w:left w:w="108" w:type="dxa"/>
              <w:right w:w="108" w:type="dxa"/>
            </w:tcMar>
            <w:vAlign w:val="center"/>
          </w:tcPr>
          <w:p w14:paraId="6C0D0849">
            <w:pPr>
              <w:jc w:val="center"/>
              <w:rPr>
                <w:rFonts w:hint="default" w:ascii="Times New Roman" w:hAnsi="Times New Roman" w:cs="Times New Roman" w:eastAsiaTheme="minorEastAsia"/>
                <w:sz w:val="21"/>
                <w:szCs w:val="21"/>
                <w:highlight w:val="none"/>
              </w:rPr>
            </w:pPr>
          </w:p>
        </w:tc>
        <w:tc>
          <w:tcPr>
            <w:tcW w:w="862" w:type="pct"/>
            <w:tcMar>
              <w:left w:w="108" w:type="dxa"/>
              <w:right w:w="108" w:type="dxa"/>
            </w:tcMar>
            <w:vAlign w:val="center"/>
          </w:tcPr>
          <w:p w14:paraId="6282DE35">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监测方法：</w:t>
            </w:r>
          </w:p>
        </w:tc>
        <w:tc>
          <w:tcPr>
            <w:tcW w:w="3795" w:type="pct"/>
            <w:gridSpan w:val="8"/>
            <w:tcMar>
              <w:left w:w="108" w:type="dxa"/>
              <w:right w:w="108" w:type="dxa"/>
            </w:tcMar>
            <w:vAlign w:val="center"/>
          </w:tcPr>
          <w:p w14:paraId="720EF44C">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未制定标准</w:t>
            </w:r>
          </w:p>
        </w:tc>
      </w:tr>
      <w:tr w14:paraId="0F61B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continue"/>
            <w:tcMar>
              <w:left w:w="108" w:type="dxa"/>
              <w:right w:w="108" w:type="dxa"/>
            </w:tcMar>
            <w:vAlign w:val="center"/>
          </w:tcPr>
          <w:p w14:paraId="4FA83CA5">
            <w:pPr>
              <w:jc w:val="center"/>
              <w:rPr>
                <w:rFonts w:hint="default" w:ascii="Times New Roman" w:hAnsi="Times New Roman" w:cs="Times New Roman" w:eastAsiaTheme="minorEastAsia"/>
                <w:sz w:val="21"/>
                <w:szCs w:val="21"/>
                <w:highlight w:val="none"/>
              </w:rPr>
            </w:pPr>
          </w:p>
        </w:tc>
        <w:tc>
          <w:tcPr>
            <w:tcW w:w="862" w:type="pct"/>
            <w:tcMar>
              <w:left w:w="108" w:type="dxa"/>
              <w:right w:w="108" w:type="dxa"/>
            </w:tcMar>
            <w:vAlign w:val="center"/>
          </w:tcPr>
          <w:p w14:paraId="2708D8E3">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工程控制：</w:t>
            </w:r>
          </w:p>
        </w:tc>
        <w:tc>
          <w:tcPr>
            <w:tcW w:w="3795" w:type="pct"/>
            <w:gridSpan w:val="8"/>
            <w:tcMar>
              <w:left w:w="108" w:type="dxa"/>
              <w:right w:w="108" w:type="dxa"/>
            </w:tcMar>
            <w:vAlign w:val="center"/>
          </w:tcPr>
          <w:p w14:paraId="264C07DB">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生产过程封闭，全面通风。个体防护装备。</w:t>
            </w:r>
          </w:p>
        </w:tc>
      </w:tr>
      <w:tr w14:paraId="46984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continue"/>
            <w:tcMar>
              <w:left w:w="108" w:type="dxa"/>
              <w:right w:w="108" w:type="dxa"/>
            </w:tcMar>
            <w:vAlign w:val="center"/>
          </w:tcPr>
          <w:p w14:paraId="3CFFE1F4">
            <w:pPr>
              <w:jc w:val="center"/>
              <w:rPr>
                <w:rFonts w:hint="default" w:ascii="Times New Roman" w:hAnsi="Times New Roman" w:cs="Times New Roman" w:eastAsiaTheme="minorEastAsia"/>
                <w:sz w:val="21"/>
                <w:szCs w:val="21"/>
                <w:highlight w:val="none"/>
              </w:rPr>
            </w:pPr>
          </w:p>
        </w:tc>
        <w:tc>
          <w:tcPr>
            <w:tcW w:w="862" w:type="pct"/>
            <w:tcMar>
              <w:left w:w="108" w:type="dxa"/>
              <w:right w:w="108" w:type="dxa"/>
            </w:tcMar>
            <w:vAlign w:val="center"/>
          </w:tcPr>
          <w:p w14:paraId="3308191B">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个体防护装备：</w:t>
            </w:r>
          </w:p>
        </w:tc>
        <w:tc>
          <w:tcPr>
            <w:tcW w:w="3795" w:type="pct"/>
            <w:gridSpan w:val="8"/>
            <w:tcMar>
              <w:left w:w="108" w:type="dxa"/>
              <w:right w:w="108" w:type="dxa"/>
            </w:tcMar>
            <w:vAlign w:val="center"/>
          </w:tcPr>
          <w:p w14:paraId="5D791D73">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呼吸系统防护：一般需要特殊防护，但建议</w:t>
            </w:r>
            <w:r>
              <w:rPr>
                <w:rFonts w:hint="eastAsia" w:cs="Times New Roman" w:eastAsiaTheme="minorEastAsia"/>
                <w:sz w:val="21"/>
                <w:szCs w:val="21"/>
                <w:highlight w:val="none"/>
                <w:lang w:eastAsia="zh-CN"/>
              </w:rPr>
              <w:t>在</w:t>
            </w:r>
            <w:r>
              <w:rPr>
                <w:rFonts w:hint="default" w:ascii="Times New Roman" w:hAnsi="Times New Roman" w:cs="Times New Roman" w:eastAsiaTheme="minorEastAsia"/>
                <w:sz w:val="21"/>
                <w:szCs w:val="21"/>
                <w:highlight w:val="none"/>
              </w:rPr>
              <w:t>特殊情况下，佩戴过滤式防毒面具（半面罩）。</w:t>
            </w:r>
            <w:r>
              <w:rPr>
                <w:rFonts w:hint="default" w:ascii="Times New Roman" w:hAnsi="Times New Roman" w:cs="Times New Roman" w:eastAsiaTheme="minorEastAsia"/>
                <w:sz w:val="21"/>
                <w:szCs w:val="21"/>
                <w:highlight w:val="none"/>
              </w:rPr>
              <w:br w:type="textWrapping"/>
            </w:r>
            <w:r>
              <w:rPr>
                <w:rFonts w:hint="default" w:ascii="Times New Roman" w:hAnsi="Times New Roman" w:cs="Times New Roman" w:eastAsiaTheme="minorEastAsia"/>
                <w:sz w:val="21"/>
                <w:szCs w:val="21"/>
                <w:highlight w:val="none"/>
              </w:rPr>
              <w:t>眼睛防护：一般不需要特殊防护。</w:t>
            </w:r>
            <w:r>
              <w:rPr>
                <w:rFonts w:hint="default" w:ascii="Times New Roman" w:hAnsi="Times New Roman" w:cs="Times New Roman" w:eastAsiaTheme="minorEastAsia"/>
                <w:sz w:val="21"/>
                <w:szCs w:val="21"/>
                <w:highlight w:val="none"/>
              </w:rPr>
              <w:br w:type="textWrapping"/>
            </w:r>
            <w:r>
              <w:rPr>
                <w:rFonts w:hint="default" w:ascii="Times New Roman" w:hAnsi="Times New Roman" w:cs="Times New Roman" w:eastAsiaTheme="minorEastAsia"/>
                <w:sz w:val="21"/>
                <w:szCs w:val="21"/>
                <w:highlight w:val="none"/>
              </w:rPr>
              <w:t>皮肤和身体防护：穿防静电工作服。</w:t>
            </w:r>
            <w:r>
              <w:rPr>
                <w:rFonts w:hint="default" w:ascii="Times New Roman" w:hAnsi="Times New Roman" w:cs="Times New Roman" w:eastAsiaTheme="minorEastAsia"/>
                <w:sz w:val="21"/>
                <w:szCs w:val="21"/>
                <w:highlight w:val="none"/>
              </w:rPr>
              <w:br w:type="textWrapping"/>
            </w:r>
            <w:r>
              <w:rPr>
                <w:rFonts w:hint="default" w:ascii="Times New Roman" w:hAnsi="Times New Roman" w:cs="Times New Roman" w:eastAsiaTheme="minorEastAsia"/>
                <w:sz w:val="21"/>
                <w:szCs w:val="21"/>
                <w:highlight w:val="none"/>
              </w:rPr>
              <w:t>手防护：戴一般作业防护手套。</w:t>
            </w:r>
          </w:p>
        </w:tc>
      </w:tr>
      <w:tr w14:paraId="65BCE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restart"/>
            <w:tcMar>
              <w:left w:w="108" w:type="dxa"/>
              <w:right w:w="108" w:type="dxa"/>
            </w:tcMar>
            <w:vAlign w:val="center"/>
          </w:tcPr>
          <w:p w14:paraId="6BCCD67B">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理化特性</w:t>
            </w:r>
          </w:p>
        </w:tc>
        <w:tc>
          <w:tcPr>
            <w:tcW w:w="862" w:type="pct"/>
            <w:tcMar>
              <w:left w:w="108" w:type="dxa"/>
              <w:right w:w="108" w:type="dxa"/>
            </w:tcMar>
            <w:vAlign w:val="center"/>
          </w:tcPr>
          <w:p w14:paraId="20AA8DD1">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外观与性状：</w:t>
            </w:r>
          </w:p>
        </w:tc>
        <w:tc>
          <w:tcPr>
            <w:tcW w:w="3795" w:type="pct"/>
            <w:gridSpan w:val="8"/>
            <w:tcMar>
              <w:left w:w="108" w:type="dxa"/>
              <w:right w:w="108" w:type="dxa"/>
            </w:tcMar>
            <w:vAlign w:val="center"/>
          </w:tcPr>
          <w:p w14:paraId="1DD5F0E4">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无色无味气体。</w:t>
            </w:r>
          </w:p>
        </w:tc>
      </w:tr>
      <w:tr w14:paraId="34D2E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continue"/>
            <w:tcMar>
              <w:left w:w="108" w:type="dxa"/>
              <w:right w:w="108" w:type="dxa"/>
            </w:tcMar>
            <w:vAlign w:val="center"/>
          </w:tcPr>
          <w:p w14:paraId="3AEAB4F7">
            <w:pPr>
              <w:jc w:val="center"/>
              <w:rPr>
                <w:rFonts w:hint="default" w:ascii="Times New Roman" w:hAnsi="Times New Roman" w:cs="Times New Roman" w:eastAsiaTheme="minorEastAsia"/>
                <w:sz w:val="21"/>
                <w:szCs w:val="21"/>
                <w:highlight w:val="none"/>
              </w:rPr>
            </w:pPr>
          </w:p>
        </w:tc>
        <w:tc>
          <w:tcPr>
            <w:tcW w:w="862" w:type="pct"/>
            <w:tcMar>
              <w:left w:w="108" w:type="dxa"/>
              <w:right w:w="108" w:type="dxa"/>
            </w:tcMar>
            <w:vAlign w:val="center"/>
          </w:tcPr>
          <w:p w14:paraId="2A531B1B">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pH值：</w:t>
            </w:r>
          </w:p>
        </w:tc>
        <w:tc>
          <w:tcPr>
            <w:tcW w:w="793" w:type="pct"/>
            <w:tcMar>
              <w:left w:w="108" w:type="dxa"/>
              <w:right w:w="108" w:type="dxa"/>
            </w:tcMar>
            <w:vAlign w:val="center"/>
          </w:tcPr>
          <w:p w14:paraId="1F509F95">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无意义</w:t>
            </w:r>
          </w:p>
        </w:tc>
        <w:tc>
          <w:tcPr>
            <w:tcW w:w="1624" w:type="pct"/>
            <w:gridSpan w:val="3"/>
            <w:tcMar>
              <w:left w:w="108" w:type="dxa"/>
              <w:right w:w="108" w:type="dxa"/>
            </w:tcMar>
            <w:vAlign w:val="center"/>
          </w:tcPr>
          <w:p w14:paraId="6D0DCFB1">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熔点（℃）：</w:t>
            </w:r>
          </w:p>
        </w:tc>
        <w:tc>
          <w:tcPr>
            <w:tcW w:w="1377" w:type="pct"/>
            <w:gridSpan w:val="4"/>
            <w:tcMar>
              <w:left w:w="108" w:type="dxa"/>
              <w:right w:w="108" w:type="dxa"/>
            </w:tcMar>
            <w:vAlign w:val="center"/>
          </w:tcPr>
          <w:p w14:paraId="237A8B85">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-172~ -183</w:t>
            </w:r>
          </w:p>
        </w:tc>
      </w:tr>
      <w:tr w14:paraId="18B6A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continue"/>
            <w:tcMar>
              <w:left w:w="108" w:type="dxa"/>
              <w:right w:w="108" w:type="dxa"/>
            </w:tcMar>
            <w:vAlign w:val="center"/>
          </w:tcPr>
          <w:p w14:paraId="234A269B">
            <w:pPr>
              <w:jc w:val="center"/>
              <w:rPr>
                <w:rFonts w:hint="default" w:ascii="Times New Roman" w:hAnsi="Times New Roman" w:cs="Times New Roman" w:eastAsiaTheme="minorEastAsia"/>
                <w:sz w:val="21"/>
                <w:szCs w:val="21"/>
                <w:highlight w:val="none"/>
              </w:rPr>
            </w:pPr>
          </w:p>
        </w:tc>
        <w:tc>
          <w:tcPr>
            <w:tcW w:w="862" w:type="pct"/>
            <w:tcMar>
              <w:left w:w="108" w:type="dxa"/>
              <w:right w:w="108" w:type="dxa"/>
            </w:tcMar>
            <w:vAlign w:val="center"/>
          </w:tcPr>
          <w:p w14:paraId="1FCB17CD">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沸点（℃）：</w:t>
            </w:r>
          </w:p>
        </w:tc>
        <w:tc>
          <w:tcPr>
            <w:tcW w:w="793" w:type="pct"/>
            <w:tcMar>
              <w:left w:w="108" w:type="dxa"/>
              <w:right w:w="108" w:type="dxa"/>
            </w:tcMar>
            <w:vAlign w:val="center"/>
          </w:tcPr>
          <w:p w14:paraId="52603844">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-88.6</w:t>
            </w:r>
          </w:p>
        </w:tc>
        <w:tc>
          <w:tcPr>
            <w:tcW w:w="1624" w:type="pct"/>
            <w:gridSpan w:val="3"/>
            <w:tcMar>
              <w:left w:w="108" w:type="dxa"/>
              <w:right w:w="108" w:type="dxa"/>
            </w:tcMar>
            <w:vAlign w:val="center"/>
          </w:tcPr>
          <w:p w14:paraId="425B4DF8">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相对水密度（水=1）：</w:t>
            </w:r>
          </w:p>
        </w:tc>
        <w:tc>
          <w:tcPr>
            <w:tcW w:w="1377" w:type="pct"/>
            <w:gridSpan w:val="4"/>
            <w:tcMar>
              <w:left w:w="108" w:type="dxa"/>
              <w:right w:w="108" w:type="dxa"/>
            </w:tcMar>
            <w:vAlign w:val="center"/>
          </w:tcPr>
          <w:p w14:paraId="3F2BF0F2">
            <w:pPr>
              <w:jc w:val="center"/>
              <w:rPr>
                <w:rFonts w:hint="eastAsia" w:ascii="Times New Roman" w:hAnsi="Times New Roman" w:cs="Times New Roman" w:eastAsiaTheme="minorEastAsia"/>
                <w:sz w:val="21"/>
                <w:szCs w:val="21"/>
                <w:highlight w:val="none"/>
                <w:lang w:eastAsia="zh-CN"/>
              </w:rPr>
            </w:pPr>
            <w:r>
              <w:rPr>
                <w:rFonts w:hint="default" w:ascii="Times New Roman" w:hAnsi="Times New Roman" w:cs="Times New Roman" w:eastAsiaTheme="minorEastAsia"/>
                <w:sz w:val="21"/>
                <w:szCs w:val="21"/>
                <w:highlight w:val="none"/>
              </w:rPr>
              <w:t>0.45</w:t>
            </w:r>
            <w:r>
              <w:rPr>
                <w:rFonts w:hint="eastAsia" w:cs="Times New Roman" w:eastAsiaTheme="minorEastAsia"/>
                <w:sz w:val="21"/>
                <w:szCs w:val="21"/>
                <w:highlight w:val="none"/>
                <w:lang w:eastAsia="zh-CN"/>
              </w:rPr>
              <w:t>（</w:t>
            </w:r>
            <w:r>
              <w:rPr>
                <w:rFonts w:hint="default" w:ascii="Times New Roman" w:hAnsi="Times New Roman" w:cs="Times New Roman" w:eastAsiaTheme="minorEastAsia"/>
                <w:sz w:val="21"/>
                <w:szCs w:val="21"/>
                <w:highlight w:val="none"/>
              </w:rPr>
              <w:t>0℃</w:t>
            </w:r>
            <w:r>
              <w:rPr>
                <w:rFonts w:hint="eastAsia" w:cs="Times New Roman" w:eastAsiaTheme="minorEastAsia"/>
                <w:sz w:val="21"/>
                <w:szCs w:val="21"/>
                <w:highlight w:val="none"/>
                <w:lang w:eastAsia="zh-CN"/>
              </w:rPr>
              <w:t>）</w:t>
            </w:r>
          </w:p>
        </w:tc>
      </w:tr>
      <w:tr w14:paraId="318DF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continue"/>
            <w:tcMar>
              <w:left w:w="108" w:type="dxa"/>
              <w:right w:w="108" w:type="dxa"/>
            </w:tcMar>
            <w:vAlign w:val="center"/>
          </w:tcPr>
          <w:p w14:paraId="285588F7">
            <w:pPr>
              <w:jc w:val="center"/>
              <w:rPr>
                <w:rFonts w:hint="default" w:ascii="Times New Roman" w:hAnsi="Times New Roman" w:cs="Times New Roman" w:eastAsiaTheme="minorEastAsia"/>
                <w:sz w:val="21"/>
                <w:szCs w:val="21"/>
                <w:highlight w:val="none"/>
              </w:rPr>
            </w:pPr>
          </w:p>
        </w:tc>
        <w:tc>
          <w:tcPr>
            <w:tcW w:w="1656" w:type="pct"/>
            <w:gridSpan w:val="2"/>
            <w:tcMar>
              <w:left w:w="108" w:type="dxa"/>
              <w:right w:w="108" w:type="dxa"/>
            </w:tcMar>
            <w:vAlign w:val="center"/>
          </w:tcPr>
          <w:p w14:paraId="1ED25797">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相对空气密度（空气=1）：</w:t>
            </w:r>
          </w:p>
        </w:tc>
        <w:tc>
          <w:tcPr>
            <w:tcW w:w="3001" w:type="pct"/>
            <w:gridSpan w:val="7"/>
            <w:tcMar>
              <w:left w:w="108" w:type="dxa"/>
              <w:right w:w="108" w:type="dxa"/>
            </w:tcMar>
            <w:vAlign w:val="center"/>
          </w:tcPr>
          <w:p w14:paraId="2FF9D407">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1.05</w:t>
            </w:r>
          </w:p>
        </w:tc>
      </w:tr>
      <w:tr w14:paraId="5BEDC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continue"/>
            <w:tcMar>
              <w:left w:w="108" w:type="dxa"/>
              <w:right w:w="108" w:type="dxa"/>
            </w:tcMar>
            <w:vAlign w:val="center"/>
          </w:tcPr>
          <w:p w14:paraId="6018E3EA">
            <w:pPr>
              <w:jc w:val="center"/>
              <w:rPr>
                <w:rFonts w:hint="default" w:ascii="Times New Roman" w:hAnsi="Times New Roman" w:cs="Times New Roman" w:eastAsiaTheme="minorEastAsia"/>
                <w:sz w:val="21"/>
                <w:szCs w:val="21"/>
                <w:highlight w:val="none"/>
              </w:rPr>
            </w:pPr>
          </w:p>
        </w:tc>
        <w:tc>
          <w:tcPr>
            <w:tcW w:w="1656" w:type="pct"/>
            <w:gridSpan w:val="2"/>
            <w:tcMar>
              <w:left w:w="108" w:type="dxa"/>
              <w:right w:w="108" w:type="dxa"/>
            </w:tcMar>
            <w:vAlign w:val="center"/>
          </w:tcPr>
          <w:p w14:paraId="6C98723E">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饱和蒸汽压（kPa）：</w:t>
            </w:r>
          </w:p>
        </w:tc>
        <w:tc>
          <w:tcPr>
            <w:tcW w:w="3001" w:type="pct"/>
            <w:gridSpan w:val="7"/>
            <w:tcMar>
              <w:left w:w="108" w:type="dxa"/>
              <w:right w:w="108" w:type="dxa"/>
            </w:tcMar>
            <w:vAlign w:val="center"/>
          </w:tcPr>
          <w:p w14:paraId="693F4EED">
            <w:pPr>
              <w:jc w:val="center"/>
              <w:rPr>
                <w:rFonts w:hint="eastAsia" w:ascii="Times New Roman" w:hAnsi="Times New Roman" w:cs="Times New Roman" w:eastAsiaTheme="minorEastAsia"/>
                <w:sz w:val="21"/>
                <w:szCs w:val="21"/>
                <w:highlight w:val="none"/>
                <w:lang w:eastAsia="zh-CN"/>
              </w:rPr>
            </w:pPr>
            <w:r>
              <w:rPr>
                <w:rFonts w:hint="default" w:ascii="Times New Roman" w:hAnsi="Times New Roman" w:cs="Times New Roman" w:eastAsiaTheme="minorEastAsia"/>
                <w:sz w:val="21"/>
                <w:szCs w:val="21"/>
                <w:highlight w:val="none"/>
              </w:rPr>
              <w:t>3850</w:t>
            </w:r>
            <w:r>
              <w:rPr>
                <w:rFonts w:hint="eastAsia" w:cs="Times New Roman" w:eastAsiaTheme="minorEastAsia"/>
                <w:sz w:val="21"/>
                <w:szCs w:val="21"/>
                <w:highlight w:val="none"/>
                <w:lang w:eastAsia="zh-CN"/>
              </w:rPr>
              <w:t>（</w:t>
            </w:r>
            <w:r>
              <w:rPr>
                <w:rFonts w:hint="default" w:ascii="Times New Roman" w:hAnsi="Times New Roman" w:cs="Times New Roman" w:eastAsiaTheme="minorEastAsia"/>
                <w:sz w:val="21"/>
                <w:szCs w:val="21"/>
                <w:highlight w:val="none"/>
              </w:rPr>
              <w:t>20℃</w:t>
            </w:r>
            <w:r>
              <w:rPr>
                <w:rFonts w:hint="eastAsia" w:cs="Times New Roman" w:eastAsiaTheme="minorEastAsia"/>
                <w:sz w:val="21"/>
                <w:szCs w:val="21"/>
                <w:highlight w:val="none"/>
                <w:lang w:eastAsia="zh-CN"/>
              </w:rPr>
              <w:t>）</w:t>
            </w:r>
          </w:p>
        </w:tc>
      </w:tr>
      <w:tr w14:paraId="7CC8A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continue"/>
            <w:tcMar>
              <w:left w:w="108" w:type="dxa"/>
              <w:right w:w="108" w:type="dxa"/>
            </w:tcMar>
            <w:vAlign w:val="center"/>
          </w:tcPr>
          <w:p w14:paraId="549A10BE">
            <w:pPr>
              <w:jc w:val="center"/>
              <w:rPr>
                <w:rFonts w:hint="default" w:ascii="Times New Roman" w:hAnsi="Times New Roman" w:cs="Times New Roman" w:eastAsiaTheme="minorEastAsia"/>
                <w:sz w:val="21"/>
                <w:szCs w:val="21"/>
                <w:highlight w:val="none"/>
              </w:rPr>
            </w:pPr>
          </w:p>
        </w:tc>
        <w:tc>
          <w:tcPr>
            <w:tcW w:w="1656" w:type="pct"/>
            <w:gridSpan w:val="2"/>
            <w:tcMar>
              <w:left w:w="108" w:type="dxa"/>
              <w:right w:w="108" w:type="dxa"/>
            </w:tcMar>
            <w:vAlign w:val="center"/>
          </w:tcPr>
          <w:p w14:paraId="62B754DE">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燃烧热（kJ/mol）：1558.3</w:t>
            </w:r>
          </w:p>
        </w:tc>
        <w:tc>
          <w:tcPr>
            <w:tcW w:w="1624" w:type="pct"/>
            <w:gridSpan w:val="3"/>
            <w:tcMar>
              <w:left w:w="108" w:type="dxa"/>
              <w:right w:w="108" w:type="dxa"/>
            </w:tcMar>
            <w:vAlign w:val="center"/>
          </w:tcPr>
          <w:p w14:paraId="00057319">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临界温度（℃）：</w:t>
            </w:r>
          </w:p>
        </w:tc>
        <w:tc>
          <w:tcPr>
            <w:tcW w:w="1377" w:type="pct"/>
            <w:gridSpan w:val="4"/>
            <w:tcMar>
              <w:left w:w="108" w:type="dxa"/>
              <w:right w:w="108" w:type="dxa"/>
            </w:tcMar>
            <w:vAlign w:val="center"/>
          </w:tcPr>
          <w:p w14:paraId="48B2432C">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32.2</w:t>
            </w:r>
          </w:p>
        </w:tc>
      </w:tr>
      <w:tr w14:paraId="667E3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continue"/>
            <w:tcMar>
              <w:left w:w="108" w:type="dxa"/>
              <w:right w:w="108" w:type="dxa"/>
            </w:tcMar>
            <w:vAlign w:val="center"/>
          </w:tcPr>
          <w:p w14:paraId="2E3F64B7">
            <w:pPr>
              <w:jc w:val="center"/>
              <w:rPr>
                <w:rFonts w:hint="default" w:ascii="Times New Roman" w:hAnsi="Times New Roman" w:cs="Times New Roman" w:eastAsiaTheme="minorEastAsia"/>
                <w:sz w:val="21"/>
                <w:szCs w:val="21"/>
                <w:highlight w:val="none"/>
              </w:rPr>
            </w:pPr>
          </w:p>
        </w:tc>
        <w:tc>
          <w:tcPr>
            <w:tcW w:w="1656" w:type="pct"/>
            <w:gridSpan w:val="2"/>
            <w:tcMar>
              <w:left w:w="108" w:type="dxa"/>
              <w:right w:w="108" w:type="dxa"/>
            </w:tcMar>
            <w:vAlign w:val="center"/>
          </w:tcPr>
          <w:p w14:paraId="54735FE7">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临界压力（MPa）：4.87</w:t>
            </w:r>
          </w:p>
        </w:tc>
        <w:tc>
          <w:tcPr>
            <w:tcW w:w="1624" w:type="pct"/>
            <w:gridSpan w:val="3"/>
            <w:tcMar>
              <w:left w:w="108" w:type="dxa"/>
              <w:right w:w="108" w:type="dxa"/>
            </w:tcMar>
            <w:vAlign w:val="center"/>
          </w:tcPr>
          <w:p w14:paraId="31566976">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辛醇/水分配系数：</w:t>
            </w:r>
          </w:p>
        </w:tc>
        <w:tc>
          <w:tcPr>
            <w:tcW w:w="1377" w:type="pct"/>
            <w:gridSpan w:val="4"/>
            <w:tcMar>
              <w:left w:w="108" w:type="dxa"/>
              <w:right w:w="108" w:type="dxa"/>
            </w:tcMar>
            <w:vAlign w:val="center"/>
          </w:tcPr>
          <w:p w14:paraId="1C5EBF36">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1.81</w:t>
            </w:r>
          </w:p>
        </w:tc>
      </w:tr>
      <w:tr w14:paraId="09A98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continue"/>
            <w:tcMar>
              <w:left w:w="108" w:type="dxa"/>
              <w:right w:w="108" w:type="dxa"/>
            </w:tcMar>
            <w:vAlign w:val="center"/>
          </w:tcPr>
          <w:p w14:paraId="5302ECBF">
            <w:pPr>
              <w:jc w:val="center"/>
              <w:rPr>
                <w:rFonts w:hint="default" w:ascii="Times New Roman" w:hAnsi="Times New Roman" w:cs="Times New Roman" w:eastAsiaTheme="minorEastAsia"/>
                <w:sz w:val="21"/>
                <w:szCs w:val="21"/>
                <w:highlight w:val="none"/>
              </w:rPr>
            </w:pPr>
          </w:p>
        </w:tc>
        <w:tc>
          <w:tcPr>
            <w:tcW w:w="1656" w:type="pct"/>
            <w:gridSpan w:val="2"/>
            <w:tcMar>
              <w:left w:w="108" w:type="dxa"/>
              <w:right w:w="108" w:type="dxa"/>
            </w:tcMar>
            <w:vAlign w:val="center"/>
          </w:tcPr>
          <w:p w14:paraId="54E6E19E">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闪点（℃）：-135</w:t>
            </w:r>
          </w:p>
        </w:tc>
        <w:tc>
          <w:tcPr>
            <w:tcW w:w="1624" w:type="pct"/>
            <w:gridSpan w:val="3"/>
            <w:tcMar>
              <w:left w:w="108" w:type="dxa"/>
              <w:right w:w="108" w:type="dxa"/>
            </w:tcMar>
            <w:vAlign w:val="center"/>
          </w:tcPr>
          <w:p w14:paraId="51FEFED3">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自燃温度（℃）：</w:t>
            </w:r>
          </w:p>
        </w:tc>
        <w:tc>
          <w:tcPr>
            <w:tcW w:w="1377" w:type="pct"/>
            <w:gridSpan w:val="4"/>
            <w:tcMar>
              <w:left w:w="108" w:type="dxa"/>
              <w:right w:w="108" w:type="dxa"/>
            </w:tcMar>
            <w:vAlign w:val="center"/>
          </w:tcPr>
          <w:p w14:paraId="25238AA2">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472</w:t>
            </w:r>
          </w:p>
        </w:tc>
      </w:tr>
      <w:tr w14:paraId="5CD57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continue"/>
            <w:tcMar>
              <w:left w:w="108" w:type="dxa"/>
              <w:right w:w="108" w:type="dxa"/>
            </w:tcMar>
            <w:vAlign w:val="center"/>
          </w:tcPr>
          <w:p w14:paraId="40717C3C">
            <w:pPr>
              <w:jc w:val="center"/>
              <w:rPr>
                <w:rFonts w:hint="default" w:ascii="Times New Roman" w:hAnsi="Times New Roman" w:cs="Times New Roman" w:eastAsiaTheme="minorEastAsia"/>
                <w:sz w:val="21"/>
                <w:szCs w:val="21"/>
                <w:highlight w:val="none"/>
              </w:rPr>
            </w:pPr>
          </w:p>
        </w:tc>
        <w:tc>
          <w:tcPr>
            <w:tcW w:w="1656" w:type="pct"/>
            <w:gridSpan w:val="2"/>
            <w:tcMar>
              <w:left w:w="108" w:type="dxa"/>
              <w:right w:w="108" w:type="dxa"/>
            </w:tcMar>
            <w:vAlign w:val="center"/>
          </w:tcPr>
          <w:p w14:paraId="0B8C8A07">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爆炸下限（%）：3.0</w:t>
            </w:r>
          </w:p>
        </w:tc>
        <w:tc>
          <w:tcPr>
            <w:tcW w:w="1624" w:type="pct"/>
            <w:gridSpan w:val="3"/>
            <w:tcMar>
              <w:left w:w="108" w:type="dxa"/>
              <w:right w:w="108" w:type="dxa"/>
            </w:tcMar>
            <w:vAlign w:val="center"/>
          </w:tcPr>
          <w:p w14:paraId="7CA298BC">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爆炸上限（%）：</w:t>
            </w:r>
          </w:p>
        </w:tc>
        <w:tc>
          <w:tcPr>
            <w:tcW w:w="1377" w:type="pct"/>
            <w:gridSpan w:val="4"/>
            <w:tcMar>
              <w:left w:w="108" w:type="dxa"/>
              <w:right w:w="108" w:type="dxa"/>
            </w:tcMar>
            <w:vAlign w:val="center"/>
          </w:tcPr>
          <w:p w14:paraId="1D02BE1E">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12.5</w:t>
            </w:r>
          </w:p>
        </w:tc>
      </w:tr>
      <w:tr w14:paraId="3F176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continue"/>
            <w:tcMar>
              <w:left w:w="108" w:type="dxa"/>
              <w:right w:w="108" w:type="dxa"/>
            </w:tcMar>
            <w:vAlign w:val="center"/>
          </w:tcPr>
          <w:p w14:paraId="04427DDB">
            <w:pPr>
              <w:jc w:val="center"/>
              <w:rPr>
                <w:rFonts w:hint="default" w:ascii="Times New Roman" w:hAnsi="Times New Roman" w:cs="Times New Roman" w:eastAsiaTheme="minorEastAsia"/>
                <w:sz w:val="21"/>
                <w:szCs w:val="21"/>
                <w:highlight w:val="none"/>
              </w:rPr>
            </w:pPr>
          </w:p>
        </w:tc>
        <w:tc>
          <w:tcPr>
            <w:tcW w:w="1656" w:type="pct"/>
            <w:gridSpan w:val="2"/>
            <w:tcMar>
              <w:left w:w="108" w:type="dxa"/>
              <w:right w:w="108" w:type="dxa"/>
            </w:tcMar>
            <w:vAlign w:val="center"/>
          </w:tcPr>
          <w:p w14:paraId="0145BAA0">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分解温度（℃）：无资料</w:t>
            </w:r>
          </w:p>
        </w:tc>
        <w:tc>
          <w:tcPr>
            <w:tcW w:w="1624" w:type="pct"/>
            <w:gridSpan w:val="3"/>
            <w:tcMar>
              <w:left w:w="108" w:type="dxa"/>
              <w:right w:w="108" w:type="dxa"/>
            </w:tcMar>
            <w:vAlign w:val="center"/>
          </w:tcPr>
          <w:p w14:paraId="490F91D8">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黏度（MPa·s）：</w:t>
            </w:r>
          </w:p>
        </w:tc>
        <w:tc>
          <w:tcPr>
            <w:tcW w:w="1377" w:type="pct"/>
            <w:gridSpan w:val="4"/>
            <w:tcMar>
              <w:left w:w="108" w:type="dxa"/>
              <w:right w:w="108" w:type="dxa"/>
            </w:tcMar>
            <w:vAlign w:val="center"/>
          </w:tcPr>
          <w:p w14:paraId="10A4CF56">
            <w:pPr>
              <w:jc w:val="center"/>
              <w:rPr>
                <w:rFonts w:hint="eastAsia" w:ascii="Times New Roman" w:hAnsi="Times New Roman" w:cs="Times New Roman" w:eastAsiaTheme="minorEastAsia"/>
                <w:sz w:val="21"/>
                <w:szCs w:val="21"/>
                <w:highlight w:val="none"/>
                <w:lang w:eastAsia="zh-CN"/>
              </w:rPr>
            </w:pPr>
            <w:r>
              <w:rPr>
                <w:rFonts w:hint="default" w:ascii="Times New Roman" w:hAnsi="Times New Roman" w:cs="Times New Roman" w:eastAsiaTheme="minorEastAsia"/>
                <w:sz w:val="21"/>
                <w:szCs w:val="21"/>
                <w:highlight w:val="none"/>
              </w:rPr>
              <w:t>0.009</w:t>
            </w:r>
            <w:r>
              <w:rPr>
                <w:rFonts w:hint="eastAsia" w:cs="Times New Roman" w:eastAsiaTheme="minorEastAsia"/>
                <w:sz w:val="21"/>
                <w:szCs w:val="21"/>
                <w:highlight w:val="none"/>
                <w:lang w:eastAsia="zh-CN"/>
              </w:rPr>
              <w:t>（</w:t>
            </w:r>
            <w:r>
              <w:rPr>
                <w:rFonts w:hint="default" w:ascii="Times New Roman" w:hAnsi="Times New Roman" w:cs="Times New Roman" w:eastAsiaTheme="minorEastAsia"/>
                <w:sz w:val="21"/>
                <w:szCs w:val="21"/>
                <w:highlight w:val="none"/>
              </w:rPr>
              <w:t>27℃</w:t>
            </w:r>
            <w:r>
              <w:rPr>
                <w:rFonts w:hint="eastAsia" w:cs="Times New Roman" w:eastAsiaTheme="minorEastAsia"/>
                <w:sz w:val="21"/>
                <w:szCs w:val="21"/>
                <w:highlight w:val="none"/>
                <w:lang w:eastAsia="zh-CN"/>
              </w:rPr>
              <w:t>）</w:t>
            </w:r>
          </w:p>
        </w:tc>
      </w:tr>
      <w:tr w14:paraId="0A73B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continue"/>
            <w:tcMar>
              <w:left w:w="108" w:type="dxa"/>
              <w:right w:w="108" w:type="dxa"/>
            </w:tcMar>
            <w:vAlign w:val="center"/>
          </w:tcPr>
          <w:p w14:paraId="0E26A596">
            <w:pPr>
              <w:jc w:val="center"/>
              <w:rPr>
                <w:rFonts w:hint="default" w:ascii="Times New Roman" w:hAnsi="Times New Roman" w:cs="Times New Roman" w:eastAsiaTheme="minorEastAsia"/>
                <w:sz w:val="21"/>
                <w:szCs w:val="21"/>
                <w:highlight w:val="none"/>
              </w:rPr>
            </w:pPr>
          </w:p>
        </w:tc>
        <w:tc>
          <w:tcPr>
            <w:tcW w:w="1656" w:type="pct"/>
            <w:gridSpan w:val="2"/>
            <w:tcMar>
              <w:left w:w="108" w:type="dxa"/>
              <w:right w:w="108" w:type="dxa"/>
            </w:tcMar>
            <w:vAlign w:val="center"/>
          </w:tcPr>
          <w:p w14:paraId="2C06EDF9">
            <w:pPr>
              <w:jc w:val="center"/>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溶解性</w:t>
            </w:r>
          </w:p>
        </w:tc>
        <w:tc>
          <w:tcPr>
            <w:tcW w:w="3001" w:type="pct"/>
            <w:gridSpan w:val="7"/>
            <w:tcMar>
              <w:left w:w="108" w:type="dxa"/>
              <w:right w:w="108" w:type="dxa"/>
            </w:tcMar>
            <w:vAlign w:val="center"/>
          </w:tcPr>
          <w:p w14:paraId="46EEF3CD">
            <w:pPr>
              <w:jc w:val="center"/>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不溶于水、溶于乙醇、乙醚、丙酮、苯</w:t>
            </w:r>
          </w:p>
        </w:tc>
      </w:tr>
      <w:tr w14:paraId="32519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restart"/>
            <w:tcMar>
              <w:left w:w="108" w:type="dxa"/>
              <w:right w:w="108" w:type="dxa"/>
            </w:tcMar>
            <w:vAlign w:val="center"/>
          </w:tcPr>
          <w:p w14:paraId="7BFDE1DE">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稳定性和反应性</w:t>
            </w:r>
          </w:p>
        </w:tc>
        <w:tc>
          <w:tcPr>
            <w:tcW w:w="862" w:type="pct"/>
            <w:tcMar>
              <w:left w:w="108" w:type="dxa"/>
              <w:right w:w="108" w:type="dxa"/>
            </w:tcMar>
            <w:vAlign w:val="center"/>
          </w:tcPr>
          <w:p w14:paraId="5EC28BE8">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稳定性：</w:t>
            </w:r>
          </w:p>
        </w:tc>
        <w:tc>
          <w:tcPr>
            <w:tcW w:w="3795" w:type="pct"/>
            <w:gridSpan w:val="8"/>
            <w:tcMar>
              <w:left w:w="108" w:type="dxa"/>
              <w:right w:w="108" w:type="dxa"/>
            </w:tcMar>
            <w:vAlign w:val="center"/>
          </w:tcPr>
          <w:p w14:paraId="0C1C1732">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稳定</w:t>
            </w:r>
          </w:p>
        </w:tc>
      </w:tr>
      <w:tr w14:paraId="7B04F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continue"/>
            <w:tcMar>
              <w:left w:w="108" w:type="dxa"/>
              <w:right w:w="108" w:type="dxa"/>
            </w:tcMar>
            <w:vAlign w:val="center"/>
          </w:tcPr>
          <w:p w14:paraId="2EE83BA8">
            <w:pPr>
              <w:jc w:val="center"/>
              <w:rPr>
                <w:rFonts w:hint="default" w:ascii="Times New Roman" w:hAnsi="Times New Roman" w:cs="Times New Roman" w:eastAsiaTheme="minorEastAsia"/>
                <w:sz w:val="21"/>
                <w:szCs w:val="21"/>
                <w:highlight w:val="none"/>
              </w:rPr>
            </w:pPr>
          </w:p>
        </w:tc>
        <w:tc>
          <w:tcPr>
            <w:tcW w:w="862" w:type="pct"/>
            <w:tcMar>
              <w:left w:w="108" w:type="dxa"/>
              <w:right w:w="108" w:type="dxa"/>
            </w:tcMar>
            <w:vAlign w:val="center"/>
          </w:tcPr>
          <w:p w14:paraId="1BFA2F47">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危险反应：</w:t>
            </w:r>
          </w:p>
        </w:tc>
        <w:tc>
          <w:tcPr>
            <w:tcW w:w="3795" w:type="pct"/>
            <w:gridSpan w:val="8"/>
            <w:tcMar>
              <w:left w:w="108" w:type="dxa"/>
              <w:right w:w="108" w:type="dxa"/>
            </w:tcMar>
            <w:vAlign w:val="center"/>
          </w:tcPr>
          <w:p w14:paraId="703C9BEE">
            <w:pPr>
              <w:jc w:val="center"/>
              <w:rPr>
                <w:rFonts w:hint="eastAsia" w:ascii="Times New Roman" w:hAnsi="Times New Roman" w:cs="Times New Roman" w:eastAsiaTheme="minorEastAsia"/>
                <w:sz w:val="21"/>
                <w:szCs w:val="21"/>
                <w:highlight w:val="none"/>
                <w:lang w:eastAsia="zh-CN"/>
              </w:rPr>
            </w:pPr>
            <w:r>
              <w:rPr>
                <w:rFonts w:hint="default" w:ascii="Times New Roman" w:hAnsi="Times New Roman" w:cs="Times New Roman" w:eastAsiaTheme="minorEastAsia"/>
                <w:sz w:val="21"/>
                <w:szCs w:val="21"/>
                <w:highlight w:val="none"/>
              </w:rPr>
              <w:t>与强氧化剂等禁配物接触。有发生火灾和爆炸的危险</w:t>
            </w:r>
            <w:r>
              <w:rPr>
                <w:rFonts w:hint="eastAsia" w:cs="Times New Roman" w:eastAsiaTheme="minorEastAsia"/>
                <w:sz w:val="21"/>
                <w:szCs w:val="21"/>
                <w:highlight w:val="none"/>
                <w:lang w:eastAsia="zh-CN"/>
              </w:rPr>
              <w:t>。</w:t>
            </w:r>
          </w:p>
        </w:tc>
      </w:tr>
      <w:tr w14:paraId="6E319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continue"/>
            <w:tcMar>
              <w:left w:w="108" w:type="dxa"/>
              <w:right w:w="108" w:type="dxa"/>
            </w:tcMar>
            <w:vAlign w:val="center"/>
          </w:tcPr>
          <w:p w14:paraId="21D85D75">
            <w:pPr>
              <w:jc w:val="center"/>
              <w:rPr>
                <w:rFonts w:hint="default" w:ascii="Times New Roman" w:hAnsi="Times New Roman" w:cs="Times New Roman" w:eastAsiaTheme="minorEastAsia"/>
                <w:sz w:val="21"/>
                <w:szCs w:val="21"/>
                <w:highlight w:val="none"/>
              </w:rPr>
            </w:pPr>
          </w:p>
        </w:tc>
        <w:tc>
          <w:tcPr>
            <w:tcW w:w="862" w:type="pct"/>
            <w:tcMar>
              <w:left w:w="108" w:type="dxa"/>
              <w:right w:w="108" w:type="dxa"/>
            </w:tcMar>
            <w:vAlign w:val="center"/>
          </w:tcPr>
          <w:p w14:paraId="7F642DDB">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避免接触的条件：</w:t>
            </w:r>
          </w:p>
        </w:tc>
        <w:tc>
          <w:tcPr>
            <w:tcW w:w="3795" w:type="pct"/>
            <w:gridSpan w:val="8"/>
            <w:tcMar>
              <w:left w:w="108" w:type="dxa"/>
              <w:right w:w="108" w:type="dxa"/>
            </w:tcMar>
            <w:vAlign w:val="center"/>
          </w:tcPr>
          <w:p w14:paraId="01262F7D">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无资料</w:t>
            </w:r>
          </w:p>
        </w:tc>
      </w:tr>
      <w:tr w14:paraId="07263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continue"/>
            <w:tcMar>
              <w:left w:w="108" w:type="dxa"/>
              <w:right w:w="108" w:type="dxa"/>
            </w:tcMar>
            <w:vAlign w:val="center"/>
          </w:tcPr>
          <w:p w14:paraId="2765E781">
            <w:pPr>
              <w:jc w:val="center"/>
              <w:rPr>
                <w:rFonts w:hint="default" w:ascii="Times New Roman" w:hAnsi="Times New Roman" w:cs="Times New Roman" w:eastAsiaTheme="minorEastAsia"/>
                <w:sz w:val="21"/>
                <w:szCs w:val="21"/>
                <w:highlight w:val="none"/>
              </w:rPr>
            </w:pPr>
          </w:p>
        </w:tc>
        <w:tc>
          <w:tcPr>
            <w:tcW w:w="862" w:type="pct"/>
            <w:tcMar>
              <w:left w:w="108" w:type="dxa"/>
              <w:right w:w="108" w:type="dxa"/>
            </w:tcMar>
            <w:vAlign w:val="center"/>
          </w:tcPr>
          <w:p w14:paraId="3E5C42F2">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禁配物：</w:t>
            </w:r>
          </w:p>
        </w:tc>
        <w:tc>
          <w:tcPr>
            <w:tcW w:w="3795" w:type="pct"/>
            <w:gridSpan w:val="8"/>
            <w:tcMar>
              <w:left w:w="108" w:type="dxa"/>
              <w:right w:w="108" w:type="dxa"/>
            </w:tcMar>
            <w:vAlign w:val="center"/>
          </w:tcPr>
          <w:p w14:paraId="0137843E">
            <w:pPr>
              <w:jc w:val="center"/>
              <w:rPr>
                <w:rFonts w:hint="eastAsia" w:ascii="Times New Roman" w:hAnsi="Times New Roman" w:cs="Times New Roman" w:eastAsiaTheme="minorEastAsia"/>
                <w:sz w:val="21"/>
                <w:szCs w:val="21"/>
                <w:highlight w:val="none"/>
                <w:lang w:eastAsia="zh-CN"/>
              </w:rPr>
            </w:pPr>
            <w:r>
              <w:rPr>
                <w:rFonts w:hint="default" w:ascii="Times New Roman" w:hAnsi="Times New Roman" w:cs="Times New Roman" w:eastAsiaTheme="minorEastAsia"/>
                <w:sz w:val="21"/>
                <w:szCs w:val="21"/>
                <w:highlight w:val="none"/>
              </w:rPr>
              <w:t>强氧化剂、强酸、强碱、卤素</w:t>
            </w:r>
            <w:r>
              <w:rPr>
                <w:rFonts w:hint="eastAsia" w:cs="Times New Roman" w:eastAsiaTheme="minorEastAsia"/>
                <w:sz w:val="21"/>
                <w:szCs w:val="21"/>
                <w:highlight w:val="none"/>
                <w:lang w:eastAsia="zh-CN"/>
              </w:rPr>
              <w:t>等。</w:t>
            </w:r>
          </w:p>
        </w:tc>
      </w:tr>
      <w:tr w14:paraId="5C80D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continue"/>
            <w:tcMar>
              <w:left w:w="108" w:type="dxa"/>
              <w:right w:w="108" w:type="dxa"/>
            </w:tcMar>
            <w:vAlign w:val="center"/>
          </w:tcPr>
          <w:p w14:paraId="08962B55">
            <w:pPr>
              <w:jc w:val="center"/>
              <w:rPr>
                <w:rFonts w:hint="default" w:ascii="Times New Roman" w:hAnsi="Times New Roman" w:cs="Times New Roman" w:eastAsiaTheme="minorEastAsia"/>
                <w:sz w:val="21"/>
                <w:szCs w:val="21"/>
                <w:highlight w:val="none"/>
              </w:rPr>
            </w:pPr>
          </w:p>
        </w:tc>
        <w:tc>
          <w:tcPr>
            <w:tcW w:w="862" w:type="pct"/>
            <w:tcMar>
              <w:left w:w="108" w:type="dxa"/>
              <w:right w:w="108" w:type="dxa"/>
            </w:tcMar>
            <w:vAlign w:val="center"/>
          </w:tcPr>
          <w:p w14:paraId="135335D1">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危险的分解产物：</w:t>
            </w:r>
          </w:p>
        </w:tc>
        <w:tc>
          <w:tcPr>
            <w:tcW w:w="3795" w:type="pct"/>
            <w:gridSpan w:val="8"/>
            <w:tcMar>
              <w:left w:w="108" w:type="dxa"/>
              <w:right w:w="108" w:type="dxa"/>
            </w:tcMar>
            <w:vAlign w:val="center"/>
          </w:tcPr>
          <w:p w14:paraId="6280611F">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无资料</w:t>
            </w:r>
          </w:p>
        </w:tc>
      </w:tr>
      <w:tr w14:paraId="2C4AB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restart"/>
            <w:tcMar>
              <w:left w:w="108" w:type="dxa"/>
              <w:right w:w="108" w:type="dxa"/>
            </w:tcMar>
            <w:vAlign w:val="center"/>
          </w:tcPr>
          <w:p w14:paraId="549EA2A3">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毒性信息</w:t>
            </w:r>
          </w:p>
        </w:tc>
        <w:tc>
          <w:tcPr>
            <w:tcW w:w="862" w:type="pct"/>
            <w:tcMar>
              <w:left w:w="108" w:type="dxa"/>
              <w:right w:w="108" w:type="dxa"/>
            </w:tcMar>
            <w:vAlign w:val="center"/>
          </w:tcPr>
          <w:p w14:paraId="5AE66437">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急性中毒：</w:t>
            </w:r>
          </w:p>
        </w:tc>
        <w:tc>
          <w:tcPr>
            <w:tcW w:w="3795" w:type="pct"/>
            <w:gridSpan w:val="8"/>
            <w:tcMar>
              <w:left w:w="108" w:type="dxa"/>
              <w:right w:w="108" w:type="dxa"/>
            </w:tcMar>
            <w:vAlign w:val="center"/>
          </w:tcPr>
          <w:p w14:paraId="0A66E7BC">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无资料</w:t>
            </w:r>
          </w:p>
        </w:tc>
      </w:tr>
      <w:tr w14:paraId="78D08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continue"/>
            <w:tcMar>
              <w:left w:w="108" w:type="dxa"/>
              <w:right w:w="108" w:type="dxa"/>
            </w:tcMar>
            <w:vAlign w:val="center"/>
          </w:tcPr>
          <w:p w14:paraId="74D8F398">
            <w:pPr>
              <w:jc w:val="center"/>
              <w:rPr>
                <w:rFonts w:hint="default" w:ascii="Times New Roman" w:hAnsi="Times New Roman" w:cs="Times New Roman" w:eastAsiaTheme="minorEastAsia"/>
                <w:sz w:val="21"/>
                <w:szCs w:val="21"/>
                <w:highlight w:val="none"/>
              </w:rPr>
            </w:pPr>
          </w:p>
        </w:tc>
        <w:tc>
          <w:tcPr>
            <w:tcW w:w="862" w:type="pct"/>
            <w:tcMar>
              <w:left w:w="108" w:type="dxa"/>
              <w:right w:w="108" w:type="dxa"/>
            </w:tcMar>
            <w:vAlign w:val="center"/>
          </w:tcPr>
          <w:p w14:paraId="16A55933">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皮肤刺激或腐蚀：</w:t>
            </w:r>
          </w:p>
        </w:tc>
        <w:tc>
          <w:tcPr>
            <w:tcW w:w="793" w:type="pct"/>
            <w:tcMar>
              <w:left w:w="108" w:type="dxa"/>
              <w:right w:w="108" w:type="dxa"/>
            </w:tcMar>
            <w:vAlign w:val="center"/>
          </w:tcPr>
          <w:p w14:paraId="6553B9A8">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无资料</w:t>
            </w:r>
          </w:p>
        </w:tc>
        <w:tc>
          <w:tcPr>
            <w:tcW w:w="1624" w:type="pct"/>
            <w:gridSpan w:val="3"/>
            <w:tcMar>
              <w:left w:w="108" w:type="dxa"/>
              <w:right w:w="108" w:type="dxa"/>
            </w:tcMar>
            <w:vAlign w:val="center"/>
          </w:tcPr>
          <w:p w14:paraId="5C99561B">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眼睛刺激或腐蚀：</w:t>
            </w:r>
          </w:p>
        </w:tc>
        <w:tc>
          <w:tcPr>
            <w:tcW w:w="1377" w:type="pct"/>
            <w:gridSpan w:val="4"/>
            <w:tcMar>
              <w:left w:w="108" w:type="dxa"/>
              <w:right w:w="108" w:type="dxa"/>
            </w:tcMar>
            <w:vAlign w:val="center"/>
          </w:tcPr>
          <w:p w14:paraId="2FCA3C51">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无资料</w:t>
            </w:r>
          </w:p>
        </w:tc>
      </w:tr>
      <w:tr w14:paraId="096E0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continue"/>
            <w:tcMar>
              <w:left w:w="108" w:type="dxa"/>
              <w:right w:w="108" w:type="dxa"/>
            </w:tcMar>
            <w:vAlign w:val="center"/>
          </w:tcPr>
          <w:p w14:paraId="5F4C4FE5">
            <w:pPr>
              <w:jc w:val="center"/>
              <w:rPr>
                <w:rFonts w:hint="default" w:ascii="Times New Roman" w:hAnsi="Times New Roman" w:cs="Times New Roman" w:eastAsiaTheme="minorEastAsia"/>
                <w:sz w:val="21"/>
                <w:szCs w:val="21"/>
                <w:highlight w:val="none"/>
              </w:rPr>
            </w:pPr>
          </w:p>
        </w:tc>
        <w:tc>
          <w:tcPr>
            <w:tcW w:w="862" w:type="pct"/>
            <w:tcMar>
              <w:left w:w="108" w:type="dxa"/>
              <w:right w:w="108" w:type="dxa"/>
            </w:tcMar>
            <w:vAlign w:val="center"/>
          </w:tcPr>
          <w:p w14:paraId="6602DF82">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呼吸</w:t>
            </w:r>
            <w:r>
              <w:rPr>
                <w:rFonts w:hint="eastAsia" w:cs="Times New Roman" w:eastAsiaTheme="minorEastAsia"/>
                <w:sz w:val="21"/>
                <w:szCs w:val="21"/>
                <w:highlight w:val="none"/>
                <w:lang w:eastAsia="zh-CN"/>
              </w:rPr>
              <w:t>道</w:t>
            </w:r>
            <w:r>
              <w:rPr>
                <w:rFonts w:hint="default" w:ascii="Times New Roman" w:hAnsi="Times New Roman" w:cs="Times New Roman" w:eastAsiaTheme="minorEastAsia"/>
                <w:sz w:val="21"/>
                <w:szCs w:val="21"/>
                <w:highlight w:val="none"/>
              </w:rPr>
              <w:t>或皮肤过敏：</w:t>
            </w:r>
          </w:p>
        </w:tc>
        <w:tc>
          <w:tcPr>
            <w:tcW w:w="793" w:type="pct"/>
            <w:tcMar>
              <w:left w:w="108" w:type="dxa"/>
              <w:right w:w="108" w:type="dxa"/>
            </w:tcMar>
            <w:vAlign w:val="center"/>
          </w:tcPr>
          <w:p w14:paraId="7079593F">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无资料</w:t>
            </w:r>
          </w:p>
        </w:tc>
        <w:tc>
          <w:tcPr>
            <w:tcW w:w="1624" w:type="pct"/>
            <w:gridSpan w:val="3"/>
            <w:tcMar>
              <w:left w:w="108" w:type="dxa"/>
              <w:right w:w="108" w:type="dxa"/>
            </w:tcMar>
            <w:vAlign w:val="center"/>
          </w:tcPr>
          <w:p w14:paraId="229944B9">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生殖细胞</w:t>
            </w:r>
            <w:r>
              <w:rPr>
                <w:rFonts w:hint="eastAsia" w:cs="Times New Roman" w:eastAsiaTheme="minorEastAsia"/>
                <w:sz w:val="21"/>
                <w:szCs w:val="21"/>
                <w:highlight w:val="none"/>
                <w:lang w:eastAsia="zh-CN"/>
              </w:rPr>
              <w:t>致</w:t>
            </w:r>
            <w:r>
              <w:rPr>
                <w:rFonts w:hint="default" w:ascii="Times New Roman" w:hAnsi="Times New Roman" w:cs="Times New Roman" w:eastAsiaTheme="minorEastAsia"/>
                <w:sz w:val="21"/>
                <w:szCs w:val="21"/>
                <w:highlight w:val="none"/>
              </w:rPr>
              <w:t>突变性：</w:t>
            </w:r>
          </w:p>
        </w:tc>
        <w:tc>
          <w:tcPr>
            <w:tcW w:w="1377" w:type="pct"/>
            <w:gridSpan w:val="4"/>
            <w:tcMar>
              <w:left w:w="108" w:type="dxa"/>
              <w:right w:w="108" w:type="dxa"/>
            </w:tcMar>
            <w:vAlign w:val="center"/>
          </w:tcPr>
          <w:p w14:paraId="7DFFB610">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无资料</w:t>
            </w:r>
          </w:p>
        </w:tc>
      </w:tr>
      <w:tr w14:paraId="15BA5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continue"/>
            <w:tcMar>
              <w:left w:w="108" w:type="dxa"/>
              <w:right w:w="108" w:type="dxa"/>
            </w:tcMar>
            <w:vAlign w:val="center"/>
          </w:tcPr>
          <w:p w14:paraId="3E5A864E">
            <w:pPr>
              <w:jc w:val="center"/>
              <w:rPr>
                <w:rFonts w:hint="default" w:ascii="Times New Roman" w:hAnsi="Times New Roman" w:cs="Times New Roman" w:eastAsiaTheme="minorEastAsia"/>
                <w:sz w:val="21"/>
                <w:szCs w:val="21"/>
                <w:highlight w:val="none"/>
              </w:rPr>
            </w:pPr>
          </w:p>
        </w:tc>
        <w:tc>
          <w:tcPr>
            <w:tcW w:w="862" w:type="pct"/>
            <w:tcMar>
              <w:left w:w="108" w:type="dxa"/>
              <w:right w:w="108" w:type="dxa"/>
            </w:tcMar>
            <w:vAlign w:val="center"/>
          </w:tcPr>
          <w:p w14:paraId="2B16DA43">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致癌性：</w:t>
            </w:r>
          </w:p>
        </w:tc>
        <w:tc>
          <w:tcPr>
            <w:tcW w:w="793" w:type="pct"/>
            <w:tcMar>
              <w:left w:w="108" w:type="dxa"/>
              <w:right w:w="108" w:type="dxa"/>
            </w:tcMar>
            <w:vAlign w:val="center"/>
          </w:tcPr>
          <w:p w14:paraId="75B8ACC3">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无资料</w:t>
            </w:r>
          </w:p>
        </w:tc>
        <w:tc>
          <w:tcPr>
            <w:tcW w:w="1624" w:type="pct"/>
            <w:gridSpan w:val="3"/>
            <w:tcMar>
              <w:left w:w="108" w:type="dxa"/>
              <w:right w:w="108" w:type="dxa"/>
            </w:tcMar>
            <w:vAlign w:val="center"/>
          </w:tcPr>
          <w:p w14:paraId="6AAC3463">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生殖毒性：</w:t>
            </w:r>
          </w:p>
        </w:tc>
        <w:tc>
          <w:tcPr>
            <w:tcW w:w="1377" w:type="pct"/>
            <w:gridSpan w:val="4"/>
            <w:tcMar>
              <w:left w:w="108" w:type="dxa"/>
              <w:right w:w="108" w:type="dxa"/>
            </w:tcMar>
            <w:vAlign w:val="center"/>
          </w:tcPr>
          <w:p w14:paraId="70DFA3F4">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无资料</w:t>
            </w:r>
          </w:p>
        </w:tc>
      </w:tr>
      <w:tr w14:paraId="1BA8D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continue"/>
            <w:tcMar>
              <w:left w:w="108" w:type="dxa"/>
              <w:right w:w="108" w:type="dxa"/>
            </w:tcMar>
            <w:vAlign w:val="center"/>
          </w:tcPr>
          <w:p w14:paraId="76E8731E">
            <w:pPr>
              <w:jc w:val="center"/>
              <w:rPr>
                <w:rFonts w:hint="default" w:ascii="Times New Roman" w:hAnsi="Times New Roman" w:cs="Times New Roman" w:eastAsiaTheme="minorEastAsia"/>
                <w:sz w:val="21"/>
                <w:szCs w:val="21"/>
                <w:highlight w:val="none"/>
              </w:rPr>
            </w:pPr>
          </w:p>
        </w:tc>
        <w:tc>
          <w:tcPr>
            <w:tcW w:w="862" w:type="pct"/>
            <w:tcMar>
              <w:left w:w="108" w:type="dxa"/>
              <w:right w:w="108" w:type="dxa"/>
            </w:tcMar>
            <w:vAlign w:val="center"/>
          </w:tcPr>
          <w:p w14:paraId="32B4CCC3">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特异性靶器官系统毒性一次接触：</w:t>
            </w:r>
          </w:p>
        </w:tc>
        <w:tc>
          <w:tcPr>
            <w:tcW w:w="3795" w:type="pct"/>
            <w:gridSpan w:val="8"/>
            <w:tcMar>
              <w:left w:w="108" w:type="dxa"/>
              <w:right w:w="108" w:type="dxa"/>
            </w:tcMar>
            <w:vAlign w:val="center"/>
          </w:tcPr>
          <w:p w14:paraId="54113B08">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无资料</w:t>
            </w:r>
          </w:p>
        </w:tc>
      </w:tr>
      <w:tr w14:paraId="1BC95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continue"/>
            <w:tcMar>
              <w:left w:w="108" w:type="dxa"/>
              <w:right w:w="108" w:type="dxa"/>
            </w:tcMar>
            <w:vAlign w:val="center"/>
          </w:tcPr>
          <w:p w14:paraId="5F7187EE">
            <w:pPr>
              <w:jc w:val="center"/>
              <w:rPr>
                <w:rFonts w:hint="default" w:ascii="Times New Roman" w:hAnsi="Times New Roman" w:cs="Times New Roman" w:eastAsiaTheme="minorEastAsia"/>
                <w:sz w:val="21"/>
                <w:szCs w:val="21"/>
                <w:highlight w:val="none"/>
              </w:rPr>
            </w:pPr>
          </w:p>
        </w:tc>
        <w:tc>
          <w:tcPr>
            <w:tcW w:w="862" w:type="pct"/>
            <w:tcMar>
              <w:left w:w="108" w:type="dxa"/>
              <w:right w:w="108" w:type="dxa"/>
            </w:tcMar>
            <w:vAlign w:val="center"/>
          </w:tcPr>
          <w:p w14:paraId="1C4B8F02">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特异性靶器官系统毒性反复接触：</w:t>
            </w:r>
          </w:p>
        </w:tc>
        <w:tc>
          <w:tcPr>
            <w:tcW w:w="3795" w:type="pct"/>
            <w:gridSpan w:val="8"/>
            <w:tcMar>
              <w:left w:w="108" w:type="dxa"/>
              <w:right w:w="108" w:type="dxa"/>
            </w:tcMar>
            <w:vAlign w:val="center"/>
          </w:tcPr>
          <w:p w14:paraId="6B714190">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无资料</w:t>
            </w:r>
          </w:p>
        </w:tc>
      </w:tr>
      <w:tr w14:paraId="23173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continue"/>
            <w:tcMar>
              <w:left w:w="108" w:type="dxa"/>
              <w:right w:w="108" w:type="dxa"/>
            </w:tcMar>
            <w:vAlign w:val="center"/>
          </w:tcPr>
          <w:p w14:paraId="6D8A9A48">
            <w:pPr>
              <w:jc w:val="center"/>
              <w:rPr>
                <w:rFonts w:hint="default" w:ascii="Times New Roman" w:hAnsi="Times New Roman" w:cs="Times New Roman" w:eastAsiaTheme="minorEastAsia"/>
                <w:sz w:val="21"/>
                <w:szCs w:val="21"/>
                <w:highlight w:val="none"/>
              </w:rPr>
            </w:pPr>
          </w:p>
        </w:tc>
        <w:tc>
          <w:tcPr>
            <w:tcW w:w="862" w:type="pct"/>
            <w:tcMar>
              <w:left w:w="108" w:type="dxa"/>
              <w:right w:w="108" w:type="dxa"/>
            </w:tcMar>
            <w:vAlign w:val="center"/>
          </w:tcPr>
          <w:p w14:paraId="0C4038D6">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吸入危害：</w:t>
            </w:r>
          </w:p>
        </w:tc>
        <w:tc>
          <w:tcPr>
            <w:tcW w:w="3795" w:type="pct"/>
            <w:gridSpan w:val="8"/>
            <w:tcMar>
              <w:left w:w="108" w:type="dxa"/>
              <w:right w:w="108" w:type="dxa"/>
            </w:tcMar>
            <w:vAlign w:val="center"/>
          </w:tcPr>
          <w:p w14:paraId="6A7A4823">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无资料</w:t>
            </w:r>
          </w:p>
        </w:tc>
      </w:tr>
      <w:tr w14:paraId="207F9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restart"/>
            <w:tcMar>
              <w:left w:w="108" w:type="dxa"/>
              <w:right w:w="108" w:type="dxa"/>
            </w:tcMar>
            <w:vAlign w:val="center"/>
          </w:tcPr>
          <w:p w14:paraId="3472A99C">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生态毒性</w:t>
            </w:r>
          </w:p>
        </w:tc>
        <w:tc>
          <w:tcPr>
            <w:tcW w:w="862" w:type="pct"/>
            <w:tcMar>
              <w:left w:w="108" w:type="dxa"/>
              <w:right w:w="108" w:type="dxa"/>
            </w:tcMar>
            <w:vAlign w:val="center"/>
          </w:tcPr>
          <w:p w14:paraId="4F4B7037">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生态毒性：</w:t>
            </w:r>
          </w:p>
        </w:tc>
        <w:tc>
          <w:tcPr>
            <w:tcW w:w="3795" w:type="pct"/>
            <w:gridSpan w:val="8"/>
            <w:tcMar>
              <w:left w:w="108" w:type="dxa"/>
              <w:right w:w="108" w:type="dxa"/>
            </w:tcMar>
            <w:vAlign w:val="center"/>
          </w:tcPr>
          <w:p w14:paraId="675C436A">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无资料</w:t>
            </w:r>
          </w:p>
        </w:tc>
      </w:tr>
      <w:tr w14:paraId="1DAF3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continue"/>
            <w:tcMar>
              <w:left w:w="108" w:type="dxa"/>
              <w:right w:w="108" w:type="dxa"/>
            </w:tcMar>
            <w:vAlign w:val="center"/>
          </w:tcPr>
          <w:p w14:paraId="6A079CBD">
            <w:pPr>
              <w:jc w:val="center"/>
              <w:rPr>
                <w:rFonts w:hint="default" w:ascii="Times New Roman" w:hAnsi="Times New Roman" w:cs="Times New Roman" w:eastAsiaTheme="minorEastAsia"/>
                <w:sz w:val="21"/>
                <w:szCs w:val="21"/>
                <w:highlight w:val="none"/>
              </w:rPr>
            </w:pPr>
          </w:p>
        </w:tc>
        <w:tc>
          <w:tcPr>
            <w:tcW w:w="862" w:type="pct"/>
            <w:tcMar>
              <w:left w:w="108" w:type="dxa"/>
              <w:right w:w="108" w:type="dxa"/>
            </w:tcMar>
            <w:vAlign w:val="center"/>
          </w:tcPr>
          <w:p w14:paraId="26DAC314">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持久性和降解性：</w:t>
            </w:r>
          </w:p>
        </w:tc>
        <w:tc>
          <w:tcPr>
            <w:tcW w:w="3795" w:type="pct"/>
            <w:gridSpan w:val="8"/>
            <w:tcMar>
              <w:left w:w="108" w:type="dxa"/>
              <w:right w:w="108" w:type="dxa"/>
            </w:tcMar>
            <w:vAlign w:val="center"/>
          </w:tcPr>
          <w:p w14:paraId="76D21B48">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生物</w:t>
            </w:r>
            <w:r>
              <w:rPr>
                <w:rFonts w:hint="eastAsia" w:cs="Times New Roman" w:eastAsiaTheme="minorEastAsia"/>
                <w:sz w:val="21"/>
                <w:szCs w:val="21"/>
                <w:highlight w:val="none"/>
                <w:lang w:eastAsia="zh-CN"/>
              </w:rPr>
              <w:t>可</w:t>
            </w:r>
            <w:r>
              <w:rPr>
                <w:rFonts w:hint="default" w:ascii="Times New Roman" w:hAnsi="Times New Roman" w:cs="Times New Roman" w:eastAsiaTheme="minorEastAsia"/>
                <w:sz w:val="21"/>
                <w:szCs w:val="21"/>
                <w:highlight w:val="none"/>
              </w:rPr>
              <w:t>降解性：无资料</w:t>
            </w:r>
            <w:r>
              <w:rPr>
                <w:rFonts w:hint="default" w:ascii="Times New Roman" w:hAnsi="Times New Roman" w:cs="Times New Roman" w:eastAsiaTheme="minorEastAsia"/>
                <w:sz w:val="21"/>
                <w:szCs w:val="21"/>
                <w:highlight w:val="none"/>
              </w:rPr>
              <w:br w:type="textWrapping"/>
            </w:r>
            <w:r>
              <w:rPr>
                <w:rFonts w:hint="default" w:ascii="Times New Roman" w:hAnsi="Times New Roman" w:cs="Times New Roman" w:eastAsiaTheme="minorEastAsia"/>
                <w:sz w:val="21"/>
                <w:szCs w:val="21"/>
                <w:highlight w:val="none"/>
              </w:rPr>
              <w:t>非生物</w:t>
            </w:r>
            <w:r>
              <w:rPr>
                <w:rFonts w:hint="eastAsia" w:cs="Times New Roman" w:eastAsiaTheme="minorEastAsia"/>
                <w:sz w:val="21"/>
                <w:szCs w:val="21"/>
                <w:highlight w:val="none"/>
                <w:lang w:eastAsia="zh-CN"/>
              </w:rPr>
              <w:t>可</w:t>
            </w:r>
            <w:r>
              <w:rPr>
                <w:rFonts w:hint="default" w:ascii="Times New Roman" w:hAnsi="Times New Roman" w:cs="Times New Roman" w:eastAsiaTheme="minorEastAsia"/>
                <w:sz w:val="21"/>
                <w:szCs w:val="21"/>
                <w:highlight w:val="none"/>
              </w:rPr>
              <w:t>降解性：无资料</w:t>
            </w:r>
          </w:p>
        </w:tc>
      </w:tr>
      <w:tr w14:paraId="47DD9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continue"/>
            <w:tcMar>
              <w:left w:w="108" w:type="dxa"/>
              <w:right w:w="108" w:type="dxa"/>
            </w:tcMar>
            <w:vAlign w:val="center"/>
          </w:tcPr>
          <w:p w14:paraId="3C807A07">
            <w:pPr>
              <w:jc w:val="center"/>
              <w:rPr>
                <w:rFonts w:hint="default" w:ascii="Times New Roman" w:hAnsi="Times New Roman" w:cs="Times New Roman" w:eastAsiaTheme="minorEastAsia"/>
                <w:sz w:val="21"/>
                <w:szCs w:val="21"/>
                <w:highlight w:val="none"/>
              </w:rPr>
            </w:pPr>
          </w:p>
        </w:tc>
        <w:tc>
          <w:tcPr>
            <w:tcW w:w="862" w:type="pct"/>
            <w:tcMar>
              <w:left w:w="108" w:type="dxa"/>
              <w:right w:w="108" w:type="dxa"/>
            </w:tcMar>
            <w:vAlign w:val="center"/>
          </w:tcPr>
          <w:p w14:paraId="4E086C38">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潜在的生物累积性：</w:t>
            </w:r>
          </w:p>
        </w:tc>
        <w:tc>
          <w:tcPr>
            <w:tcW w:w="3795" w:type="pct"/>
            <w:gridSpan w:val="8"/>
            <w:tcMar>
              <w:left w:w="108" w:type="dxa"/>
              <w:right w:w="108" w:type="dxa"/>
            </w:tcMar>
            <w:vAlign w:val="center"/>
          </w:tcPr>
          <w:p w14:paraId="3EC5552E">
            <w:pPr>
              <w:jc w:val="center"/>
              <w:rPr>
                <w:rFonts w:hint="eastAsia" w:ascii="Times New Roman" w:hAnsi="Times New Roman" w:cs="Times New Roman" w:eastAsiaTheme="minorEastAsia"/>
                <w:sz w:val="21"/>
                <w:szCs w:val="21"/>
                <w:highlight w:val="none"/>
                <w:lang w:eastAsia="zh-CN"/>
              </w:rPr>
            </w:pPr>
            <w:r>
              <w:rPr>
                <w:rFonts w:hint="default" w:ascii="Times New Roman" w:hAnsi="Times New Roman" w:cs="Times New Roman" w:eastAsiaTheme="minorEastAsia"/>
                <w:sz w:val="21"/>
                <w:szCs w:val="21"/>
                <w:highlight w:val="none"/>
              </w:rPr>
              <w:t>该物质的生物累积性可能较弱</w:t>
            </w:r>
            <w:r>
              <w:rPr>
                <w:rFonts w:hint="eastAsia" w:cs="Times New Roman" w:eastAsiaTheme="minorEastAsia"/>
                <w:sz w:val="21"/>
                <w:szCs w:val="21"/>
                <w:highlight w:val="none"/>
                <w:lang w:eastAsia="zh-CN"/>
              </w:rPr>
              <w:t>。</w:t>
            </w:r>
          </w:p>
        </w:tc>
      </w:tr>
      <w:tr w14:paraId="48A67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continue"/>
            <w:tcMar>
              <w:left w:w="108" w:type="dxa"/>
              <w:right w:w="108" w:type="dxa"/>
            </w:tcMar>
            <w:vAlign w:val="center"/>
          </w:tcPr>
          <w:p w14:paraId="465D58CD">
            <w:pPr>
              <w:jc w:val="center"/>
              <w:rPr>
                <w:rFonts w:hint="default" w:ascii="Times New Roman" w:hAnsi="Times New Roman" w:cs="Times New Roman" w:eastAsiaTheme="minorEastAsia"/>
                <w:sz w:val="21"/>
                <w:szCs w:val="21"/>
                <w:highlight w:val="none"/>
              </w:rPr>
            </w:pPr>
          </w:p>
        </w:tc>
        <w:tc>
          <w:tcPr>
            <w:tcW w:w="862" w:type="pct"/>
            <w:tcMar>
              <w:left w:w="108" w:type="dxa"/>
              <w:right w:w="108" w:type="dxa"/>
            </w:tcMar>
            <w:vAlign w:val="center"/>
          </w:tcPr>
          <w:p w14:paraId="2DC37865">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土壤中的迁移性：</w:t>
            </w:r>
          </w:p>
        </w:tc>
        <w:tc>
          <w:tcPr>
            <w:tcW w:w="3795" w:type="pct"/>
            <w:gridSpan w:val="8"/>
            <w:tcMar>
              <w:left w:w="108" w:type="dxa"/>
              <w:right w:w="108" w:type="dxa"/>
            </w:tcMar>
            <w:vAlign w:val="center"/>
          </w:tcPr>
          <w:p w14:paraId="77C38E52">
            <w:pPr>
              <w:jc w:val="center"/>
              <w:rPr>
                <w:rFonts w:hint="eastAsia" w:ascii="Times New Roman" w:hAnsi="Times New Roman" w:cs="Times New Roman" w:eastAsiaTheme="minorEastAsia"/>
                <w:sz w:val="21"/>
                <w:szCs w:val="21"/>
                <w:highlight w:val="none"/>
                <w:lang w:eastAsia="zh-CN"/>
              </w:rPr>
            </w:pPr>
            <w:r>
              <w:rPr>
                <w:rFonts w:hint="default" w:ascii="Times New Roman" w:hAnsi="Times New Roman" w:cs="Times New Roman" w:eastAsiaTheme="minorEastAsia"/>
                <w:sz w:val="21"/>
                <w:szCs w:val="21"/>
                <w:highlight w:val="none"/>
              </w:rPr>
              <w:t>该物质可能易发生迁移</w:t>
            </w:r>
            <w:r>
              <w:rPr>
                <w:rFonts w:hint="eastAsia" w:cs="Times New Roman" w:eastAsiaTheme="minorEastAsia"/>
                <w:sz w:val="21"/>
                <w:szCs w:val="21"/>
                <w:highlight w:val="none"/>
                <w:lang w:eastAsia="zh-CN"/>
              </w:rPr>
              <w:t>。</w:t>
            </w:r>
          </w:p>
        </w:tc>
      </w:tr>
      <w:tr w14:paraId="0076E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restart"/>
            <w:tcMar>
              <w:left w:w="108" w:type="dxa"/>
              <w:right w:w="108" w:type="dxa"/>
            </w:tcMar>
            <w:vAlign w:val="center"/>
          </w:tcPr>
          <w:p w14:paraId="1F4C6E79">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废弃处置</w:t>
            </w:r>
          </w:p>
        </w:tc>
        <w:tc>
          <w:tcPr>
            <w:tcW w:w="862" w:type="pct"/>
            <w:tcMar>
              <w:left w:w="108" w:type="dxa"/>
              <w:right w:w="108" w:type="dxa"/>
            </w:tcMar>
            <w:vAlign w:val="center"/>
          </w:tcPr>
          <w:p w14:paraId="1B78FB39">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废弃化学品：</w:t>
            </w:r>
          </w:p>
        </w:tc>
        <w:tc>
          <w:tcPr>
            <w:tcW w:w="3795" w:type="pct"/>
            <w:gridSpan w:val="8"/>
            <w:tcMar>
              <w:left w:w="108" w:type="dxa"/>
              <w:right w:w="108" w:type="dxa"/>
            </w:tcMar>
            <w:vAlign w:val="center"/>
          </w:tcPr>
          <w:p w14:paraId="68AF4FB3">
            <w:pPr>
              <w:jc w:val="center"/>
              <w:rPr>
                <w:rFonts w:hint="eastAsia" w:ascii="Times New Roman" w:hAnsi="Times New Roman" w:cs="Times New Roman" w:eastAsiaTheme="minorEastAsia"/>
                <w:sz w:val="21"/>
                <w:szCs w:val="21"/>
                <w:highlight w:val="none"/>
                <w:lang w:eastAsia="zh-CN"/>
              </w:rPr>
            </w:pPr>
            <w:r>
              <w:rPr>
                <w:rFonts w:hint="default" w:ascii="Times New Roman" w:hAnsi="Times New Roman" w:cs="Times New Roman" w:eastAsiaTheme="minorEastAsia"/>
                <w:sz w:val="21"/>
                <w:szCs w:val="21"/>
                <w:highlight w:val="none"/>
              </w:rPr>
              <w:t>建议用焚烧法处置</w:t>
            </w:r>
            <w:r>
              <w:rPr>
                <w:rFonts w:hint="eastAsia" w:cs="Times New Roman" w:eastAsiaTheme="minorEastAsia"/>
                <w:sz w:val="21"/>
                <w:szCs w:val="21"/>
                <w:highlight w:val="none"/>
                <w:lang w:eastAsia="zh-CN"/>
              </w:rPr>
              <w:t>。</w:t>
            </w:r>
          </w:p>
        </w:tc>
      </w:tr>
      <w:tr w14:paraId="7260C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continue"/>
            <w:tcMar>
              <w:left w:w="108" w:type="dxa"/>
              <w:right w:w="108" w:type="dxa"/>
            </w:tcMar>
            <w:vAlign w:val="center"/>
          </w:tcPr>
          <w:p w14:paraId="58DF65D9">
            <w:pPr>
              <w:jc w:val="center"/>
              <w:rPr>
                <w:rFonts w:hint="default" w:ascii="Times New Roman" w:hAnsi="Times New Roman" w:cs="Times New Roman" w:eastAsiaTheme="minorEastAsia"/>
                <w:sz w:val="21"/>
                <w:szCs w:val="21"/>
                <w:highlight w:val="none"/>
              </w:rPr>
            </w:pPr>
          </w:p>
        </w:tc>
        <w:tc>
          <w:tcPr>
            <w:tcW w:w="862" w:type="pct"/>
            <w:tcMar>
              <w:left w:w="108" w:type="dxa"/>
              <w:right w:w="108" w:type="dxa"/>
            </w:tcMar>
            <w:vAlign w:val="center"/>
          </w:tcPr>
          <w:p w14:paraId="7AA8988C">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污染包装物：</w:t>
            </w:r>
          </w:p>
        </w:tc>
        <w:tc>
          <w:tcPr>
            <w:tcW w:w="3795" w:type="pct"/>
            <w:gridSpan w:val="8"/>
            <w:tcMar>
              <w:left w:w="108" w:type="dxa"/>
              <w:right w:w="108" w:type="dxa"/>
            </w:tcMar>
            <w:vAlign w:val="center"/>
          </w:tcPr>
          <w:p w14:paraId="2C763370">
            <w:pPr>
              <w:jc w:val="center"/>
              <w:rPr>
                <w:rFonts w:hint="eastAsia" w:ascii="Times New Roman" w:hAnsi="Times New Roman" w:cs="Times New Roman" w:eastAsiaTheme="minorEastAsia"/>
                <w:sz w:val="21"/>
                <w:szCs w:val="21"/>
                <w:highlight w:val="none"/>
                <w:lang w:eastAsia="zh-CN"/>
              </w:rPr>
            </w:pPr>
            <w:r>
              <w:rPr>
                <w:rFonts w:hint="default" w:ascii="Times New Roman" w:hAnsi="Times New Roman" w:cs="Times New Roman" w:eastAsiaTheme="minorEastAsia"/>
                <w:sz w:val="21"/>
                <w:szCs w:val="21"/>
                <w:highlight w:val="none"/>
              </w:rPr>
              <w:t>将容器返还生产商或按照国家和</w:t>
            </w:r>
            <w:r>
              <w:rPr>
                <w:rFonts w:hint="eastAsia" w:cs="Times New Roman" w:eastAsiaTheme="minorEastAsia"/>
                <w:sz w:val="21"/>
                <w:szCs w:val="21"/>
                <w:highlight w:val="none"/>
                <w:lang w:eastAsia="zh-CN"/>
              </w:rPr>
              <w:t>地方性法规</w:t>
            </w:r>
            <w:r>
              <w:rPr>
                <w:rFonts w:hint="default" w:ascii="Times New Roman" w:hAnsi="Times New Roman" w:cs="Times New Roman" w:eastAsiaTheme="minorEastAsia"/>
                <w:sz w:val="21"/>
                <w:szCs w:val="21"/>
                <w:highlight w:val="none"/>
              </w:rPr>
              <w:t>处置</w:t>
            </w:r>
            <w:r>
              <w:rPr>
                <w:rFonts w:hint="eastAsia" w:cs="Times New Roman" w:eastAsiaTheme="minorEastAsia"/>
                <w:sz w:val="21"/>
                <w:szCs w:val="21"/>
                <w:highlight w:val="none"/>
                <w:lang w:eastAsia="zh-CN"/>
              </w:rPr>
              <w:t>。</w:t>
            </w:r>
          </w:p>
        </w:tc>
      </w:tr>
      <w:tr w14:paraId="5EBB6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continue"/>
            <w:tcMar>
              <w:left w:w="108" w:type="dxa"/>
              <w:right w:w="108" w:type="dxa"/>
            </w:tcMar>
            <w:vAlign w:val="center"/>
          </w:tcPr>
          <w:p w14:paraId="32E77E42">
            <w:pPr>
              <w:jc w:val="center"/>
              <w:rPr>
                <w:rFonts w:hint="default" w:ascii="Times New Roman" w:hAnsi="Times New Roman" w:cs="Times New Roman" w:eastAsiaTheme="minorEastAsia"/>
                <w:sz w:val="21"/>
                <w:szCs w:val="21"/>
                <w:highlight w:val="none"/>
              </w:rPr>
            </w:pPr>
          </w:p>
        </w:tc>
        <w:tc>
          <w:tcPr>
            <w:tcW w:w="862" w:type="pct"/>
            <w:tcMar>
              <w:left w:w="108" w:type="dxa"/>
              <w:right w:w="108" w:type="dxa"/>
            </w:tcMar>
            <w:vAlign w:val="center"/>
          </w:tcPr>
          <w:p w14:paraId="7D6B27EC">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废弃注意事项：</w:t>
            </w:r>
          </w:p>
        </w:tc>
        <w:tc>
          <w:tcPr>
            <w:tcW w:w="3795" w:type="pct"/>
            <w:gridSpan w:val="8"/>
            <w:tcMar>
              <w:left w:w="108" w:type="dxa"/>
              <w:right w:w="108" w:type="dxa"/>
            </w:tcMar>
            <w:vAlign w:val="center"/>
          </w:tcPr>
          <w:p w14:paraId="17D112B1">
            <w:pPr>
              <w:jc w:val="center"/>
              <w:rPr>
                <w:rFonts w:hint="eastAsia" w:ascii="Times New Roman" w:hAnsi="Times New Roman" w:cs="Times New Roman" w:eastAsiaTheme="minorEastAsia"/>
                <w:sz w:val="21"/>
                <w:szCs w:val="21"/>
                <w:highlight w:val="none"/>
                <w:lang w:eastAsia="zh-CN"/>
              </w:rPr>
            </w:pPr>
            <w:r>
              <w:rPr>
                <w:rFonts w:hint="default" w:ascii="Times New Roman" w:hAnsi="Times New Roman" w:cs="Times New Roman" w:eastAsiaTheme="minorEastAsia"/>
                <w:sz w:val="21"/>
                <w:szCs w:val="21"/>
                <w:highlight w:val="none"/>
              </w:rPr>
              <w:t>处置前应参阅国家和地方有关法规</w:t>
            </w:r>
            <w:r>
              <w:rPr>
                <w:rFonts w:hint="eastAsia" w:cs="Times New Roman" w:eastAsiaTheme="minorEastAsia"/>
                <w:sz w:val="21"/>
                <w:szCs w:val="21"/>
                <w:highlight w:val="none"/>
                <w:lang w:eastAsia="zh-CN"/>
              </w:rPr>
              <w:t>。</w:t>
            </w:r>
          </w:p>
        </w:tc>
      </w:tr>
      <w:tr w14:paraId="42592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restart"/>
            <w:tcMar>
              <w:left w:w="108" w:type="dxa"/>
              <w:right w:w="108" w:type="dxa"/>
            </w:tcMar>
            <w:vAlign w:val="center"/>
          </w:tcPr>
          <w:p w14:paraId="2346EFB3">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运输信息</w:t>
            </w:r>
          </w:p>
        </w:tc>
        <w:tc>
          <w:tcPr>
            <w:tcW w:w="1656" w:type="pct"/>
            <w:gridSpan w:val="2"/>
            <w:tcMar>
              <w:left w:w="108" w:type="dxa"/>
              <w:right w:w="108" w:type="dxa"/>
            </w:tcMar>
            <w:vAlign w:val="center"/>
          </w:tcPr>
          <w:p w14:paraId="4F1EAFA1">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联合国危险货物编号（UN号）：</w:t>
            </w:r>
          </w:p>
        </w:tc>
        <w:tc>
          <w:tcPr>
            <w:tcW w:w="3001" w:type="pct"/>
            <w:gridSpan w:val="7"/>
            <w:tcMar>
              <w:left w:w="108" w:type="dxa"/>
              <w:right w:w="108" w:type="dxa"/>
            </w:tcMar>
            <w:vAlign w:val="center"/>
          </w:tcPr>
          <w:p w14:paraId="75132BF7">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1035:1961（液化）</w:t>
            </w:r>
          </w:p>
        </w:tc>
      </w:tr>
      <w:tr w14:paraId="4AD7C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continue"/>
            <w:tcMar>
              <w:left w:w="108" w:type="dxa"/>
              <w:right w:w="108" w:type="dxa"/>
            </w:tcMar>
            <w:vAlign w:val="center"/>
          </w:tcPr>
          <w:p w14:paraId="07F411D7">
            <w:pPr>
              <w:jc w:val="center"/>
              <w:rPr>
                <w:rFonts w:hint="default" w:ascii="Times New Roman" w:hAnsi="Times New Roman" w:cs="Times New Roman" w:eastAsiaTheme="minorEastAsia"/>
                <w:sz w:val="21"/>
                <w:szCs w:val="21"/>
                <w:highlight w:val="none"/>
              </w:rPr>
            </w:pPr>
          </w:p>
        </w:tc>
        <w:tc>
          <w:tcPr>
            <w:tcW w:w="1656" w:type="pct"/>
            <w:gridSpan w:val="2"/>
            <w:tcMar>
              <w:left w:w="108" w:type="dxa"/>
              <w:right w:w="108" w:type="dxa"/>
            </w:tcMar>
            <w:vAlign w:val="center"/>
          </w:tcPr>
          <w:p w14:paraId="2E3332D6">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联合国运输名称：</w:t>
            </w:r>
          </w:p>
        </w:tc>
        <w:tc>
          <w:tcPr>
            <w:tcW w:w="1624" w:type="pct"/>
            <w:gridSpan w:val="3"/>
            <w:tcMar>
              <w:left w:w="108" w:type="dxa"/>
              <w:right w:w="108" w:type="dxa"/>
            </w:tcMar>
            <w:vAlign w:val="center"/>
          </w:tcPr>
          <w:p w14:paraId="48881A60">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乙烷；冷冻液态乙烷（液化）</w:t>
            </w:r>
          </w:p>
        </w:tc>
        <w:tc>
          <w:tcPr>
            <w:tcW w:w="1377" w:type="pct"/>
            <w:gridSpan w:val="4"/>
            <w:tcMar>
              <w:left w:w="108" w:type="dxa"/>
              <w:right w:w="108" w:type="dxa"/>
            </w:tcMar>
            <w:vAlign w:val="center"/>
          </w:tcPr>
          <w:p w14:paraId="4E637A95">
            <w:pPr>
              <w:jc w:val="center"/>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rPr>
              <w:t>联合国危险性类别：</w:t>
            </w:r>
            <w:r>
              <w:rPr>
                <w:rFonts w:hint="default" w:ascii="Times New Roman" w:hAnsi="Times New Roman" w:cs="Times New Roman" w:eastAsiaTheme="minorEastAsia"/>
                <w:sz w:val="21"/>
                <w:szCs w:val="21"/>
                <w:highlight w:val="none"/>
                <w:lang w:val="en-US" w:eastAsia="zh-CN"/>
              </w:rPr>
              <w:t>1</w:t>
            </w:r>
          </w:p>
        </w:tc>
      </w:tr>
      <w:tr w14:paraId="55971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continue"/>
            <w:tcMar>
              <w:left w:w="108" w:type="dxa"/>
              <w:right w:w="108" w:type="dxa"/>
            </w:tcMar>
            <w:vAlign w:val="center"/>
          </w:tcPr>
          <w:p w14:paraId="1BD82EE3">
            <w:pPr>
              <w:jc w:val="center"/>
              <w:rPr>
                <w:rFonts w:hint="default" w:ascii="Times New Roman" w:hAnsi="Times New Roman" w:cs="Times New Roman" w:eastAsiaTheme="minorEastAsia"/>
                <w:sz w:val="21"/>
                <w:szCs w:val="21"/>
                <w:highlight w:val="none"/>
              </w:rPr>
            </w:pPr>
          </w:p>
        </w:tc>
        <w:tc>
          <w:tcPr>
            <w:tcW w:w="1656" w:type="pct"/>
            <w:gridSpan w:val="2"/>
            <w:tcMar>
              <w:left w:w="108" w:type="dxa"/>
              <w:right w:w="108" w:type="dxa"/>
            </w:tcMar>
            <w:vAlign w:val="center"/>
          </w:tcPr>
          <w:p w14:paraId="5F5A8E60">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包装类别：</w:t>
            </w:r>
          </w:p>
        </w:tc>
        <w:tc>
          <w:tcPr>
            <w:tcW w:w="1624" w:type="pct"/>
            <w:gridSpan w:val="3"/>
            <w:tcMar>
              <w:left w:w="108" w:type="dxa"/>
              <w:right w:w="108" w:type="dxa"/>
            </w:tcMar>
            <w:vAlign w:val="center"/>
          </w:tcPr>
          <w:p w14:paraId="379F6A5F">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w:t>
            </w:r>
          </w:p>
        </w:tc>
        <w:tc>
          <w:tcPr>
            <w:tcW w:w="1377" w:type="pct"/>
            <w:gridSpan w:val="4"/>
            <w:tcMar>
              <w:left w:w="108" w:type="dxa"/>
              <w:right w:w="108" w:type="dxa"/>
            </w:tcMar>
            <w:vAlign w:val="center"/>
          </w:tcPr>
          <w:p w14:paraId="6C23A951">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海洋污染物：否</w:t>
            </w:r>
          </w:p>
        </w:tc>
      </w:tr>
      <w:tr w14:paraId="1649C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2" w:type="pct"/>
            <w:vMerge w:val="continue"/>
            <w:tcMar>
              <w:left w:w="108" w:type="dxa"/>
              <w:right w:w="108" w:type="dxa"/>
            </w:tcMar>
            <w:vAlign w:val="center"/>
          </w:tcPr>
          <w:p w14:paraId="0A61CDE1">
            <w:pPr>
              <w:jc w:val="center"/>
              <w:rPr>
                <w:rFonts w:hint="default" w:ascii="Times New Roman" w:hAnsi="Times New Roman" w:cs="Times New Roman" w:eastAsiaTheme="minorEastAsia"/>
                <w:sz w:val="21"/>
                <w:szCs w:val="21"/>
                <w:highlight w:val="none"/>
              </w:rPr>
            </w:pPr>
          </w:p>
        </w:tc>
        <w:tc>
          <w:tcPr>
            <w:tcW w:w="862" w:type="pct"/>
            <w:tcMar>
              <w:left w:w="108" w:type="dxa"/>
              <w:right w:w="108" w:type="dxa"/>
            </w:tcMar>
            <w:vAlign w:val="center"/>
          </w:tcPr>
          <w:p w14:paraId="30FEBF49">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运输注意事项：</w:t>
            </w:r>
          </w:p>
        </w:tc>
        <w:tc>
          <w:tcPr>
            <w:tcW w:w="3795" w:type="pct"/>
            <w:gridSpan w:val="8"/>
            <w:tcMar>
              <w:left w:w="108" w:type="dxa"/>
              <w:right w:w="108" w:type="dxa"/>
            </w:tcMar>
            <w:vAlign w:val="center"/>
          </w:tcPr>
          <w:p w14:paraId="256648CB">
            <w:pPr>
              <w:jc w:val="center"/>
              <w:rPr>
                <w:rFonts w:hint="eastAsia" w:ascii="Times New Roman" w:hAnsi="Times New Roman" w:cs="Times New Roman" w:eastAsiaTheme="minorEastAsia"/>
                <w:sz w:val="21"/>
                <w:szCs w:val="21"/>
                <w:highlight w:val="none"/>
                <w:lang w:eastAsia="zh-CN"/>
              </w:rPr>
            </w:pPr>
            <w:r>
              <w:rPr>
                <w:rFonts w:hint="default" w:ascii="Times New Roman" w:hAnsi="Times New Roman" w:cs="Times New Roman" w:eastAsiaTheme="minorEastAsia"/>
                <w:sz w:val="21"/>
                <w:szCs w:val="21"/>
                <w:highlight w:val="none"/>
              </w:rPr>
              <w:t>采用钢瓶运输时必须有可靠钢瓶上的安全帽。钢瓶一般平放，并将钢瓶口朝一个方向，不可交叉。高度不得超过钢瓶的护罩板，并用三角木垫上、下防止滚动。运输时运输车辆应配备相应品种和数量的消防器材。装运该物品的车辆排气管</w:t>
            </w:r>
            <w:r>
              <w:rPr>
                <w:rFonts w:hint="eastAsia" w:cs="Times New Roman" w:eastAsiaTheme="minorEastAsia"/>
                <w:sz w:val="21"/>
                <w:szCs w:val="21"/>
                <w:highlight w:val="none"/>
                <w:lang w:eastAsia="zh-CN"/>
              </w:rPr>
              <w:t>。</w:t>
            </w:r>
          </w:p>
          <w:p w14:paraId="4323C390">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必须配备阻火装置。禁止使用易产生火花的机械设备和工具装卸。严禁与氧化剂、卤素等混装混运。夏季应早晚运输，防止日光</w:t>
            </w:r>
            <w:r>
              <w:rPr>
                <w:rFonts w:hint="eastAsia" w:cs="Times New Roman" w:eastAsiaTheme="minorEastAsia"/>
                <w:sz w:val="21"/>
                <w:szCs w:val="21"/>
                <w:highlight w:val="none"/>
                <w:lang w:eastAsia="zh-CN"/>
              </w:rPr>
              <w:t>暴晒</w:t>
            </w:r>
            <w:r>
              <w:rPr>
                <w:rFonts w:hint="default" w:ascii="Times New Roman" w:hAnsi="Times New Roman" w:cs="Times New Roman" w:eastAsiaTheme="minorEastAsia"/>
                <w:sz w:val="21"/>
                <w:szCs w:val="21"/>
                <w:highlight w:val="none"/>
              </w:rPr>
              <w:t>。中途停留时应远离火种、热源。公路运输时要按规定路线行驶，勿在居民区和人口稠密区停留。铁路运输时要禁止溜放。</w:t>
            </w:r>
          </w:p>
        </w:tc>
      </w:tr>
      <w:tr w14:paraId="7720D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 w:type="pct"/>
          <w:trHeight w:val="90" w:hRule="atLeast"/>
          <w:jc w:val="center"/>
        </w:trPr>
        <w:tc>
          <w:tcPr>
            <w:tcW w:w="342" w:type="pct"/>
            <w:vMerge w:val="restart"/>
            <w:tcMar>
              <w:left w:w="108" w:type="dxa"/>
              <w:right w:w="108" w:type="dxa"/>
            </w:tcMar>
            <w:vAlign w:val="center"/>
          </w:tcPr>
          <w:p w14:paraId="7941E6A4">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法规信息</w:t>
            </w:r>
          </w:p>
        </w:tc>
        <w:tc>
          <w:tcPr>
            <w:tcW w:w="862" w:type="pct"/>
            <w:tcMar>
              <w:left w:w="108" w:type="dxa"/>
              <w:right w:w="108" w:type="dxa"/>
            </w:tcMar>
            <w:vAlign w:val="center"/>
          </w:tcPr>
          <w:p w14:paraId="391E6F9E">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危险化学品目录：</w:t>
            </w:r>
          </w:p>
        </w:tc>
        <w:tc>
          <w:tcPr>
            <w:tcW w:w="1203" w:type="pct"/>
            <w:gridSpan w:val="3"/>
            <w:tcMar>
              <w:left w:w="108" w:type="dxa"/>
              <w:right w:w="108" w:type="dxa"/>
            </w:tcMar>
            <w:vAlign w:val="center"/>
          </w:tcPr>
          <w:p w14:paraId="0A914040">
            <w:pPr>
              <w:jc w:val="center"/>
              <w:rPr>
                <w:rFonts w:hint="default" w:ascii="Times New Roman" w:hAnsi="Times New Roman" w:cs="Times New Roman" w:eastAsiaTheme="minorEastAsia"/>
                <w:sz w:val="21"/>
                <w:szCs w:val="21"/>
                <w:highlight w:val="none"/>
              </w:rPr>
            </w:pPr>
            <w:r>
              <w:rPr>
                <w:rFonts w:hint="eastAsia" w:cs="Times New Roman"/>
                <w:bCs/>
                <w:szCs w:val="21"/>
                <w:highlight w:val="none"/>
                <w:lang w:eastAsia="zh-CN"/>
              </w:rPr>
              <w:t>□</w:t>
            </w:r>
            <w:r>
              <w:rPr>
                <w:rFonts w:hint="default" w:ascii="Times New Roman" w:hAnsi="Times New Roman" w:cs="Times New Roman" w:eastAsiaTheme="minorEastAsia"/>
                <w:sz w:val="21"/>
                <w:szCs w:val="21"/>
                <w:highlight w:val="none"/>
              </w:rPr>
              <w:t>未列入</w:t>
            </w:r>
            <w:r>
              <w:rPr>
                <w:rFonts w:hint="eastAsia" w:cs="Times New Roman" w:eastAsiaTheme="minorEastAsia"/>
                <w:sz w:val="21"/>
                <w:szCs w:val="21"/>
                <w:highlight w:val="none"/>
                <w:lang w:eastAsia="zh-CN"/>
              </w:rPr>
              <w:t>，</w:t>
            </w:r>
            <w:r>
              <w:rPr>
                <w:rFonts w:hint="default" w:ascii="Times New Roman" w:hAnsi="Times New Roman" w:cs="Times New Roman" w:eastAsiaTheme="minorEastAsia"/>
                <w:sz w:val="21"/>
                <w:szCs w:val="21"/>
                <w:highlight w:val="none"/>
              </w:rPr>
              <w:t>☑列入：</w:t>
            </w:r>
          </w:p>
        </w:tc>
        <w:tc>
          <w:tcPr>
            <w:tcW w:w="1286" w:type="pct"/>
            <w:gridSpan w:val="2"/>
            <w:tcMar>
              <w:left w:w="108" w:type="dxa"/>
              <w:right w:w="108" w:type="dxa"/>
            </w:tcMar>
            <w:vAlign w:val="center"/>
          </w:tcPr>
          <w:p w14:paraId="41FF2B4E">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高毒物品目录：</w:t>
            </w:r>
          </w:p>
        </w:tc>
        <w:tc>
          <w:tcPr>
            <w:tcW w:w="1304" w:type="pct"/>
            <w:gridSpan w:val="2"/>
            <w:tcMar>
              <w:left w:w="108" w:type="dxa"/>
              <w:right w:w="108" w:type="dxa"/>
            </w:tcMar>
            <w:vAlign w:val="center"/>
          </w:tcPr>
          <w:p w14:paraId="25323493">
            <w:pPr>
              <w:jc w:val="center"/>
              <w:rPr>
                <w:rFonts w:hint="default" w:ascii="Times New Roman" w:hAnsi="Times New Roman" w:cs="Times New Roman" w:eastAsiaTheme="minorEastAsia"/>
                <w:sz w:val="21"/>
                <w:szCs w:val="21"/>
                <w:highlight w:val="none"/>
              </w:rPr>
            </w:pPr>
            <w:r>
              <w:rPr>
                <w:rFonts w:hint="eastAsia" w:cs="Times New Roman"/>
                <w:bCs/>
                <w:szCs w:val="21"/>
                <w:highlight w:val="none"/>
                <w:lang w:eastAsia="zh-CN"/>
              </w:rPr>
              <w:t>□</w:t>
            </w:r>
            <w:r>
              <w:rPr>
                <w:rFonts w:hint="default" w:ascii="Times New Roman" w:hAnsi="Times New Roman" w:cs="Times New Roman" w:eastAsiaTheme="minorEastAsia"/>
                <w:sz w:val="21"/>
                <w:szCs w:val="21"/>
                <w:highlight w:val="none"/>
              </w:rPr>
              <w:t>列入☑未列入</w:t>
            </w:r>
          </w:p>
        </w:tc>
      </w:tr>
      <w:tr w14:paraId="76080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 w:type="pct"/>
          <w:trHeight w:val="90" w:hRule="atLeast"/>
          <w:jc w:val="center"/>
        </w:trPr>
        <w:tc>
          <w:tcPr>
            <w:tcW w:w="342" w:type="pct"/>
            <w:vMerge w:val="continue"/>
            <w:tcMar>
              <w:left w:w="108" w:type="dxa"/>
              <w:right w:w="108" w:type="dxa"/>
            </w:tcMar>
            <w:vAlign w:val="center"/>
          </w:tcPr>
          <w:p w14:paraId="0588219A">
            <w:pPr>
              <w:jc w:val="center"/>
              <w:rPr>
                <w:rFonts w:hint="default" w:ascii="Times New Roman" w:hAnsi="Times New Roman" w:cs="Times New Roman" w:eastAsiaTheme="minorEastAsia"/>
                <w:sz w:val="21"/>
                <w:szCs w:val="21"/>
                <w:highlight w:val="none"/>
              </w:rPr>
            </w:pPr>
          </w:p>
        </w:tc>
        <w:tc>
          <w:tcPr>
            <w:tcW w:w="862" w:type="pct"/>
            <w:tcMar>
              <w:left w:w="108" w:type="dxa"/>
              <w:right w:w="108" w:type="dxa"/>
            </w:tcMar>
            <w:vAlign w:val="center"/>
          </w:tcPr>
          <w:p w14:paraId="18CE8ED0">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职业病分类和目录：</w:t>
            </w:r>
          </w:p>
        </w:tc>
        <w:tc>
          <w:tcPr>
            <w:tcW w:w="3794" w:type="pct"/>
            <w:gridSpan w:val="7"/>
            <w:tcMar>
              <w:left w:w="108" w:type="dxa"/>
              <w:right w:w="108" w:type="dxa"/>
            </w:tcMar>
            <w:vAlign w:val="center"/>
          </w:tcPr>
          <w:p w14:paraId="7FD476F1">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☑未列入</w:t>
            </w:r>
            <w:r>
              <w:rPr>
                <w:rFonts w:hint="eastAsia" w:cs="Times New Roman" w:eastAsiaTheme="minorEastAsia"/>
                <w:sz w:val="21"/>
                <w:szCs w:val="21"/>
                <w:highlight w:val="none"/>
                <w:lang w:eastAsia="zh-CN"/>
              </w:rPr>
              <w:t>，</w:t>
            </w:r>
            <w:r>
              <w:rPr>
                <w:rFonts w:hint="eastAsia" w:cs="Times New Roman"/>
                <w:bCs/>
                <w:szCs w:val="21"/>
                <w:highlight w:val="none"/>
                <w:lang w:eastAsia="zh-CN"/>
              </w:rPr>
              <w:t>□</w:t>
            </w:r>
            <w:r>
              <w:rPr>
                <w:rFonts w:hint="default" w:ascii="Times New Roman" w:hAnsi="Times New Roman" w:cs="Times New Roman" w:eastAsiaTheme="minorEastAsia"/>
                <w:sz w:val="21"/>
                <w:szCs w:val="21"/>
                <w:highlight w:val="none"/>
              </w:rPr>
              <w:t>列入：</w:t>
            </w:r>
          </w:p>
        </w:tc>
      </w:tr>
      <w:tr w14:paraId="5F58E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 w:type="pct"/>
          <w:trHeight w:val="90" w:hRule="atLeast"/>
          <w:jc w:val="center"/>
        </w:trPr>
        <w:tc>
          <w:tcPr>
            <w:tcW w:w="342" w:type="pct"/>
            <w:vMerge w:val="continue"/>
            <w:tcMar>
              <w:left w:w="108" w:type="dxa"/>
              <w:right w:w="108" w:type="dxa"/>
            </w:tcMar>
            <w:vAlign w:val="center"/>
          </w:tcPr>
          <w:p w14:paraId="66FACF5D">
            <w:pPr>
              <w:jc w:val="center"/>
              <w:rPr>
                <w:rFonts w:hint="default" w:ascii="Times New Roman" w:hAnsi="Times New Roman" w:cs="Times New Roman" w:eastAsiaTheme="minorEastAsia"/>
                <w:sz w:val="21"/>
                <w:szCs w:val="21"/>
                <w:highlight w:val="none"/>
              </w:rPr>
            </w:pPr>
          </w:p>
        </w:tc>
        <w:tc>
          <w:tcPr>
            <w:tcW w:w="862" w:type="pct"/>
            <w:tcMar>
              <w:left w:w="108" w:type="dxa"/>
              <w:right w:w="108" w:type="dxa"/>
            </w:tcMar>
            <w:vAlign w:val="center"/>
          </w:tcPr>
          <w:p w14:paraId="0EE6FC31">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易制爆危险化学品名录：</w:t>
            </w:r>
          </w:p>
        </w:tc>
        <w:tc>
          <w:tcPr>
            <w:tcW w:w="3794" w:type="pct"/>
            <w:gridSpan w:val="7"/>
            <w:tcMar>
              <w:left w:w="108" w:type="dxa"/>
              <w:right w:w="108" w:type="dxa"/>
            </w:tcMar>
            <w:vAlign w:val="center"/>
          </w:tcPr>
          <w:p w14:paraId="511B618F">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☑未列入</w:t>
            </w:r>
            <w:r>
              <w:rPr>
                <w:rFonts w:hint="eastAsia" w:cs="Times New Roman" w:eastAsiaTheme="minorEastAsia"/>
                <w:sz w:val="21"/>
                <w:szCs w:val="21"/>
                <w:highlight w:val="none"/>
                <w:lang w:eastAsia="zh-CN"/>
              </w:rPr>
              <w:t>，</w:t>
            </w:r>
            <w:r>
              <w:rPr>
                <w:rFonts w:hint="eastAsia" w:cs="Times New Roman"/>
                <w:bCs/>
                <w:szCs w:val="21"/>
                <w:highlight w:val="none"/>
                <w:lang w:eastAsia="zh-CN"/>
              </w:rPr>
              <w:t>□</w:t>
            </w:r>
            <w:r>
              <w:rPr>
                <w:rFonts w:hint="default" w:ascii="Times New Roman" w:hAnsi="Times New Roman" w:cs="Times New Roman" w:eastAsiaTheme="minorEastAsia"/>
                <w:sz w:val="21"/>
                <w:szCs w:val="21"/>
                <w:highlight w:val="none"/>
              </w:rPr>
              <w:t>列入：</w:t>
            </w:r>
          </w:p>
        </w:tc>
      </w:tr>
      <w:tr w14:paraId="44D70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 w:type="pct"/>
          <w:trHeight w:val="90" w:hRule="atLeast"/>
          <w:jc w:val="center"/>
        </w:trPr>
        <w:tc>
          <w:tcPr>
            <w:tcW w:w="342" w:type="pct"/>
            <w:vMerge w:val="continue"/>
            <w:tcMar>
              <w:left w:w="108" w:type="dxa"/>
              <w:right w:w="108" w:type="dxa"/>
            </w:tcMar>
            <w:vAlign w:val="center"/>
          </w:tcPr>
          <w:p w14:paraId="3E59AA6B">
            <w:pPr>
              <w:jc w:val="center"/>
              <w:rPr>
                <w:rFonts w:hint="default" w:ascii="Times New Roman" w:hAnsi="Times New Roman" w:cs="Times New Roman" w:eastAsiaTheme="minorEastAsia"/>
                <w:sz w:val="21"/>
                <w:szCs w:val="21"/>
                <w:highlight w:val="none"/>
              </w:rPr>
            </w:pPr>
          </w:p>
        </w:tc>
        <w:tc>
          <w:tcPr>
            <w:tcW w:w="862" w:type="pct"/>
            <w:tcMar>
              <w:left w:w="108" w:type="dxa"/>
              <w:right w:w="108" w:type="dxa"/>
            </w:tcMar>
            <w:vAlign w:val="center"/>
          </w:tcPr>
          <w:p w14:paraId="6A6BD083">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重点监管的危险化学品名录：</w:t>
            </w:r>
          </w:p>
        </w:tc>
        <w:tc>
          <w:tcPr>
            <w:tcW w:w="3794" w:type="pct"/>
            <w:gridSpan w:val="7"/>
            <w:tcMar>
              <w:left w:w="108" w:type="dxa"/>
              <w:right w:w="108" w:type="dxa"/>
            </w:tcMar>
            <w:vAlign w:val="center"/>
          </w:tcPr>
          <w:p w14:paraId="59C48DB3">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☑未列入</w:t>
            </w:r>
            <w:r>
              <w:rPr>
                <w:rFonts w:hint="eastAsia" w:cs="Times New Roman" w:eastAsiaTheme="minorEastAsia"/>
                <w:sz w:val="21"/>
                <w:szCs w:val="21"/>
                <w:highlight w:val="none"/>
                <w:lang w:eastAsia="zh-CN"/>
              </w:rPr>
              <w:t>，</w:t>
            </w:r>
            <w:r>
              <w:rPr>
                <w:rFonts w:hint="eastAsia" w:cs="Times New Roman"/>
                <w:bCs/>
                <w:szCs w:val="21"/>
                <w:highlight w:val="none"/>
                <w:lang w:eastAsia="zh-CN"/>
              </w:rPr>
              <w:t>□</w:t>
            </w:r>
            <w:r>
              <w:rPr>
                <w:rFonts w:hint="default" w:ascii="Times New Roman" w:hAnsi="Times New Roman" w:cs="Times New Roman" w:eastAsiaTheme="minorEastAsia"/>
                <w:sz w:val="21"/>
                <w:szCs w:val="21"/>
                <w:highlight w:val="none"/>
              </w:rPr>
              <w:t>列入：</w:t>
            </w:r>
          </w:p>
        </w:tc>
      </w:tr>
      <w:tr w14:paraId="19E50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 w:type="pct"/>
          <w:trHeight w:val="90" w:hRule="atLeast"/>
          <w:jc w:val="center"/>
        </w:trPr>
        <w:tc>
          <w:tcPr>
            <w:tcW w:w="342" w:type="pct"/>
            <w:vMerge w:val="continue"/>
            <w:tcMar>
              <w:left w:w="108" w:type="dxa"/>
              <w:right w:w="108" w:type="dxa"/>
            </w:tcMar>
            <w:vAlign w:val="center"/>
          </w:tcPr>
          <w:p w14:paraId="75126A13">
            <w:pPr>
              <w:jc w:val="center"/>
              <w:rPr>
                <w:rFonts w:hint="default" w:ascii="Times New Roman" w:hAnsi="Times New Roman" w:cs="Times New Roman" w:eastAsiaTheme="minorEastAsia"/>
                <w:sz w:val="21"/>
                <w:szCs w:val="21"/>
                <w:highlight w:val="none"/>
              </w:rPr>
            </w:pPr>
          </w:p>
        </w:tc>
        <w:tc>
          <w:tcPr>
            <w:tcW w:w="862" w:type="pct"/>
            <w:tcMar>
              <w:left w:w="108" w:type="dxa"/>
              <w:right w:w="108" w:type="dxa"/>
            </w:tcMar>
            <w:vAlign w:val="center"/>
          </w:tcPr>
          <w:p w14:paraId="11A1150C">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《危险化学品重大危险源辨识》（表1）：</w:t>
            </w:r>
          </w:p>
        </w:tc>
        <w:tc>
          <w:tcPr>
            <w:tcW w:w="3794" w:type="pct"/>
            <w:gridSpan w:val="7"/>
            <w:tcMar>
              <w:left w:w="108" w:type="dxa"/>
              <w:right w:w="108" w:type="dxa"/>
            </w:tcMar>
            <w:vAlign w:val="center"/>
          </w:tcPr>
          <w:p w14:paraId="0A005270">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☑未列入</w:t>
            </w:r>
            <w:r>
              <w:rPr>
                <w:rFonts w:hint="eastAsia" w:cs="Times New Roman" w:eastAsiaTheme="minorEastAsia"/>
                <w:sz w:val="21"/>
                <w:szCs w:val="21"/>
                <w:highlight w:val="none"/>
                <w:lang w:eastAsia="zh-CN"/>
              </w:rPr>
              <w:t>，</w:t>
            </w:r>
            <w:r>
              <w:rPr>
                <w:rFonts w:hint="eastAsia" w:cs="Times New Roman"/>
                <w:bCs/>
                <w:szCs w:val="21"/>
                <w:highlight w:val="none"/>
                <w:lang w:eastAsia="zh-CN"/>
              </w:rPr>
              <w:t>□</w:t>
            </w:r>
            <w:r>
              <w:rPr>
                <w:rFonts w:hint="default" w:ascii="Times New Roman" w:hAnsi="Times New Roman" w:cs="Times New Roman" w:eastAsiaTheme="minorEastAsia"/>
                <w:sz w:val="21"/>
                <w:szCs w:val="21"/>
                <w:highlight w:val="none"/>
              </w:rPr>
              <w:t>列入：</w:t>
            </w:r>
          </w:p>
        </w:tc>
      </w:tr>
      <w:tr w14:paraId="02B5C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 w:type="pct"/>
          <w:trHeight w:val="90" w:hRule="atLeast"/>
          <w:jc w:val="center"/>
        </w:trPr>
        <w:tc>
          <w:tcPr>
            <w:tcW w:w="342" w:type="pct"/>
            <w:vMerge w:val="continue"/>
            <w:tcMar>
              <w:left w:w="108" w:type="dxa"/>
              <w:right w:w="108" w:type="dxa"/>
            </w:tcMar>
            <w:vAlign w:val="center"/>
          </w:tcPr>
          <w:p w14:paraId="7D9614FF">
            <w:pPr>
              <w:jc w:val="center"/>
              <w:rPr>
                <w:rFonts w:hint="default" w:ascii="Times New Roman" w:hAnsi="Times New Roman" w:cs="Times New Roman" w:eastAsiaTheme="minorEastAsia"/>
                <w:sz w:val="21"/>
                <w:szCs w:val="21"/>
                <w:highlight w:val="none"/>
              </w:rPr>
            </w:pPr>
          </w:p>
        </w:tc>
        <w:tc>
          <w:tcPr>
            <w:tcW w:w="862" w:type="pct"/>
            <w:tcMar>
              <w:left w:w="108" w:type="dxa"/>
              <w:right w:w="108" w:type="dxa"/>
            </w:tcMar>
            <w:vAlign w:val="center"/>
          </w:tcPr>
          <w:p w14:paraId="1CD61D27">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易制毒化学品的分类和品种目录：</w:t>
            </w:r>
          </w:p>
        </w:tc>
        <w:tc>
          <w:tcPr>
            <w:tcW w:w="3794" w:type="pct"/>
            <w:gridSpan w:val="7"/>
            <w:tcMar>
              <w:left w:w="108" w:type="dxa"/>
              <w:right w:w="108" w:type="dxa"/>
            </w:tcMar>
            <w:vAlign w:val="center"/>
          </w:tcPr>
          <w:p w14:paraId="205824A7">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☑未列入</w:t>
            </w:r>
            <w:r>
              <w:rPr>
                <w:rFonts w:hint="eastAsia" w:cs="Times New Roman" w:eastAsiaTheme="minorEastAsia"/>
                <w:sz w:val="21"/>
                <w:szCs w:val="21"/>
                <w:highlight w:val="none"/>
                <w:lang w:eastAsia="zh-CN"/>
              </w:rPr>
              <w:t>，</w:t>
            </w:r>
            <w:r>
              <w:rPr>
                <w:rFonts w:hint="eastAsia" w:cs="Times New Roman"/>
                <w:bCs/>
                <w:szCs w:val="21"/>
                <w:highlight w:val="none"/>
                <w:lang w:eastAsia="zh-CN"/>
              </w:rPr>
              <w:t>□</w:t>
            </w:r>
            <w:r>
              <w:rPr>
                <w:rFonts w:hint="default" w:ascii="Times New Roman" w:hAnsi="Times New Roman" w:cs="Times New Roman" w:eastAsiaTheme="minorEastAsia"/>
                <w:sz w:val="21"/>
                <w:szCs w:val="21"/>
                <w:highlight w:val="none"/>
              </w:rPr>
              <w:t>列入：</w:t>
            </w:r>
          </w:p>
        </w:tc>
      </w:tr>
    </w:tbl>
    <w:p w14:paraId="7CDF3204">
      <w:pPr>
        <w:keepNext/>
        <w:keepLines/>
        <w:spacing w:line="360" w:lineRule="auto"/>
        <w:outlineLvl w:val="1"/>
        <w:rPr>
          <w:b/>
          <w:bCs/>
          <w:sz w:val="28"/>
          <w:szCs w:val="28"/>
          <w:highlight w:val="none"/>
        </w:rPr>
      </w:pPr>
      <w:r>
        <w:rPr>
          <w:rFonts w:hint="eastAsia"/>
          <w:b/>
          <w:bCs/>
          <w:sz w:val="28"/>
          <w:szCs w:val="28"/>
          <w:highlight w:val="none"/>
        </w:rPr>
        <w:t>3.</w:t>
      </w:r>
      <w:r>
        <w:rPr>
          <w:rFonts w:hint="eastAsia"/>
          <w:b/>
          <w:bCs/>
          <w:sz w:val="28"/>
          <w:szCs w:val="28"/>
          <w:highlight w:val="none"/>
          <w:lang w:val="en-US" w:eastAsia="zh-CN"/>
        </w:rPr>
        <w:t>3</w:t>
      </w:r>
      <w:r>
        <w:rPr>
          <w:rFonts w:hint="eastAsia"/>
          <w:b/>
          <w:bCs/>
          <w:sz w:val="28"/>
          <w:szCs w:val="28"/>
          <w:highlight w:val="none"/>
        </w:rPr>
        <w:t>生产系统危险性识别</w:t>
      </w:r>
      <w:bookmarkEnd w:id="67"/>
    </w:p>
    <w:p w14:paraId="060BF8FC">
      <w:pPr>
        <w:spacing w:line="360" w:lineRule="auto"/>
        <w:ind w:firstLine="480" w:firstLineChars="200"/>
        <w:rPr>
          <w:rFonts w:hint="eastAsia" w:eastAsia="宋体"/>
          <w:sz w:val="24"/>
          <w:highlight w:val="none"/>
          <w:lang w:eastAsia="zh-CN"/>
        </w:rPr>
      </w:pPr>
      <w:r>
        <w:rPr>
          <w:sz w:val="24"/>
          <w:highlight w:val="none"/>
        </w:rPr>
        <w:t>本项目不涉及产品的生产加工，仅涉及《建设项目环境风险评价技术导则》</w:t>
      </w:r>
      <w:r>
        <w:rPr>
          <w:rFonts w:hint="eastAsia"/>
          <w:sz w:val="24"/>
          <w:highlight w:val="none"/>
          <w:lang w:eastAsia="zh-CN"/>
        </w:rPr>
        <w:t>（</w:t>
      </w:r>
      <w:r>
        <w:rPr>
          <w:sz w:val="24"/>
          <w:highlight w:val="none"/>
        </w:rPr>
        <w:t>HJ169-2018</w:t>
      </w:r>
      <w:r>
        <w:rPr>
          <w:rFonts w:hint="eastAsia"/>
          <w:sz w:val="24"/>
          <w:highlight w:val="none"/>
          <w:lang w:eastAsia="zh-CN"/>
        </w:rPr>
        <w:t>）</w:t>
      </w:r>
      <w:r>
        <w:rPr>
          <w:sz w:val="24"/>
          <w:highlight w:val="none"/>
        </w:rPr>
        <w:t>规定的危险物质管道运输，</w:t>
      </w:r>
      <w:r>
        <w:rPr>
          <w:rFonts w:hint="eastAsia"/>
          <w:sz w:val="24"/>
          <w:highlight w:val="none"/>
          <w:lang w:val="en-US" w:eastAsia="zh-CN"/>
        </w:rPr>
        <w:t>本项目</w:t>
      </w:r>
      <w:r>
        <w:rPr>
          <w:rFonts w:hint="eastAsia" w:ascii="Times New Roman" w:hAnsi="Times New Roman" w:eastAsia="宋体" w:cs="Times New Roman"/>
          <w:color w:val="auto"/>
          <w:sz w:val="24"/>
          <w:szCs w:val="24"/>
          <w:highlight w:val="none"/>
          <w:lang w:val="en-US" w:eastAsia="zh-CN"/>
        </w:rPr>
        <w:t>在合成脱碳尾气、未变换净化气、WRT甲烷气、回用水、富甲烷气管道上设置快速切断阀，WRT甲烷气和污水2管线设置压力调节阀组和流量计</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其</w:t>
      </w:r>
      <w:r>
        <w:rPr>
          <w:rFonts w:hint="eastAsia" w:cs="Times New Roman"/>
          <w:color w:val="auto"/>
          <w:sz w:val="24"/>
          <w:szCs w:val="24"/>
          <w:highlight w:val="none"/>
          <w:lang w:val="en-US" w:eastAsia="zh-CN"/>
        </w:rPr>
        <w:t>他</w:t>
      </w:r>
      <w:r>
        <w:rPr>
          <w:rFonts w:hint="eastAsia" w:ascii="Times New Roman" w:hAnsi="Times New Roman" w:eastAsia="宋体" w:cs="Times New Roman"/>
          <w:color w:val="auto"/>
          <w:sz w:val="24"/>
          <w:szCs w:val="24"/>
          <w:highlight w:val="none"/>
          <w:lang w:val="en-US" w:eastAsia="zh-CN"/>
        </w:rPr>
        <w:t>工艺和公用工程管道仅设置流量计用于计量结算，管线末端设置手动切断阀组。在物料输出端和接收端设置中控系统和紧急切断阀</w:t>
      </w:r>
      <w:r>
        <w:rPr>
          <w:rFonts w:hint="eastAsia"/>
          <w:sz w:val="24"/>
          <w:highlight w:val="none"/>
          <w:lang w:eastAsia="zh-CN"/>
        </w:rPr>
        <w:t>。</w:t>
      </w:r>
      <w:r>
        <w:rPr>
          <w:sz w:val="24"/>
          <w:highlight w:val="none"/>
        </w:rPr>
        <w:t>管段连接仅采用法兰和焊接方式，管道输送过程</w:t>
      </w:r>
      <w:r>
        <w:rPr>
          <w:rFonts w:hint="eastAsia"/>
          <w:sz w:val="24"/>
          <w:highlight w:val="none"/>
          <w:lang w:eastAsia="zh-CN"/>
        </w:rPr>
        <w:t>存在</w:t>
      </w:r>
      <w:r>
        <w:rPr>
          <w:sz w:val="24"/>
          <w:highlight w:val="none"/>
        </w:rPr>
        <w:t>一定的物料泄漏、火灾和爆炸风险。引发事故的原因主要包括如下方面</w:t>
      </w:r>
      <w:r>
        <w:rPr>
          <w:rFonts w:hint="eastAsia"/>
          <w:sz w:val="24"/>
          <w:highlight w:val="none"/>
          <w:lang w:eastAsia="zh-CN"/>
        </w:rPr>
        <w:t>：</w:t>
      </w:r>
    </w:p>
    <w:p w14:paraId="0448BB54">
      <w:pPr>
        <w:spacing w:line="360" w:lineRule="auto"/>
        <w:ind w:firstLine="480" w:firstLineChars="200"/>
        <w:rPr>
          <w:sz w:val="24"/>
          <w:highlight w:val="none"/>
        </w:rPr>
      </w:pPr>
      <w:r>
        <w:rPr>
          <w:rFonts w:hint="eastAsia"/>
          <w:sz w:val="24"/>
          <w:highlight w:val="none"/>
        </w:rPr>
        <w:t>（1）</w:t>
      </w:r>
      <w:r>
        <w:rPr>
          <w:sz w:val="24"/>
          <w:highlight w:val="none"/>
        </w:rPr>
        <w:t>设计不合理</w:t>
      </w:r>
    </w:p>
    <w:p w14:paraId="61D9EABA">
      <w:pPr>
        <w:spacing w:line="360" w:lineRule="auto"/>
        <w:ind w:firstLine="480" w:firstLineChars="200"/>
        <w:rPr>
          <w:sz w:val="24"/>
          <w:highlight w:val="none"/>
        </w:rPr>
      </w:pPr>
      <w:r>
        <w:rPr>
          <w:sz w:val="24"/>
          <w:highlight w:val="none"/>
        </w:rPr>
        <w:t>主要包括材料选材、设备选型不合理</w:t>
      </w:r>
      <w:r>
        <w:rPr>
          <w:rFonts w:hint="eastAsia"/>
          <w:sz w:val="24"/>
          <w:highlight w:val="none"/>
        </w:rPr>
        <w:t>；</w:t>
      </w:r>
      <w:r>
        <w:rPr>
          <w:sz w:val="24"/>
          <w:highlight w:val="none"/>
        </w:rPr>
        <w:t>管线布置、柔性考虑不周，造成因热胀冷缩产生变形破坏或振动导致管道位移</w:t>
      </w:r>
      <w:r>
        <w:rPr>
          <w:rFonts w:hint="eastAsia"/>
          <w:sz w:val="24"/>
          <w:highlight w:val="none"/>
        </w:rPr>
        <w:t>：</w:t>
      </w:r>
      <w:r>
        <w:rPr>
          <w:sz w:val="24"/>
          <w:highlight w:val="none"/>
        </w:rPr>
        <w:t>结构设计不合理造成管道投入使用后产生工艺操作问题和安全隐患</w:t>
      </w:r>
      <w:r>
        <w:rPr>
          <w:rFonts w:hint="eastAsia"/>
          <w:sz w:val="24"/>
          <w:highlight w:val="none"/>
        </w:rPr>
        <w:t>；</w:t>
      </w:r>
      <w:r>
        <w:rPr>
          <w:sz w:val="24"/>
          <w:highlight w:val="none"/>
        </w:rPr>
        <w:t>防雷、防静电设计缺陷等。</w:t>
      </w:r>
    </w:p>
    <w:p w14:paraId="08D01D48">
      <w:pPr>
        <w:spacing w:line="360" w:lineRule="auto"/>
        <w:ind w:firstLine="480" w:firstLineChars="200"/>
        <w:rPr>
          <w:sz w:val="24"/>
          <w:highlight w:val="none"/>
        </w:rPr>
      </w:pPr>
      <w:r>
        <w:rPr>
          <w:rFonts w:hint="eastAsia"/>
          <w:sz w:val="24"/>
          <w:highlight w:val="none"/>
        </w:rPr>
        <w:t>（2）</w:t>
      </w:r>
      <w:r>
        <w:rPr>
          <w:sz w:val="24"/>
          <w:highlight w:val="none"/>
        </w:rPr>
        <w:t>施工原因</w:t>
      </w:r>
    </w:p>
    <w:p w14:paraId="6FCF52CD">
      <w:pPr>
        <w:spacing w:line="360" w:lineRule="auto"/>
        <w:ind w:firstLine="480" w:firstLineChars="200"/>
        <w:rPr>
          <w:sz w:val="24"/>
          <w:highlight w:val="none"/>
        </w:rPr>
      </w:pPr>
      <w:r>
        <w:rPr>
          <w:sz w:val="24"/>
          <w:highlight w:val="none"/>
        </w:rPr>
        <w:t>施工原因造成的泄漏事故主要集中在焊缝上。如果在环形焊缝处存在未焊透、熔蚀、错边等缺陷，一旦管道投入运行，在一定压力或某种外力在断面上产生的应力作用下，导致焊缝断裂，为泄漏事故留下隐患。</w:t>
      </w:r>
    </w:p>
    <w:p w14:paraId="1D25B182">
      <w:pPr>
        <w:spacing w:line="360" w:lineRule="auto"/>
        <w:ind w:firstLine="480" w:firstLineChars="200"/>
        <w:rPr>
          <w:sz w:val="24"/>
          <w:highlight w:val="none"/>
        </w:rPr>
      </w:pPr>
      <w:r>
        <w:rPr>
          <w:rFonts w:hint="eastAsia"/>
          <w:sz w:val="24"/>
          <w:highlight w:val="none"/>
        </w:rPr>
        <w:t>（3）</w:t>
      </w:r>
      <w:r>
        <w:rPr>
          <w:sz w:val="24"/>
          <w:highlight w:val="none"/>
        </w:rPr>
        <w:t>腐蚀原因</w:t>
      </w:r>
    </w:p>
    <w:p w14:paraId="75B4C027">
      <w:pPr>
        <w:spacing w:line="360" w:lineRule="auto"/>
        <w:ind w:firstLine="480" w:firstLineChars="200"/>
        <w:rPr>
          <w:sz w:val="24"/>
          <w:highlight w:val="none"/>
        </w:rPr>
      </w:pPr>
      <w:r>
        <w:rPr>
          <w:sz w:val="24"/>
          <w:highlight w:val="none"/>
        </w:rPr>
        <w:t>腐蚀缩短了管道的使用寿命，降低了管道输送能力，引起生产营运费用的增加和意外事故发生。在国内外管道事故原因中，腐蚀为主要因素。因此，应采取有效的防腐措施防止和减缓腐蚀对输气管道的损坏，延长管道使用寿命，</w:t>
      </w:r>
      <w:r>
        <w:rPr>
          <w:rFonts w:hint="eastAsia"/>
          <w:sz w:val="24"/>
          <w:highlight w:val="none"/>
          <w:lang w:eastAsia="zh-CN"/>
        </w:rPr>
        <w:t>减少</w:t>
      </w:r>
      <w:r>
        <w:rPr>
          <w:sz w:val="24"/>
          <w:highlight w:val="none"/>
        </w:rPr>
        <w:t>事故发生频率。</w:t>
      </w:r>
    </w:p>
    <w:p w14:paraId="0AB06312">
      <w:pPr>
        <w:spacing w:line="360" w:lineRule="auto"/>
        <w:ind w:firstLine="480" w:firstLineChars="200"/>
        <w:rPr>
          <w:sz w:val="24"/>
          <w:highlight w:val="none"/>
        </w:rPr>
      </w:pPr>
      <w:r>
        <w:rPr>
          <w:rFonts w:hint="eastAsia"/>
          <w:sz w:val="24"/>
          <w:highlight w:val="none"/>
        </w:rPr>
        <w:t>（4）</w:t>
      </w:r>
      <w:r>
        <w:rPr>
          <w:sz w:val="24"/>
          <w:highlight w:val="none"/>
        </w:rPr>
        <w:t>引起的泄漏事故主要包括管道投运前试压未按规程操作而造成管道憋压和阀门损坏，在运行过程</w:t>
      </w:r>
      <w:r>
        <w:rPr>
          <w:rFonts w:hint="eastAsia"/>
          <w:sz w:val="24"/>
          <w:highlight w:val="none"/>
          <w:lang w:eastAsia="zh-CN"/>
        </w:rPr>
        <w:t>中</w:t>
      </w:r>
      <w:r>
        <w:rPr>
          <w:sz w:val="24"/>
          <w:highlight w:val="none"/>
        </w:rPr>
        <w:t>没有执行调度命令或有关操作规程造成管道憋压。</w:t>
      </w:r>
    </w:p>
    <w:p w14:paraId="3A2E9C0B">
      <w:pPr>
        <w:spacing w:line="360" w:lineRule="auto"/>
        <w:jc w:val="center"/>
        <w:rPr>
          <w:rFonts w:hint="eastAsia" w:ascii="Times New Roman" w:hAnsi="Times New Roman" w:eastAsia="宋体" w:cs="Times New Roman"/>
          <w:b/>
          <w:bCs/>
          <w:sz w:val="21"/>
          <w:szCs w:val="21"/>
          <w:highlight w:val="none"/>
          <w:lang w:val="en-US" w:eastAsia="zh-CN"/>
        </w:rPr>
      </w:pPr>
      <w:r>
        <w:rPr>
          <w:rFonts w:hint="eastAsia" w:ascii="Times New Roman" w:hAnsi="Times New Roman" w:eastAsia="宋体" w:cs="Times New Roman"/>
          <w:b/>
          <w:bCs/>
          <w:sz w:val="21"/>
          <w:szCs w:val="21"/>
          <w:highlight w:val="none"/>
          <w:lang w:val="en-US" w:eastAsia="zh-CN"/>
        </w:rPr>
        <w:t>表3.3-1   主要危险单元及风险源识别一览表</w:t>
      </w:r>
    </w:p>
    <w:tbl>
      <w:tblPr>
        <w:tblStyle w:val="19"/>
        <w:tblW w:w="79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613"/>
        <w:gridCol w:w="1613"/>
        <w:gridCol w:w="809"/>
        <w:gridCol w:w="982"/>
        <w:gridCol w:w="982"/>
        <w:gridCol w:w="982"/>
        <w:gridCol w:w="982"/>
      </w:tblGrid>
      <w:tr w14:paraId="6DC67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6" w:hRule="atLeast"/>
          <w:jc w:val="center"/>
        </w:trPr>
        <w:tc>
          <w:tcPr>
            <w:tcW w:w="1613" w:type="dxa"/>
            <w:shd w:val="clear" w:color="auto" w:fill="auto"/>
            <w:noWrap/>
            <w:vAlign w:val="center"/>
          </w:tcPr>
          <w:p w14:paraId="4FD5B9F3">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风险单元</w:t>
            </w:r>
          </w:p>
        </w:tc>
        <w:tc>
          <w:tcPr>
            <w:tcW w:w="1613" w:type="dxa"/>
            <w:shd w:val="clear" w:color="auto" w:fill="auto"/>
            <w:noWrap/>
            <w:vAlign w:val="center"/>
          </w:tcPr>
          <w:p w14:paraId="1F18226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风险源</w:t>
            </w:r>
          </w:p>
        </w:tc>
        <w:tc>
          <w:tcPr>
            <w:tcW w:w="809" w:type="dxa"/>
            <w:shd w:val="clear" w:color="auto" w:fill="auto"/>
            <w:vAlign w:val="center"/>
          </w:tcPr>
          <w:p w14:paraId="7B5FE737">
            <w:pPr>
              <w:keepNext w:val="0"/>
              <w:keepLines w:val="0"/>
              <w:widowControl/>
              <w:suppressLineNumbers w:val="0"/>
              <w:jc w:val="center"/>
              <w:textAlignment w:val="bottom"/>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风险物质</w:t>
            </w:r>
          </w:p>
        </w:tc>
        <w:tc>
          <w:tcPr>
            <w:tcW w:w="982" w:type="dxa"/>
            <w:shd w:val="clear" w:color="auto" w:fill="auto"/>
            <w:noWrap/>
            <w:vAlign w:val="center"/>
          </w:tcPr>
          <w:p w14:paraId="69CF91D5">
            <w:pPr>
              <w:pStyle w:val="56"/>
              <w:ind w:firstLine="0" w:firstLineChars="0"/>
              <w:rPr>
                <w:rFonts w:hint="eastAsia"/>
                <w:sz w:val="21"/>
                <w:szCs w:val="21"/>
                <w:highlight w:val="none"/>
                <w:lang w:val="en-US" w:eastAsia="zh-CN"/>
              </w:rPr>
            </w:pPr>
            <w:r>
              <w:rPr>
                <w:rFonts w:hint="eastAsia"/>
                <w:sz w:val="21"/>
                <w:szCs w:val="21"/>
                <w:highlight w:val="none"/>
                <w:lang w:val="en-US" w:eastAsia="zh-CN"/>
              </w:rPr>
              <w:t>操作参数T（</w:t>
            </w:r>
            <w:r>
              <w:rPr>
                <w:rFonts w:ascii="微软雅黑" w:hAnsi="微软雅黑" w:eastAsia="微软雅黑" w:cs="微软雅黑"/>
                <w:i w:val="0"/>
                <w:iCs w:val="0"/>
                <w:caps w:val="0"/>
                <w:color w:val="333333"/>
                <w:spacing w:val="0"/>
                <w:sz w:val="21"/>
                <w:szCs w:val="21"/>
                <w:highlight w:val="none"/>
                <w:shd w:val="clear" w:fill="FFFFFF"/>
              </w:rPr>
              <w:t>℃</w:t>
            </w:r>
            <w:r>
              <w:rPr>
                <w:rFonts w:hint="eastAsia"/>
                <w:sz w:val="21"/>
                <w:szCs w:val="21"/>
                <w:highlight w:val="none"/>
                <w:lang w:val="en-US" w:eastAsia="zh-CN"/>
              </w:rPr>
              <w:t>）</w:t>
            </w:r>
          </w:p>
          <w:p w14:paraId="2C988CDF">
            <w:pPr>
              <w:pStyle w:val="56"/>
              <w:ind w:firstLine="0" w:firstLineChars="0"/>
              <w:rPr>
                <w:rFonts w:hint="eastAsia" w:ascii="宋体" w:hAnsi="宋体" w:eastAsia="宋体" w:cs="宋体"/>
                <w:i w:val="0"/>
                <w:iCs w:val="0"/>
                <w:color w:val="000000"/>
                <w:sz w:val="21"/>
                <w:szCs w:val="21"/>
                <w:highlight w:val="none"/>
                <w:u w:val="none"/>
              </w:rPr>
            </w:pPr>
            <w:r>
              <w:rPr>
                <w:rFonts w:hint="eastAsia"/>
                <w:sz w:val="21"/>
                <w:szCs w:val="21"/>
                <w:highlight w:val="none"/>
                <w:lang w:val="en-US" w:eastAsia="zh-CN"/>
              </w:rPr>
              <w:t>P（MPa）</w:t>
            </w:r>
          </w:p>
        </w:tc>
        <w:tc>
          <w:tcPr>
            <w:tcW w:w="982" w:type="dxa"/>
            <w:shd w:val="clear" w:color="auto" w:fill="auto"/>
            <w:noWrap/>
            <w:vAlign w:val="center"/>
          </w:tcPr>
          <w:p w14:paraId="09F5A7B4">
            <w:pPr>
              <w:pStyle w:val="56"/>
              <w:ind w:firstLine="0" w:firstLineChars="0"/>
              <w:rPr>
                <w:rFonts w:hint="eastAsia"/>
                <w:sz w:val="21"/>
                <w:szCs w:val="21"/>
                <w:highlight w:val="none"/>
              </w:rPr>
            </w:pPr>
            <w:r>
              <w:rPr>
                <w:rFonts w:hint="eastAsia"/>
                <w:sz w:val="21"/>
                <w:szCs w:val="21"/>
                <w:highlight w:val="none"/>
                <w:lang w:val="en-US" w:eastAsia="zh-CN"/>
              </w:rPr>
              <w:t>长度</w:t>
            </w:r>
            <w:r>
              <w:rPr>
                <w:rFonts w:hint="eastAsia"/>
                <w:sz w:val="21"/>
                <w:szCs w:val="21"/>
                <w:highlight w:val="none"/>
              </w:rPr>
              <w:t>（</w:t>
            </w:r>
            <w:r>
              <w:rPr>
                <w:sz w:val="21"/>
                <w:szCs w:val="21"/>
                <w:highlight w:val="none"/>
              </w:rPr>
              <w:t>m</w:t>
            </w:r>
            <w:r>
              <w:rPr>
                <w:rFonts w:hint="eastAsia"/>
                <w:sz w:val="21"/>
                <w:szCs w:val="21"/>
                <w:highlight w:val="none"/>
              </w:rPr>
              <w:t>）</w:t>
            </w:r>
          </w:p>
        </w:tc>
        <w:tc>
          <w:tcPr>
            <w:tcW w:w="982" w:type="dxa"/>
            <w:shd w:val="clear" w:color="auto" w:fill="auto"/>
            <w:noWrap/>
            <w:vAlign w:val="center"/>
          </w:tcPr>
          <w:p w14:paraId="364C5535">
            <w:pPr>
              <w:pStyle w:val="56"/>
              <w:ind w:firstLine="0" w:firstLineChars="0"/>
              <w:rPr>
                <w:rFonts w:hint="eastAsia"/>
                <w:sz w:val="21"/>
                <w:szCs w:val="21"/>
                <w:highlight w:val="none"/>
              </w:rPr>
            </w:pPr>
            <w:r>
              <w:rPr>
                <w:rFonts w:hint="eastAsia"/>
                <w:sz w:val="21"/>
                <w:szCs w:val="21"/>
                <w:highlight w:val="none"/>
              </w:rPr>
              <w:t>环境风险类型</w:t>
            </w:r>
          </w:p>
        </w:tc>
        <w:tc>
          <w:tcPr>
            <w:tcW w:w="982" w:type="dxa"/>
            <w:shd w:val="clear" w:color="auto" w:fill="auto"/>
            <w:noWrap/>
            <w:vAlign w:val="center"/>
          </w:tcPr>
          <w:p w14:paraId="13CDF62A">
            <w:pPr>
              <w:pStyle w:val="56"/>
              <w:ind w:firstLine="0" w:firstLineChars="0"/>
              <w:rPr>
                <w:rFonts w:hint="eastAsia"/>
                <w:sz w:val="21"/>
                <w:szCs w:val="21"/>
                <w:highlight w:val="none"/>
              </w:rPr>
            </w:pPr>
            <w:r>
              <w:rPr>
                <w:rFonts w:hint="eastAsia"/>
                <w:sz w:val="21"/>
                <w:szCs w:val="21"/>
                <w:highlight w:val="none"/>
              </w:rPr>
              <w:t>环境影响途径</w:t>
            </w:r>
          </w:p>
        </w:tc>
      </w:tr>
      <w:tr w14:paraId="6BF61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1613" w:type="dxa"/>
            <w:vMerge w:val="restart"/>
            <w:shd w:val="clear" w:color="auto" w:fill="auto"/>
            <w:noWrap/>
            <w:vAlign w:val="center"/>
          </w:tcPr>
          <w:p w14:paraId="28CE9288">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管道</w:t>
            </w:r>
          </w:p>
        </w:tc>
        <w:tc>
          <w:tcPr>
            <w:tcW w:w="1613" w:type="dxa"/>
            <w:vMerge w:val="restart"/>
            <w:shd w:val="clear" w:color="auto" w:fill="auto"/>
            <w:noWrap/>
            <w:vAlign w:val="center"/>
          </w:tcPr>
          <w:p w14:paraId="3E029D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合成脱碳尾气</w:t>
            </w:r>
          </w:p>
        </w:tc>
        <w:tc>
          <w:tcPr>
            <w:tcW w:w="809" w:type="dxa"/>
            <w:shd w:val="clear" w:color="auto" w:fill="auto"/>
            <w:vAlign w:val="center"/>
          </w:tcPr>
          <w:p w14:paraId="4CAA392F">
            <w:pPr>
              <w:keepNext w:val="0"/>
              <w:keepLines w:val="0"/>
              <w:widowControl/>
              <w:suppressLineNumbers w:val="0"/>
              <w:jc w:val="center"/>
              <w:textAlignment w:val="bottom"/>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CO</w:t>
            </w:r>
          </w:p>
        </w:tc>
        <w:tc>
          <w:tcPr>
            <w:tcW w:w="982" w:type="dxa"/>
            <w:vMerge w:val="restart"/>
            <w:shd w:val="clear" w:color="auto" w:fill="auto"/>
            <w:noWrap/>
            <w:vAlign w:val="center"/>
          </w:tcPr>
          <w:p w14:paraId="5E456A63">
            <w:pPr>
              <w:jc w:val="center"/>
              <w:rPr>
                <w:rFonts w:hint="default" w:ascii="Times New Roman" w:hAnsi="Times New Roman" w:eastAsia="宋体" w:cs="Times New Roman"/>
                <w:i w:val="0"/>
                <w:iCs w:val="0"/>
                <w:color w:val="000000"/>
                <w:sz w:val="21"/>
                <w:szCs w:val="21"/>
                <w:highlight w:val="none"/>
                <w:u w:val="none"/>
              </w:rPr>
            </w:pPr>
            <w:r>
              <w:rPr>
                <w:rFonts w:hint="eastAsia"/>
                <w:sz w:val="21"/>
                <w:szCs w:val="21"/>
                <w:highlight w:val="none"/>
                <w:lang w:val="en-US" w:eastAsia="zh-CN"/>
              </w:rPr>
              <w:t>50/3.2</w:t>
            </w:r>
          </w:p>
        </w:tc>
        <w:tc>
          <w:tcPr>
            <w:tcW w:w="982" w:type="dxa"/>
            <w:vMerge w:val="restart"/>
            <w:shd w:val="clear" w:color="auto" w:fill="auto"/>
            <w:noWrap/>
            <w:vAlign w:val="center"/>
          </w:tcPr>
          <w:p w14:paraId="2B70300B">
            <w:pPr>
              <w:snapToGrid w:val="0"/>
              <w:jc w:val="center"/>
              <w:rPr>
                <w:rFonts w:hint="eastAsia"/>
                <w:sz w:val="21"/>
                <w:szCs w:val="21"/>
                <w:highlight w:val="none"/>
                <w:lang w:val="en-US" w:eastAsia="zh-CN"/>
              </w:rPr>
            </w:pPr>
            <w:r>
              <w:rPr>
                <w:rFonts w:hint="eastAsia"/>
                <w:sz w:val="21"/>
                <w:szCs w:val="21"/>
                <w:highlight w:val="none"/>
              </w:rPr>
              <w:t>288</w:t>
            </w:r>
          </w:p>
        </w:tc>
        <w:tc>
          <w:tcPr>
            <w:tcW w:w="982" w:type="dxa"/>
            <w:vMerge w:val="restart"/>
            <w:shd w:val="clear" w:color="auto" w:fill="auto"/>
            <w:noWrap/>
            <w:vAlign w:val="center"/>
          </w:tcPr>
          <w:p w14:paraId="5777CD9F">
            <w:pPr>
              <w:jc w:val="center"/>
              <w:rPr>
                <w:rFonts w:hint="default"/>
                <w:sz w:val="21"/>
                <w:szCs w:val="21"/>
                <w:highlight w:val="none"/>
                <w:lang w:val="en-US" w:eastAsia="zh-CN"/>
              </w:rPr>
            </w:pPr>
            <w:r>
              <w:rPr>
                <w:rFonts w:hint="eastAsia"/>
                <w:sz w:val="21"/>
                <w:szCs w:val="21"/>
                <w:highlight w:val="none"/>
                <w:lang w:val="en-US" w:eastAsia="zh-CN"/>
              </w:rPr>
              <w:t>管道破裂发生泄漏</w:t>
            </w:r>
          </w:p>
        </w:tc>
        <w:tc>
          <w:tcPr>
            <w:tcW w:w="982" w:type="dxa"/>
            <w:vMerge w:val="restart"/>
            <w:shd w:val="clear" w:color="auto" w:fill="auto"/>
            <w:noWrap/>
            <w:vAlign w:val="center"/>
          </w:tcPr>
          <w:p w14:paraId="3FDBE763">
            <w:pPr>
              <w:jc w:val="center"/>
              <w:rPr>
                <w:rFonts w:hint="default"/>
                <w:sz w:val="21"/>
                <w:szCs w:val="21"/>
                <w:highlight w:val="none"/>
                <w:lang w:val="en-US" w:eastAsia="zh-CN"/>
              </w:rPr>
            </w:pPr>
            <w:r>
              <w:rPr>
                <w:rFonts w:hint="eastAsia"/>
                <w:sz w:val="21"/>
                <w:szCs w:val="21"/>
                <w:highlight w:val="none"/>
                <w:lang w:val="en-US" w:eastAsia="zh-CN"/>
              </w:rPr>
              <w:t>环境空气</w:t>
            </w:r>
          </w:p>
        </w:tc>
      </w:tr>
      <w:tr w14:paraId="1A980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 w:hRule="atLeast"/>
          <w:jc w:val="center"/>
        </w:trPr>
        <w:tc>
          <w:tcPr>
            <w:tcW w:w="1613" w:type="dxa"/>
            <w:vMerge w:val="continue"/>
            <w:shd w:val="clear" w:color="auto" w:fill="auto"/>
            <w:noWrap/>
            <w:vAlign w:val="center"/>
          </w:tcPr>
          <w:p w14:paraId="2D4F539C">
            <w:pPr>
              <w:jc w:val="center"/>
              <w:rPr>
                <w:rFonts w:hint="eastAsia" w:ascii="宋体" w:hAnsi="宋体" w:eastAsia="宋体" w:cs="宋体"/>
                <w:i w:val="0"/>
                <w:iCs w:val="0"/>
                <w:color w:val="000000"/>
                <w:sz w:val="21"/>
                <w:szCs w:val="21"/>
                <w:highlight w:val="none"/>
                <w:u w:val="none"/>
              </w:rPr>
            </w:pPr>
          </w:p>
        </w:tc>
        <w:tc>
          <w:tcPr>
            <w:tcW w:w="1613" w:type="dxa"/>
            <w:vMerge w:val="continue"/>
            <w:shd w:val="clear" w:color="auto" w:fill="auto"/>
            <w:noWrap/>
            <w:vAlign w:val="center"/>
          </w:tcPr>
          <w:p w14:paraId="5B9383C6">
            <w:pPr>
              <w:jc w:val="center"/>
              <w:rPr>
                <w:rFonts w:hint="eastAsia" w:ascii="宋体" w:hAnsi="宋体" w:eastAsia="宋体" w:cs="宋体"/>
                <w:i w:val="0"/>
                <w:iCs w:val="0"/>
                <w:color w:val="000000"/>
                <w:sz w:val="21"/>
                <w:szCs w:val="21"/>
                <w:highlight w:val="none"/>
                <w:u w:val="none"/>
              </w:rPr>
            </w:pPr>
          </w:p>
        </w:tc>
        <w:tc>
          <w:tcPr>
            <w:tcW w:w="809" w:type="dxa"/>
            <w:shd w:val="clear" w:color="auto" w:fill="auto"/>
            <w:vAlign w:val="center"/>
          </w:tcPr>
          <w:p w14:paraId="5EA7D9F7">
            <w:pPr>
              <w:keepNext w:val="0"/>
              <w:keepLines w:val="0"/>
              <w:widowControl/>
              <w:suppressLineNumbers w:val="0"/>
              <w:jc w:val="center"/>
              <w:textAlignment w:val="bottom"/>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CH</w:t>
            </w:r>
            <w:r>
              <w:rPr>
                <w:rStyle w:val="53"/>
                <w:rFonts w:eastAsia="宋体"/>
                <w:sz w:val="21"/>
                <w:szCs w:val="21"/>
                <w:highlight w:val="none"/>
                <w:lang w:val="en-US" w:eastAsia="zh-CN" w:bidi="ar"/>
              </w:rPr>
              <w:t>4</w:t>
            </w:r>
          </w:p>
        </w:tc>
        <w:tc>
          <w:tcPr>
            <w:tcW w:w="982" w:type="dxa"/>
            <w:vMerge w:val="continue"/>
            <w:shd w:val="clear" w:color="auto" w:fill="auto"/>
            <w:noWrap/>
            <w:vAlign w:val="center"/>
          </w:tcPr>
          <w:p w14:paraId="1949022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3DE5387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51ECE44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2A88069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r>
      <w:tr w14:paraId="68473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 w:hRule="atLeast"/>
          <w:jc w:val="center"/>
        </w:trPr>
        <w:tc>
          <w:tcPr>
            <w:tcW w:w="1613" w:type="dxa"/>
            <w:vMerge w:val="continue"/>
            <w:shd w:val="clear" w:color="auto" w:fill="auto"/>
            <w:noWrap/>
            <w:vAlign w:val="center"/>
          </w:tcPr>
          <w:p w14:paraId="3D5BA046">
            <w:pPr>
              <w:jc w:val="center"/>
              <w:rPr>
                <w:rFonts w:hint="eastAsia" w:ascii="宋体" w:hAnsi="宋体" w:eastAsia="宋体" w:cs="宋体"/>
                <w:i w:val="0"/>
                <w:iCs w:val="0"/>
                <w:color w:val="000000"/>
                <w:sz w:val="21"/>
                <w:szCs w:val="21"/>
                <w:highlight w:val="none"/>
                <w:u w:val="none"/>
              </w:rPr>
            </w:pPr>
          </w:p>
        </w:tc>
        <w:tc>
          <w:tcPr>
            <w:tcW w:w="1613" w:type="dxa"/>
            <w:vMerge w:val="continue"/>
            <w:shd w:val="clear" w:color="auto" w:fill="auto"/>
            <w:noWrap/>
            <w:vAlign w:val="center"/>
          </w:tcPr>
          <w:p w14:paraId="0D26E87B">
            <w:pPr>
              <w:jc w:val="center"/>
              <w:rPr>
                <w:rFonts w:hint="eastAsia" w:ascii="宋体" w:hAnsi="宋体" w:eastAsia="宋体" w:cs="宋体"/>
                <w:i w:val="0"/>
                <w:iCs w:val="0"/>
                <w:color w:val="000000"/>
                <w:sz w:val="21"/>
                <w:szCs w:val="21"/>
                <w:highlight w:val="none"/>
                <w:u w:val="none"/>
              </w:rPr>
            </w:pPr>
          </w:p>
        </w:tc>
        <w:tc>
          <w:tcPr>
            <w:tcW w:w="809" w:type="dxa"/>
            <w:shd w:val="clear" w:color="auto" w:fill="auto"/>
            <w:vAlign w:val="center"/>
          </w:tcPr>
          <w:p w14:paraId="06694307">
            <w:pPr>
              <w:keepNext w:val="0"/>
              <w:keepLines w:val="0"/>
              <w:widowControl/>
              <w:suppressLineNumbers w:val="0"/>
              <w:jc w:val="center"/>
              <w:textAlignment w:val="bottom"/>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C</w:t>
            </w:r>
            <w:r>
              <w:rPr>
                <w:rFonts w:hint="default" w:ascii="Times New Roman" w:hAnsi="Times New Roman" w:eastAsia="宋体" w:cs="Times New Roman"/>
                <w:i w:val="0"/>
                <w:iCs w:val="0"/>
                <w:color w:val="000000"/>
                <w:kern w:val="0"/>
                <w:sz w:val="21"/>
                <w:szCs w:val="21"/>
                <w:highlight w:val="none"/>
                <w:u w:val="none"/>
                <w:vertAlign w:val="subscript"/>
                <w:lang w:val="en-US" w:eastAsia="zh-CN" w:bidi="ar"/>
              </w:rPr>
              <w:t>2</w:t>
            </w:r>
            <w:r>
              <w:rPr>
                <w:rFonts w:hint="default" w:ascii="Times New Roman" w:hAnsi="Times New Roman" w:eastAsia="宋体" w:cs="Times New Roman"/>
                <w:i w:val="0"/>
                <w:iCs w:val="0"/>
                <w:color w:val="000000"/>
                <w:kern w:val="0"/>
                <w:sz w:val="21"/>
                <w:szCs w:val="21"/>
                <w:highlight w:val="none"/>
                <w:u w:val="none"/>
                <w:lang w:val="en-US" w:eastAsia="zh-CN" w:bidi="ar"/>
              </w:rPr>
              <w:t>H</w:t>
            </w:r>
            <w:r>
              <w:rPr>
                <w:rStyle w:val="53"/>
                <w:rFonts w:eastAsia="宋体"/>
                <w:sz w:val="21"/>
                <w:szCs w:val="21"/>
                <w:highlight w:val="none"/>
                <w:lang w:val="en-US" w:eastAsia="zh-CN" w:bidi="ar"/>
              </w:rPr>
              <w:t>6</w:t>
            </w:r>
          </w:p>
        </w:tc>
        <w:tc>
          <w:tcPr>
            <w:tcW w:w="982" w:type="dxa"/>
            <w:vMerge w:val="continue"/>
            <w:shd w:val="clear" w:color="auto" w:fill="auto"/>
            <w:noWrap/>
            <w:vAlign w:val="center"/>
          </w:tcPr>
          <w:p w14:paraId="4AE6DF3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1C0DE21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1C824F6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7D97D90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r>
      <w:tr w14:paraId="4B486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1613" w:type="dxa"/>
            <w:vMerge w:val="continue"/>
            <w:shd w:val="clear" w:color="auto" w:fill="auto"/>
            <w:noWrap/>
            <w:vAlign w:val="center"/>
          </w:tcPr>
          <w:p w14:paraId="6E9A0861">
            <w:pPr>
              <w:keepNext w:val="0"/>
              <w:keepLines w:val="0"/>
              <w:widowControl/>
              <w:suppressLineNumbers w:val="0"/>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613" w:type="dxa"/>
            <w:vMerge w:val="restart"/>
            <w:shd w:val="clear" w:color="auto" w:fill="auto"/>
            <w:noWrap/>
            <w:vAlign w:val="center"/>
          </w:tcPr>
          <w:p w14:paraId="07176AFA">
            <w:pPr>
              <w:keepNext w:val="0"/>
              <w:keepLines w:val="0"/>
              <w:widowControl/>
              <w:suppressLineNumbers w:val="0"/>
              <w:jc w:val="center"/>
              <w:textAlignment w:val="bottom"/>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未变换净化气</w:t>
            </w:r>
          </w:p>
        </w:tc>
        <w:tc>
          <w:tcPr>
            <w:tcW w:w="809" w:type="dxa"/>
            <w:shd w:val="clear" w:color="auto" w:fill="auto"/>
            <w:noWrap/>
            <w:vAlign w:val="center"/>
          </w:tcPr>
          <w:p w14:paraId="332D23D7">
            <w:pPr>
              <w:keepNext w:val="0"/>
              <w:keepLines w:val="0"/>
              <w:widowControl/>
              <w:suppressLineNumbers w:val="0"/>
              <w:jc w:val="center"/>
              <w:textAlignment w:val="bottom"/>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CO</w:t>
            </w:r>
          </w:p>
        </w:tc>
        <w:tc>
          <w:tcPr>
            <w:tcW w:w="982" w:type="dxa"/>
            <w:vMerge w:val="restart"/>
            <w:shd w:val="clear" w:color="auto" w:fill="auto"/>
            <w:noWrap/>
            <w:vAlign w:val="center"/>
          </w:tcPr>
          <w:p w14:paraId="166B1C5B">
            <w:pPr>
              <w:jc w:val="center"/>
              <w:rPr>
                <w:rFonts w:hint="default" w:ascii="Times New Roman" w:hAnsi="Times New Roman" w:eastAsia="宋体" w:cs="Times New Roman"/>
                <w:i w:val="0"/>
                <w:iCs w:val="0"/>
                <w:color w:val="000000"/>
                <w:sz w:val="21"/>
                <w:szCs w:val="21"/>
                <w:highlight w:val="none"/>
                <w:u w:val="none"/>
              </w:rPr>
            </w:pPr>
            <w:r>
              <w:rPr>
                <w:rFonts w:hint="eastAsia"/>
                <w:sz w:val="21"/>
                <w:szCs w:val="21"/>
                <w:highlight w:val="none"/>
                <w:lang w:val="en-US" w:eastAsia="zh-CN"/>
              </w:rPr>
              <w:t>40/3.3</w:t>
            </w:r>
          </w:p>
        </w:tc>
        <w:tc>
          <w:tcPr>
            <w:tcW w:w="982" w:type="dxa"/>
            <w:vMerge w:val="restart"/>
            <w:shd w:val="clear" w:color="auto" w:fill="auto"/>
            <w:noWrap/>
            <w:vAlign w:val="center"/>
          </w:tcPr>
          <w:p w14:paraId="43E2AC38">
            <w:pPr>
              <w:jc w:val="center"/>
              <w:rPr>
                <w:rFonts w:hint="default"/>
                <w:sz w:val="21"/>
                <w:szCs w:val="21"/>
                <w:highlight w:val="none"/>
                <w:lang w:val="en-US" w:eastAsia="zh-CN"/>
              </w:rPr>
            </w:pPr>
            <w:r>
              <w:rPr>
                <w:rFonts w:hint="eastAsia"/>
                <w:sz w:val="21"/>
                <w:szCs w:val="21"/>
                <w:highlight w:val="none"/>
                <w:lang w:val="en-US" w:eastAsia="zh-CN"/>
              </w:rPr>
              <w:t>597</w:t>
            </w:r>
          </w:p>
        </w:tc>
        <w:tc>
          <w:tcPr>
            <w:tcW w:w="982" w:type="dxa"/>
            <w:vMerge w:val="continue"/>
            <w:shd w:val="clear" w:color="auto" w:fill="auto"/>
            <w:noWrap/>
            <w:vAlign w:val="center"/>
          </w:tcPr>
          <w:p w14:paraId="6B1FEABC">
            <w:pPr>
              <w:jc w:val="center"/>
              <w:rPr>
                <w:rFonts w:hint="eastAsia"/>
                <w:sz w:val="21"/>
                <w:szCs w:val="21"/>
                <w:highlight w:val="none"/>
                <w:lang w:val="en-US" w:eastAsia="zh-CN"/>
              </w:rPr>
            </w:pPr>
          </w:p>
        </w:tc>
        <w:tc>
          <w:tcPr>
            <w:tcW w:w="982" w:type="dxa"/>
            <w:vMerge w:val="continue"/>
            <w:shd w:val="clear" w:color="auto" w:fill="auto"/>
            <w:noWrap/>
            <w:vAlign w:val="center"/>
          </w:tcPr>
          <w:p w14:paraId="1F83B9F3">
            <w:pPr>
              <w:jc w:val="center"/>
              <w:rPr>
                <w:rFonts w:hint="eastAsia"/>
                <w:sz w:val="21"/>
                <w:szCs w:val="21"/>
                <w:highlight w:val="none"/>
                <w:lang w:val="en-US" w:eastAsia="zh-CN"/>
              </w:rPr>
            </w:pPr>
          </w:p>
        </w:tc>
      </w:tr>
      <w:tr w14:paraId="73EE8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1613" w:type="dxa"/>
            <w:vMerge w:val="continue"/>
            <w:shd w:val="clear" w:color="auto" w:fill="auto"/>
            <w:noWrap/>
            <w:vAlign w:val="center"/>
          </w:tcPr>
          <w:p w14:paraId="0E1336B9">
            <w:pPr>
              <w:jc w:val="center"/>
              <w:rPr>
                <w:rFonts w:hint="eastAsia" w:ascii="宋体" w:hAnsi="宋体" w:eastAsia="宋体" w:cs="宋体"/>
                <w:i w:val="0"/>
                <w:iCs w:val="0"/>
                <w:color w:val="000000"/>
                <w:sz w:val="21"/>
                <w:szCs w:val="21"/>
                <w:highlight w:val="none"/>
                <w:u w:val="none"/>
              </w:rPr>
            </w:pPr>
          </w:p>
        </w:tc>
        <w:tc>
          <w:tcPr>
            <w:tcW w:w="1613" w:type="dxa"/>
            <w:vMerge w:val="continue"/>
            <w:shd w:val="clear" w:color="auto" w:fill="auto"/>
            <w:noWrap/>
            <w:vAlign w:val="center"/>
          </w:tcPr>
          <w:p w14:paraId="306CCD3F">
            <w:pPr>
              <w:jc w:val="center"/>
              <w:rPr>
                <w:rFonts w:hint="eastAsia" w:ascii="宋体" w:hAnsi="宋体" w:eastAsia="宋体" w:cs="宋体"/>
                <w:i w:val="0"/>
                <w:iCs w:val="0"/>
                <w:color w:val="000000"/>
                <w:sz w:val="21"/>
                <w:szCs w:val="21"/>
                <w:highlight w:val="none"/>
                <w:u w:val="none"/>
              </w:rPr>
            </w:pPr>
          </w:p>
        </w:tc>
        <w:tc>
          <w:tcPr>
            <w:tcW w:w="809" w:type="dxa"/>
            <w:shd w:val="clear" w:color="auto" w:fill="auto"/>
            <w:noWrap/>
            <w:vAlign w:val="center"/>
          </w:tcPr>
          <w:p w14:paraId="6939F379">
            <w:pPr>
              <w:keepNext w:val="0"/>
              <w:keepLines w:val="0"/>
              <w:widowControl/>
              <w:suppressLineNumbers w:val="0"/>
              <w:jc w:val="center"/>
              <w:textAlignment w:val="bottom"/>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CH</w:t>
            </w:r>
            <w:r>
              <w:rPr>
                <w:rFonts w:hint="default" w:ascii="Times New Roman" w:hAnsi="Times New Roman" w:eastAsia="宋体" w:cs="Times New Roman"/>
                <w:i w:val="0"/>
                <w:iCs w:val="0"/>
                <w:color w:val="000000"/>
                <w:kern w:val="0"/>
                <w:sz w:val="21"/>
                <w:szCs w:val="21"/>
                <w:highlight w:val="none"/>
                <w:u w:val="none"/>
                <w:vertAlign w:val="subscript"/>
                <w:lang w:val="en-US" w:eastAsia="zh-CN" w:bidi="ar"/>
              </w:rPr>
              <w:t>4</w:t>
            </w:r>
          </w:p>
        </w:tc>
        <w:tc>
          <w:tcPr>
            <w:tcW w:w="982" w:type="dxa"/>
            <w:vMerge w:val="continue"/>
            <w:shd w:val="clear" w:color="auto" w:fill="auto"/>
            <w:noWrap/>
            <w:vAlign w:val="center"/>
          </w:tcPr>
          <w:p w14:paraId="46C8F4B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18A2ABD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37B327C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436D7B4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r>
      <w:tr w14:paraId="40209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1613" w:type="dxa"/>
            <w:vMerge w:val="continue"/>
            <w:shd w:val="clear" w:color="auto" w:fill="auto"/>
            <w:noWrap/>
            <w:vAlign w:val="center"/>
          </w:tcPr>
          <w:p w14:paraId="03451A8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1613" w:type="dxa"/>
            <w:vMerge w:val="restart"/>
            <w:shd w:val="clear" w:color="auto" w:fill="auto"/>
            <w:noWrap/>
            <w:vAlign w:val="center"/>
          </w:tcPr>
          <w:p w14:paraId="50924CB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WRT</w:t>
            </w:r>
            <w:r>
              <w:rPr>
                <w:rStyle w:val="54"/>
                <w:sz w:val="21"/>
                <w:szCs w:val="21"/>
                <w:highlight w:val="none"/>
                <w:lang w:val="en-US" w:eastAsia="zh-CN" w:bidi="ar"/>
              </w:rPr>
              <w:t>甲烷气</w:t>
            </w:r>
          </w:p>
        </w:tc>
        <w:tc>
          <w:tcPr>
            <w:tcW w:w="809" w:type="dxa"/>
            <w:shd w:val="clear" w:color="auto" w:fill="auto"/>
            <w:noWrap/>
            <w:vAlign w:val="center"/>
          </w:tcPr>
          <w:p w14:paraId="56D605B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甲烷</w:t>
            </w:r>
          </w:p>
        </w:tc>
        <w:tc>
          <w:tcPr>
            <w:tcW w:w="982" w:type="dxa"/>
            <w:vMerge w:val="restart"/>
            <w:shd w:val="clear" w:color="auto" w:fill="auto"/>
            <w:noWrap/>
            <w:vAlign w:val="center"/>
          </w:tcPr>
          <w:p w14:paraId="663EFF3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eastAsia"/>
                <w:sz w:val="21"/>
                <w:szCs w:val="21"/>
                <w:highlight w:val="none"/>
                <w:lang w:val="en-US" w:eastAsia="zh-CN"/>
              </w:rPr>
              <w:t>AMB/0.4</w:t>
            </w:r>
          </w:p>
        </w:tc>
        <w:tc>
          <w:tcPr>
            <w:tcW w:w="982" w:type="dxa"/>
            <w:vMerge w:val="restart"/>
            <w:shd w:val="clear" w:color="auto" w:fill="auto"/>
            <w:noWrap/>
            <w:vAlign w:val="center"/>
          </w:tcPr>
          <w:p w14:paraId="107804EF">
            <w:pPr>
              <w:snapToGrid w:val="0"/>
              <w:jc w:val="center"/>
              <w:rPr>
                <w:rFonts w:hint="default" w:eastAsia="宋体"/>
                <w:sz w:val="21"/>
                <w:szCs w:val="21"/>
                <w:highlight w:val="none"/>
                <w:lang w:val="en-US" w:eastAsia="zh-CN"/>
              </w:rPr>
            </w:pPr>
            <w:r>
              <w:rPr>
                <w:rFonts w:hint="eastAsia"/>
                <w:sz w:val="21"/>
                <w:szCs w:val="21"/>
                <w:highlight w:val="none"/>
                <w:lang w:val="en-US" w:eastAsia="zh-CN"/>
              </w:rPr>
              <w:t>961</w:t>
            </w:r>
          </w:p>
        </w:tc>
        <w:tc>
          <w:tcPr>
            <w:tcW w:w="982" w:type="dxa"/>
            <w:vMerge w:val="continue"/>
            <w:shd w:val="clear" w:color="auto" w:fill="auto"/>
            <w:noWrap/>
            <w:vAlign w:val="center"/>
          </w:tcPr>
          <w:p w14:paraId="1DB33A12">
            <w:pPr>
              <w:keepNext w:val="0"/>
              <w:keepLines w:val="0"/>
              <w:widowControl/>
              <w:suppressLineNumbers w:val="0"/>
              <w:jc w:val="center"/>
              <w:textAlignment w:val="center"/>
              <w:rPr>
                <w:rFonts w:hint="eastAsia"/>
                <w:sz w:val="21"/>
                <w:szCs w:val="21"/>
                <w:highlight w:val="none"/>
                <w:lang w:val="en-US" w:eastAsia="zh-CN"/>
              </w:rPr>
            </w:pPr>
          </w:p>
        </w:tc>
        <w:tc>
          <w:tcPr>
            <w:tcW w:w="982" w:type="dxa"/>
            <w:vMerge w:val="continue"/>
            <w:shd w:val="clear" w:color="auto" w:fill="auto"/>
            <w:noWrap/>
            <w:vAlign w:val="center"/>
          </w:tcPr>
          <w:p w14:paraId="5D7DDDD2">
            <w:pPr>
              <w:keepNext w:val="0"/>
              <w:keepLines w:val="0"/>
              <w:widowControl/>
              <w:suppressLineNumbers w:val="0"/>
              <w:jc w:val="center"/>
              <w:textAlignment w:val="center"/>
              <w:rPr>
                <w:rFonts w:hint="eastAsia"/>
                <w:sz w:val="21"/>
                <w:szCs w:val="21"/>
                <w:highlight w:val="none"/>
                <w:lang w:val="en-US" w:eastAsia="zh-CN"/>
              </w:rPr>
            </w:pPr>
          </w:p>
        </w:tc>
      </w:tr>
      <w:tr w14:paraId="5341F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 w:hRule="atLeast"/>
          <w:jc w:val="center"/>
        </w:trPr>
        <w:tc>
          <w:tcPr>
            <w:tcW w:w="1613" w:type="dxa"/>
            <w:vMerge w:val="continue"/>
            <w:shd w:val="clear" w:color="auto" w:fill="auto"/>
            <w:noWrap/>
            <w:vAlign w:val="center"/>
          </w:tcPr>
          <w:p w14:paraId="71CC69E0">
            <w:pPr>
              <w:jc w:val="center"/>
              <w:rPr>
                <w:rFonts w:hint="default" w:ascii="Times New Roman" w:hAnsi="Times New Roman" w:eastAsia="宋体" w:cs="Times New Roman"/>
                <w:i w:val="0"/>
                <w:iCs w:val="0"/>
                <w:color w:val="000000"/>
                <w:sz w:val="21"/>
                <w:szCs w:val="21"/>
                <w:highlight w:val="none"/>
                <w:u w:val="none"/>
              </w:rPr>
            </w:pPr>
          </w:p>
        </w:tc>
        <w:tc>
          <w:tcPr>
            <w:tcW w:w="1613" w:type="dxa"/>
            <w:vMerge w:val="continue"/>
            <w:shd w:val="clear" w:color="auto" w:fill="auto"/>
            <w:noWrap/>
            <w:vAlign w:val="center"/>
          </w:tcPr>
          <w:p w14:paraId="3F76A110">
            <w:pPr>
              <w:jc w:val="center"/>
              <w:rPr>
                <w:rFonts w:hint="default" w:ascii="Times New Roman" w:hAnsi="Times New Roman" w:eastAsia="宋体" w:cs="Times New Roman"/>
                <w:i w:val="0"/>
                <w:iCs w:val="0"/>
                <w:color w:val="000000"/>
                <w:sz w:val="21"/>
                <w:szCs w:val="21"/>
                <w:highlight w:val="none"/>
                <w:u w:val="none"/>
              </w:rPr>
            </w:pPr>
          </w:p>
        </w:tc>
        <w:tc>
          <w:tcPr>
            <w:tcW w:w="809" w:type="dxa"/>
            <w:shd w:val="clear" w:color="auto" w:fill="auto"/>
            <w:noWrap/>
            <w:vAlign w:val="center"/>
          </w:tcPr>
          <w:p w14:paraId="7C80712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硫化氢</w:t>
            </w:r>
          </w:p>
        </w:tc>
        <w:tc>
          <w:tcPr>
            <w:tcW w:w="982" w:type="dxa"/>
            <w:vMerge w:val="continue"/>
            <w:shd w:val="clear" w:color="auto" w:fill="auto"/>
            <w:noWrap/>
            <w:vAlign w:val="center"/>
          </w:tcPr>
          <w:p w14:paraId="2D0884A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348BDC2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169E2C3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6325E70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r>
      <w:tr w14:paraId="70B85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1613" w:type="dxa"/>
            <w:vMerge w:val="continue"/>
            <w:shd w:val="clear" w:color="auto" w:fill="auto"/>
            <w:noWrap/>
            <w:vAlign w:val="center"/>
          </w:tcPr>
          <w:p w14:paraId="2CFC1DBC">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613" w:type="dxa"/>
            <w:vMerge w:val="restart"/>
            <w:shd w:val="clear" w:color="auto" w:fill="auto"/>
            <w:noWrap/>
            <w:vAlign w:val="center"/>
          </w:tcPr>
          <w:p w14:paraId="6A33E29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甲烷</w:t>
            </w:r>
          </w:p>
        </w:tc>
        <w:tc>
          <w:tcPr>
            <w:tcW w:w="809" w:type="dxa"/>
            <w:shd w:val="clear" w:color="auto" w:fill="auto"/>
            <w:noWrap/>
            <w:vAlign w:val="center"/>
          </w:tcPr>
          <w:p w14:paraId="50233BDA">
            <w:pPr>
              <w:keepNext w:val="0"/>
              <w:keepLines w:val="0"/>
              <w:widowControl/>
              <w:suppressLineNumbers w:val="0"/>
              <w:jc w:val="center"/>
              <w:textAlignment w:val="bottom"/>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CH</w:t>
            </w:r>
            <w:r>
              <w:rPr>
                <w:rFonts w:hint="default" w:ascii="Times New Roman" w:hAnsi="Times New Roman" w:eastAsia="宋体" w:cs="Times New Roman"/>
                <w:i w:val="0"/>
                <w:iCs w:val="0"/>
                <w:color w:val="000000"/>
                <w:kern w:val="0"/>
                <w:sz w:val="21"/>
                <w:szCs w:val="21"/>
                <w:highlight w:val="none"/>
                <w:u w:val="none"/>
                <w:vertAlign w:val="subscript"/>
                <w:lang w:val="en-US" w:eastAsia="zh-CN" w:bidi="ar"/>
              </w:rPr>
              <w:t>4</w:t>
            </w:r>
            <w:r>
              <w:rPr>
                <w:rFonts w:hint="eastAsia" w:cs="Times New Roman"/>
                <w:i w:val="0"/>
                <w:iCs w:val="0"/>
                <w:color w:val="000000"/>
                <w:kern w:val="0"/>
                <w:sz w:val="21"/>
                <w:szCs w:val="21"/>
                <w:highlight w:val="none"/>
                <w:u w:val="none"/>
                <w:lang w:val="en-US" w:eastAsia="zh-CN" w:bidi="ar"/>
              </w:rPr>
              <w:t>（</w:t>
            </w:r>
            <w:r>
              <w:rPr>
                <w:rFonts w:hint="default" w:ascii="Times New Roman" w:hAnsi="Times New Roman" w:eastAsia="宋体" w:cs="Times New Roman"/>
                <w:i w:val="0"/>
                <w:iCs w:val="0"/>
                <w:color w:val="000000"/>
                <w:kern w:val="0"/>
                <w:sz w:val="21"/>
                <w:szCs w:val="21"/>
                <w:highlight w:val="none"/>
                <w:u w:val="none"/>
                <w:lang w:val="en-US" w:eastAsia="zh-CN" w:bidi="ar"/>
              </w:rPr>
              <w:t>%</w:t>
            </w:r>
            <w:r>
              <w:rPr>
                <w:rFonts w:hint="eastAsia" w:cs="Times New Roman"/>
                <w:i w:val="0"/>
                <w:iCs w:val="0"/>
                <w:color w:val="000000"/>
                <w:kern w:val="0"/>
                <w:sz w:val="21"/>
                <w:szCs w:val="21"/>
                <w:highlight w:val="none"/>
                <w:u w:val="none"/>
                <w:lang w:val="en-US" w:eastAsia="zh-CN" w:bidi="ar"/>
              </w:rPr>
              <w:t>）</w:t>
            </w:r>
          </w:p>
        </w:tc>
        <w:tc>
          <w:tcPr>
            <w:tcW w:w="982" w:type="dxa"/>
            <w:vMerge w:val="restart"/>
            <w:shd w:val="clear" w:color="auto" w:fill="auto"/>
            <w:noWrap/>
            <w:vAlign w:val="center"/>
          </w:tcPr>
          <w:p w14:paraId="1EE98B9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eastAsia"/>
                <w:sz w:val="21"/>
                <w:szCs w:val="21"/>
                <w:highlight w:val="none"/>
                <w:lang w:val="en-US" w:eastAsia="zh-CN"/>
              </w:rPr>
              <w:t>AMB/0.8</w:t>
            </w:r>
          </w:p>
        </w:tc>
        <w:tc>
          <w:tcPr>
            <w:tcW w:w="982" w:type="dxa"/>
            <w:vMerge w:val="restart"/>
            <w:shd w:val="clear" w:color="auto" w:fill="auto"/>
            <w:noWrap/>
            <w:vAlign w:val="center"/>
          </w:tcPr>
          <w:p w14:paraId="3DCD862A">
            <w:pPr>
              <w:keepNext w:val="0"/>
              <w:keepLines w:val="0"/>
              <w:widowControl/>
              <w:suppressLineNumbers w:val="0"/>
              <w:jc w:val="center"/>
              <w:textAlignment w:val="center"/>
              <w:rPr>
                <w:rFonts w:hint="eastAsia"/>
                <w:sz w:val="21"/>
                <w:szCs w:val="21"/>
                <w:highlight w:val="none"/>
                <w:lang w:val="en-US" w:eastAsia="zh-CN"/>
              </w:rPr>
            </w:pPr>
            <w:r>
              <w:rPr>
                <w:rFonts w:hint="eastAsia"/>
                <w:sz w:val="21"/>
                <w:szCs w:val="21"/>
                <w:highlight w:val="none"/>
              </w:rPr>
              <w:t>904</w:t>
            </w:r>
          </w:p>
        </w:tc>
        <w:tc>
          <w:tcPr>
            <w:tcW w:w="982" w:type="dxa"/>
            <w:vMerge w:val="continue"/>
            <w:shd w:val="clear" w:color="auto" w:fill="auto"/>
            <w:noWrap/>
            <w:vAlign w:val="center"/>
          </w:tcPr>
          <w:p w14:paraId="1E779D15">
            <w:pPr>
              <w:keepNext w:val="0"/>
              <w:keepLines w:val="0"/>
              <w:widowControl/>
              <w:suppressLineNumbers w:val="0"/>
              <w:jc w:val="center"/>
              <w:textAlignment w:val="center"/>
              <w:rPr>
                <w:rFonts w:hint="eastAsia"/>
                <w:sz w:val="21"/>
                <w:szCs w:val="21"/>
                <w:highlight w:val="none"/>
                <w:lang w:val="en-US" w:eastAsia="zh-CN"/>
              </w:rPr>
            </w:pPr>
          </w:p>
        </w:tc>
        <w:tc>
          <w:tcPr>
            <w:tcW w:w="982" w:type="dxa"/>
            <w:vMerge w:val="continue"/>
            <w:shd w:val="clear" w:color="auto" w:fill="auto"/>
            <w:noWrap/>
            <w:vAlign w:val="center"/>
          </w:tcPr>
          <w:p w14:paraId="11824DFE">
            <w:pPr>
              <w:keepNext w:val="0"/>
              <w:keepLines w:val="0"/>
              <w:widowControl/>
              <w:suppressLineNumbers w:val="0"/>
              <w:jc w:val="center"/>
              <w:textAlignment w:val="center"/>
              <w:rPr>
                <w:rFonts w:hint="eastAsia"/>
                <w:sz w:val="21"/>
                <w:szCs w:val="21"/>
                <w:highlight w:val="none"/>
                <w:lang w:val="en-US" w:eastAsia="zh-CN"/>
              </w:rPr>
            </w:pPr>
          </w:p>
        </w:tc>
      </w:tr>
      <w:tr w14:paraId="3D353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1613" w:type="dxa"/>
            <w:vMerge w:val="continue"/>
            <w:shd w:val="clear" w:color="auto" w:fill="auto"/>
            <w:noWrap/>
            <w:vAlign w:val="center"/>
          </w:tcPr>
          <w:p w14:paraId="0AA2A9DC">
            <w:pPr>
              <w:jc w:val="center"/>
              <w:rPr>
                <w:rFonts w:hint="eastAsia" w:ascii="宋体" w:hAnsi="宋体" w:eastAsia="宋体" w:cs="宋体"/>
                <w:i w:val="0"/>
                <w:iCs w:val="0"/>
                <w:color w:val="000000"/>
                <w:sz w:val="21"/>
                <w:szCs w:val="21"/>
                <w:highlight w:val="none"/>
                <w:u w:val="none"/>
              </w:rPr>
            </w:pPr>
          </w:p>
        </w:tc>
        <w:tc>
          <w:tcPr>
            <w:tcW w:w="1613" w:type="dxa"/>
            <w:vMerge w:val="continue"/>
            <w:shd w:val="clear" w:color="auto" w:fill="auto"/>
            <w:noWrap/>
            <w:vAlign w:val="center"/>
          </w:tcPr>
          <w:p w14:paraId="6B73247F">
            <w:pPr>
              <w:jc w:val="center"/>
              <w:rPr>
                <w:rFonts w:hint="eastAsia" w:ascii="宋体" w:hAnsi="宋体" w:eastAsia="宋体" w:cs="宋体"/>
                <w:i w:val="0"/>
                <w:iCs w:val="0"/>
                <w:color w:val="000000"/>
                <w:sz w:val="21"/>
                <w:szCs w:val="21"/>
                <w:highlight w:val="none"/>
                <w:u w:val="none"/>
              </w:rPr>
            </w:pPr>
          </w:p>
        </w:tc>
        <w:tc>
          <w:tcPr>
            <w:tcW w:w="809" w:type="dxa"/>
            <w:shd w:val="clear" w:color="auto" w:fill="auto"/>
            <w:noWrap/>
            <w:vAlign w:val="center"/>
          </w:tcPr>
          <w:p w14:paraId="1622F213">
            <w:pPr>
              <w:keepNext w:val="0"/>
              <w:keepLines w:val="0"/>
              <w:widowControl/>
              <w:suppressLineNumbers w:val="0"/>
              <w:jc w:val="center"/>
              <w:textAlignment w:val="bottom"/>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H</w:t>
            </w:r>
            <w:r>
              <w:rPr>
                <w:rFonts w:hint="default" w:ascii="Times New Roman" w:hAnsi="Times New Roman" w:eastAsia="宋体" w:cs="Times New Roman"/>
                <w:i w:val="0"/>
                <w:iCs w:val="0"/>
                <w:color w:val="000000"/>
                <w:kern w:val="0"/>
                <w:sz w:val="21"/>
                <w:szCs w:val="21"/>
                <w:highlight w:val="none"/>
                <w:u w:val="none"/>
                <w:vertAlign w:val="subscript"/>
                <w:lang w:val="en-US" w:eastAsia="zh-CN" w:bidi="ar"/>
              </w:rPr>
              <w:t>2</w:t>
            </w:r>
            <w:r>
              <w:rPr>
                <w:rFonts w:hint="default" w:ascii="Times New Roman" w:hAnsi="Times New Roman" w:eastAsia="宋体" w:cs="Times New Roman"/>
                <w:i w:val="0"/>
                <w:iCs w:val="0"/>
                <w:color w:val="000000"/>
                <w:kern w:val="0"/>
                <w:sz w:val="21"/>
                <w:szCs w:val="21"/>
                <w:highlight w:val="none"/>
                <w:u w:val="none"/>
                <w:lang w:val="en-US" w:eastAsia="zh-CN" w:bidi="ar"/>
              </w:rPr>
              <w:t>S</w:t>
            </w:r>
            <w:r>
              <w:rPr>
                <w:rFonts w:hint="eastAsia" w:cs="Times New Roman"/>
                <w:i w:val="0"/>
                <w:iCs w:val="0"/>
                <w:color w:val="000000"/>
                <w:kern w:val="0"/>
                <w:sz w:val="21"/>
                <w:szCs w:val="21"/>
                <w:highlight w:val="none"/>
                <w:u w:val="none"/>
                <w:lang w:val="en-US" w:eastAsia="zh-CN" w:bidi="ar"/>
              </w:rPr>
              <w:t>（</w:t>
            </w:r>
            <w:r>
              <w:rPr>
                <w:rFonts w:hint="default" w:ascii="Times New Roman" w:hAnsi="Times New Roman" w:eastAsia="宋体" w:cs="Times New Roman"/>
                <w:i w:val="0"/>
                <w:iCs w:val="0"/>
                <w:color w:val="000000"/>
                <w:kern w:val="0"/>
                <w:sz w:val="21"/>
                <w:szCs w:val="21"/>
                <w:highlight w:val="none"/>
                <w:u w:val="none"/>
                <w:lang w:val="en-US" w:eastAsia="zh-CN" w:bidi="ar"/>
              </w:rPr>
              <w:t>%</w:t>
            </w:r>
            <w:r>
              <w:rPr>
                <w:rFonts w:hint="eastAsia" w:cs="Times New Roman"/>
                <w:i w:val="0"/>
                <w:iCs w:val="0"/>
                <w:color w:val="000000"/>
                <w:kern w:val="0"/>
                <w:sz w:val="21"/>
                <w:szCs w:val="21"/>
                <w:highlight w:val="none"/>
                <w:u w:val="none"/>
                <w:lang w:val="en-US" w:eastAsia="zh-CN" w:bidi="ar"/>
              </w:rPr>
              <w:t>）</w:t>
            </w:r>
          </w:p>
        </w:tc>
        <w:tc>
          <w:tcPr>
            <w:tcW w:w="982" w:type="dxa"/>
            <w:vMerge w:val="continue"/>
            <w:shd w:val="clear" w:color="auto" w:fill="auto"/>
            <w:noWrap/>
            <w:vAlign w:val="center"/>
          </w:tcPr>
          <w:p w14:paraId="76831A8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116C2DA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1271574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1661670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r>
      <w:tr w14:paraId="53747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1613" w:type="dxa"/>
            <w:vMerge w:val="continue"/>
            <w:shd w:val="clear" w:color="auto" w:fill="auto"/>
            <w:noWrap/>
            <w:vAlign w:val="center"/>
          </w:tcPr>
          <w:p w14:paraId="208F4A00">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613" w:type="dxa"/>
            <w:vMerge w:val="restart"/>
            <w:shd w:val="clear" w:color="auto" w:fill="auto"/>
            <w:noWrap/>
            <w:vAlign w:val="center"/>
          </w:tcPr>
          <w:p w14:paraId="50F8107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低压含烃火炬气工况1</w:t>
            </w:r>
          </w:p>
        </w:tc>
        <w:tc>
          <w:tcPr>
            <w:tcW w:w="809" w:type="dxa"/>
            <w:shd w:val="clear" w:color="auto" w:fill="auto"/>
            <w:noWrap/>
            <w:vAlign w:val="center"/>
          </w:tcPr>
          <w:p w14:paraId="414C65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丁醇</w:t>
            </w:r>
          </w:p>
        </w:tc>
        <w:tc>
          <w:tcPr>
            <w:tcW w:w="982" w:type="dxa"/>
            <w:vMerge w:val="restart"/>
            <w:shd w:val="clear" w:color="auto" w:fill="auto"/>
            <w:noWrap/>
            <w:vAlign w:val="center"/>
          </w:tcPr>
          <w:p w14:paraId="4825E12C">
            <w:pPr>
              <w:jc w:val="center"/>
              <w:rPr>
                <w:rFonts w:hint="default" w:ascii="Times New Roman" w:hAnsi="Times New Roman" w:eastAsia="宋体" w:cs="Times New Roman"/>
                <w:i w:val="0"/>
                <w:iCs w:val="0"/>
                <w:color w:val="000000"/>
                <w:sz w:val="21"/>
                <w:szCs w:val="21"/>
                <w:highlight w:val="none"/>
                <w:u w:val="none"/>
              </w:rPr>
            </w:pPr>
            <w:r>
              <w:rPr>
                <w:rFonts w:hint="eastAsia"/>
                <w:sz w:val="21"/>
                <w:szCs w:val="21"/>
                <w:highlight w:val="none"/>
                <w:lang w:val="en-US" w:eastAsia="zh-CN"/>
              </w:rPr>
              <w:t>40/0.15</w:t>
            </w:r>
          </w:p>
        </w:tc>
        <w:tc>
          <w:tcPr>
            <w:tcW w:w="982" w:type="dxa"/>
            <w:vMerge w:val="restart"/>
            <w:shd w:val="clear" w:color="auto" w:fill="auto"/>
            <w:noWrap/>
            <w:vAlign w:val="center"/>
          </w:tcPr>
          <w:p w14:paraId="7E3AF760">
            <w:pPr>
              <w:snapToGrid w:val="0"/>
              <w:jc w:val="center"/>
              <w:rPr>
                <w:rFonts w:hint="eastAsia"/>
                <w:sz w:val="21"/>
                <w:szCs w:val="21"/>
                <w:highlight w:val="none"/>
                <w:lang w:val="en-US" w:eastAsia="zh-CN"/>
              </w:rPr>
            </w:pPr>
            <w:r>
              <w:rPr>
                <w:rFonts w:hint="eastAsia"/>
                <w:sz w:val="21"/>
                <w:szCs w:val="21"/>
                <w:highlight w:val="none"/>
              </w:rPr>
              <w:t>1229</w:t>
            </w:r>
          </w:p>
        </w:tc>
        <w:tc>
          <w:tcPr>
            <w:tcW w:w="982" w:type="dxa"/>
            <w:vMerge w:val="continue"/>
            <w:shd w:val="clear" w:color="auto" w:fill="auto"/>
            <w:noWrap/>
            <w:vAlign w:val="center"/>
          </w:tcPr>
          <w:p w14:paraId="3BAE580F">
            <w:pPr>
              <w:jc w:val="center"/>
              <w:rPr>
                <w:rFonts w:hint="eastAsia"/>
                <w:sz w:val="21"/>
                <w:szCs w:val="21"/>
                <w:highlight w:val="none"/>
                <w:lang w:val="en-US" w:eastAsia="zh-CN"/>
              </w:rPr>
            </w:pPr>
          </w:p>
        </w:tc>
        <w:tc>
          <w:tcPr>
            <w:tcW w:w="982" w:type="dxa"/>
            <w:vMerge w:val="continue"/>
            <w:shd w:val="clear" w:color="auto" w:fill="auto"/>
            <w:noWrap/>
            <w:vAlign w:val="center"/>
          </w:tcPr>
          <w:p w14:paraId="622ED3C4">
            <w:pPr>
              <w:jc w:val="center"/>
              <w:rPr>
                <w:rFonts w:hint="eastAsia"/>
                <w:sz w:val="21"/>
                <w:szCs w:val="21"/>
                <w:highlight w:val="none"/>
                <w:lang w:val="en-US" w:eastAsia="zh-CN"/>
              </w:rPr>
            </w:pPr>
          </w:p>
        </w:tc>
      </w:tr>
      <w:tr w14:paraId="4D2E7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1613" w:type="dxa"/>
            <w:vMerge w:val="continue"/>
            <w:shd w:val="clear" w:color="auto" w:fill="auto"/>
            <w:noWrap/>
            <w:vAlign w:val="center"/>
          </w:tcPr>
          <w:p w14:paraId="63FDE475">
            <w:pPr>
              <w:jc w:val="center"/>
              <w:rPr>
                <w:rFonts w:hint="eastAsia" w:ascii="宋体" w:hAnsi="宋体" w:eastAsia="宋体" w:cs="宋体"/>
                <w:i w:val="0"/>
                <w:iCs w:val="0"/>
                <w:color w:val="000000"/>
                <w:sz w:val="21"/>
                <w:szCs w:val="21"/>
                <w:highlight w:val="none"/>
                <w:u w:val="none"/>
              </w:rPr>
            </w:pPr>
          </w:p>
        </w:tc>
        <w:tc>
          <w:tcPr>
            <w:tcW w:w="1613" w:type="dxa"/>
            <w:vMerge w:val="continue"/>
            <w:shd w:val="clear" w:color="auto" w:fill="auto"/>
            <w:noWrap/>
            <w:vAlign w:val="center"/>
          </w:tcPr>
          <w:p w14:paraId="068E3C7C">
            <w:pPr>
              <w:jc w:val="center"/>
              <w:rPr>
                <w:rFonts w:hint="eastAsia" w:ascii="宋体" w:hAnsi="宋体" w:eastAsia="宋体" w:cs="宋体"/>
                <w:i w:val="0"/>
                <w:iCs w:val="0"/>
                <w:color w:val="000000"/>
                <w:sz w:val="21"/>
                <w:szCs w:val="21"/>
                <w:highlight w:val="none"/>
                <w:u w:val="none"/>
              </w:rPr>
            </w:pPr>
          </w:p>
        </w:tc>
        <w:tc>
          <w:tcPr>
            <w:tcW w:w="809" w:type="dxa"/>
            <w:shd w:val="clear" w:color="auto" w:fill="auto"/>
            <w:noWrap/>
            <w:vAlign w:val="center"/>
          </w:tcPr>
          <w:p w14:paraId="57F177D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乙酸乙酯</w:t>
            </w:r>
          </w:p>
        </w:tc>
        <w:tc>
          <w:tcPr>
            <w:tcW w:w="982" w:type="dxa"/>
            <w:vMerge w:val="continue"/>
            <w:shd w:val="clear" w:color="auto" w:fill="auto"/>
            <w:noWrap/>
            <w:vAlign w:val="center"/>
          </w:tcPr>
          <w:p w14:paraId="19FCFAA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45B561F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0E0570C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57A993C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r>
      <w:tr w14:paraId="4BB98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1613" w:type="dxa"/>
            <w:vMerge w:val="continue"/>
            <w:shd w:val="clear" w:color="auto" w:fill="auto"/>
            <w:noWrap/>
            <w:vAlign w:val="center"/>
          </w:tcPr>
          <w:p w14:paraId="6CC4C41E">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613" w:type="dxa"/>
            <w:shd w:val="clear" w:color="auto" w:fill="auto"/>
            <w:noWrap/>
            <w:vAlign w:val="center"/>
          </w:tcPr>
          <w:p w14:paraId="6BC764F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低压含烃火炬气工况</w:t>
            </w:r>
            <w:r>
              <w:rPr>
                <w:rStyle w:val="52"/>
                <w:rFonts w:eastAsia="宋体"/>
                <w:sz w:val="21"/>
                <w:szCs w:val="21"/>
                <w:highlight w:val="none"/>
                <w:lang w:val="en-US" w:eastAsia="zh-CN" w:bidi="ar"/>
              </w:rPr>
              <w:t>4</w:t>
            </w:r>
          </w:p>
        </w:tc>
        <w:tc>
          <w:tcPr>
            <w:tcW w:w="809" w:type="dxa"/>
            <w:shd w:val="clear" w:color="auto" w:fill="auto"/>
            <w:noWrap/>
            <w:vAlign w:val="center"/>
          </w:tcPr>
          <w:p w14:paraId="4A4C341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甲醇</w:t>
            </w:r>
          </w:p>
        </w:tc>
        <w:tc>
          <w:tcPr>
            <w:tcW w:w="982" w:type="dxa"/>
            <w:shd w:val="clear" w:color="auto" w:fill="auto"/>
            <w:noWrap/>
            <w:vAlign w:val="center"/>
          </w:tcPr>
          <w:p w14:paraId="2BDD2FC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lang w:val="en-US"/>
              </w:rPr>
            </w:pPr>
            <w:r>
              <w:rPr>
                <w:rFonts w:hint="eastAsia"/>
                <w:sz w:val="21"/>
                <w:szCs w:val="21"/>
                <w:highlight w:val="none"/>
                <w:lang w:val="en-US" w:eastAsia="zh-CN"/>
              </w:rPr>
              <w:t>40/0.15</w:t>
            </w:r>
          </w:p>
        </w:tc>
        <w:tc>
          <w:tcPr>
            <w:tcW w:w="982" w:type="dxa"/>
            <w:vMerge w:val="continue"/>
            <w:shd w:val="clear" w:color="auto" w:fill="auto"/>
            <w:noWrap/>
            <w:vAlign w:val="center"/>
          </w:tcPr>
          <w:p w14:paraId="1A89146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09D0B41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7885C6A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r>
      <w:tr w14:paraId="2F79B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1613" w:type="dxa"/>
            <w:vMerge w:val="continue"/>
            <w:shd w:val="clear" w:color="auto" w:fill="auto"/>
            <w:noWrap/>
            <w:vAlign w:val="center"/>
          </w:tcPr>
          <w:p w14:paraId="6BC38613">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613" w:type="dxa"/>
            <w:vMerge w:val="restart"/>
            <w:shd w:val="clear" w:color="auto" w:fill="auto"/>
            <w:noWrap/>
            <w:vAlign w:val="center"/>
          </w:tcPr>
          <w:p w14:paraId="5557AA0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湿酸火炬气</w:t>
            </w:r>
            <w:r>
              <w:rPr>
                <w:rStyle w:val="52"/>
                <w:rFonts w:eastAsia="宋体"/>
                <w:sz w:val="21"/>
                <w:szCs w:val="21"/>
                <w:highlight w:val="none"/>
                <w:lang w:val="en-US" w:eastAsia="zh-CN" w:bidi="ar"/>
              </w:rPr>
              <w:t>1</w:t>
            </w:r>
          </w:p>
        </w:tc>
        <w:tc>
          <w:tcPr>
            <w:tcW w:w="809" w:type="dxa"/>
            <w:shd w:val="clear" w:color="auto" w:fill="auto"/>
            <w:noWrap/>
            <w:vAlign w:val="center"/>
          </w:tcPr>
          <w:p w14:paraId="7DE12B88">
            <w:pPr>
              <w:keepNext w:val="0"/>
              <w:keepLines w:val="0"/>
              <w:widowControl/>
              <w:suppressLineNumbers w:val="0"/>
              <w:jc w:val="center"/>
              <w:textAlignment w:val="bottom"/>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CO</w:t>
            </w:r>
          </w:p>
        </w:tc>
        <w:tc>
          <w:tcPr>
            <w:tcW w:w="982" w:type="dxa"/>
            <w:vMerge w:val="restart"/>
            <w:shd w:val="clear" w:color="auto" w:fill="auto"/>
            <w:noWrap/>
            <w:vAlign w:val="center"/>
          </w:tcPr>
          <w:p w14:paraId="1C4B5DC5">
            <w:pPr>
              <w:jc w:val="center"/>
              <w:rPr>
                <w:rFonts w:hint="default" w:ascii="Times New Roman" w:hAnsi="Times New Roman" w:eastAsia="宋体" w:cs="Times New Roman"/>
                <w:i w:val="0"/>
                <w:iCs w:val="0"/>
                <w:color w:val="000000"/>
                <w:sz w:val="21"/>
                <w:szCs w:val="21"/>
                <w:highlight w:val="none"/>
                <w:u w:val="none"/>
              </w:rPr>
            </w:pPr>
            <w:r>
              <w:rPr>
                <w:rFonts w:hint="eastAsia"/>
                <w:sz w:val="21"/>
                <w:szCs w:val="21"/>
                <w:highlight w:val="none"/>
                <w:lang w:val="en-US" w:eastAsia="zh-CN"/>
              </w:rPr>
              <w:t>40/0.4</w:t>
            </w:r>
          </w:p>
        </w:tc>
        <w:tc>
          <w:tcPr>
            <w:tcW w:w="982" w:type="dxa"/>
            <w:vMerge w:val="restart"/>
            <w:shd w:val="clear" w:color="auto" w:fill="auto"/>
            <w:noWrap/>
            <w:vAlign w:val="center"/>
          </w:tcPr>
          <w:p w14:paraId="51544E42">
            <w:pPr>
              <w:snapToGrid w:val="0"/>
              <w:jc w:val="center"/>
              <w:rPr>
                <w:rFonts w:hint="eastAsia"/>
                <w:sz w:val="21"/>
                <w:szCs w:val="21"/>
                <w:highlight w:val="none"/>
                <w:lang w:val="en-US" w:eastAsia="zh-CN"/>
              </w:rPr>
            </w:pPr>
            <w:r>
              <w:rPr>
                <w:rFonts w:hint="eastAsia"/>
                <w:sz w:val="21"/>
                <w:szCs w:val="21"/>
                <w:highlight w:val="none"/>
              </w:rPr>
              <w:t>707</w:t>
            </w:r>
          </w:p>
        </w:tc>
        <w:tc>
          <w:tcPr>
            <w:tcW w:w="982" w:type="dxa"/>
            <w:vMerge w:val="continue"/>
            <w:shd w:val="clear" w:color="auto" w:fill="auto"/>
            <w:noWrap/>
            <w:vAlign w:val="center"/>
          </w:tcPr>
          <w:p w14:paraId="61955087">
            <w:pPr>
              <w:jc w:val="center"/>
              <w:rPr>
                <w:rFonts w:hint="eastAsia"/>
                <w:sz w:val="21"/>
                <w:szCs w:val="21"/>
                <w:highlight w:val="none"/>
                <w:lang w:val="en-US" w:eastAsia="zh-CN"/>
              </w:rPr>
            </w:pPr>
          </w:p>
        </w:tc>
        <w:tc>
          <w:tcPr>
            <w:tcW w:w="982" w:type="dxa"/>
            <w:vMerge w:val="continue"/>
            <w:shd w:val="clear" w:color="auto" w:fill="auto"/>
            <w:noWrap/>
            <w:vAlign w:val="center"/>
          </w:tcPr>
          <w:p w14:paraId="5C22C1B9">
            <w:pPr>
              <w:jc w:val="center"/>
              <w:rPr>
                <w:rFonts w:hint="eastAsia"/>
                <w:sz w:val="21"/>
                <w:szCs w:val="21"/>
                <w:highlight w:val="none"/>
                <w:lang w:val="en-US" w:eastAsia="zh-CN"/>
              </w:rPr>
            </w:pPr>
          </w:p>
        </w:tc>
      </w:tr>
      <w:tr w14:paraId="59880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1613" w:type="dxa"/>
            <w:vMerge w:val="continue"/>
            <w:shd w:val="clear" w:color="auto" w:fill="auto"/>
            <w:noWrap/>
            <w:vAlign w:val="center"/>
          </w:tcPr>
          <w:p w14:paraId="48A9DDBF">
            <w:pPr>
              <w:jc w:val="center"/>
              <w:rPr>
                <w:rFonts w:hint="eastAsia" w:ascii="宋体" w:hAnsi="宋体" w:eastAsia="宋体" w:cs="宋体"/>
                <w:i w:val="0"/>
                <w:iCs w:val="0"/>
                <w:color w:val="000000"/>
                <w:sz w:val="21"/>
                <w:szCs w:val="21"/>
                <w:highlight w:val="none"/>
                <w:u w:val="none"/>
              </w:rPr>
            </w:pPr>
          </w:p>
        </w:tc>
        <w:tc>
          <w:tcPr>
            <w:tcW w:w="1613" w:type="dxa"/>
            <w:vMerge w:val="continue"/>
            <w:shd w:val="clear" w:color="auto" w:fill="auto"/>
            <w:noWrap/>
            <w:vAlign w:val="center"/>
          </w:tcPr>
          <w:p w14:paraId="33AB7B84">
            <w:pPr>
              <w:jc w:val="center"/>
              <w:rPr>
                <w:rFonts w:hint="eastAsia" w:ascii="宋体" w:hAnsi="宋体" w:eastAsia="宋体" w:cs="宋体"/>
                <w:i w:val="0"/>
                <w:iCs w:val="0"/>
                <w:color w:val="000000"/>
                <w:sz w:val="21"/>
                <w:szCs w:val="21"/>
                <w:highlight w:val="none"/>
                <w:u w:val="none"/>
              </w:rPr>
            </w:pPr>
          </w:p>
        </w:tc>
        <w:tc>
          <w:tcPr>
            <w:tcW w:w="809" w:type="dxa"/>
            <w:shd w:val="clear" w:color="auto" w:fill="auto"/>
            <w:noWrap/>
            <w:vAlign w:val="center"/>
          </w:tcPr>
          <w:p w14:paraId="72BC5EFD">
            <w:pPr>
              <w:keepNext w:val="0"/>
              <w:keepLines w:val="0"/>
              <w:widowControl/>
              <w:suppressLineNumbers w:val="0"/>
              <w:jc w:val="center"/>
              <w:textAlignment w:val="bottom"/>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CH</w:t>
            </w:r>
            <w:r>
              <w:rPr>
                <w:rFonts w:hint="default" w:ascii="Times New Roman" w:hAnsi="Times New Roman" w:eastAsia="宋体" w:cs="Times New Roman"/>
                <w:i w:val="0"/>
                <w:iCs w:val="0"/>
                <w:color w:val="000000"/>
                <w:kern w:val="0"/>
                <w:sz w:val="21"/>
                <w:szCs w:val="21"/>
                <w:highlight w:val="none"/>
                <w:u w:val="none"/>
                <w:vertAlign w:val="subscript"/>
                <w:lang w:val="en-US" w:eastAsia="zh-CN" w:bidi="ar"/>
              </w:rPr>
              <w:t>4</w:t>
            </w:r>
          </w:p>
        </w:tc>
        <w:tc>
          <w:tcPr>
            <w:tcW w:w="982" w:type="dxa"/>
            <w:vMerge w:val="continue"/>
            <w:shd w:val="clear" w:color="auto" w:fill="auto"/>
            <w:noWrap/>
            <w:vAlign w:val="center"/>
          </w:tcPr>
          <w:p w14:paraId="201D5C3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0FC94DF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09CE655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4DD01EF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r>
      <w:tr w14:paraId="2154C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1613" w:type="dxa"/>
            <w:vMerge w:val="continue"/>
            <w:shd w:val="clear" w:color="auto" w:fill="auto"/>
            <w:noWrap/>
            <w:vAlign w:val="center"/>
          </w:tcPr>
          <w:p w14:paraId="5069EF71">
            <w:pPr>
              <w:jc w:val="center"/>
              <w:rPr>
                <w:rFonts w:hint="eastAsia" w:ascii="宋体" w:hAnsi="宋体" w:eastAsia="宋体" w:cs="宋体"/>
                <w:i w:val="0"/>
                <w:iCs w:val="0"/>
                <w:color w:val="000000"/>
                <w:sz w:val="21"/>
                <w:szCs w:val="21"/>
                <w:highlight w:val="none"/>
                <w:u w:val="none"/>
              </w:rPr>
            </w:pPr>
          </w:p>
        </w:tc>
        <w:tc>
          <w:tcPr>
            <w:tcW w:w="1613" w:type="dxa"/>
            <w:vMerge w:val="continue"/>
            <w:shd w:val="clear" w:color="auto" w:fill="auto"/>
            <w:noWrap/>
            <w:vAlign w:val="center"/>
          </w:tcPr>
          <w:p w14:paraId="43F9854A">
            <w:pPr>
              <w:jc w:val="center"/>
              <w:rPr>
                <w:rFonts w:hint="eastAsia" w:ascii="宋体" w:hAnsi="宋体" w:eastAsia="宋体" w:cs="宋体"/>
                <w:i w:val="0"/>
                <w:iCs w:val="0"/>
                <w:color w:val="000000"/>
                <w:sz w:val="21"/>
                <w:szCs w:val="21"/>
                <w:highlight w:val="none"/>
                <w:u w:val="none"/>
              </w:rPr>
            </w:pPr>
          </w:p>
        </w:tc>
        <w:tc>
          <w:tcPr>
            <w:tcW w:w="809" w:type="dxa"/>
            <w:shd w:val="clear" w:color="auto" w:fill="auto"/>
            <w:noWrap/>
            <w:vAlign w:val="center"/>
          </w:tcPr>
          <w:p w14:paraId="74E1C404">
            <w:pPr>
              <w:keepNext w:val="0"/>
              <w:keepLines w:val="0"/>
              <w:widowControl/>
              <w:suppressLineNumbers w:val="0"/>
              <w:jc w:val="center"/>
              <w:textAlignment w:val="bottom"/>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H</w:t>
            </w:r>
            <w:r>
              <w:rPr>
                <w:rFonts w:hint="default" w:ascii="Times New Roman" w:hAnsi="Times New Roman" w:eastAsia="宋体" w:cs="Times New Roman"/>
                <w:i w:val="0"/>
                <w:iCs w:val="0"/>
                <w:color w:val="000000"/>
                <w:kern w:val="0"/>
                <w:sz w:val="21"/>
                <w:szCs w:val="21"/>
                <w:highlight w:val="none"/>
                <w:u w:val="none"/>
                <w:vertAlign w:val="subscript"/>
                <w:lang w:val="en-US" w:eastAsia="zh-CN" w:bidi="ar"/>
              </w:rPr>
              <w:t>2</w:t>
            </w:r>
            <w:r>
              <w:rPr>
                <w:rFonts w:hint="default" w:ascii="Times New Roman" w:hAnsi="Times New Roman" w:eastAsia="宋体" w:cs="Times New Roman"/>
                <w:i w:val="0"/>
                <w:iCs w:val="0"/>
                <w:color w:val="000000"/>
                <w:kern w:val="0"/>
                <w:sz w:val="21"/>
                <w:szCs w:val="21"/>
                <w:highlight w:val="none"/>
                <w:u w:val="none"/>
                <w:lang w:val="en-US" w:eastAsia="zh-CN" w:bidi="ar"/>
              </w:rPr>
              <w:t>S</w:t>
            </w:r>
          </w:p>
        </w:tc>
        <w:tc>
          <w:tcPr>
            <w:tcW w:w="982" w:type="dxa"/>
            <w:vMerge w:val="continue"/>
            <w:shd w:val="clear" w:color="auto" w:fill="auto"/>
            <w:noWrap/>
            <w:vAlign w:val="center"/>
          </w:tcPr>
          <w:p w14:paraId="002702A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0629080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487BAB8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24D2BBD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r>
      <w:tr w14:paraId="26341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1613" w:type="dxa"/>
            <w:vMerge w:val="continue"/>
            <w:shd w:val="clear" w:color="auto" w:fill="auto"/>
            <w:noWrap/>
            <w:vAlign w:val="center"/>
          </w:tcPr>
          <w:p w14:paraId="10E10683">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613" w:type="dxa"/>
            <w:vMerge w:val="restart"/>
            <w:shd w:val="clear" w:color="auto" w:fill="auto"/>
            <w:noWrap/>
            <w:vAlign w:val="center"/>
          </w:tcPr>
          <w:p w14:paraId="0A3E2DD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酸性气（脱硫脱碳再生气体）</w:t>
            </w:r>
          </w:p>
        </w:tc>
        <w:tc>
          <w:tcPr>
            <w:tcW w:w="809" w:type="dxa"/>
            <w:shd w:val="clear" w:color="auto" w:fill="auto"/>
            <w:noWrap/>
            <w:vAlign w:val="center"/>
          </w:tcPr>
          <w:p w14:paraId="27A1C1EF">
            <w:pPr>
              <w:keepNext w:val="0"/>
              <w:keepLines w:val="0"/>
              <w:widowControl/>
              <w:suppressLineNumbers w:val="0"/>
              <w:jc w:val="center"/>
              <w:textAlignment w:val="bottom"/>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H</w:t>
            </w:r>
            <w:r>
              <w:rPr>
                <w:rFonts w:hint="default" w:ascii="Times New Roman" w:hAnsi="Times New Roman" w:eastAsia="宋体" w:cs="Times New Roman"/>
                <w:i w:val="0"/>
                <w:iCs w:val="0"/>
                <w:color w:val="000000"/>
                <w:kern w:val="0"/>
                <w:sz w:val="21"/>
                <w:szCs w:val="21"/>
                <w:highlight w:val="none"/>
                <w:u w:val="none"/>
                <w:vertAlign w:val="subscript"/>
                <w:lang w:val="en-US" w:eastAsia="zh-CN" w:bidi="ar"/>
              </w:rPr>
              <w:t>2</w:t>
            </w:r>
            <w:r>
              <w:rPr>
                <w:rFonts w:hint="default" w:ascii="Times New Roman" w:hAnsi="Times New Roman" w:eastAsia="宋体" w:cs="Times New Roman"/>
                <w:i w:val="0"/>
                <w:iCs w:val="0"/>
                <w:color w:val="000000"/>
                <w:kern w:val="0"/>
                <w:sz w:val="21"/>
                <w:szCs w:val="21"/>
                <w:highlight w:val="none"/>
                <w:u w:val="none"/>
                <w:lang w:val="en-US" w:eastAsia="zh-CN" w:bidi="ar"/>
              </w:rPr>
              <w:t>S</w:t>
            </w:r>
          </w:p>
        </w:tc>
        <w:tc>
          <w:tcPr>
            <w:tcW w:w="982" w:type="dxa"/>
            <w:vMerge w:val="restart"/>
            <w:shd w:val="clear" w:color="auto" w:fill="auto"/>
            <w:noWrap/>
            <w:vAlign w:val="center"/>
          </w:tcPr>
          <w:p w14:paraId="4A3133F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eastAsia"/>
                <w:sz w:val="21"/>
                <w:szCs w:val="21"/>
                <w:highlight w:val="none"/>
                <w:lang w:val="en-US" w:eastAsia="zh-CN"/>
              </w:rPr>
              <w:t>AMB/0.15</w:t>
            </w:r>
          </w:p>
        </w:tc>
        <w:tc>
          <w:tcPr>
            <w:tcW w:w="982" w:type="dxa"/>
            <w:vMerge w:val="restart"/>
            <w:shd w:val="clear" w:color="auto" w:fill="auto"/>
            <w:noWrap/>
            <w:vAlign w:val="center"/>
          </w:tcPr>
          <w:p w14:paraId="3C80A87D">
            <w:pPr>
              <w:keepNext w:val="0"/>
              <w:keepLines w:val="0"/>
              <w:widowControl/>
              <w:suppressLineNumbers w:val="0"/>
              <w:jc w:val="center"/>
              <w:textAlignment w:val="center"/>
              <w:rPr>
                <w:rFonts w:hint="eastAsia"/>
                <w:sz w:val="21"/>
                <w:szCs w:val="21"/>
                <w:highlight w:val="none"/>
                <w:lang w:val="en-US" w:eastAsia="zh-CN"/>
              </w:rPr>
            </w:pPr>
            <w:r>
              <w:rPr>
                <w:rFonts w:hint="eastAsia"/>
                <w:sz w:val="21"/>
                <w:szCs w:val="21"/>
                <w:highlight w:val="none"/>
              </w:rPr>
              <w:t>907</w:t>
            </w:r>
          </w:p>
        </w:tc>
        <w:tc>
          <w:tcPr>
            <w:tcW w:w="982" w:type="dxa"/>
            <w:vMerge w:val="continue"/>
            <w:shd w:val="clear" w:color="auto" w:fill="auto"/>
            <w:noWrap/>
            <w:vAlign w:val="center"/>
          </w:tcPr>
          <w:p w14:paraId="2DDB89CC">
            <w:pPr>
              <w:keepNext w:val="0"/>
              <w:keepLines w:val="0"/>
              <w:widowControl/>
              <w:suppressLineNumbers w:val="0"/>
              <w:jc w:val="center"/>
              <w:textAlignment w:val="center"/>
              <w:rPr>
                <w:rFonts w:hint="eastAsia"/>
                <w:sz w:val="21"/>
                <w:szCs w:val="21"/>
                <w:highlight w:val="none"/>
                <w:lang w:val="en-US" w:eastAsia="zh-CN"/>
              </w:rPr>
            </w:pPr>
          </w:p>
        </w:tc>
        <w:tc>
          <w:tcPr>
            <w:tcW w:w="982" w:type="dxa"/>
            <w:vMerge w:val="continue"/>
            <w:shd w:val="clear" w:color="auto" w:fill="auto"/>
            <w:noWrap/>
            <w:vAlign w:val="center"/>
          </w:tcPr>
          <w:p w14:paraId="2947E81E">
            <w:pPr>
              <w:keepNext w:val="0"/>
              <w:keepLines w:val="0"/>
              <w:widowControl/>
              <w:suppressLineNumbers w:val="0"/>
              <w:jc w:val="center"/>
              <w:textAlignment w:val="center"/>
              <w:rPr>
                <w:rFonts w:hint="eastAsia"/>
                <w:sz w:val="21"/>
                <w:szCs w:val="21"/>
                <w:highlight w:val="none"/>
                <w:lang w:val="en-US" w:eastAsia="zh-CN"/>
              </w:rPr>
            </w:pPr>
          </w:p>
        </w:tc>
      </w:tr>
      <w:tr w14:paraId="17C85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1613" w:type="dxa"/>
            <w:vMerge w:val="continue"/>
            <w:shd w:val="clear" w:color="auto" w:fill="auto"/>
            <w:noWrap/>
            <w:vAlign w:val="center"/>
          </w:tcPr>
          <w:p w14:paraId="09968B49">
            <w:pPr>
              <w:jc w:val="center"/>
              <w:rPr>
                <w:rFonts w:hint="eastAsia" w:ascii="宋体" w:hAnsi="宋体" w:eastAsia="宋体" w:cs="宋体"/>
                <w:i w:val="0"/>
                <w:iCs w:val="0"/>
                <w:color w:val="000000"/>
                <w:sz w:val="21"/>
                <w:szCs w:val="21"/>
                <w:highlight w:val="none"/>
                <w:u w:val="none"/>
              </w:rPr>
            </w:pPr>
          </w:p>
        </w:tc>
        <w:tc>
          <w:tcPr>
            <w:tcW w:w="1613" w:type="dxa"/>
            <w:vMerge w:val="continue"/>
            <w:shd w:val="clear" w:color="auto" w:fill="auto"/>
            <w:noWrap/>
            <w:vAlign w:val="center"/>
          </w:tcPr>
          <w:p w14:paraId="7EF3B20E">
            <w:pPr>
              <w:jc w:val="center"/>
              <w:rPr>
                <w:rFonts w:hint="eastAsia" w:ascii="宋体" w:hAnsi="宋体" w:eastAsia="宋体" w:cs="宋体"/>
                <w:i w:val="0"/>
                <w:iCs w:val="0"/>
                <w:color w:val="000000"/>
                <w:sz w:val="21"/>
                <w:szCs w:val="21"/>
                <w:highlight w:val="none"/>
                <w:u w:val="none"/>
              </w:rPr>
            </w:pPr>
          </w:p>
        </w:tc>
        <w:tc>
          <w:tcPr>
            <w:tcW w:w="809" w:type="dxa"/>
            <w:shd w:val="clear" w:color="auto" w:fill="auto"/>
            <w:noWrap/>
            <w:vAlign w:val="center"/>
          </w:tcPr>
          <w:p w14:paraId="469469AE">
            <w:pPr>
              <w:keepNext w:val="0"/>
              <w:keepLines w:val="0"/>
              <w:widowControl/>
              <w:suppressLineNumbers w:val="0"/>
              <w:jc w:val="center"/>
              <w:textAlignment w:val="bottom"/>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CH</w:t>
            </w:r>
            <w:r>
              <w:rPr>
                <w:rFonts w:hint="default" w:ascii="Times New Roman" w:hAnsi="Times New Roman" w:eastAsia="宋体" w:cs="Times New Roman"/>
                <w:i w:val="0"/>
                <w:iCs w:val="0"/>
                <w:color w:val="000000"/>
                <w:kern w:val="0"/>
                <w:sz w:val="21"/>
                <w:szCs w:val="21"/>
                <w:highlight w:val="none"/>
                <w:u w:val="none"/>
                <w:vertAlign w:val="subscript"/>
                <w:lang w:val="en-US" w:eastAsia="zh-CN" w:bidi="ar"/>
              </w:rPr>
              <w:t>4</w:t>
            </w:r>
          </w:p>
        </w:tc>
        <w:tc>
          <w:tcPr>
            <w:tcW w:w="982" w:type="dxa"/>
            <w:vMerge w:val="continue"/>
            <w:shd w:val="clear" w:color="auto" w:fill="auto"/>
            <w:noWrap/>
            <w:vAlign w:val="center"/>
          </w:tcPr>
          <w:p w14:paraId="55EB5C5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6A7A8F3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55713C0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05B5CA1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r>
      <w:tr w14:paraId="40DBD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1613" w:type="dxa"/>
            <w:vMerge w:val="continue"/>
            <w:shd w:val="clear" w:color="auto" w:fill="auto"/>
            <w:noWrap/>
            <w:vAlign w:val="center"/>
          </w:tcPr>
          <w:p w14:paraId="665C4DC4">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613" w:type="dxa"/>
            <w:shd w:val="clear" w:color="auto" w:fill="auto"/>
            <w:noWrap/>
            <w:vAlign w:val="center"/>
          </w:tcPr>
          <w:p w14:paraId="020D15F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尾气</w:t>
            </w:r>
          </w:p>
        </w:tc>
        <w:tc>
          <w:tcPr>
            <w:tcW w:w="809" w:type="dxa"/>
            <w:shd w:val="clear" w:color="auto" w:fill="auto"/>
            <w:noWrap/>
            <w:vAlign w:val="center"/>
          </w:tcPr>
          <w:p w14:paraId="2A582DA0">
            <w:pPr>
              <w:keepNext w:val="0"/>
              <w:keepLines w:val="0"/>
              <w:widowControl/>
              <w:suppressLineNumbers w:val="0"/>
              <w:jc w:val="center"/>
              <w:textAlignment w:val="bottom"/>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CH</w:t>
            </w:r>
            <w:r>
              <w:rPr>
                <w:rFonts w:hint="default" w:ascii="Times New Roman" w:hAnsi="Times New Roman" w:eastAsia="宋体" w:cs="Times New Roman"/>
                <w:i w:val="0"/>
                <w:iCs w:val="0"/>
                <w:color w:val="000000"/>
                <w:kern w:val="0"/>
                <w:sz w:val="21"/>
                <w:szCs w:val="21"/>
                <w:highlight w:val="none"/>
                <w:u w:val="none"/>
                <w:vertAlign w:val="subscript"/>
                <w:lang w:val="en-US" w:eastAsia="zh-CN" w:bidi="ar"/>
              </w:rPr>
              <w:t>4</w:t>
            </w:r>
          </w:p>
        </w:tc>
        <w:tc>
          <w:tcPr>
            <w:tcW w:w="982" w:type="dxa"/>
            <w:shd w:val="clear" w:color="auto" w:fill="auto"/>
            <w:noWrap/>
            <w:vAlign w:val="center"/>
          </w:tcPr>
          <w:p w14:paraId="750315D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eastAsia"/>
                <w:sz w:val="21"/>
                <w:szCs w:val="21"/>
                <w:highlight w:val="none"/>
                <w:lang w:val="en-US" w:eastAsia="zh-CN"/>
              </w:rPr>
              <w:t>33/0.5</w:t>
            </w:r>
          </w:p>
        </w:tc>
        <w:tc>
          <w:tcPr>
            <w:tcW w:w="982" w:type="dxa"/>
            <w:shd w:val="clear" w:color="auto" w:fill="auto"/>
            <w:noWrap/>
            <w:vAlign w:val="center"/>
          </w:tcPr>
          <w:p w14:paraId="40C6C330">
            <w:pPr>
              <w:keepNext w:val="0"/>
              <w:keepLines w:val="0"/>
              <w:widowControl/>
              <w:suppressLineNumbers w:val="0"/>
              <w:jc w:val="center"/>
              <w:textAlignment w:val="center"/>
              <w:rPr>
                <w:rFonts w:hint="default" w:eastAsia="宋体"/>
                <w:sz w:val="21"/>
                <w:szCs w:val="21"/>
                <w:highlight w:val="none"/>
                <w:lang w:val="en-US" w:eastAsia="zh-CN"/>
              </w:rPr>
            </w:pPr>
            <w:r>
              <w:rPr>
                <w:rFonts w:hint="eastAsia"/>
                <w:sz w:val="21"/>
                <w:szCs w:val="21"/>
                <w:highlight w:val="none"/>
                <w:lang w:val="en-US" w:eastAsia="zh-CN"/>
              </w:rPr>
              <w:t>417</w:t>
            </w:r>
          </w:p>
        </w:tc>
        <w:tc>
          <w:tcPr>
            <w:tcW w:w="982" w:type="dxa"/>
            <w:vMerge w:val="continue"/>
            <w:shd w:val="clear" w:color="auto" w:fill="auto"/>
            <w:noWrap/>
            <w:vAlign w:val="center"/>
          </w:tcPr>
          <w:p w14:paraId="0DF8AEAC">
            <w:pPr>
              <w:keepNext w:val="0"/>
              <w:keepLines w:val="0"/>
              <w:widowControl/>
              <w:suppressLineNumbers w:val="0"/>
              <w:jc w:val="center"/>
              <w:textAlignment w:val="center"/>
              <w:rPr>
                <w:rFonts w:hint="eastAsia"/>
                <w:sz w:val="21"/>
                <w:szCs w:val="21"/>
                <w:highlight w:val="none"/>
                <w:lang w:val="en-US" w:eastAsia="zh-CN"/>
              </w:rPr>
            </w:pPr>
          </w:p>
        </w:tc>
        <w:tc>
          <w:tcPr>
            <w:tcW w:w="982" w:type="dxa"/>
            <w:vMerge w:val="continue"/>
            <w:shd w:val="clear" w:color="auto" w:fill="auto"/>
            <w:noWrap/>
            <w:vAlign w:val="center"/>
          </w:tcPr>
          <w:p w14:paraId="70904198">
            <w:pPr>
              <w:keepNext w:val="0"/>
              <w:keepLines w:val="0"/>
              <w:widowControl/>
              <w:suppressLineNumbers w:val="0"/>
              <w:jc w:val="center"/>
              <w:textAlignment w:val="center"/>
              <w:rPr>
                <w:rFonts w:hint="eastAsia"/>
                <w:sz w:val="21"/>
                <w:szCs w:val="21"/>
                <w:highlight w:val="none"/>
                <w:lang w:val="en-US" w:eastAsia="zh-CN"/>
              </w:rPr>
            </w:pPr>
          </w:p>
        </w:tc>
      </w:tr>
      <w:tr w14:paraId="101B1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1613" w:type="dxa"/>
            <w:vMerge w:val="continue"/>
            <w:shd w:val="clear" w:color="auto" w:fill="auto"/>
            <w:noWrap/>
            <w:vAlign w:val="center"/>
          </w:tcPr>
          <w:p w14:paraId="4E354E6B">
            <w:pPr>
              <w:keepNext w:val="0"/>
              <w:keepLines w:val="0"/>
              <w:widowControl/>
              <w:suppressLineNumbers w:val="0"/>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613" w:type="dxa"/>
            <w:vMerge w:val="restart"/>
            <w:shd w:val="clear" w:color="auto" w:fill="auto"/>
            <w:noWrap/>
            <w:vAlign w:val="center"/>
          </w:tcPr>
          <w:p w14:paraId="0295A876">
            <w:pPr>
              <w:keepNext w:val="0"/>
              <w:keepLines w:val="0"/>
              <w:widowControl/>
              <w:suppressLineNumbers w:val="0"/>
              <w:jc w:val="center"/>
              <w:textAlignment w:val="bottom"/>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富甲烷气</w:t>
            </w:r>
          </w:p>
        </w:tc>
        <w:tc>
          <w:tcPr>
            <w:tcW w:w="809" w:type="dxa"/>
            <w:shd w:val="clear" w:color="auto" w:fill="auto"/>
            <w:noWrap/>
            <w:vAlign w:val="center"/>
          </w:tcPr>
          <w:p w14:paraId="0EF142D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CH</w:t>
            </w:r>
            <w:r>
              <w:rPr>
                <w:rFonts w:hint="default" w:ascii="Times New Roman" w:hAnsi="Times New Roman" w:eastAsia="宋体" w:cs="Times New Roman"/>
                <w:i w:val="0"/>
                <w:iCs w:val="0"/>
                <w:color w:val="000000"/>
                <w:kern w:val="0"/>
                <w:sz w:val="21"/>
                <w:szCs w:val="21"/>
                <w:highlight w:val="none"/>
                <w:u w:val="none"/>
                <w:vertAlign w:val="subscript"/>
                <w:lang w:val="en-US" w:eastAsia="zh-CN" w:bidi="ar"/>
              </w:rPr>
              <w:t>4</w:t>
            </w:r>
          </w:p>
        </w:tc>
        <w:tc>
          <w:tcPr>
            <w:tcW w:w="982" w:type="dxa"/>
            <w:vMerge w:val="restart"/>
            <w:shd w:val="clear" w:color="auto" w:fill="auto"/>
            <w:noWrap/>
            <w:vAlign w:val="center"/>
          </w:tcPr>
          <w:p w14:paraId="1AD7B9BD">
            <w:pPr>
              <w:jc w:val="center"/>
              <w:rPr>
                <w:rFonts w:hint="default" w:ascii="Times New Roman" w:hAnsi="Times New Roman" w:eastAsia="宋体" w:cs="Times New Roman"/>
                <w:i w:val="0"/>
                <w:iCs w:val="0"/>
                <w:color w:val="000000"/>
                <w:sz w:val="21"/>
                <w:szCs w:val="21"/>
                <w:highlight w:val="none"/>
                <w:u w:val="none"/>
              </w:rPr>
            </w:pPr>
            <w:r>
              <w:rPr>
                <w:rFonts w:hint="eastAsia"/>
                <w:sz w:val="21"/>
                <w:szCs w:val="21"/>
                <w:highlight w:val="none"/>
                <w:lang w:val="en-US" w:eastAsia="zh-CN"/>
              </w:rPr>
              <w:t>40/4.5</w:t>
            </w:r>
          </w:p>
        </w:tc>
        <w:tc>
          <w:tcPr>
            <w:tcW w:w="982" w:type="dxa"/>
            <w:vMerge w:val="restart"/>
            <w:shd w:val="clear" w:color="auto" w:fill="auto"/>
            <w:noWrap/>
            <w:vAlign w:val="center"/>
          </w:tcPr>
          <w:p w14:paraId="0078143E">
            <w:pPr>
              <w:snapToGrid w:val="0"/>
              <w:jc w:val="center"/>
              <w:rPr>
                <w:rFonts w:hint="eastAsia"/>
                <w:sz w:val="21"/>
                <w:szCs w:val="21"/>
                <w:highlight w:val="none"/>
                <w:lang w:val="en-US" w:eastAsia="zh-CN"/>
              </w:rPr>
            </w:pPr>
            <w:r>
              <w:rPr>
                <w:rFonts w:hint="eastAsia"/>
                <w:sz w:val="21"/>
                <w:szCs w:val="21"/>
                <w:highlight w:val="none"/>
              </w:rPr>
              <w:t>637</w:t>
            </w:r>
          </w:p>
        </w:tc>
        <w:tc>
          <w:tcPr>
            <w:tcW w:w="982" w:type="dxa"/>
            <w:vMerge w:val="continue"/>
            <w:shd w:val="clear" w:color="auto" w:fill="auto"/>
            <w:noWrap/>
            <w:vAlign w:val="center"/>
          </w:tcPr>
          <w:p w14:paraId="45CF28E9">
            <w:pPr>
              <w:jc w:val="center"/>
              <w:rPr>
                <w:rFonts w:hint="eastAsia"/>
                <w:sz w:val="21"/>
                <w:szCs w:val="21"/>
                <w:highlight w:val="none"/>
                <w:lang w:val="en-US" w:eastAsia="zh-CN"/>
              </w:rPr>
            </w:pPr>
          </w:p>
        </w:tc>
        <w:tc>
          <w:tcPr>
            <w:tcW w:w="982" w:type="dxa"/>
            <w:vMerge w:val="continue"/>
            <w:shd w:val="clear" w:color="auto" w:fill="auto"/>
            <w:noWrap/>
            <w:vAlign w:val="center"/>
          </w:tcPr>
          <w:p w14:paraId="44319975">
            <w:pPr>
              <w:jc w:val="center"/>
              <w:rPr>
                <w:rFonts w:hint="eastAsia"/>
                <w:sz w:val="21"/>
                <w:szCs w:val="21"/>
                <w:highlight w:val="none"/>
                <w:lang w:val="en-US" w:eastAsia="zh-CN"/>
              </w:rPr>
            </w:pPr>
          </w:p>
        </w:tc>
      </w:tr>
      <w:tr w14:paraId="4CEB4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1613" w:type="dxa"/>
            <w:vMerge w:val="continue"/>
            <w:shd w:val="clear" w:color="auto" w:fill="auto"/>
            <w:noWrap/>
            <w:vAlign w:val="center"/>
          </w:tcPr>
          <w:p w14:paraId="37C1856E">
            <w:pPr>
              <w:jc w:val="center"/>
              <w:rPr>
                <w:rFonts w:hint="eastAsia" w:ascii="宋体" w:hAnsi="宋体" w:eastAsia="宋体" w:cs="宋体"/>
                <w:i w:val="0"/>
                <w:iCs w:val="0"/>
                <w:color w:val="000000"/>
                <w:sz w:val="21"/>
                <w:szCs w:val="21"/>
                <w:highlight w:val="none"/>
                <w:u w:val="none"/>
              </w:rPr>
            </w:pPr>
          </w:p>
        </w:tc>
        <w:tc>
          <w:tcPr>
            <w:tcW w:w="1613" w:type="dxa"/>
            <w:vMerge w:val="continue"/>
            <w:shd w:val="clear" w:color="auto" w:fill="auto"/>
            <w:noWrap/>
            <w:vAlign w:val="center"/>
          </w:tcPr>
          <w:p w14:paraId="1260E177">
            <w:pPr>
              <w:jc w:val="center"/>
              <w:rPr>
                <w:rFonts w:hint="eastAsia" w:ascii="宋体" w:hAnsi="宋体" w:eastAsia="宋体" w:cs="宋体"/>
                <w:i w:val="0"/>
                <w:iCs w:val="0"/>
                <w:color w:val="000000"/>
                <w:sz w:val="21"/>
                <w:szCs w:val="21"/>
                <w:highlight w:val="none"/>
                <w:u w:val="none"/>
              </w:rPr>
            </w:pPr>
          </w:p>
        </w:tc>
        <w:tc>
          <w:tcPr>
            <w:tcW w:w="809" w:type="dxa"/>
            <w:shd w:val="clear" w:color="auto" w:fill="auto"/>
            <w:noWrap/>
            <w:vAlign w:val="center"/>
          </w:tcPr>
          <w:p w14:paraId="032AFEE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H</w:t>
            </w:r>
            <w:r>
              <w:rPr>
                <w:rFonts w:hint="default" w:ascii="Times New Roman" w:hAnsi="Times New Roman" w:eastAsia="宋体" w:cs="Times New Roman"/>
                <w:i w:val="0"/>
                <w:iCs w:val="0"/>
                <w:color w:val="000000"/>
                <w:kern w:val="0"/>
                <w:sz w:val="21"/>
                <w:szCs w:val="21"/>
                <w:highlight w:val="none"/>
                <w:u w:val="none"/>
                <w:vertAlign w:val="subscript"/>
                <w:lang w:val="en-US" w:eastAsia="zh-CN" w:bidi="ar"/>
              </w:rPr>
              <w:t>2</w:t>
            </w:r>
            <w:r>
              <w:rPr>
                <w:rFonts w:hint="default" w:ascii="Times New Roman" w:hAnsi="Times New Roman" w:eastAsia="宋体" w:cs="Times New Roman"/>
                <w:i w:val="0"/>
                <w:iCs w:val="0"/>
                <w:color w:val="000000"/>
                <w:kern w:val="0"/>
                <w:sz w:val="21"/>
                <w:szCs w:val="21"/>
                <w:highlight w:val="none"/>
                <w:u w:val="none"/>
                <w:lang w:val="en-US" w:eastAsia="zh-CN" w:bidi="ar"/>
              </w:rPr>
              <w:t>S</w:t>
            </w:r>
          </w:p>
        </w:tc>
        <w:tc>
          <w:tcPr>
            <w:tcW w:w="982" w:type="dxa"/>
            <w:vMerge w:val="continue"/>
            <w:shd w:val="clear" w:color="auto" w:fill="auto"/>
            <w:noWrap/>
            <w:vAlign w:val="center"/>
          </w:tcPr>
          <w:p w14:paraId="4FFF725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21A9DE1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69525B5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0013018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r>
      <w:tr w14:paraId="78C5F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1613" w:type="dxa"/>
            <w:vMerge w:val="continue"/>
            <w:shd w:val="clear" w:color="auto" w:fill="auto"/>
            <w:noWrap/>
            <w:vAlign w:val="center"/>
          </w:tcPr>
          <w:p w14:paraId="59F6ADCF">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613" w:type="dxa"/>
            <w:vMerge w:val="restart"/>
            <w:shd w:val="clear" w:color="auto" w:fill="auto"/>
            <w:noWrap/>
            <w:vAlign w:val="center"/>
          </w:tcPr>
          <w:p w14:paraId="1058832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真空尾气</w:t>
            </w:r>
          </w:p>
        </w:tc>
        <w:tc>
          <w:tcPr>
            <w:tcW w:w="809" w:type="dxa"/>
            <w:shd w:val="clear" w:color="auto" w:fill="auto"/>
            <w:noWrap/>
            <w:vAlign w:val="center"/>
          </w:tcPr>
          <w:p w14:paraId="121CF08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丁醇</w:t>
            </w:r>
          </w:p>
        </w:tc>
        <w:tc>
          <w:tcPr>
            <w:tcW w:w="982" w:type="dxa"/>
            <w:vMerge w:val="restart"/>
            <w:shd w:val="clear" w:color="auto" w:fill="auto"/>
            <w:noWrap/>
            <w:vAlign w:val="center"/>
          </w:tcPr>
          <w:p w14:paraId="1DC0D73D">
            <w:pPr>
              <w:jc w:val="center"/>
              <w:rPr>
                <w:rFonts w:hint="default" w:ascii="Times New Roman" w:hAnsi="Times New Roman" w:eastAsia="宋体" w:cs="Times New Roman"/>
                <w:i w:val="0"/>
                <w:iCs w:val="0"/>
                <w:color w:val="000000"/>
                <w:sz w:val="21"/>
                <w:szCs w:val="21"/>
                <w:highlight w:val="none"/>
                <w:u w:val="none"/>
                <w:lang w:val="en-US"/>
              </w:rPr>
            </w:pPr>
            <w:r>
              <w:rPr>
                <w:rFonts w:hint="eastAsia"/>
                <w:sz w:val="21"/>
                <w:szCs w:val="21"/>
                <w:highlight w:val="none"/>
                <w:lang w:val="en-US" w:eastAsia="zh-CN"/>
              </w:rPr>
              <w:t>40/-0.01</w:t>
            </w:r>
          </w:p>
        </w:tc>
        <w:tc>
          <w:tcPr>
            <w:tcW w:w="982" w:type="dxa"/>
            <w:vMerge w:val="restart"/>
            <w:shd w:val="clear" w:color="auto" w:fill="auto"/>
            <w:noWrap/>
            <w:vAlign w:val="center"/>
          </w:tcPr>
          <w:p w14:paraId="79094AE1">
            <w:pPr>
              <w:snapToGrid w:val="0"/>
              <w:jc w:val="center"/>
              <w:rPr>
                <w:rFonts w:hint="eastAsia"/>
                <w:sz w:val="21"/>
                <w:szCs w:val="21"/>
                <w:highlight w:val="none"/>
                <w:lang w:val="en-US" w:eastAsia="zh-CN"/>
              </w:rPr>
            </w:pPr>
            <w:r>
              <w:rPr>
                <w:rFonts w:hint="eastAsia"/>
                <w:sz w:val="21"/>
                <w:szCs w:val="21"/>
                <w:highlight w:val="none"/>
              </w:rPr>
              <w:t>930</w:t>
            </w:r>
          </w:p>
        </w:tc>
        <w:tc>
          <w:tcPr>
            <w:tcW w:w="982" w:type="dxa"/>
            <w:vMerge w:val="continue"/>
            <w:shd w:val="clear" w:color="auto" w:fill="auto"/>
            <w:noWrap/>
            <w:vAlign w:val="center"/>
          </w:tcPr>
          <w:p w14:paraId="170F2A41">
            <w:pPr>
              <w:jc w:val="center"/>
              <w:rPr>
                <w:rFonts w:hint="eastAsia"/>
                <w:sz w:val="21"/>
                <w:szCs w:val="21"/>
                <w:highlight w:val="none"/>
                <w:lang w:val="en-US" w:eastAsia="zh-CN"/>
              </w:rPr>
            </w:pPr>
          </w:p>
        </w:tc>
        <w:tc>
          <w:tcPr>
            <w:tcW w:w="982" w:type="dxa"/>
            <w:vMerge w:val="continue"/>
            <w:shd w:val="clear" w:color="auto" w:fill="auto"/>
            <w:noWrap/>
            <w:vAlign w:val="center"/>
          </w:tcPr>
          <w:p w14:paraId="28985673">
            <w:pPr>
              <w:jc w:val="center"/>
              <w:rPr>
                <w:rFonts w:hint="eastAsia"/>
                <w:sz w:val="21"/>
                <w:szCs w:val="21"/>
                <w:highlight w:val="none"/>
                <w:lang w:val="en-US" w:eastAsia="zh-CN"/>
              </w:rPr>
            </w:pPr>
          </w:p>
        </w:tc>
      </w:tr>
      <w:tr w14:paraId="753A2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1613" w:type="dxa"/>
            <w:vMerge w:val="continue"/>
            <w:shd w:val="clear" w:color="auto" w:fill="auto"/>
            <w:noWrap/>
            <w:vAlign w:val="center"/>
          </w:tcPr>
          <w:p w14:paraId="12FB37EB">
            <w:pPr>
              <w:jc w:val="center"/>
              <w:rPr>
                <w:rFonts w:hint="eastAsia" w:ascii="宋体" w:hAnsi="宋体" w:eastAsia="宋体" w:cs="宋体"/>
                <w:i w:val="0"/>
                <w:iCs w:val="0"/>
                <w:color w:val="000000"/>
                <w:sz w:val="21"/>
                <w:szCs w:val="21"/>
                <w:highlight w:val="none"/>
                <w:u w:val="none"/>
              </w:rPr>
            </w:pPr>
          </w:p>
        </w:tc>
        <w:tc>
          <w:tcPr>
            <w:tcW w:w="1613" w:type="dxa"/>
            <w:vMerge w:val="continue"/>
            <w:shd w:val="clear" w:color="auto" w:fill="auto"/>
            <w:noWrap/>
            <w:vAlign w:val="center"/>
          </w:tcPr>
          <w:p w14:paraId="4A739704">
            <w:pPr>
              <w:jc w:val="center"/>
              <w:rPr>
                <w:rFonts w:hint="eastAsia" w:ascii="宋体" w:hAnsi="宋体" w:eastAsia="宋体" w:cs="宋体"/>
                <w:i w:val="0"/>
                <w:iCs w:val="0"/>
                <w:color w:val="000000"/>
                <w:sz w:val="21"/>
                <w:szCs w:val="21"/>
                <w:highlight w:val="none"/>
                <w:u w:val="none"/>
              </w:rPr>
            </w:pPr>
          </w:p>
        </w:tc>
        <w:tc>
          <w:tcPr>
            <w:tcW w:w="809" w:type="dxa"/>
            <w:shd w:val="clear" w:color="auto" w:fill="auto"/>
            <w:noWrap/>
            <w:vAlign w:val="center"/>
          </w:tcPr>
          <w:p w14:paraId="0B478E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甲醇</w:t>
            </w:r>
          </w:p>
        </w:tc>
        <w:tc>
          <w:tcPr>
            <w:tcW w:w="982" w:type="dxa"/>
            <w:vMerge w:val="continue"/>
            <w:shd w:val="clear" w:color="auto" w:fill="auto"/>
            <w:noWrap/>
            <w:vAlign w:val="center"/>
          </w:tcPr>
          <w:p w14:paraId="4852631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50F2681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7E4122F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0C6D23E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r>
      <w:tr w14:paraId="28CDF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1613" w:type="dxa"/>
            <w:vMerge w:val="continue"/>
            <w:shd w:val="clear" w:color="auto" w:fill="auto"/>
            <w:noWrap/>
            <w:vAlign w:val="center"/>
          </w:tcPr>
          <w:p w14:paraId="09E1FD9A">
            <w:pPr>
              <w:jc w:val="center"/>
              <w:rPr>
                <w:rFonts w:hint="eastAsia" w:ascii="宋体" w:hAnsi="宋体" w:eastAsia="宋体" w:cs="宋体"/>
                <w:i w:val="0"/>
                <w:iCs w:val="0"/>
                <w:color w:val="000000"/>
                <w:sz w:val="21"/>
                <w:szCs w:val="21"/>
                <w:highlight w:val="none"/>
                <w:u w:val="none"/>
              </w:rPr>
            </w:pPr>
          </w:p>
        </w:tc>
        <w:tc>
          <w:tcPr>
            <w:tcW w:w="1613" w:type="dxa"/>
            <w:vMerge w:val="continue"/>
            <w:shd w:val="clear" w:color="auto" w:fill="auto"/>
            <w:noWrap/>
            <w:vAlign w:val="center"/>
          </w:tcPr>
          <w:p w14:paraId="6718A0E5">
            <w:pPr>
              <w:jc w:val="center"/>
              <w:rPr>
                <w:rFonts w:hint="eastAsia" w:ascii="宋体" w:hAnsi="宋体" w:eastAsia="宋体" w:cs="宋体"/>
                <w:i w:val="0"/>
                <w:iCs w:val="0"/>
                <w:color w:val="000000"/>
                <w:sz w:val="21"/>
                <w:szCs w:val="21"/>
                <w:highlight w:val="none"/>
                <w:u w:val="none"/>
              </w:rPr>
            </w:pPr>
          </w:p>
        </w:tc>
        <w:tc>
          <w:tcPr>
            <w:tcW w:w="809" w:type="dxa"/>
            <w:shd w:val="clear" w:color="auto" w:fill="auto"/>
            <w:noWrap/>
            <w:vAlign w:val="center"/>
          </w:tcPr>
          <w:p w14:paraId="233A7FA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正丙醇</w:t>
            </w:r>
          </w:p>
        </w:tc>
        <w:tc>
          <w:tcPr>
            <w:tcW w:w="982" w:type="dxa"/>
            <w:vMerge w:val="continue"/>
            <w:shd w:val="clear" w:color="auto" w:fill="auto"/>
            <w:noWrap/>
            <w:vAlign w:val="center"/>
          </w:tcPr>
          <w:p w14:paraId="3E5A1BA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5DCD533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7BBCD7F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28B2EBA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r>
      <w:tr w14:paraId="1BA3E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1613" w:type="dxa"/>
            <w:vMerge w:val="continue"/>
            <w:shd w:val="clear" w:color="auto" w:fill="auto"/>
            <w:noWrap/>
            <w:vAlign w:val="center"/>
          </w:tcPr>
          <w:p w14:paraId="01D46BC6">
            <w:pPr>
              <w:jc w:val="center"/>
              <w:rPr>
                <w:rFonts w:hint="eastAsia" w:ascii="宋体" w:hAnsi="宋体" w:eastAsia="宋体" w:cs="宋体"/>
                <w:i w:val="0"/>
                <w:iCs w:val="0"/>
                <w:color w:val="000000"/>
                <w:sz w:val="21"/>
                <w:szCs w:val="21"/>
                <w:highlight w:val="none"/>
                <w:u w:val="none"/>
              </w:rPr>
            </w:pPr>
          </w:p>
        </w:tc>
        <w:tc>
          <w:tcPr>
            <w:tcW w:w="1613" w:type="dxa"/>
            <w:vMerge w:val="continue"/>
            <w:shd w:val="clear" w:color="auto" w:fill="auto"/>
            <w:noWrap/>
            <w:vAlign w:val="center"/>
          </w:tcPr>
          <w:p w14:paraId="5B6AD32A">
            <w:pPr>
              <w:jc w:val="center"/>
              <w:rPr>
                <w:rFonts w:hint="eastAsia" w:ascii="宋体" w:hAnsi="宋体" w:eastAsia="宋体" w:cs="宋体"/>
                <w:i w:val="0"/>
                <w:iCs w:val="0"/>
                <w:color w:val="000000"/>
                <w:sz w:val="21"/>
                <w:szCs w:val="21"/>
                <w:highlight w:val="none"/>
                <w:u w:val="none"/>
              </w:rPr>
            </w:pPr>
          </w:p>
        </w:tc>
        <w:tc>
          <w:tcPr>
            <w:tcW w:w="809" w:type="dxa"/>
            <w:shd w:val="clear" w:color="auto" w:fill="auto"/>
            <w:noWrap/>
            <w:vAlign w:val="center"/>
          </w:tcPr>
          <w:p w14:paraId="74712F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异丙醇</w:t>
            </w:r>
          </w:p>
        </w:tc>
        <w:tc>
          <w:tcPr>
            <w:tcW w:w="982" w:type="dxa"/>
            <w:vMerge w:val="continue"/>
            <w:shd w:val="clear" w:color="auto" w:fill="auto"/>
            <w:noWrap/>
            <w:vAlign w:val="center"/>
          </w:tcPr>
          <w:p w14:paraId="090A180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42AFF52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1EF36BF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02601F7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r>
      <w:tr w14:paraId="46923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1613" w:type="dxa"/>
            <w:vMerge w:val="continue"/>
            <w:shd w:val="clear" w:color="auto" w:fill="auto"/>
            <w:noWrap/>
            <w:vAlign w:val="center"/>
          </w:tcPr>
          <w:p w14:paraId="7772308D">
            <w:pPr>
              <w:jc w:val="center"/>
              <w:rPr>
                <w:rFonts w:hint="eastAsia" w:ascii="宋体" w:hAnsi="宋体" w:eastAsia="宋体" w:cs="宋体"/>
                <w:i w:val="0"/>
                <w:iCs w:val="0"/>
                <w:color w:val="000000"/>
                <w:sz w:val="21"/>
                <w:szCs w:val="21"/>
                <w:highlight w:val="none"/>
                <w:u w:val="none"/>
              </w:rPr>
            </w:pPr>
          </w:p>
        </w:tc>
        <w:tc>
          <w:tcPr>
            <w:tcW w:w="1613" w:type="dxa"/>
            <w:vMerge w:val="continue"/>
            <w:shd w:val="clear" w:color="auto" w:fill="auto"/>
            <w:noWrap/>
            <w:vAlign w:val="center"/>
          </w:tcPr>
          <w:p w14:paraId="0E257E18">
            <w:pPr>
              <w:jc w:val="center"/>
              <w:rPr>
                <w:rFonts w:hint="eastAsia" w:ascii="宋体" w:hAnsi="宋体" w:eastAsia="宋体" w:cs="宋体"/>
                <w:i w:val="0"/>
                <w:iCs w:val="0"/>
                <w:color w:val="000000"/>
                <w:sz w:val="21"/>
                <w:szCs w:val="21"/>
                <w:highlight w:val="none"/>
                <w:u w:val="none"/>
              </w:rPr>
            </w:pPr>
          </w:p>
        </w:tc>
        <w:tc>
          <w:tcPr>
            <w:tcW w:w="809" w:type="dxa"/>
            <w:shd w:val="clear" w:color="auto" w:fill="auto"/>
            <w:noWrap/>
            <w:vAlign w:val="center"/>
          </w:tcPr>
          <w:p w14:paraId="2905791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乙酸</w:t>
            </w:r>
          </w:p>
        </w:tc>
        <w:tc>
          <w:tcPr>
            <w:tcW w:w="982" w:type="dxa"/>
            <w:vMerge w:val="continue"/>
            <w:shd w:val="clear" w:color="auto" w:fill="auto"/>
            <w:noWrap/>
            <w:vAlign w:val="center"/>
          </w:tcPr>
          <w:p w14:paraId="5775479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41C16F1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28CB94B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760DB90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r>
      <w:tr w14:paraId="251B5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1613" w:type="dxa"/>
            <w:vMerge w:val="continue"/>
            <w:shd w:val="clear" w:color="auto" w:fill="auto"/>
            <w:noWrap/>
            <w:vAlign w:val="center"/>
          </w:tcPr>
          <w:p w14:paraId="17EA9891">
            <w:pPr>
              <w:jc w:val="center"/>
              <w:rPr>
                <w:rFonts w:hint="eastAsia" w:ascii="宋体" w:hAnsi="宋体" w:eastAsia="宋体" w:cs="宋体"/>
                <w:i w:val="0"/>
                <w:iCs w:val="0"/>
                <w:color w:val="000000"/>
                <w:sz w:val="21"/>
                <w:szCs w:val="21"/>
                <w:highlight w:val="none"/>
                <w:u w:val="none"/>
              </w:rPr>
            </w:pPr>
          </w:p>
        </w:tc>
        <w:tc>
          <w:tcPr>
            <w:tcW w:w="1613" w:type="dxa"/>
            <w:vMerge w:val="continue"/>
            <w:shd w:val="clear" w:color="auto" w:fill="auto"/>
            <w:noWrap/>
            <w:vAlign w:val="center"/>
          </w:tcPr>
          <w:p w14:paraId="449C665A">
            <w:pPr>
              <w:jc w:val="center"/>
              <w:rPr>
                <w:rFonts w:hint="eastAsia" w:ascii="宋体" w:hAnsi="宋体" w:eastAsia="宋体" w:cs="宋体"/>
                <w:i w:val="0"/>
                <w:iCs w:val="0"/>
                <w:color w:val="000000"/>
                <w:sz w:val="21"/>
                <w:szCs w:val="21"/>
                <w:highlight w:val="none"/>
                <w:u w:val="none"/>
              </w:rPr>
            </w:pPr>
          </w:p>
        </w:tc>
        <w:tc>
          <w:tcPr>
            <w:tcW w:w="809" w:type="dxa"/>
            <w:shd w:val="clear" w:color="auto" w:fill="auto"/>
            <w:noWrap/>
            <w:vAlign w:val="center"/>
          </w:tcPr>
          <w:p w14:paraId="6F25081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乙酸乙酯</w:t>
            </w:r>
          </w:p>
        </w:tc>
        <w:tc>
          <w:tcPr>
            <w:tcW w:w="982" w:type="dxa"/>
            <w:vMerge w:val="continue"/>
            <w:shd w:val="clear" w:color="auto" w:fill="auto"/>
            <w:noWrap/>
            <w:vAlign w:val="center"/>
          </w:tcPr>
          <w:p w14:paraId="37EBB82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4131F2F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20BB625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21B8BC5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r>
      <w:tr w14:paraId="4BC69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1613" w:type="dxa"/>
            <w:vMerge w:val="continue"/>
            <w:shd w:val="clear" w:color="auto" w:fill="auto"/>
            <w:noWrap/>
            <w:vAlign w:val="center"/>
          </w:tcPr>
          <w:p w14:paraId="141034A4">
            <w:pPr>
              <w:jc w:val="center"/>
              <w:rPr>
                <w:rFonts w:hint="eastAsia" w:ascii="宋体" w:hAnsi="宋体" w:eastAsia="宋体" w:cs="宋体"/>
                <w:i w:val="0"/>
                <w:iCs w:val="0"/>
                <w:color w:val="000000"/>
                <w:sz w:val="21"/>
                <w:szCs w:val="21"/>
                <w:highlight w:val="none"/>
                <w:u w:val="none"/>
              </w:rPr>
            </w:pPr>
          </w:p>
        </w:tc>
        <w:tc>
          <w:tcPr>
            <w:tcW w:w="1613" w:type="dxa"/>
            <w:vMerge w:val="continue"/>
            <w:shd w:val="clear" w:color="auto" w:fill="auto"/>
            <w:noWrap/>
            <w:vAlign w:val="center"/>
          </w:tcPr>
          <w:p w14:paraId="601CE923">
            <w:pPr>
              <w:jc w:val="center"/>
              <w:rPr>
                <w:rFonts w:hint="eastAsia" w:ascii="宋体" w:hAnsi="宋体" w:eastAsia="宋体" w:cs="宋体"/>
                <w:i w:val="0"/>
                <w:iCs w:val="0"/>
                <w:color w:val="000000"/>
                <w:sz w:val="21"/>
                <w:szCs w:val="21"/>
                <w:highlight w:val="none"/>
                <w:u w:val="none"/>
              </w:rPr>
            </w:pPr>
          </w:p>
        </w:tc>
        <w:tc>
          <w:tcPr>
            <w:tcW w:w="809" w:type="dxa"/>
            <w:shd w:val="clear" w:color="auto" w:fill="auto"/>
            <w:noWrap/>
            <w:vAlign w:val="center"/>
          </w:tcPr>
          <w:p w14:paraId="0C600CF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乙醛</w:t>
            </w:r>
          </w:p>
        </w:tc>
        <w:tc>
          <w:tcPr>
            <w:tcW w:w="982" w:type="dxa"/>
            <w:vMerge w:val="continue"/>
            <w:shd w:val="clear" w:color="auto" w:fill="auto"/>
            <w:noWrap/>
            <w:vAlign w:val="center"/>
          </w:tcPr>
          <w:p w14:paraId="0B0C39D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1B1A046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7D441B1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6D3CCD3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r>
      <w:tr w14:paraId="62623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1613" w:type="dxa"/>
            <w:vMerge w:val="continue"/>
            <w:shd w:val="clear" w:color="auto" w:fill="auto"/>
            <w:noWrap/>
            <w:vAlign w:val="center"/>
          </w:tcPr>
          <w:p w14:paraId="2E1D6023">
            <w:pPr>
              <w:jc w:val="center"/>
              <w:rPr>
                <w:rFonts w:hint="eastAsia" w:ascii="宋体" w:hAnsi="宋体" w:eastAsia="宋体" w:cs="宋体"/>
                <w:i w:val="0"/>
                <w:iCs w:val="0"/>
                <w:color w:val="000000"/>
                <w:sz w:val="21"/>
                <w:szCs w:val="21"/>
                <w:highlight w:val="none"/>
                <w:u w:val="none"/>
              </w:rPr>
            </w:pPr>
          </w:p>
        </w:tc>
        <w:tc>
          <w:tcPr>
            <w:tcW w:w="1613" w:type="dxa"/>
            <w:vMerge w:val="continue"/>
            <w:shd w:val="clear" w:color="auto" w:fill="auto"/>
            <w:noWrap/>
            <w:vAlign w:val="center"/>
          </w:tcPr>
          <w:p w14:paraId="027DA716">
            <w:pPr>
              <w:jc w:val="center"/>
              <w:rPr>
                <w:rFonts w:hint="eastAsia" w:ascii="宋体" w:hAnsi="宋体" w:eastAsia="宋体" w:cs="宋体"/>
                <w:i w:val="0"/>
                <w:iCs w:val="0"/>
                <w:color w:val="000000"/>
                <w:sz w:val="21"/>
                <w:szCs w:val="21"/>
                <w:highlight w:val="none"/>
                <w:u w:val="none"/>
              </w:rPr>
            </w:pPr>
          </w:p>
        </w:tc>
        <w:tc>
          <w:tcPr>
            <w:tcW w:w="809" w:type="dxa"/>
            <w:shd w:val="clear" w:color="auto" w:fill="auto"/>
            <w:noWrap/>
            <w:vAlign w:val="center"/>
          </w:tcPr>
          <w:p w14:paraId="48DC281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CH</w:t>
            </w:r>
            <w:r>
              <w:rPr>
                <w:rFonts w:hint="default" w:ascii="Times New Roman" w:hAnsi="Times New Roman" w:eastAsia="宋体" w:cs="Times New Roman"/>
                <w:i w:val="0"/>
                <w:iCs w:val="0"/>
                <w:color w:val="000000"/>
                <w:kern w:val="0"/>
                <w:sz w:val="21"/>
                <w:szCs w:val="21"/>
                <w:highlight w:val="none"/>
                <w:u w:val="none"/>
                <w:vertAlign w:val="subscript"/>
                <w:lang w:val="en-US" w:eastAsia="zh-CN" w:bidi="ar"/>
              </w:rPr>
              <w:t>4</w:t>
            </w:r>
          </w:p>
        </w:tc>
        <w:tc>
          <w:tcPr>
            <w:tcW w:w="982" w:type="dxa"/>
            <w:vMerge w:val="continue"/>
            <w:shd w:val="clear" w:color="auto" w:fill="auto"/>
            <w:noWrap/>
            <w:vAlign w:val="center"/>
          </w:tcPr>
          <w:p w14:paraId="5E40518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27FE6C2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16D4E75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49A3879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r>
      <w:tr w14:paraId="233CA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1613" w:type="dxa"/>
            <w:vMerge w:val="continue"/>
            <w:shd w:val="clear" w:color="auto" w:fill="auto"/>
            <w:noWrap/>
            <w:vAlign w:val="center"/>
          </w:tcPr>
          <w:p w14:paraId="05C62A3E">
            <w:pPr>
              <w:jc w:val="center"/>
              <w:rPr>
                <w:rFonts w:hint="eastAsia" w:ascii="宋体" w:hAnsi="宋体" w:eastAsia="宋体" w:cs="宋体"/>
                <w:i w:val="0"/>
                <w:iCs w:val="0"/>
                <w:color w:val="000000"/>
                <w:sz w:val="21"/>
                <w:szCs w:val="21"/>
                <w:highlight w:val="none"/>
                <w:u w:val="none"/>
              </w:rPr>
            </w:pPr>
          </w:p>
        </w:tc>
        <w:tc>
          <w:tcPr>
            <w:tcW w:w="1613" w:type="dxa"/>
            <w:vMerge w:val="continue"/>
            <w:shd w:val="clear" w:color="auto" w:fill="auto"/>
            <w:noWrap/>
            <w:vAlign w:val="center"/>
          </w:tcPr>
          <w:p w14:paraId="7975DC28">
            <w:pPr>
              <w:jc w:val="center"/>
              <w:rPr>
                <w:rFonts w:hint="eastAsia" w:ascii="宋体" w:hAnsi="宋体" w:eastAsia="宋体" w:cs="宋体"/>
                <w:i w:val="0"/>
                <w:iCs w:val="0"/>
                <w:color w:val="000000"/>
                <w:sz w:val="21"/>
                <w:szCs w:val="21"/>
                <w:highlight w:val="none"/>
                <w:u w:val="none"/>
              </w:rPr>
            </w:pPr>
          </w:p>
        </w:tc>
        <w:tc>
          <w:tcPr>
            <w:tcW w:w="809" w:type="dxa"/>
            <w:shd w:val="clear" w:color="auto" w:fill="auto"/>
            <w:noWrap/>
            <w:vAlign w:val="center"/>
          </w:tcPr>
          <w:p w14:paraId="783AE90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H</w:t>
            </w:r>
            <w:r>
              <w:rPr>
                <w:rFonts w:hint="default" w:ascii="Times New Roman" w:hAnsi="Times New Roman" w:eastAsia="宋体" w:cs="Times New Roman"/>
                <w:i w:val="0"/>
                <w:iCs w:val="0"/>
                <w:color w:val="000000"/>
                <w:kern w:val="0"/>
                <w:sz w:val="21"/>
                <w:szCs w:val="21"/>
                <w:highlight w:val="none"/>
                <w:u w:val="none"/>
                <w:vertAlign w:val="subscript"/>
                <w:lang w:val="en-US" w:eastAsia="zh-CN" w:bidi="ar"/>
              </w:rPr>
              <w:t>2</w:t>
            </w:r>
            <w:r>
              <w:rPr>
                <w:rFonts w:hint="default" w:ascii="Times New Roman" w:hAnsi="Times New Roman" w:eastAsia="宋体" w:cs="Times New Roman"/>
                <w:i w:val="0"/>
                <w:iCs w:val="0"/>
                <w:color w:val="000000"/>
                <w:kern w:val="0"/>
                <w:sz w:val="21"/>
                <w:szCs w:val="21"/>
                <w:highlight w:val="none"/>
                <w:u w:val="none"/>
                <w:lang w:val="en-US" w:eastAsia="zh-CN" w:bidi="ar"/>
              </w:rPr>
              <w:t>S</w:t>
            </w:r>
          </w:p>
        </w:tc>
        <w:tc>
          <w:tcPr>
            <w:tcW w:w="982" w:type="dxa"/>
            <w:vMerge w:val="continue"/>
            <w:shd w:val="clear" w:color="auto" w:fill="auto"/>
            <w:noWrap/>
            <w:vAlign w:val="center"/>
          </w:tcPr>
          <w:p w14:paraId="267CCA4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6648D25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020E904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77EA6C8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r>
      <w:tr w14:paraId="41B59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1613" w:type="dxa"/>
            <w:vMerge w:val="continue"/>
            <w:shd w:val="clear" w:color="auto" w:fill="auto"/>
            <w:noWrap/>
            <w:vAlign w:val="center"/>
          </w:tcPr>
          <w:p w14:paraId="71522514">
            <w:pPr>
              <w:jc w:val="center"/>
              <w:rPr>
                <w:rFonts w:hint="eastAsia" w:ascii="宋体" w:hAnsi="宋体" w:eastAsia="宋体" w:cs="宋体"/>
                <w:i w:val="0"/>
                <w:iCs w:val="0"/>
                <w:color w:val="000000"/>
                <w:sz w:val="21"/>
                <w:szCs w:val="21"/>
                <w:highlight w:val="none"/>
                <w:u w:val="none"/>
              </w:rPr>
            </w:pPr>
          </w:p>
        </w:tc>
        <w:tc>
          <w:tcPr>
            <w:tcW w:w="1613" w:type="dxa"/>
            <w:vMerge w:val="continue"/>
            <w:shd w:val="clear" w:color="auto" w:fill="auto"/>
            <w:noWrap/>
            <w:vAlign w:val="center"/>
          </w:tcPr>
          <w:p w14:paraId="3810C40F">
            <w:pPr>
              <w:jc w:val="center"/>
              <w:rPr>
                <w:rFonts w:hint="eastAsia" w:ascii="宋体" w:hAnsi="宋体" w:eastAsia="宋体" w:cs="宋体"/>
                <w:i w:val="0"/>
                <w:iCs w:val="0"/>
                <w:color w:val="000000"/>
                <w:sz w:val="21"/>
                <w:szCs w:val="21"/>
                <w:highlight w:val="none"/>
                <w:u w:val="none"/>
              </w:rPr>
            </w:pPr>
          </w:p>
        </w:tc>
        <w:tc>
          <w:tcPr>
            <w:tcW w:w="809" w:type="dxa"/>
            <w:shd w:val="clear" w:color="auto" w:fill="auto"/>
            <w:noWrap/>
            <w:vAlign w:val="center"/>
          </w:tcPr>
          <w:p w14:paraId="3B90FC9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NH</w:t>
            </w:r>
            <w:r>
              <w:rPr>
                <w:rFonts w:hint="default" w:ascii="Times New Roman" w:hAnsi="Times New Roman" w:eastAsia="宋体" w:cs="Times New Roman"/>
                <w:i w:val="0"/>
                <w:iCs w:val="0"/>
                <w:color w:val="000000"/>
                <w:kern w:val="0"/>
                <w:sz w:val="21"/>
                <w:szCs w:val="21"/>
                <w:highlight w:val="none"/>
                <w:u w:val="none"/>
                <w:vertAlign w:val="subscript"/>
                <w:lang w:val="en-US" w:eastAsia="zh-CN" w:bidi="ar"/>
              </w:rPr>
              <w:t>3</w:t>
            </w:r>
          </w:p>
        </w:tc>
        <w:tc>
          <w:tcPr>
            <w:tcW w:w="982" w:type="dxa"/>
            <w:vMerge w:val="continue"/>
            <w:shd w:val="clear" w:color="auto" w:fill="auto"/>
            <w:noWrap/>
            <w:vAlign w:val="center"/>
          </w:tcPr>
          <w:p w14:paraId="04FB768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0599C5B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2DAD366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982" w:type="dxa"/>
            <w:vMerge w:val="continue"/>
            <w:shd w:val="clear" w:color="auto" w:fill="auto"/>
            <w:noWrap/>
            <w:vAlign w:val="center"/>
          </w:tcPr>
          <w:p w14:paraId="62E2EB0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r>
    </w:tbl>
    <w:p w14:paraId="414CEA85">
      <w:pPr>
        <w:keepNext/>
        <w:keepLines/>
        <w:spacing w:line="360" w:lineRule="auto"/>
        <w:outlineLvl w:val="1"/>
        <w:rPr>
          <w:b/>
          <w:bCs/>
          <w:sz w:val="28"/>
          <w:szCs w:val="28"/>
          <w:highlight w:val="none"/>
        </w:rPr>
      </w:pPr>
      <w:bookmarkStart w:id="68" w:name="_Toc24903_WPSOffice_Level1"/>
      <w:r>
        <w:rPr>
          <w:rFonts w:hint="eastAsia"/>
          <w:b/>
          <w:bCs/>
          <w:sz w:val="28"/>
          <w:szCs w:val="28"/>
          <w:highlight w:val="none"/>
        </w:rPr>
        <w:t>3.</w:t>
      </w:r>
      <w:r>
        <w:rPr>
          <w:rFonts w:hint="eastAsia"/>
          <w:b/>
          <w:bCs/>
          <w:sz w:val="28"/>
          <w:szCs w:val="28"/>
          <w:highlight w:val="none"/>
          <w:lang w:val="en-US" w:eastAsia="zh-CN"/>
        </w:rPr>
        <w:t>4</w:t>
      </w:r>
      <w:r>
        <w:rPr>
          <w:rFonts w:hint="eastAsia"/>
          <w:b/>
          <w:bCs/>
          <w:sz w:val="28"/>
          <w:szCs w:val="28"/>
          <w:highlight w:val="none"/>
        </w:rPr>
        <w:t>风险识别结果</w:t>
      </w:r>
      <w:bookmarkEnd w:id="68"/>
    </w:p>
    <w:p w14:paraId="521379BE">
      <w:pPr>
        <w:spacing w:line="360" w:lineRule="auto"/>
        <w:ind w:firstLine="480" w:firstLineChars="200"/>
        <w:rPr>
          <w:sz w:val="24"/>
          <w:highlight w:val="none"/>
        </w:rPr>
      </w:pPr>
      <w:r>
        <w:rPr>
          <w:sz w:val="24"/>
          <w:highlight w:val="none"/>
        </w:rPr>
        <w:t>根据以上分析，建设项目环境风险识别汇总见表3.3</w:t>
      </w:r>
      <w:r>
        <w:rPr>
          <w:rFonts w:hint="eastAsia"/>
          <w:sz w:val="24"/>
          <w:highlight w:val="none"/>
        </w:rPr>
        <w:t>-</w:t>
      </w:r>
      <w:r>
        <w:rPr>
          <w:sz w:val="24"/>
          <w:highlight w:val="none"/>
        </w:rPr>
        <w:t>1，本项目危险单元为</w:t>
      </w:r>
      <w:r>
        <w:rPr>
          <w:rFonts w:hint="eastAsia"/>
          <w:sz w:val="24"/>
          <w:highlight w:val="none"/>
          <w:lang w:val="en-US" w:eastAsia="zh-CN"/>
        </w:rPr>
        <w:t>合成脱碳尾气、未变换净化气、尾气、WRT甲烷气、甲烷、低压含烃火炬、酸湿火炬、酸性气、富甲烷气、真空尾气泵</w:t>
      </w:r>
      <w:r>
        <w:rPr>
          <w:sz w:val="24"/>
          <w:highlight w:val="none"/>
        </w:rPr>
        <w:t>输送管道。</w:t>
      </w:r>
    </w:p>
    <w:p w14:paraId="16C52A3F">
      <w:pPr>
        <w:spacing w:line="360" w:lineRule="auto"/>
        <w:ind w:firstLine="480" w:firstLineChars="200"/>
        <w:rPr>
          <w:sz w:val="24"/>
          <w:highlight w:val="none"/>
        </w:rPr>
      </w:pPr>
      <w:r>
        <w:rPr>
          <w:sz w:val="24"/>
          <w:highlight w:val="none"/>
        </w:rPr>
        <w:t>本项目危险物质对环境的影响途径包括直接污染和次生/伴生污染。</w:t>
      </w:r>
    </w:p>
    <w:p w14:paraId="6B93DE0A">
      <w:pPr>
        <w:spacing w:line="360" w:lineRule="auto"/>
        <w:ind w:firstLine="480" w:firstLineChars="200"/>
        <w:rPr>
          <w:sz w:val="24"/>
          <w:highlight w:val="none"/>
        </w:rPr>
      </w:pPr>
      <w:r>
        <w:rPr>
          <w:sz w:val="24"/>
          <w:highlight w:val="none"/>
        </w:rPr>
        <w:t>直接污染事故通常的起因是设备（包括管线、阀门或其</w:t>
      </w:r>
      <w:r>
        <w:rPr>
          <w:rFonts w:hint="eastAsia"/>
          <w:sz w:val="24"/>
          <w:highlight w:val="none"/>
          <w:lang w:eastAsia="zh-CN"/>
        </w:rPr>
        <w:t>他</w:t>
      </w:r>
      <w:r>
        <w:rPr>
          <w:sz w:val="24"/>
          <w:highlight w:val="none"/>
        </w:rPr>
        <w:t>设施）出现故障或操作失误等，使有毒有害物质泄漏至大气环境，造成环境污染。伴生/次生污染主要指</w:t>
      </w:r>
      <w:r>
        <w:rPr>
          <w:rFonts w:hint="eastAsia"/>
          <w:sz w:val="24"/>
          <w:highlight w:val="none"/>
          <w:lang w:eastAsia="zh-CN"/>
        </w:rPr>
        <w:t>：</w:t>
      </w:r>
      <w:r>
        <w:rPr>
          <w:sz w:val="24"/>
          <w:highlight w:val="none"/>
        </w:rPr>
        <w:t>可燃或易燃物质发生火灾、爆炸事故产生的CO、</w:t>
      </w:r>
      <w:r>
        <w:rPr>
          <w:rFonts w:hint="eastAsia"/>
          <w:sz w:val="24"/>
          <w:highlight w:val="none"/>
        </w:rPr>
        <w:t>SO</w:t>
      </w:r>
      <w:r>
        <w:rPr>
          <w:rFonts w:hint="eastAsia"/>
          <w:sz w:val="24"/>
          <w:highlight w:val="none"/>
          <w:vertAlign w:val="subscript"/>
        </w:rPr>
        <w:t>2</w:t>
      </w:r>
      <w:r>
        <w:rPr>
          <w:rFonts w:hint="eastAsia"/>
          <w:sz w:val="24"/>
          <w:highlight w:val="none"/>
        </w:rPr>
        <w:t>、烟尘</w:t>
      </w:r>
      <w:r>
        <w:rPr>
          <w:sz w:val="24"/>
          <w:highlight w:val="none"/>
        </w:rPr>
        <w:t>等有毒有害烟气污染大气环境；</w:t>
      </w:r>
      <w:r>
        <w:rPr>
          <w:rFonts w:hint="eastAsia"/>
          <w:sz w:val="24"/>
          <w:highlight w:val="none"/>
          <w:lang w:val="en-US" w:eastAsia="zh-CN"/>
        </w:rPr>
        <w:t>火灾爆炸灭火产生的消防废水，</w:t>
      </w:r>
      <w:r>
        <w:rPr>
          <w:sz w:val="24"/>
          <w:highlight w:val="none"/>
        </w:rPr>
        <w:t>可能造成</w:t>
      </w:r>
      <w:r>
        <w:rPr>
          <w:rFonts w:hint="eastAsia"/>
          <w:sz w:val="24"/>
          <w:highlight w:val="none"/>
          <w:lang w:val="en-US" w:eastAsia="zh-CN"/>
        </w:rPr>
        <w:t>土壤、水环境</w:t>
      </w:r>
      <w:r>
        <w:rPr>
          <w:sz w:val="24"/>
          <w:highlight w:val="none"/>
        </w:rPr>
        <w:t>污染。</w:t>
      </w:r>
    </w:p>
    <w:p w14:paraId="6061C218">
      <w:pPr>
        <w:spacing w:line="360" w:lineRule="auto"/>
        <w:ind w:firstLine="480" w:firstLineChars="200"/>
        <w:rPr>
          <w:sz w:val="24"/>
          <w:highlight w:val="none"/>
        </w:rPr>
      </w:pPr>
      <w:r>
        <w:rPr>
          <w:sz w:val="24"/>
          <w:highlight w:val="none"/>
        </w:rPr>
        <w:t>本项目发生环境风险事故时可能的环境影响途径见</w:t>
      </w:r>
      <w:r>
        <w:rPr>
          <w:sz w:val="24"/>
          <w:highlight w:val="none"/>
        </w:rPr>
        <w:fldChar w:fldCharType="begin"/>
      </w:r>
      <w:r>
        <w:rPr>
          <w:sz w:val="24"/>
          <w:highlight w:val="none"/>
        </w:rPr>
        <w:instrText xml:space="preserve"> REF _Ref163813390 \r \h  \* MERGEFORMAT </w:instrText>
      </w:r>
      <w:r>
        <w:rPr>
          <w:sz w:val="24"/>
          <w:highlight w:val="none"/>
        </w:rPr>
        <w:fldChar w:fldCharType="separate"/>
      </w:r>
      <w:r>
        <w:rPr>
          <w:rFonts w:hint="eastAsia"/>
          <w:sz w:val="24"/>
          <w:highlight w:val="none"/>
        </w:rPr>
        <w:t>图</w:t>
      </w:r>
      <w:r>
        <w:rPr>
          <w:rFonts w:hint="eastAsia"/>
          <w:sz w:val="24"/>
          <w:highlight w:val="none"/>
          <w:lang w:val="en-US" w:eastAsia="zh-CN"/>
        </w:rPr>
        <w:t>3</w:t>
      </w:r>
      <w:r>
        <w:rPr>
          <w:rFonts w:hint="eastAsia"/>
          <w:sz w:val="24"/>
          <w:highlight w:val="none"/>
        </w:rPr>
        <w:fldChar w:fldCharType="end"/>
      </w:r>
      <w:r>
        <w:rPr>
          <w:rFonts w:hint="eastAsia"/>
          <w:sz w:val="24"/>
          <w:highlight w:val="none"/>
          <w:lang w:val="en-US" w:eastAsia="zh-CN"/>
        </w:rPr>
        <w:t>.4-1</w:t>
      </w:r>
      <w:r>
        <w:rPr>
          <w:sz w:val="24"/>
          <w:highlight w:val="none"/>
        </w:rPr>
        <w:t>。</w:t>
      </w:r>
    </w:p>
    <w:p w14:paraId="2DA41B1C">
      <w:pPr>
        <w:spacing w:line="360" w:lineRule="auto"/>
        <w:jc w:val="center"/>
        <w:rPr>
          <w:rFonts w:hAnsiTheme="minorEastAsia" w:eastAsiaTheme="minorEastAsia"/>
          <w:kern w:val="0"/>
          <w:szCs w:val="20"/>
          <w:highlight w:val="none"/>
        </w:rPr>
      </w:pPr>
      <w:r>
        <w:rPr>
          <w:rFonts w:hAnsiTheme="minorEastAsia" w:eastAsiaTheme="minorEastAsia"/>
          <w:kern w:val="0"/>
          <w:szCs w:val="20"/>
          <w:highlight w:val="none"/>
        </w:rPr>
        <w:drawing>
          <wp:inline distT="0" distB="0" distL="0" distR="0">
            <wp:extent cx="5064760" cy="2132330"/>
            <wp:effectExtent l="0" t="0" r="2540" b="1270"/>
            <wp:docPr id="80" name="图片 4" descr="C:\Users\h2547smh\Documents\WeChat Files\huihui8227\FileStorage\Temp\1715582950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4" descr="C:\Users\h2547smh\Documents\WeChat Files\huihui8227\FileStorage\Temp\1715582950019.png"/>
                    <pic:cNvPicPr>
                      <a:picLocks noChangeAspect="1" noChangeArrowheads="1"/>
                    </pic:cNvPicPr>
                  </pic:nvPicPr>
                  <pic:blipFill>
                    <a:blip r:embed="rId31"/>
                    <a:srcRect/>
                    <a:stretch>
                      <a:fillRect/>
                    </a:stretch>
                  </pic:blipFill>
                  <pic:spPr>
                    <a:xfrm>
                      <a:off x="0" y="0"/>
                      <a:ext cx="5064760" cy="2132330"/>
                    </a:xfrm>
                    <a:prstGeom prst="rect">
                      <a:avLst/>
                    </a:prstGeom>
                    <a:noFill/>
                    <a:ln w="9525">
                      <a:noFill/>
                      <a:miter lim="800000"/>
                      <a:headEnd/>
                      <a:tailEnd/>
                    </a:ln>
                  </pic:spPr>
                </pic:pic>
              </a:graphicData>
            </a:graphic>
          </wp:inline>
        </w:drawing>
      </w:r>
    </w:p>
    <w:p w14:paraId="2DCF809D">
      <w:pPr>
        <w:spacing w:line="360" w:lineRule="auto"/>
        <w:jc w:val="center"/>
        <w:rPr>
          <w:rFonts w:hint="default" w:ascii="Times New Roman" w:hAnsi="Times New Roman" w:eastAsia="宋体" w:cs="Times New Roman"/>
          <w:b/>
          <w:bCs/>
          <w:sz w:val="21"/>
          <w:szCs w:val="21"/>
          <w:highlight w:val="none"/>
          <w:lang w:val="en-US" w:eastAsia="zh-CN"/>
        </w:rPr>
      </w:pPr>
      <w:r>
        <w:rPr>
          <w:rFonts w:hint="eastAsia" w:ascii="Times New Roman" w:hAnsi="Times New Roman" w:eastAsia="宋体" w:cs="Times New Roman"/>
          <w:b/>
          <w:bCs/>
          <w:sz w:val="21"/>
          <w:szCs w:val="21"/>
          <w:highlight w:val="none"/>
          <w:lang w:val="en-US" w:eastAsia="zh-CN"/>
        </w:rPr>
        <w:t>3.4-</w:t>
      </w:r>
      <w:r>
        <w:rPr>
          <w:rFonts w:hint="eastAsia" w:cs="Times New Roman"/>
          <w:b/>
          <w:bCs/>
          <w:sz w:val="21"/>
          <w:szCs w:val="21"/>
          <w:highlight w:val="none"/>
          <w:lang w:val="en-US" w:eastAsia="zh-CN"/>
        </w:rPr>
        <w:t>1</w:t>
      </w:r>
      <w:r>
        <w:rPr>
          <w:rFonts w:hint="eastAsia" w:ascii="Times New Roman" w:hAnsi="Times New Roman" w:eastAsia="宋体" w:cs="Times New Roman"/>
          <w:b/>
          <w:bCs/>
          <w:sz w:val="21"/>
          <w:szCs w:val="21"/>
          <w:highlight w:val="none"/>
          <w:lang w:val="en-US" w:eastAsia="zh-CN"/>
        </w:rPr>
        <w:t xml:space="preserve">   影响途径</w:t>
      </w:r>
    </w:p>
    <w:p w14:paraId="64BADCDA">
      <w:pPr>
        <w:keepNext/>
        <w:keepLines/>
        <w:spacing w:before="240" w:beforeLines="100" w:line="360" w:lineRule="auto"/>
        <w:outlineLvl w:val="0"/>
        <w:rPr>
          <w:rFonts w:hint="eastAsia"/>
          <w:b/>
          <w:bCs/>
          <w:kern w:val="44"/>
          <w:sz w:val="32"/>
          <w:szCs w:val="32"/>
          <w:highlight w:val="none"/>
        </w:rPr>
      </w:pPr>
      <w:bookmarkStart w:id="69" w:name="_Toc14317_WPSOffice_Level1"/>
      <w:r>
        <w:rPr>
          <w:rFonts w:hint="eastAsia"/>
          <w:b/>
          <w:bCs/>
          <w:kern w:val="44"/>
          <w:sz w:val="32"/>
          <w:szCs w:val="32"/>
          <w:highlight w:val="none"/>
        </w:rPr>
        <w:t>4</w:t>
      </w:r>
      <w:r>
        <w:rPr>
          <w:rFonts w:hint="eastAsia"/>
          <w:b/>
          <w:bCs/>
          <w:kern w:val="44"/>
          <w:sz w:val="32"/>
          <w:szCs w:val="32"/>
          <w:highlight w:val="none"/>
          <w:lang w:val="en-US" w:eastAsia="zh-CN"/>
        </w:rPr>
        <w:t>.</w:t>
      </w:r>
      <w:r>
        <w:rPr>
          <w:rFonts w:hint="eastAsia"/>
          <w:b/>
          <w:bCs/>
          <w:kern w:val="44"/>
          <w:sz w:val="32"/>
          <w:szCs w:val="32"/>
          <w:highlight w:val="none"/>
        </w:rPr>
        <w:t>环境风险分析</w:t>
      </w:r>
      <w:bookmarkEnd w:id="69"/>
    </w:p>
    <w:p w14:paraId="1444BC71">
      <w:pPr>
        <w:keepNext/>
        <w:keepLines/>
        <w:spacing w:line="360" w:lineRule="auto"/>
        <w:outlineLvl w:val="1"/>
        <w:rPr>
          <w:rFonts w:hint="default" w:eastAsia="宋体"/>
          <w:b/>
          <w:bCs/>
          <w:sz w:val="28"/>
          <w:szCs w:val="28"/>
          <w:highlight w:val="none"/>
          <w:lang w:val="en-US" w:eastAsia="zh-CN"/>
        </w:rPr>
      </w:pPr>
      <w:r>
        <w:rPr>
          <w:rFonts w:hint="eastAsia"/>
          <w:b/>
          <w:bCs/>
          <w:sz w:val="28"/>
          <w:szCs w:val="28"/>
          <w:highlight w:val="none"/>
        </w:rPr>
        <w:t>4.1</w:t>
      </w:r>
      <w:r>
        <w:rPr>
          <w:rFonts w:hint="eastAsia"/>
          <w:b/>
          <w:bCs/>
          <w:sz w:val="28"/>
          <w:szCs w:val="28"/>
          <w:highlight w:val="none"/>
          <w:lang w:val="en-US" w:eastAsia="zh-CN"/>
        </w:rPr>
        <w:t>突发环境事件案例</w:t>
      </w:r>
    </w:p>
    <w:p w14:paraId="1969BF14">
      <w:pPr>
        <w:spacing w:line="360" w:lineRule="auto"/>
        <w:ind w:firstLine="480" w:firstLineChars="200"/>
        <w:rPr>
          <w:rFonts w:ascii="Times New Roman" w:hAnsi="Times New Roman" w:eastAsia="宋体" w:cs="Times New Roman"/>
          <w:sz w:val="24"/>
          <w:highlight w:val="none"/>
          <w:lang w:val="zh-CN"/>
        </w:rPr>
      </w:pPr>
      <w:r>
        <w:rPr>
          <w:rFonts w:hint="eastAsia" w:ascii="Times New Roman" w:hAnsi="Times New Roman" w:eastAsia="宋体" w:cs="Times New Roman"/>
          <w:sz w:val="24"/>
          <w:highlight w:val="none"/>
          <w:lang w:val="zh-CN"/>
        </w:rPr>
        <w:t>贵州遵义桐梓中石化西南成品油管道柴油泄漏事故次生重大突发环境事件</w:t>
      </w:r>
    </w:p>
    <w:p w14:paraId="3947B957">
      <w:pPr>
        <w:spacing w:line="360" w:lineRule="auto"/>
        <w:ind w:firstLine="480" w:firstLineChars="200"/>
        <w:rPr>
          <w:rFonts w:hint="eastAsia" w:ascii="Times New Roman" w:hAnsi="Times New Roman" w:eastAsia="宋体" w:cs="Times New Roman"/>
          <w:sz w:val="24"/>
          <w:highlight w:val="none"/>
          <w:lang w:val="en-US" w:eastAsia="zh-CN"/>
        </w:rPr>
      </w:pPr>
      <w:r>
        <w:rPr>
          <w:rFonts w:ascii="Times New Roman" w:hAnsi="Times New Roman" w:eastAsia="宋体" w:cs="Times New Roman"/>
          <w:sz w:val="24"/>
          <w:highlight w:val="none"/>
          <w:lang w:val="zh-CN"/>
        </w:rPr>
        <w:t>2020年7月14日6时6分许，贵州省遵义市桐梓县境内中石化西南成品油管道柴油发生泄漏，造成跨贵州、重庆两省（市）的重大突发环境事件</w:t>
      </w:r>
      <w:r>
        <w:rPr>
          <w:rFonts w:hint="eastAsia" w:cs="Times New Roman"/>
          <w:sz w:val="24"/>
          <w:highlight w:val="none"/>
          <w:lang w:val="zh-CN"/>
        </w:rPr>
        <w:t>。</w:t>
      </w:r>
      <w:r>
        <w:rPr>
          <w:rFonts w:hint="eastAsia" w:ascii="Times New Roman" w:hAnsi="Times New Roman" w:eastAsia="宋体" w:cs="Times New Roman"/>
          <w:sz w:val="24"/>
          <w:highlight w:val="none"/>
          <w:lang w:val="en-US" w:eastAsia="zh-CN"/>
        </w:rPr>
        <w:t>7月14日6时6分，中石化华南分公司值守人员发现管道发生柴油泄漏。</w:t>
      </w:r>
    </w:p>
    <w:p w14:paraId="551F485B">
      <w:pPr>
        <w:spacing w:line="360" w:lineRule="auto"/>
        <w:ind w:firstLine="480" w:firstLineChars="200"/>
        <w:rPr>
          <w:rFonts w:hint="default" w:ascii="Times New Roman" w:hAnsi="Times New Roman" w:eastAsia="宋体" w:cs="Times New Roman"/>
          <w:sz w:val="24"/>
          <w:highlight w:val="none"/>
          <w:lang w:val="en-US" w:eastAsia="zh-CN"/>
        </w:rPr>
      </w:pPr>
      <w:r>
        <w:rPr>
          <w:rFonts w:hint="eastAsia" w:cs="Times New Roman"/>
          <w:sz w:val="24"/>
          <w:highlight w:val="none"/>
          <w:lang w:val="en-US" w:eastAsia="zh-CN"/>
        </w:rPr>
        <w:t>（一）事件经过</w:t>
      </w:r>
    </w:p>
    <w:p w14:paraId="59E59511">
      <w:pPr>
        <w:spacing w:line="360" w:lineRule="auto"/>
        <w:ind w:firstLine="480" w:firstLineChars="200"/>
        <w:rPr>
          <w:rFonts w:ascii="Times New Roman" w:hAnsi="Times New Roman" w:eastAsia="宋体" w:cs="Times New Roman"/>
          <w:sz w:val="24"/>
          <w:highlight w:val="none"/>
          <w:lang w:val="zh-CN"/>
        </w:rPr>
      </w:pPr>
      <w:r>
        <w:rPr>
          <w:rFonts w:hint="eastAsia" w:ascii="Times New Roman" w:hAnsi="Times New Roman" w:eastAsia="宋体" w:cs="Times New Roman"/>
          <w:sz w:val="24"/>
          <w:highlight w:val="none"/>
          <w:lang w:val="en-US" w:eastAsia="zh-CN"/>
        </w:rPr>
        <w:t>7月14日14时起，松坎河贵州</w:t>
      </w:r>
      <w:r>
        <w:rPr>
          <w:rFonts w:hint="eastAsia" w:cs="Times New Roman"/>
          <w:sz w:val="24"/>
          <w:highlight w:val="none"/>
          <w:lang w:val="en-US" w:eastAsia="zh-CN"/>
        </w:rPr>
        <w:t>和</w:t>
      </w:r>
      <w:r>
        <w:rPr>
          <w:rFonts w:hint="eastAsia" w:ascii="Times New Roman" w:hAnsi="Times New Roman" w:eastAsia="宋体" w:cs="Times New Roman"/>
          <w:sz w:val="24"/>
          <w:highlight w:val="none"/>
          <w:lang w:val="en-US" w:eastAsia="zh-CN"/>
        </w:rPr>
        <w:t>重庆交界断面石油类浓度开始超标［参考《地表水环境质量标准》（GB3838-2002）Ⅲ类标准0.05mg/L，下同］；14日16时45分，污染团前锋到达松藻煤矿取水点；15日8时35分，污染团前锋到达綦江区三江四钢取水点；16日9时10分，污染团前锋到达綦江区出境断面；16日16时20分，污染团前锋到达江津区广兴饮用水水源地。</w:t>
      </w:r>
    </w:p>
    <w:p w14:paraId="5CA9C2E8">
      <w:pPr>
        <w:spacing w:line="360" w:lineRule="auto"/>
        <w:ind w:firstLine="480" w:firstLineChars="200"/>
        <w:rPr>
          <w:rFonts w:hint="eastAsia" w:ascii="Times New Roman" w:hAnsi="Times New Roman" w:eastAsia="宋体" w:cs="Times New Roman"/>
          <w:sz w:val="24"/>
          <w:highlight w:val="none"/>
          <w:lang w:val="zh-CN"/>
        </w:rPr>
      </w:pPr>
      <w:r>
        <w:rPr>
          <w:rFonts w:hint="eastAsia" w:ascii="Times New Roman" w:hAnsi="Times New Roman" w:eastAsia="宋体" w:cs="Times New Roman"/>
          <w:sz w:val="24"/>
          <w:highlight w:val="none"/>
          <w:lang w:val="en-US" w:eastAsia="zh-CN"/>
        </w:rPr>
        <w:t>重庆市境内监测断面水质于7月18日6时起全面达标，贵州省境内监测断面水质于7月19日6时起全面达标。</w:t>
      </w:r>
    </w:p>
    <w:p w14:paraId="225ADB74">
      <w:pPr>
        <w:spacing w:line="360" w:lineRule="auto"/>
        <w:ind w:firstLine="480" w:firstLineChars="200"/>
        <w:rPr>
          <w:rFonts w:hint="eastAsia" w:ascii="Times New Roman" w:hAnsi="Times New Roman" w:eastAsia="宋体" w:cs="Times New Roman"/>
          <w:sz w:val="24"/>
          <w:highlight w:val="none"/>
          <w:lang w:val="zh-CN"/>
        </w:rPr>
      </w:pPr>
      <w:r>
        <w:rPr>
          <w:rFonts w:hint="eastAsia" w:ascii="Times New Roman" w:hAnsi="Times New Roman" w:eastAsia="宋体" w:cs="Times New Roman"/>
          <w:sz w:val="24"/>
          <w:highlight w:val="none"/>
          <w:lang w:val="en-US" w:eastAsia="zh-CN"/>
        </w:rPr>
        <w:t>（</w:t>
      </w:r>
      <w:r>
        <w:rPr>
          <w:rFonts w:hint="eastAsia" w:cs="Times New Roman"/>
          <w:sz w:val="24"/>
          <w:highlight w:val="none"/>
          <w:lang w:val="en-US" w:eastAsia="zh-CN"/>
        </w:rPr>
        <w:t>二</w:t>
      </w:r>
      <w:r>
        <w:rPr>
          <w:rFonts w:hint="eastAsia" w:ascii="Times New Roman" w:hAnsi="Times New Roman" w:eastAsia="宋体" w:cs="Times New Roman"/>
          <w:sz w:val="24"/>
          <w:highlight w:val="none"/>
          <w:lang w:val="en-US" w:eastAsia="zh-CN"/>
        </w:rPr>
        <w:t>）直接经济损失情况</w:t>
      </w:r>
    </w:p>
    <w:p w14:paraId="08260073">
      <w:pPr>
        <w:spacing w:line="360" w:lineRule="auto"/>
        <w:ind w:firstLine="480" w:firstLineChars="200"/>
        <w:rPr>
          <w:rFonts w:hint="eastAsia" w:ascii="Times New Roman" w:hAnsi="Times New Roman" w:eastAsia="宋体" w:cs="Times New Roman"/>
          <w:sz w:val="24"/>
          <w:highlight w:val="none"/>
          <w:lang w:val="zh-CN"/>
        </w:rPr>
      </w:pPr>
      <w:r>
        <w:rPr>
          <w:rFonts w:hint="eastAsia" w:ascii="Times New Roman" w:hAnsi="Times New Roman" w:eastAsia="宋体" w:cs="Times New Roman"/>
          <w:sz w:val="24"/>
          <w:highlight w:val="none"/>
          <w:lang w:val="en-US" w:eastAsia="zh-CN"/>
        </w:rPr>
        <w:t>经评估，本次突发环境事件应急响应阶段共造成直接经济损失148.73万元，其中，贵州省直接经济损失89.54万元，重庆市直接经济损失59.19万元。</w:t>
      </w:r>
    </w:p>
    <w:p w14:paraId="2CF9742F">
      <w:pPr>
        <w:spacing w:line="360" w:lineRule="auto"/>
        <w:ind w:firstLine="480" w:firstLineChars="200"/>
        <w:rPr>
          <w:rFonts w:hint="eastAsia" w:ascii="Times New Roman" w:hAnsi="Times New Roman" w:eastAsia="宋体" w:cs="Times New Roman"/>
          <w:sz w:val="24"/>
          <w:highlight w:val="none"/>
          <w:lang w:val="zh-CN"/>
        </w:rPr>
      </w:pPr>
      <w:r>
        <w:rPr>
          <w:rFonts w:hint="eastAsia" w:ascii="Times New Roman" w:hAnsi="Times New Roman" w:eastAsia="宋体" w:cs="Times New Roman"/>
          <w:sz w:val="24"/>
          <w:highlight w:val="none"/>
          <w:lang w:val="en-US" w:eastAsia="zh-CN"/>
        </w:rPr>
        <w:t>（</w:t>
      </w:r>
      <w:r>
        <w:rPr>
          <w:rFonts w:hint="eastAsia" w:cs="Times New Roman"/>
          <w:sz w:val="24"/>
          <w:highlight w:val="none"/>
          <w:lang w:val="en-US" w:eastAsia="zh-CN"/>
        </w:rPr>
        <w:t>三</w:t>
      </w:r>
      <w:r>
        <w:rPr>
          <w:rFonts w:hint="eastAsia" w:ascii="Times New Roman" w:hAnsi="Times New Roman" w:eastAsia="宋体" w:cs="Times New Roman"/>
          <w:sz w:val="24"/>
          <w:highlight w:val="none"/>
          <w:lang w:val="en-US" w:eastAsia="zh-CN"/>
        </w:rPr>
        <w:t>）环境影响情况</w:t>
      </w:r>
    </w:p>
    <w:p w14:paraId="721172B4">
      <w:pPr>
        <w:spacing w:line="360" w:lineRule="auto"/>
        <w:ind w:firstLine="480" w:firstLineChars="200"/>
        <w:rPr>
          <w:rFonts w:hint="eastAsia" w:ascii="Times New Roman" w:hAnsi="Times New Roman" w:eastAsia="宋体" w:cs="Times New Roman"/>
          <w:sz w:val="24"/>
          <w:highlight w:val="none"/>
          <w:lang w:val="zh-CN"/>
        </w:rPr>
      </w:pPr>
      <w:r>
        <w:rPr>
          <w:rFonts w:hint="eastAsia" w:ascii="Times New Roman" w:hAnsi="Times New Roman" w:eastAsia="宋体" w:cs="Times New Roman"/>
          <w:sz w:val="24"/>
          <w:highlight w:val="none"/>
          <w:lang w:val="en-US" w:eastAsia="zh-CN"/>
        </w:rPr>
        <w:t>经专家核算，此次事件中柴油泄漏量约为289.91吨。其中，回收约252.21吨，吸附约3.67吨，入土壤约20.58吨，入河约13.45吨。事件造成事故点下游捷阵溪、松坎河及綦江共计119公里河道石油类超标。綦江区三江水厂因饮用水水源地水质超标中断取水19小时，缩减了供水区域。事故点周边4.5亩农田被污染，受污染土壤约461.9吨。</w:t>
      </w:r>
    </w:p>
    <w:p w14:paraId="03C8FA41">
      <w:pPr>
        <w:spacing w:line="360" w:lineRule="auto"/>
        <w:ind w:firstLine="480" w:firstLineChars="200"/>
        <w:rPr>
          <w:rFonts w:hint="default" w:ascii="Times New Roman" w:hAnsi="Times New Roman" w:eastAsia="宋体" w:cs="Times New Roman"/>
          <w:sz w:val="24"/>
          <w:highlight w:val="none"/>
          <w:lang w:val="en-US" w:eastAsia="zh-CN"/>
        </w:rPr>
      </w:pPr>
      <w:r>
        <w:rPr>
          <w:rFonts w:hint="eastAsia" w:ascii="Times New Roman" w:hAnsi="Times New Roman" w:eastAsia="宋体" w:cs="Times New Roman"/>
          <w:sz w:val="24"/>
          <w:highlight w:val="none"/>
          <w:lang w:val="en-US" w:eastAsia="zh-CN"/>
        </w:rPr>
        <w:t>7月14日发现泄漏后，中石化华南分公司紧急停止输油，迅速关闭泄漏点上游的板桥镇阀室、夜郎阀室、东山阀室，并对泄漏点下游的尧龙山站通过大流量泄放进行泄压。6时34分起，现场投入280余人，以及挖机8台、油罐车21辆次、抽油设备14台、围油栏1680米、吸油毡210包等应急物资开展应急处置工作，7月15日10时完成封堵</w:t>
      </w:r>
      <w:r>
        <w:rPr>
          <w:rFonts w:hint="eastAsia" w:cs="Times New Roman"/>
          <w:sz w:val="24"/>
          <w:highlight w:val="none"/>
          <w:lang w:val="en-US" w:eastAsia="zh-CN"/>
        </w:rPr>
        <w:t>。</w:t>
      </w:r>
    </w:p>
    <w:p w14:paraId="6DD0B647">
      <w:pPr>
        <w:spacing w:line="360" w:lineRule="auto"/>
        <w:ind w:firstLine="480" w:firstLineChars="200"/>
        <w:rPr>
          <w:rFonts w:ascii="Times New Roman" w:hAnsi="Times New Roman" w:eastAsia="宋体" w:cs="Times New Roman"/>
          <w:sz w:val="24"/>
          <w:highlight w:val="none"/>
          <w:lang w:val="zh-CN"/>
        </w:rPr>
      </w:pPr>
      <w:r>
        <w:rPr>
          <w:rFonts w:ascii="Times New Roman" w:hAnsi="Times New Roman" w:eastAsia="宋体" w:cs="Times New Roman"/>
          <w:sz w:val="24"/>
          <w:highlight w:val="none"/>
          <w:lang w:val="zh-CN"/>
        </w:rPr>
        <w:t>风险事故概率</w:t>
      </w:r>
    </w:p>
    <w:p w14:paraId="5D0C88F3">
      <w:pPr>
        <w:spacing w:line="360" w:lineRule="auto"/>
        <w:ind w:firstLine="480" w:firstLineChars="200"/>
        <w:rPr>
          <w:rFonts w:ascii="Times New Roman" w:hAnsi="Times New Roman" w:eastAsia="宋体" w:cs="Times New Roman"/>
          <w:sz w:val="24"/>
          <w:highlight w:val="none"/>
          <w:lang w:val="zh-CN"/>
        </w:rPr>
      </w:pPr>
      <w:r>
        <w:rPr>
          <w:rFonts w:ascii="Times New Roman" w:hAnsi="Times New Roman" w:eastAsia="宋体" w:cs="Times New Roman"/>
          <w:sz w:val="24"/>
          <w:highlight w:val="none"/>
          <w:lang w:val="zh-CN"/>
        </w:rPr>
        <w:t>在风险识别的基础上，选择对环境影响较大并具有代表性的事故类型，设定风险事故情形。由于事故触发因素具有不确定性，因此事故情形的设定并不能包含全部可能的环境风险</w:t>
      </w:r>
      <w:r>
        <w:rPr>
          <w:rFonts w:hint="eastAsia" w:cs="Times New Roman"/>
          <w:sz w:val="24"/>
          <w:highlight w:val="none"/>
          <w:lang w:val="zh-CN"/>
        </w:rPr>
        <w:t>。</w:t>
      </w:r>
      <w:r>
        <w:rPr>
          <w:rFonts w:ascii="Times New Roman" w:hAnsi="Times New Roman" w:eastAsia="宋体" w:cs="Times New Roman"/>
          <w:sz w:val="24"/>
          <w:highlight w:val="none"/>
          <w:lang w:val="zh-CN"/>
        </w:rPr>
        <w:t>但通过具有代表性的事故情形分析可为风险管理提供科学依据。</w:t>
      </w:r>
    </w:p>
    <w:p w14:paraId="24DDA57C">
      <w:pPr>
        <w:spacing w:line="360" w:lineRule="auto"/>
        <w:ind w:firstLine="480" w:firstLineChars="200"/>
        <w:rPr>
          <w:rFonts w:ascii="Times New Roman" w:hAnsi="Times New Roman" w:eastAsia="宋体" w:cs="Times New Roman"/>
          <w:sz w:val="24"/>
          <w:highlight w:val="none"/>
          <w:lang w:val="zh-CN"/>
        </w:rPr>
      </w:pPr>
      <w:r>
        <w:rPr>
          <w:rFonts w:ascii="Times New Roman" w:hAnsi="Times New Roman" w:eastAsia="宋体" w:cs="Times New Roman"/>
          <w:sz w:val="24"/>
          <w:highlight w:val="none"/>
          <w:lang w:val="zh-CN"/>
        </w:rPr>
        <w:t>泄漏事故类型包括容器、管道、泵体、压缩机、装卸臂和装卸软管的泄漏和破裂等，按照《建设项目环境风险评价技术导则》（HJ169-2018）附录，各个泄漏事故类型</w:t>
      </w:r>
      <w:r>
        <w:rPr>
          <w:rFonts w:hint="eastAsia" w:cs="Times New Roman"/>
          <w:sz w:val="24"/>
          <w:highlight w:val="none"/>
          <w:lang w:val="zh-CN"/>
        </w:rPr>
        <w:t>的</w:t>
      </w:r>
      <w:r>
        <w:rPr>
          <w:rFonts w:ascii="Times New Roman" w:hAnsi="Times New Roman" w:eastAsia="宋体" w:cs="Times New Roman"/>
          <w:sz w:val="24"/>
          <w:highlight w:val="none"/>
          <w:lang w:val="zh-CN"/>
        </w:rPr>
        <w:t>泄漏频率见表</w:t>
      </w:r>
      <w:r>
        <w:rPr>
          <w:rFonts w:hint="eastAsia" w:ascii="Times New Roman" w:hAnsi="Times New Roman" w:eastAsia="宋体" w:cs="Times New Roman"/>
          <w:sz w:val="24"/>
          <w:highlight w:val="none"/>
          <w:lang w:val="en-US" w:eastAsia="zh-CN"/>
        </w:rPr>
        <w:t>4.1-</w:t>
      </w:r>
      <w:r>
        <w:rPr>
          <w:rFonts w:hint="eastAsia" w:cs="Times New Roman"/>
          <w:sz w:val="24"/>
          <w:highlight w:val="none"/>
          <w:lang w:val="en-US" w:eastAsia="zh-CN"/>
        </w:rPr>
        <w:t>1</w:t>
      </w:r>
      <w:r>
        <w:rPr>
          <w:rFonts w:ascii="Times New Roman" w:hAnsi="Times New Roman" w:eastAsia="宋体" w:cs="Times New Roman"/>
          <w:sz w:val="24"/>
          <w:highlight w:val="none"/>
          <w:lang w:val="zh-CN"/>
        </w:rPr>
        <w:t>。</w:t>
      </w:r>
    </w:p>
    <w:p w14:paraId="06B19D21">
      <w:pPr>
        <w:spacing w:line="360" w:lineRule="auto"/>
        <w:jc w:val="center"/>
        <w:rPr>
          <w:rFonts w:hint="eastAsia" w:ascii="Times New Roman" w:hAnsi="Times New Roman" w:eastAsia="宋体" w:cs="Times New Roman"/>
          <w:b/>
          <w:bCs/>
          <w:sz w:val="21"/>
          <w:szCs w:val="21"/>
          <w:highlight w:val="none"/>
          <w:lang w:val="en-US" w:eastAsia="zh-CN"/>
        </w:rPr>
      </w:pPr>
      <w:r>
        <w:rPr>
          <w:rFonts w:hint="eastAsia" w:ascii="Times New Roman" w:hAnsi="Times New Roman" w:eastAsia="宋体" w:cs="Times New Roman"/>
          <w:b/>
          <w:bCs/>
          <w:sz w:val="21"/>
          <w:szCs w:val="21"/>
          <w:highlight w:val="none"/>
          <w:lang w:val="en-US" w:eastAsia="zh-CN"/>
        </w:rPr>
        <w:t>表4.1-</w:t>
      </w:r>
      <w:r>
        <w:rPr>
          <w:rFonts w:hint="eastAsia" w:cs="Times New Roman"/>
          <w:b/>
          <w:bCs/>
          <w:sz w:val="21"/>
          <w:szCs w:val="21"/>
          <w:highlight w:val="none"/>
          <w:lang w:val="en-US" w:eastAsia="zh-CN"/>
        </w:rPr>
        <w:t>1</w:t>
      </w:r>
      <w:r>
        <w:rPr>
          <w:rFonts w:hint="eastAsia" w:ascii="Times New Roman" w:hAnsi="Times New Roman" w:eastAsia="宋体" w:cs="Times New Roman"/>
          <w:b/>
          <w:bCs/>
          <w:sz w:val="21"/>
          <w:szCs w:val="21"/>
          <w:highlight w:val="none"/>
          <w:lang w:val="en-US" w:eastAsia="zh-CN"/>
        </w:rPr>
        <w:t xml:space="preserve">   常用设备泄漏频率一览表</w:t>
      </w:r>
    </w:p>
    <w:tbl>
      <w:tblPr>
        <w:tblStyle w:val="19"/>
        <w:tblW w:w="89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5704"/>
        <w:gridCol w:w="1560"/>
      </w:tblGrid>
      <w:tr w14:paraId="095BF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14:paraId="35D91D29">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部件类型</w:t>
            </w:r>
          </w:p>
        </w:tc>
        <w:tc>
          <w:tcPr>
            <w:tcW w:w="5704" w:type="dxa"/>
            <w:vAlign w:val="center"/>
          </w:tcPr>
          <w:p w14:paraId="14602C8D">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泄漏模式</w:t>
            </w:r>
          </w:p>
        </w:tc>
        <w:tc>
          <w:tcPr>
            <w:tcW w:w="1560" w:type="dxa"/>
            <w:vAlign w:val="center"/>
          </w:tcPr>
          <w:p w14:paraId="20AD0788">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泄漏频率</w:t>
            </w:r>
          </w:p>
        </w:tc>
      </w:tr>
      <w:tr w14:paraId="5A69A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14:paraId="1937F42E">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反应器/工艺储罐/气体储罐/塔器</w:t>
            </w:r>
          </w:p>
        </w:tc>
        <w:tc>
          <w:tcPr>
            <w:tcW w:w="5704" w:type="dxa"/>
            <w:vAlign w:val="center"/>
          </w:tcPr>
          <w:p w14:paraId="2AB0AA7D">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泄漏孔径为10mm孔径</w:t>
            </w:r>
          </w:p>
          <w:p w14:paraId="3EF9387F">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10min内储罐泄漏完</w:t>
            </w:r>
          </w:p>
          <w:p w14:paraId="468DBF15">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储罐</w:t>
            </w:r>
            <w:r>
              <w:rPr>
                <w:rFonts w:hint="eastAsia" w:cs="Times New Roman" w:eastAsiaTheme="minorEastAsia"/>
                <w:bCs/>
                <w:sz w:val="21"/>
                <w:szCs w:val="21"/>
                <w:highlight w:val="none"/>
                <w:lang w:eastAsia="zh-CN"/>
              </w:rPr>
              <w:t>完</w:t>
            </w:r>
            <w:r>
              <w:rPr>
                <w:rFonts w:cs="Times New Roman" w:eastAsiaTheme="minorEastAsia"/>
                <w:bCs/>
                <w:sz w:val="21"/>
                <w:szCs w:val="21"/>
                <w:highlight w:val="none"/>
              </w:rPr>
              <w:t>全破裂</w:t>
            </w:r>
          </w:p>
        </w:tc>
        <w:tc>
          <w:tcPr>
            <w:tcW w:w="1560" w:type="dxa"/>
            <w:vAlign w:val="center"/>
          </w:tcPr>
          <w:p w14:paraId="6B3169C8">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1.00×10</w:t>
            </w:r>
            <w:r>
              <w:rPr>
                <w:rFonts w:cs="Times New Roman" w:eastAsiaTheme="minorEastAsia"/>
                <w:bCs/>
                <w:sz w:val="21"/>
                <w:szCs w:val="21"/>
                <w:highlight w:val="none"/>
                <w:vertAlign w:val="superscript"/>
              </w:rPr>
              <w:t>-4</w:t>
            </w:r>
            <w:r>
              <w:rPr>
                <w:rFonts w:cs="Times New Roman" w:eastAsiaTheme="minorEastAsia"/>
                <w:bCs/>
                <w:sz w:val="21"/>
                <w:szCs w:val="21"/>
                <w:highlight w:val="none"/>
              </w:rPr>
              <w:t>/a</w:t>
            </w:r>
          </w:p>
          <w:p w14:paraId="608C1535">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5.00×10</w:t>
            </w:r>
            <w:r>
              <w:rPr>
                <w:rFonts w:cs="Times New Roman" w:eastAsiaTheme="minorEastAsia"/>
                <w:bCs/>
                <w:sz w:val="21"/>
                <w:szCs w:val="21"/>
                <w:highlight w:val="none"/>
                <w:vertAlign w:val="superscript"/>
              </w:rPr>
              <w:t>-6</w:t>
            </w:r>
            <w:r>
              <w:rPr>
                <w:rFonts w:cs="Times New Roman" w:eastAsiaTheme="minorEastAsia"/>
                <w:bCs/>
                <w:sz w:val="21"/>
                <w:szCs w:val="21"/>
                <w:highlight w:val="none"/>
              </w:rPr>
              <w:t>/a</w:t>
            </w:r>
          </w:p>
          <w:p w14:paraId="62A0C905">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5.00×10</w:t>
            </w:r>
            <w:r>
              <w:rPr>
                <w:rFonts w:cs="Times New Roman" w:eastAsiaTheme="minorEastAsia"/>
                <w:bCs/>
                <w:sz w:val="21"/>
                <w:szCs w:val="21"/>
                <w:highlight w:val="none"/>
                <w:vertAlign w:val="superscript"/>
              </w:rPr>
              <w:t>-6</w:t>
            </w:r>
            <w:r>
              <w:rPr>
                <w:rFonts w:cs="Times New Roman" w:eastAsiaTheme="minorEastAsia"/>
                <w:bCs/>
                <w:sz w:val="21"/>
                <w:szCs w:val="21"/>
                <w:highlight w:val="none"/>
              </w:rPr>
              <w:t>/a</w:t>
            </w:r>
          </w:p>
        </w:tc>
      </w:tr>
      <w:tr w14:paraId="02B90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14:paraId="521C8F1D">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常压单包容储罐</w:t>
            </w:r>
          </w:p>
        </w:tc>
        <w:tc>
          <w:tcPr>
            <w:tcW w:w="5704" w:type="dxa"/>
            <w:vAlign w:val="center"/>
          </w:tcPr>
          <w:p w14:paraId="7CFFCE24">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泄漏孔径为10 mm孔径</w:t>
            </w:r>
          </w:p>
          <w:p w14:paraId="765BA337">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10 min内储罐泄漏完</w:t>
            </w:r>
          </w:p>
          <w:p w14:paraId="5656E822">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储罐</w:t>
            </w:r>
            <w:r>
              <w:rPr>
                <w:rFonts w:hint="eastAsia" w:cs="Times New Roman" w:eastAsiaTheme="minorEastAsia"/>
                <w:bCs/>
                <w:sz w:val="21"/>
                <w:szCs w:val="21"/>
                <w:highlight w:val="none"/>
                <w:lang w:eastAsia="zh-CN"/>
              </w:rPr>
              <w:t>完</w:t>
            </w:r>
            <w:r>
              <w:rPr>
                <w:rFonts w:cs="Times New Roman" w:eastAsiaTheme="minorEastAsia"/>
                <w:bCs/>
                <w:sz w:val="21"/>
                <w:szCs w:val="21"/>
                <w:highlight w:val="none"/>
              </w:rPr>
              <w:t>全破裂</w:t>
            </w:r>
          </w:p>
        </w:tc>
        <w:tc>
          <w:tcPr>
            <w:tcW w:w="1560" w:type="dxa"/>
            <w:vAlign w:val="center"/>
          </w:tcPr>
          <w:p w14:paraId="288E3017">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1.00×10</w:t>
            </w:r>
            <w:r>
              <w:rPr>
                <w:rFonts w:cs="Times New Roman" w:eastAsiaTheme="minorEastAsia"/>
                <w:bCs/>
                <w:sz w:val="21"/>
                <w:szCs w:val="21"/>
                <w:highlight w:val="none"/>
                <w:vertAlign w:val="superscript"/>
              </w:rPr>
              <w:t>-4</w:t>
            </w:r>
            <w:r>
              <w:rPr>
                <w:rFonts w:cs="Times New Roman" w:eastAsiaTheme="minorEastAsia"/>
                <w:bCs/>
                <w:sz w:val="21"/>
                <w:szCs w:val="21"/>
                <w:highlight w:val="none"/>
              </w:rPr>
              <w:t>/a</w:t>
            </w:r>
          </w:p>
          <w:p w14:paraId="2960142E">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5.00×10</w:t>
            </w:r>
            <w:r>
              <w:rPr>
                <w:rFonts w:cs="Times New Roman" w:eastAsiaTheme="minorEastAsia"/>
                <w:bCs/>
                <w:sz w:val="21"/>
                <w:szCs w:val="21"/>
                <w:highlight w:val="none"/>
                <w:vertAlign w:val="superscript"/>
              </w:rPr>
              <w:t>-6</w:t>
            </w:r>
            <w:r>
              <w:rPr>
                <w:rFonts w:cs="Times New Roman" w:eastAsiaTheme="minorEastAsia"/>
                <w:bCs/>
                <w:sz w:val="21"/>
                <w:szCs w:val="21"/>
                <w:highlight w:val="none"/>
              </w:rPr>
              <w:t>/a</w:t>
            </w:r>
          </w:p>
          <w:p w14:paraId="4456FC00">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5.00×10</w:t>
            </w:r>
            <w:r>
              <w:rPr>
                <w:rFonts w:cs="Times New Roman" w:eastAsiaTheme="minorEastAsia"/>
                <w:bCs/>
                <w:sz w:val="21"/>
                <w:szCs w:val="21"/>
                <w:highlight w:val="none"/>
                <w:vertAlign w:val="superscript"/>
              </w:rPr>
              <w:t>-6</w:t>
            </w:r>
            <w:r>
              <w:rPr>
                <w:rFonts w:cs="Times New Roman" w:eastAsiaTheme="minorEastAsia"/>
                <w:bCs/>
                <w:sz w:val="21"/>
                <w:szCs w:val="21"/>
                <w:highlight w:val="none"/>
              </w:rPr>
              <w:t>/a</w:t>
            </w:r>
          </w:p>
        </w:tc>
      </w:tr>
      <w:tr w14:paraId="5E3EF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14:paraId="00F6317A">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常压双包容储罐</w:t>
            </w:r>
          </w:p>
        </w:tc>
        <w:tc>
          <w:tcPr>
            <w:tcW w:w="5704" w:type="dxa"/>
            <w:vAlign w:val="center"/>
          </w:tcPr>
          <w:p w14:paraId="7ADC8179">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泄漏孔径为10 mm孔径</w:t>
            </w:r>
          </w:p>
          <w:p w14:paraId="79AC2548">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10 min内储罐泄漏完</w:t>
            </w:r>
          </w:p>
          <w:p w14:paraId="3867E2C0">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储罐</w:t>
            </w:r>
            <w:r>
              <w:rPr>
                <w:rFonts w:hint="eastAsia" w:cs="Times New Roman" w:eastAsiaTheme="minorEastAsia"/>
                <w:bCs/>
                <w:sz w:val="21"/>
                <w:szCs w:val="21"/>
                <w:highlight w:val="none"/>
                <w:lang w:eastAsia="zh-CN"/>
              </w:rPr>
              <w:t>完</w:t>
            </w:r>
            <w:r>
              <w:rPr>
                <w:rFonts w:cs="Times New Roman" w:eastAsiaTheme="minorEastAsia"/>
                <w:bCs/>
                <w:sz w:val="21"/>
                <w:szCs w:val="21"/>
                <w:highlight w:val="none"/>
              </w:rPr>
              <w:t>全破裂</w:t>
            </w:r>
          </w:p>
        </w:tc>
        <w:tc>
          <w:tcPr>
            <w:tcW w:w="1560" w:type="dxa"/>
            <w:vAlign w:val="center"/>
          </w:tcPr>
          <w:p w14:paraId="7EF4CF7F">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1.00×10</w:t>
            </w:r>
            <w:r>
              <w:rPr>
                <w:rFonts w:cs="Times New Roman" w:eastAsiaTheme="minorEastAsia"/>
                <w:bCs/>
                <w:sz w:val="21"/>
                <w:szCs w:val="21"/>
                <w:highlight w:val="none"/>
                <w:vertAlign w:val="superscript"/>
              </w:rPr>
              <w:t>-4</w:t>
            </w:r>
            <w:r>
              <w:rPr>
                <w:rFonts w:cs="Times New Roman" w:eastAsiaTheme="minorEastAsia"/>
                <w:bCs/>
                <w:sz w:val="21"/>
                <w:szCs w:val="21"/>
                <w:highlight w:val="none"/>
              </w:rPr>
              <w:t>/a</w:t>
            </w:r>
          </w:p>
          <w:p w14:paraId="616FCF19">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1.25×10</w:t>
            </w:r>
            <w:r>
              <w:rPr>
                <w:rFonts w:cs="Times New Roman" w:eastAsiaTheme="minorEastAsia"/>
                <w:bCs/>
                <w:sz w:val="21"/>
                <w:szCs w:val="21"/>
                <w:highlight w:val="none"/>
                <w:vertAlign w:val="superscript"/>
              </w:rPr>
              <w:t>-8</w:t>
            </w:r>
            <w:r>
              <w:rPr>
                <w:rFonts w:cs="Times New Roman" w:eastAsiaTheme="minorEastAsia"/>
                <w:bCs/>
                <w:sz w:val="21"/>
                <w:szCs w:val="21"/>
                <w:highlight w:val="none"/>
              </w:rPr>
              <w:t>/a</w:t>
            </w:r>
          </w:p>
          <w:p w14:paraId="47EAC927">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1.25×10</w:t>
            </w:r>
            <w:r>
              <w:rPr>
                <w:rFonts w:cs="Times New Roman" w:eastAsiaTheme="minorEastAsia"/>
                <w:bCs/>
                <w:sz w:val="21"/>
                <w:szCs w:val="21"/>
                <w:highlight w:val="none"/>
                <w:vertAlign w:val="superscript"/>
              </w:rPr>
              <w:t>-8</w:t>
            </w:r>
            <w:r>
              <w:rPr>
                <w:rFonts w:cs="Times New Roman" w:eastAsiaTheme="minorEastAsia"/>
                <w:bCs/>
                <w:sz w:val="21"/>
                <w:szCs w:val="21"/>
                <w:highlight w:val="none"/>
              </w:rPr>
              <w:t>/a</w:t>
            </w:r>
          </w:p>
        </w:tc>
      </w:tr>
      <w:tr w14:paraId="2A572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14:paraId="4DD36CB2">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常压全包容储罐</w:t>
            </w:r>
          </w:p>
        </w:tc>
        <w:tc>
          <w:tcPr>
            <w:tcW w:w="5704" w:type="dxa"/>
            <w:vAlign w:val="center"/>
          </w:tcPr>
          <w:p w14:paraId="50B17027">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储罐</w:t>
            </w:r>
            <w:r>
              <w:rPr>
                <w:rFonts w:hint="eastAsia" w:cs="Times New Roman" w:eastAsiaTheme="minorEastAsia"/>
                <w:bCs/>
                <w:sz w:val="21"/>
                <w:szCs w:val="21"/>
                <w:highlight w:val="none"/>
                <w:lang w:eastAsia="zh-CN"/>
              </w:rPr>
              <w:t>完</w:t>
            </w:r>
            <w:r>
              <w:rPr>
                <w:rFonts w:cs="Times New Roman" w:eastAsiaTheme="minorEastAsia"/>
                <w:bCs/>
                <w:sz w:val="21"/>
                <w:szCs w:val="21"/>
                <w:highlight w:val="none"/>
              </w:rPr>
              <w:t>全破裂</w:t>
            </w:r>
          </w:p>
        </w:tc>
        <w:tc>
          <w:tcPr>
            <w:tcW w:w="1560" w:type="dxa"/>
            <w:vAlign w:val="center"/>
          </w:tcPr>
          <w:p w14:paraId="7BBBDC66">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1.00×10</w:t>
            </w:r>
            <w:r>
              <w:rPr>
                <w:rFonts w:cs="Times New Roman" w:eastAsiaTheme="minorEastAsia"/>
                <w:bCs/>
                <w:sz w:val="21"/>
                <w:szCs w:val="21"/>
                <w:highlight w:val="none"/>
                <w:vertAlign w:val="superscript"/>
              </w:rPr>
              <w:t>-8</w:t>
            </w:r>
            <w:r>
              <w:rPr>
                <w:rFonts w:cs="Times New Roman" w:eastAsiaTheme="minorEastAsia"/>
                <w:bCs/>
                <w:sz w:val="21"/>
                <w:szCs w:val="21"/>
                <w:highlight w:val="none"/>
              </w:rPr>
              <w:t>/a</w:t>
            </w:r>
          </w:p>
        </w:tc>
      </w:tr>
      <w:tr w14:paraId="1991F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14:paraId="147C91B9">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内径≤75mm的管道</w:t>
            </w:r>
          </w:p>
        </w:tc>
        <w:tc>
          <w:tcPr>
            <w:tcW w:w="5704" w:type="dxa"/>
            <w:vAlign w:val="center"/>
          </w:tcPr>
          <w:p w14:paraId="79A49387">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泄漏孔径为10%孔径</w:t>
            </w:r>
          </w:p>
          <w:p w14:paraId="4E580B67">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全管径泄漏</w:t>
            </w:r>
          </w:p>
        </w:tc>
        <w:tc>
          <w:tcPr>
            <w:tcW w:w="1560" w:type="dxa"/>
            <w:vAlign w:val="center"/>
          </w:tcPr>
          <w:p w14:paraId="09F3E457">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5.00×10</w:t>
            </w:r>
            <w:r>
              <w:rPr>
                <w:rFonts w:cs="Times New Roman" w:eastAsiaTheme="minorEastAsia"/>
                <w:bCs/>
                <w:sz w:val="21"/>
                <w:szCs w:val="21"/>
                <w:highlight w:val="none"/>
                <w:vertAlign w:val="superscript"/>
              </w:rPr>
              <w:t>-6</w:t>
            </w:r>
            <w:r>
              <w:rPr>
                <w:rFonts w:cs="Times New Roman" w:eastAsiaTheme="minorEastAsia"/>
                <w:bCs/>
                <w:sz w:val="21"/>
                <w:szCs w:val="21"/>
                <w:highlight w:val="none"/>
              </w:rPr>
              <w:t>/m·a</w:t>
            </w:r>
          </w:p>
          <w:p w14:paraId="38624659">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1.00×10</w:t>
            </w:r>
            <w:r>
              <w:rPr>
                <w:rFonts w:cs="Times New Roman" w:eastAsiaTheme="minorEastAsia"/>
                <w:bCs/>
                <w:sz w:val="21"/>
                <w:szCs w:val="21"/>
                <w:highlight w:val="none"/>
                <w:vertAlign w:val="superscript"/>
              </w:rPr>
              <w:t>-6</w:t>
            </w:r>
            <w:r>
              <w:rPr>
                <w:rFonts w:cs="Times New Roman" w:eastAsiaTheme="minorEastAsia"/>
                <w:bCs/>
                <w:sz w:val="21"/>
                <w:szCs w:val="21"/>
                <w:highlight w:val="none"/>
              </w:rPr>
              <w:t>/m·a</w:t>
            </w:r>
          </w:p>
        </w:tc>
      </w:tr>
      <w:tr w14:paraId="01D2A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14:paraId="6FB50D03">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75mm&lt;内径≤150mm的管道</w:t>
            </w:r>
          </w:p>
        </w:tc>
        <w:tc>
          <w:tcPr>
            <w:tcW w:w="5704" w:type="dxa"/>
            <w:vAlign w:val="center"/>
          </w:tcPr>
          <w:p w14:paraId="6221FEAB">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泄漏孔径为10%孔径</w:t>
            </w:r>
          </w:p>
          <w:p w14:paraId="13DC080C">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全管径泄漏</w:t>
            </w:r>
          </w:p>
        </w:tc>
        <w:tc>
          <w:tcPr>
            <w:tcW w:w="1560" w:type="dxa"/>
            <w:vAlign w:val="center"/>
          </w:tcPr>
          <w:p w14:paraId="17A96B09">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2.00×10</w:t>
            </w:r>
            <w:r>
              <w:rPr>
                <w:rFonts w:cs="Times New Roman" w:eastAsiaTheme="minorEastAsia"/>
                <w:bCs/>
                <w:sz w:val="21"/>
                <w:szCs w:val="21"/>
                <w:highlight w:val="none"/>
                <w:vertAlign w:val="superscript"/>
              </w:rPr>
              <w:t>-6</w:t>
            </w:r>
            <w:r>
              <w:rPr>
                <w:rFonts w:cs="Times New Roman" w:eastAsiaTheme="minorEastAsia"/>
                <w:bCs/>
                <w:sz w:val="21"/>
                <w:szCs w:val="21"/>
                <w:highlight w:val="none"/>
              </w:rPr>
              <w:t>/m·a</w:t>
            </w:r>
          </w:p>
          <w:p w14:paraId="41D772FA">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3.00×10</w:t>
            </w:r>
            <w:r>
              <w:rPr>
                <w:rFonts w:cs="Times New Roman" w:eastAsiaTheme="minorEastAsia"/>
                <w:bCs/>
                <w:sz w:val="21"/>
                <w:szCs w:val="21"/>
                <w:highlight w:val="none"/>
                <w:vertAlign w:val="superscript"/>
              </w:rPr>
              <w:t>-7</w:t>
            </w:r>
            <w:r>
              <w:rPr>
                <w:rFonts w:cs="Times New Roman" w:eastAsiaTheme="minorEastAsia"/>
                <w:bCs/>
                <w:sz w:val="21"/>
                <w:szCs w:val="21"/>
                <w:highlight w:val="none"/>
              </w:rPr>
              <w:t>/m·a</w:t>
            </w:r>
          </w:p>
        </w:tc>
      </w:tr>
      <w:tr w14:paraId="594C8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14:paraId="7A1CD005">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内径＞150mm的管道</w:t>
            </w:r>
          </w:p>
        </w:tc>
        <w:tc>
          <w:tcPr>
            <w:tcW w:w="5704" w:type="dxa"/>
            <w:vAlign w:val="center"/>
          </w:tcPr>
          <w:p w14:paraId="2F8DD401">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泄漏孔径为10%孔径（最大50 mm）</w:t>
            </w:r>
          </w:p>
          <w:p w14:paraId="0BF31383">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全管径泄漏</w:t>
            </w:r>
          </w:p>
        </w:tc>
        <w:tc>
          <w:tcPr>
            <w:tcW w:w="1560" w:type="dxa"/>
            <w:vAlign w:val="center"/>
          </w:tcPr>
          <w:p w14:paraId="0FE47BB9">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2.40×10</w:t>
            </w:r>
            <w:r>
              <w:rPr>
                <w:rFonts w:cs="Times New Roman" w:eastAsiaTheme="minorEastAsia"/>
                <w:bCs/>
                <w:sz w:val="21"/>
                <w:szCs w:val="21"/>
                <w:highlight w:val="none"/>
                <w:vertAlign w:val="superscript"/>
              </w:rPr>
              <w:t>-6</w:t>
            </w:r>
            <w:r>
              <w:rPr>
                <w:rFonts w:cs="Times New Roman" w:eastAsiaTheme="minorEastAsia"/>
                <w:bCs/>
                <w:sz w:val="21"/>
                <w:szCs w:val="21"/>
                <w:highlight w:val="none"/>
              </w:rPr>
              <w:t>/m·a</w:t>
            </w:r>
          </w:p>
          <w:p w14:paraId="42E12246">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1.00×10</w:t>
            </w:r>
            <w:r>
              <w:rPr>
                <w:rFonts w:cs="Times New Roman" w:eastAsiaTheme="minorEastAsia"/>
                <w:bCs/>
                <w:sz w:val="21"/>
                <w:szCs w:val="21"/>
                <w:highlight w:val="none"/>
                <w:vertAlign w:val="superscript"/>
              </w:rPr>
              <w:t>-7</w:t>
            </w:r>
            <w:r>
              <w:rPr>
                <w:rFonts w:cs="Times New Roman" w:eastAsiaTheme="minorEastAsia"/>
                <w:bCs/>
                <w:sz w:val="21"/>
                <w:szCs w:val="21"/>
                <w:highlight w:val="none"/>
              </w:rPr>
              <w:t>/m·a</w:t>
            </w:r>
          </w:p>
        </w:tc>
      </w:tr>
      <w:tr w14:paraId="09982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14:paraId="31085A2B">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泵体和压缩机</w:t>
            </w:r>
          </w:p>
        </w:tc>
        <w:tc>
          <w:tcPr>
            <w:tcW w:w="5704" w:type="dxa"/>
            <w:vAlign w:val="center"/>
          </w:tcPr>
          <w:p w14:paraId="1358CC68">
            <w:pPr>
              <w:autoSpaceDE w:val="0"/>
              <w:autoSpaceDN w:val="0"/>
              <w:adjustRightInd w:val="0"/>
              <w:snapToGrid w:val="0"/>
              <w:spacing w:line="240" w:lineRule="auto"/>
              <w:ind w:firstLine="0" w:firstLineChars="0"/>
              <w:jc w:val="both"/>
              <w:rPr>
                <w:rFonts w:hint="eastAsia" w:cs="Times New Roman" w:eastAsiaTheme="minorEastAsia"/>
                <w:bCs/>
                <w:sz w:val="21"/>
                <w:szCs w:val="21"/>
                <w:highlight w:val="none"/>
                <w:lang w:eastAsia="zh-CN"/>
              </w:rPr>
            </w:pPr>
            <w:r>
              <w:rPr>
                <w:rFonts w:cs="Times New Roman" w:eastAsiaTheme="minorEastAsia"/>
                <w:bCs/>
                <w:sz w:val="21"/>
                <w:szCs w:val="21"/>
                <w:highlight w:val="none"/>
              </w:rPr>
              <w:t>泵体和压缩机最大连接管泄漏孔径为10%孔径（最大50mm）</w:t>
            </w:r>
          </w:p>
          <w:p w14:paraId="24794BE1">
            <w:pPr>
              <w:autoSpaceDE w:val="0"/>
              <w:autoSpaceDN w:val="0"/>
              <w:adjustRightInd w:val="0"/>
              <w:snapToGrid w:val="0"/>
              <w:spacing w:line="240" w:lineRule="auto"/>
              <w:ind w:firstLine="0" w:firstLineChars="0"/>
              <w:jc w:val="center"/>
              <w:rPr>
                <w:rFonts w:hint="eastAsia" w:cs="Times New Roman" w:eastAsiaTheme="minorEastAsia"/>
                <w:bCs/>
                <w:sz w:val="21"/>
                <w:szCs w:val="21"/>
                <w:highlight w:val="none"/>
                <w:lang w:eastAsia="zh-CN"/>
              </w:rPr>
            </w:pPr>
            <w:r>
              <w:rPr>
                <w:rFonts w:cs="Times New Roman" w:eastAsiaTheme="minorEastAsia"/>
                <w:bCs/>
                <w:sz w:val="21"/>
                <w:szCs w:val="21"/>
                <w:highlight w:val="none"/>
              </w:rPr>
              <w:t>泵体和压缩机最大连接管全管径泄漏</w:t>
            </w:r>
          </w:p>
        </w:tc>
        <w:tc>
          <w:tcPr>
            <w:tcW w:w="1560" w:type="dxa"/>
            <w:vAlign w:val="center"/>
          </w:tcPr>
          <w:p w14:paraId="00D4702C">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5.00×10</w:t>
            </w:r>
            <w:r>
              <w:rPr>
                <w:rFonts w:cs="Times New Roman" w:eastAsiaTheme="minorEastAsia"/>
                <w:bCs/>
                <w:sz w:val="21"/>
                <w:szCs w:val="21"/>
                <w:highlight w:val="none"/>
                <w:vertAlign w:val="superscript"/>
              </w:rPr>
              <w:t>-4</w:t>
            </w:r>
            <w:r>
              <w:rPr>
                <w:rFonts w:cs="Times New Roman" w:eastAsiaTheme="minorEastAsia"/>
                <w:bCs/>
                <w:sz w:val="21"/>
                <w:szCs w:val="21"/>
                <w:highlight w:val="none"/>
              </w:rPr>
              <w:t>/a</w:t>
            </w:r>
          </w:p>
          <w:p w14:paraId="6F63473F">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1.00×10</w:t>
            </w:r>
            <w:r>
              <w:rPr>
                <w:rFonts w:cs="Times New Roman" w:eastAsiaTheme="minorEastAsia"/>
                <w:bCs/>
                <w:sz w:val="21"/>
                <w:szCs w:val="21"/>
                <w:highlight w:val="none"/>
                <w:vertAlign w:val="superscript"/>
              </w:rPr>
              <w:t>-4</w:t>
            </w:r>
            <w:r>
              <w:rPr>
                <w:rFonts w:cs="Times New Roman" w:eastAsiaTheme="minorEastAsia"/>
                <w:bCs/>
                <w:sz w:val="21"/>
                <w:szCs w:val="21"/>
                <w:highlight w:val="none"/>
              </w:rPr>
              <w:t>/a</w:t>
            </w:r>
          </w:p>
        </w:tc>
      </w:tr>
      <w:tr w14:paraId="6495B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14:paraId="1EEB4A56">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装卸臂</w:t>
            </w:r>
          </w:p>
        </w:tc>
        <w:tc>
          <w:tcPr>
            <w:tcW w:w="5704" w:type="dxa"/>
            <w:vAlign w:val="center"/>
          </w:tcPr>
          <w:p w14:paraId="38A5B1B9">
            <w:pPr>
              <w:autoSpaceDE w:val="0"/>
              <w:autoSpaceDN w:val="0"/>
              <w:adjustRightInd w:val="0"/>
              <w:snapToGrid w:val="0"/>
              <w:spacing w:line="240" w:lineRule="auto"/>
              <w:ind w:firstLine="0" w:firstLineChars="0"/>
              <w:jc w:val="center"/>
              <w:rPr>
                <w:rFonts w:hint="eastAsia" w:cs="Times New Roman" w:eastAsiaTheme="minorEastAsia"/>
                <w:bCs/>
                <w:sz w:val="21"/>
                <w:szCs w:val="21"/>
                <w:highlight w:val="none"/>
                <w:lang w:eastAsia="zh-CN"/>
              </w:rPr>
            </w:pPr>
            <w:r>
              <w:rPr>
                <w:rFonts w:cs="Times New Roman" w:eastAsiaTheme="minorEastAsia"/>
                <w:bCs/>
                <w:sz w:val="21"/>
                <w:szCs w:val="21"/>
                <w:highlight w:val="none"/>
              </w:rPr>
              <w:t>装卸臂连接管泄漏孔径为10%孔径（最大50mm）</w:t>
            </w:r>
          </w:p>
          <w:p w14:paraId="6C93CC46">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装卸臂全管径泄漏</w:t>
            </w:r>
          </w:p>
        </w:tc>
        <w:tc>
          <w:tcPr>
            <w:tcW w:w="1560" w:type="dxa"/>
            <w:vAlign w:val="center"/>
          </w:tcPr>
          <w:p w14:paraId="6F71951A">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3.00×10</w:t>
            </w:r>
            <w:r>
              <w:rPr>
                <w:rFonts w:cs="Times New Roman" w:eastAsiaTheme="minorEastAsia"/>
                <w:bCs/>
                <w:sz w:val="21"/>
                <w:szCs w:val="21"/>
                <w:highlight w:val="none"/>
                <w:vertAlign w:val="superscript"/>
              </w:rPr>
              <w:t>-7</w:t>
            </w:r>
            <w:r>
              <w:rPr>
                <w:rFonts w:cs="Times New Roman" w:eastAsiaTheme="minorEastAsia"/>
                <w:bCs/>
                <w:sz w:val="21"/>
                <w:szCs w:val="21"/>
                <w:highlight w:val="none"/>
              </w:rPr>
              <w:t>/h</w:t>
            </w:r>
          </w:p>
          <w:p w14:paraId="7B528355">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3.00×10</w:t>
            </w:r>
            <w:r>
              <w:rPr>
                <w:rFonts w:cs="Times New Roman" w:eastAsiaTheme="minorEastAsia"/>
                <w:bCs/>
                <w:sz w:val="21"/>
                <w:szCs w:val="21"/>
                <w:highlight w:val="none"/>
                <w:vertAlign w:val="superscript"/>
              </w:rPr>
              <w:t>-8</w:t>
            </w:r>
            <w:r>
              <w:rPr>
                <w:rFonts w:cs="Times New Roman" w:eastAsiaTheme="minorEastAsia"/>
                <w:bCs/>
                <w:sz w:val="21"/>
                <w:szCs w:val="21"/>
                <w:highlight w:val="none"/>
              </w:rPr>
              <w:t>/h</w:t>
            </w:r>
          </w:p>
        </w:tc>
      </w:tr>
      <w:tr w14:paraId="29F28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14:paraId="5B5DD136">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装卸软管</w:t>
            </w:r>
          </w:p>
        </w:tc>
        <w:tc>
          <w:tcPr>
            <w:tcW w:w="5704" w:type="dxa"/>
            <w:vAlign w:val="center"/>
          </w:tcPr>
          <w:p w14:paraId="44452B81">
            <w:pPr>
              <w:autoSpaceDE w:val="0"/>
              <w:autoSpaceDN w:val="0"/>
              <w:adjustRightInd w:val="0"/>
              <w:snapToGrid w:val="0"/>
              <w:spacing w:line="240" w:lineRule="auto"/>
              <w:ind w:firstLine="0" w:firstLineChars="0"/>
              <w:jc w:val="center"/>
              <w:rPr>
                <w:rFonts w:hint="eastAsia" w:cs="Times New Roman" w:eastAsiaTheme="minorEastAsia"/>
                <w:bCs/>
                <w:sz w:val="21"/>
                <w:szCs w:val="21"/>
                <w:highlight w:val="none"/>
                <w:lang w:eastAsia="zh-CN"/>
              </w:rPr>
            </w:pPr>
            <w:r>
              <w:rPr>
                <w:rFonts w:cs="Times New Roman" w:eastAsiaTheme="minorEastAsia"/>
                <w:bCs/>
                <w:sz w:val="21"/>
                <w:szCs w:val="21"/>
                <w:highlight w:val="none"/>
              </w:rPr>
              <w:t>装卸软管连接管泄漏孔径为10%孔径（最大50mm）</w:t>
            </w:r>
          </w:p>
          <w:p w14:paraId="629B7294">
            <w:pPr>
              <w:autoSpaceDE w:val="0"/>
              <w:autoSpaceDN w:val="0"/>
              <w:adjustRightInd w:val="0"/>
              <w:snapToGrid w:val="0"/>
              <w:spacing w:line="240" w:lineRule="auto"/>
              <w:ind w:firstLine="0" w:firstLineChars="0"/>
              <w:jc w:val="center"/>
              <w:rPr>
                <w:rFonts w:hint="eastAsia" w:cs="Times New Roman" w:eastAsiaTheme="minorEastAsia"/>
                <w:bCs/>
                <w:sz w:val="21"/>
                <w:szCs w:val="21"/>
                <w:highlight w:val="none"/>
                <w:lang w:eastAsia="zh-CN"/>
              </w:rPr>
            </w:pPr>
            <w:r>
              <w:rPr>
                <w:rFonts w:cs="Times New Roman" w:eastAsiaTheme="minorEastAsia"/>
                <w:bCs/>
                <w:sz w:val="21"/>
                <w:szCs w:val="21"/>
                <w:highlight w:val="none"/>
              </w:rPr>
              <w:t>装卸软管全管径泄漏</w:t>
            </w:r>
          </w:p>
        </w:tc>
        <w:tc>
          <w:tcPr>
            <w:tcW w:w="1560" w:type="dxa"/>
            <w:vAlign w:val="center"/>
          </w:tcPr>
          <w:p w14:paraId="6092391A">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4.00×10</w:t>
            </w:r>
            <w:r>
              <w:rPr>
                <w:rFonts w:cs="Times New Roman" w:eastAsiaTheme="minorEastAsia"/>
                <w:bCs/>
                <w:sz w:val="21"/>
                <w:szCs w:val="21"/>
                <w:highlight w:val="none"/>
                <w:vertAlign w:val="superscript"/>
              </w:rPr>
              <w:t>-5</w:t>
            </w:r>
            <w:r>
              <w:rPr>
                <w:rFonts w:cs="Times New Roman" w:eastAsiaTheme="minorEastAsia"/>
                <w:bCs/>
                <w:sz w:val="21"/>
                <w:szCs w:val="21"/>
                <w:highlight w:val="none"/>
              </w:rPr>
              <w:t>/h</w:t>
            </w:r>
          </w:p>
          <w:p w14:paraId="776A3D30">
            <w:pPr>
              <w:autoSpaceDE w:val="0"/>
              <w:autoSpaceDN w:val="0"/>
              <w:adjustRightInd w:val="0"/>
              <w:snapToGrid w:val="0"/>
              <w:spacing w:line="240" w:lineRule="auto"/>
              <w:ind w:firstLine="0" w:firstLineChars="0"/>
              <w:jc w:val="center"/>
              <w:rPr>
                <w:rFonts w:cs="Times New Roman" w:eastAsiaTheme="minorEastAsia"/>
                <w:bCs/>
                <w:sz w:val="21"/>
                <w:szCs w:val="21"/>
                <w:highlight w:val="none"/>
              </w:rPr>
            </w:pPr>
            <w:r>
              <w:rPr>
                <w:rFonts w:cs="Times New Roman" w:eastAsiaTheme="minorEastAsia"/>
                <w:bCs/>
                <w:sz w:val="21"/>
                <w:szCs w:val="21"/>
                <w:highlight w:val="none"/>
              </w:rPr>
              <w:t>4.00×10</w:t>
            </w:r>
            <w:r>
              <w:rPr>
                <w:rFonts w:cs="Times New Roman" w:eastAsiaTheme="minorEastAsia"/>
                <w:bCs/>
                <w:sz w:val="21"/>
                <w:szCs w:val="21"/>
                <w:highlight w:val="none"/>
                <w:vertAlign w:val="superscript"/>
              </w:rPr>
              <w:t>-6</w:t>
            </w:r>
            <w:r>
              <w:rPr>
                <w:rFonts w:cs="Times New Roman" w:eastAsiaTheme="minorEastAsia"/>
                <w:bCs/>
                <w:sz w:val="21"/>
                <w:szCs w:val="21"/>
                <w:highlight w:val="none"/>
              </w:rPr>
              <w:t>/h</w:t>
            </w:r>
          </w:p>
        </w:tc>
      </w:tr>
      <w:tr w14:paraId="68974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68" w:type="dxa"/>
            <w:gridSpan w:val="3"/>
            <w:vAlign w:val="center"/>
          </w:tcPr>
          <w:p w14:paraId="772B9466">
            <w:pPr>
              <w:autoSpaceDE w:val="0"/>
              <w:autoSpaceDN w:val="0"/>
              <w:adjustRightInd w:val="0"/>
              <w:snapToGrid w:val="0"/>
              <w:spacing w:line="240" w:lineRule="auto"/>
              <w:ind w:firstLine="0" w:firstLineChars="0"/>
              <w:jc w:val="center"/>
              <w:rPr>
                <w:rFonts w:cs="Times New Roman"/>
                <w:highlight w:val="none"/>
              </w:rPr>
            </w:pPr>
            <w:r>
              <w:rPr>
                <w:rFonts w:cs="Times New Roman" w:eastAsiaTheme="minorEastAsia"/>
                <w:bCs/>
                <w:sz w:val="21"/>
                <w:szCs w:val="21"/>
                <w:highlight w:val="none"/>
              </w:rPr>
              <w:t>注：以上数据来源于荷兰TNO紫皮书（Guidelines for Quantitative）以及Reference Manual Bevi Risk Assessments；来源于国际油气协会International Association of Oil &amp;Gas Producers发布的Risk Assessment Data Directory（2010</w:t>
            </w:r>
            <w:r>
              <w:rPr>
                <w:rFonts w:hint="eastAsia" w:cs="Times New Roman" w:eastAsiaTheme="minorEastAsia"/>
                <w:bCs/>
                <w:sz w:val="21"/>
                <w:szCs w:val="21"/>
                <w:highlight w:val="none"/>
                <w:lang w:eastAsia="zh-CN"/>
              </w:rPr>
              <w:t>，</w:t>
            </w:r>
            <w:r>
              <w:rPr>
                <w:rFonts w:cs="Times New Roman" w:eastAsiaTheme="minorEastAsia"/>
                <w:bCs/>
                <w:sz w:val="21"/>
                <w:szCs w:val="21"/>
                <w:highlight w:val="none"/>
              </w:rPr>
              <w:t>3）。</w:t>
            </w:r>
          </w:p>
        </w:tc>
      </w:tr>
    </w:tbl>
    <w:p w14:paraId="0BC716DB">
      <w:pPr>
        <w:spacing w:line="360" w:lineRule="auto"/>
        <w:ind w:firstLine="480" w:firstLineChars="200"/>
        <w:rPr>
          <w:rFonts w:hint="eastAsia" w:ascii="Times New Roman" w:hAnsi="Times New Roman" w:eastAsia="宋体" w:cs="Times New Roman"/>
          <w:sz w:val="24"/>
          <w:highlight w:val="none"/>
          <w:lang w:val="zh-CN"/>
        </w:rPr>
      </w:pPr>
      <w:r>
        <w:rPr>
          <w:rFonts w:ascii="Times New Roman" w:hAnsi="Times New Roman" w:eastAsia="宋体" w:cs="Times New Roman"/>
          <w:sz w:val="24"/>
          <w:highlight w:val="none"/>
          <w:lang w:val="zh-CN"/>
        </w:rPr>
        <w:t>一般情况下，发生频率小于10</w:t>
      </w:r>
      <w:r>
        <w:rPr>
          <w:rFonts w:ascii="Times New Roman" w:hAnsi="Times New Roman" w:eastAsia="宋体" w:cs="Times New Roman"/>
          <w:sz w:val="24"/>
          <w:highlight w:val="none"/>
          <w:vertAlign w:val="superscript"/>
          <w:lang w:val="zh-CN"/>
        </w:rPr>
        <w:t>-6</w:t>
      </w:r>
      <w:r>
        <w:rPr>
          <w:rFonts w:ascii="Times New Roman" w:hAnsi="Times New Roman" w:eastAsia="宋体" w:cs="Times New Roman"/>
          <w:sz w:val="24"/>
          <w:highlight w:val="none"/>
          <w:lang w:val="zh-CN"/>
        </w:rPr>
        <w:t>/年的事件是极小概率事件，可作为代表性事故中的最大可信事故设定的参考。</w:t>
      </w:r>
    </w:p>
    <w:p w14:paraId="0A6CA732">
      <w:pPr>
        <w:keepNext/>
        <w:keepLines/>
        <w:spacing w:line="360" w:lineRule="auto"/>
        <w:outlineLvl w:val="1"/>
        <w:rPr>
          <w:b/>
          <w:bCs/>
          <w:sz w:val="28"/>
          <w:szCs w:val="28"/>
          <w:highlight w:val="none"/>
        </w:rPr>
      </w:pPr>
      <w:bookmarkStart w:id="70" w:name="_Toc23811_WPSOffice_Level1"/>
      <w:r>
        <w:rPr>
          <w:rFonts w:hint="eastAsia"/>
          <w:b/>
          <w:bCs/>
          <w:sz w:val="28"/>
          <w:szCs w:val="28"/>
          <w:highlight w:val="none"/>
        </w:rPr>
        <w:t>4.</w:t>
      </w:r>
      <w:r>
        <w:rPr>
          <w:rFonts w:hint="eastAsia"/>
          <w:b/>
          <w:bCs/>
          <w:sz w:val="28"/>
          <w:szCs w:val="28"/>
          <w:highlight w:val="none"/>
          <w:lang w:val="en-US" w:eastAsia="zh-CN"/>
        </w:rPr>
        <w:t>2</w:t>
      </w:r>
      <w:r>
        <w:rPr>
          <w:rFonts w:hint="eastAsia"/>
          <w:b/>
          <w:bCs/>
          <w:sz w:val="28"/>
          <w:szCs w:val="28"/>
          <w:highlight w:val="none"/>
        </w:rPr>
        <w:t>大气环境风险分析</w:t>
      </w:r>
      <w:bookmarkEnd w:id="70"/>
    </w:p>
    <w:p w14:paraId="2FC48433">
      <w:pPr>
        <w:adjustRightInd w:val="0"/>
        <w:snapToGrid w:val="0"/>
        <w:spacing w:line="360" w:lineRule="auto"/>
        <w:ind w:firstLine="480" w:firstLineChars="200"/>
        <w:rPr>
          <w:rFonts w:hint="eastAsia"/>
          <w:sz w:val="24"/>
          <w:highlight w:val="none"/>
        </w:rPr>
      </w:pPr>
      <w:r>
        <w:rPr>
          <w:rFonts w:hint="eastAsia"/>
          <w:sz w:val="24"/>
          <w:highlight w:val="none"/>
        </w:rPr>
        <w:t>输送管道发生泄漏事故后，</w:t>
      </w:r>
      <w:r>
        <w:rPr>
          <w:rFonts w:hint="eastAsia"/>
          <w:sz w:val="24"/>
          <w:highlight w:val="none"/>
          <w:lang w:val="en-US" w:eastAsia="zh-CN"/>
        </w:rPr>
        <w:t>合成脱碳尾</w:t>
      </w:r>
      <w:r>
        <w:rPr>
          <w:rFonts w:hint="default"/>
          <w:sz w:val="24"/>
          <w:highlight w:val="none"/>
          <w:lang w:val="en-US" w:eastAsia="zh-CN"/>
        </w:rPr>
        <w:t>气</w:t>
      </w:r>
      <w:r>
        <w:rPr>
          <w:rFonts w:hint="eastAsia"/>
          <w:sz w:val="24"/>
          <w:highlight w:val="none"/>
        </w:rPr>
        <w:t>、</w:t>
      </w:r>
      <w:r>
        <w:rPr>
          <w:rFonts w:hint="eastAsia"/>
          <w:sz w:val="24"/>
          <w:highlight w:val="none"/>
          <w:lang w:val="en-US" w:eastAsia="zh-CN"/>
        </w:rPr>
        <w:t>未变换净化</w:t>
      </w:r>
      <w:r>
        <w:rPr>
          <w:rFonts w:hint="default"/>
          <w:sz w:val="24"/>
          <w:highlight w:val="none"/>
          <w:lang w:val="en-US" w:eastAsia="zh-CN"/>
        </w:rPr>
        <w:t>气</w:t>
      </w:r>
      <w:r>
        <w:rPr>
          <w:rFonts w:hint="eastAsia"/>
          <w:sz w:val="24"/>
          <w:highlight w:val="none"/>
        </w:rPr>
        <w:t>、</w:t>
      </w:r>
      <w:r>
        <w:rPr>
          <w:rFonts w:hint="eastAsia"/>
          <w:sz w:val="24"/>
          <w:highlight w:val="none"/>
          <w:lang w:val="en-US" w:eastAsia="zh-CN"/>
        </w:rPr>
        <w:t>尾气</w:t>
      </w:r>
      <w:r>
        <w:rPr>
          <w:rFonts w:hint="eastAsia"/>
          <w:sz w:val="24"/>
          <w:highlight w:val="none"/>
        </w:rPr>
        <w:t>、</w:t>
      </w:r>
      <w:r>
        <w:rPr>
          <w:rFonts w:hint="eastAsia"/>
          <w:sz w:val="24"/>
          <w:highlight w:val="none"/>
          <w:lang w:val="en-US" w:eastAsia="zh-CN"/>
        </w:rPr>
        <w:t>WRT甲烷气、</w:t>
      </w:r>
      <w:r>
        <w:rPr>
          <w:rFonts w:hint="eastAsia" w:ascii="Times New Roman" w:hAnsi="Times New Roman" w:eastAsia="宋体" w:cs="Times New Roman"/>
          <w:sz w:val="24"/>
          <w:szCs w:val="24"/>
          <w:highlight w:val="none"/>
          <w:lang w:val="en-US" w:eastAsia="zh-CN"/>
        </w:rPr>
        <w:t>甲烷、低压含烃火炬气、酸湿火炬</w:t>
      </w:r>
      <w:r>
        <w:rPr>
          <w:rFonts w:hint="eastAsia" w:cs="Times New Roman"/>
          <w:sz w:val="24"/>
          <w:szCs w:val="24"/>
          <w:highlight w:val="none"/>
          <w:lang w:val="en-US" w:eastAsia="zh-CN"/>
        </w:rPr>
        <w:t>气</w:t>
      </w:r>
      <w:r>
        <w:rPr>
          <w:rFonts w:hint="eastAsia" w:ascii="Times New Roman" w:hAnsi="Times New Roman" w:eastAsia="宋体" w:cs="Times New Roman"/>
          <w:sz w:val="24"/>
          <w:szCs w:val="24"/>
          <w:highlight w:val="none"/>
          <w:lang w:val="en-US" w:eastAsia="zh-CN"/>
        </w:rPr>
        <w:t>、富甲烷气、酸性气、真空泵尾气泄漏以后大部分以气态形式存在。</w:t>
      </w:r>
      <w:r>
        <w:rPr>
          <w:rFonts w:hint="eastAsia" w:ascii="Times New Roman" w:hAnsi="Times New Roman" w:eastAsia="宋体" w:cs="Times New Roman"/>
          <w:color w:val="auto"/>
          <w:sz w:val="24"/>
          <w:szCs w:val="24"/>
          <w:highlight w:val="none"/>
          <w:lang w:val="en-US" w:eastAsia="zh-CN"/>
        </w:rPr>
        <w:t>项目管道架空敷设，其中为了便于计量和快速切断，在合成脱碳尾气、未变换净化气、WRT甲烷气、回用水、富甲烷气</w:t>
      </w:r>
      <w:r>
        <w:rPr>
          <w:rFonts w:hint="eastAsia" w:cs="Times New Roman"/>
          <w:color w:val="auto"/>
          <w:sz w:val="24"/>
          <w:szCs w:val="24"/>
          <w:highlight w:val="none"/>
          <w:lang w:val="en-US" w:eastAsia="zh-CN"/>
        </w:rPr>
        <w:t>等</w:t>
      </w:r>
      <w:r>
        <w:rPr>
          <w:rFonts w:hint="eastAsia" w:ascii="Times New Roman" w:hAnsi="Times New Roman" w:eastAsia="宋体" w:cs="Times New Roman"/>
          <w:color w:val="auto"/>
          <w:sz w:val="24"/>
          <w:szCs w:val="24"/>
          <w:highlight w:val="none"/>
          <w:lang w:val="en-US" w:eastAsia="zh-CN"/>
        </w:rPr>
        <w:t>管道上设置快速切断阀，WRT甲烷气和污水2管线设置压力调节阀组和流量计</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其</w:t>
      </w:r>
      <w:r>
        <w:rPr>
          <w:rFonts w:hint="eastAsia" w:cs="Times New Roman"/>
          <w:color w:val="auto"/>
          <w:sz w:val="24"/>
          <w:szCs w:val="24"/>
          <w:highlight w:val="none"/>
          <w:lang w:val="en-US" w:eastAsia="zh-CN"/>
        </w:rPr>
        <w:t>他</w:t>
      </w:r>
      <w:r>
        <w:rPr>
          <w:rFonts w:hint="eastAsia" w:ascii="Times New Roman" w:hAnsi="Times New Roman" w:eastAsia="宋体" w:cs="Times New Roman"/>
          <w:color w:val="auto"/>
          <w:sz w:val="24"/>
          <w:szCs w:val="24"/>
          <w:highlight w:val="none"/>
          <w:lang w:val="en-US" w:eastAsia="zh-CN"/>
        </w:rPr>
        <w:t>工艺和公用工程管道仅设置流量计用于计量结算，管线末端设置手动切断阀组。在物料输出端和接收端设置中控系统和紧急切断阀，阀门和仪表的控制信号接入伊泰化工公司DCS系统</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一旦发生泄漏易被发现，</w:t>
      </w:r>
      <w:r>
        <w:rPr>
          <w:rFonts w:hint="eastAsia" w:ascii="Times New Roman" w:hAnsi="Times New Roman" w:eastAsia="宋体" w:cs="Times New Roman"/>
          <w:sz w:val="24"/>
          <w:szCs w:val="24"/>
          <w:highlight w:val="none"/>
          <w:lang w:val="en-US" w:eastAsia="zh-CN"/>
        </w:rPr>
        <w:t>可控制发生泄漏的物质量在较小的范围内，泄漏挥发产生的污染物源强不大，</w:t>
      </w:r>
      <w:r>
        <w:rPr>
          <w:rFonts w:hint="eastAsia"/>
          <w:sz w:val="24"/>
          <w:highlight w:val="none"/>
        </w:rPr>
        <w:t>因此对周边环境影响基本可控。</w:t>
      </w:r>
    </w:p>
    <w:p w14:paraId="3212F966">
      <w:pPr>
        <w:adjustRightInd w:val="0"/>
        <w:snapToGrid w:val="0"/>
        <w:spacing w:line="360" w:lineRule="auto"/>
        <w:ind w:firstLine="480" w:firstLineChars="200"/>
        <w:rPr>
          <w:rFonts w:hint="eastAsia" w:ascii="Times New Roman" w:hAnsi="Times New Roman" w:eastAsia="宋体" w:cs="Times New Roman"/>
          <w:sz w:val="24"/>
          <w:highlight w:val="none"/>
        </w:rPr>
      </w:pPr>
      <w:r>
        <w:rPr>
          <w:rFonts w:hint="eastAsia" w:ascii="Times New Roman" w:hAnsi="Times New Roman" w:eastAsia="宋体" w:cs="Times New Roman"/>
          <w:sz w:val="24"/>
          <w:highlight w:val="none"/>
          <w:lang w:val="en-US" w:eastAsia="zh-CN"/>
        </w:rPr>
        <w:t>若</w:t>
      </w:r>
      <w:r>
        <w:rPr>
          <w:rFonts w:hint="eastAsia" w:ascii="Times New Roman" w:hAnsi="Times New Roman" w:eastAsia="宋体" w:cs="Times New Roman"/>
          <w:sz w:val="24"/>
          <w:highlight w:val="none"/>
        </w:rPr>
        <w:t>引发火灾爆炸事故，则会产生次生污染物CO等，对区域环境空气质量会产生一定的不利影响。依托</w:t>
      </w:r>
      <w:r>
        <w:rPr>
          <w:rFonts w:hint="eastAsia" w:cs="Times New Roman"/>
          <w:color w:val="auto"/>
          <w:sz w:val="24"/>
          <w:szCs w:val="24"/>
          <w:highlight w:val="none"/>
          <w:lang w:val="en-US" w:eastAsia="zh-CN"/>
        </w:rPr>
        <w:t>伊泰化工</w:t>
      </w:r>
      <w:r>
        <w:rPr>
          <w:rFonts w:hint="default" w:ascii="Times New Roman" w:hAnsi="Times New Roman" w:eastAsia="宋体" w:cs="Times New Roman"/>
          <w:color w:val="auto"/>
          <w:sz w:val="24"/>
          <w:szCs w:val="24"/>
          <w:highlight w:val="none"/>
          <w:lang w:val="en-US" w:eastAsia="zh-CN"/>
        </w:rPr>
        <w:t>公司DCS系统</w:t>
      </w:r>
      <w:r>
        <w:rPr>
          <w:rFonts w:hint="eastAsia" w:cs="Times New Roman"/>
          <w:color w:val="auto"/>
          <w:sz w:val="24"/>
          <w:szCs w:val="24"/>
          <w:highlight w:val="none"/>
          <w:lang w:val="en-US" w:eastAsia="zh-CN"/>
        </w:rPr>
        <w:t>发现后可及时</w:t>
      </w:r>
      <w:r>
        <w:rPr>
          <w:rFonts w:hint="eastAsia" w:ascii="Times New Roman" w:hAnsi="Times New Roman" w:eastAsia="宋体" w:cs="Times New Roman"/>
          <w:sz w:val="24"/>
          <w:highlight w:val="none"/>
        </w:rPr>
        <w:t>切断控制</w:t>
      </w:r>
      <w:r>
        <w:rPr>
          <w:rFonts w:hint="eastAsia" w:cs="Times New Roman"/>
          <w:sz w:val="24"/>
          <w:highlight w:val="none"/>
          <w:lang w:eastAsia="zh-CN"/>
        </w:rPr>
        <w:t>，</w:t>
      </w:r>
      <w:r>
        <w:rPr>
          <w:rFonts w:hint="eastAsia" w:ascii="Times New Roman" w:hAnsi="Times New Roman" w:eastAsia="宋体" w:cs="Times New Roman"/>
          <w:sz w:val="24"/>
          <w:highlight w:val="none"/>
        </w:rPr>
        <w:t>减少泄漏量，同时依托</w:t>
      </w:r>
      <w:r>
        <w:rPr>
          <w:rFonts w:hint="eastAsia" w:ascii="Times New Roman" w:hAnsi="Times New Roman" w:eastAsia="宋体" w:cs="Times New Roman"/>
          <w:sz w:val="24"/>
          <w:highlight w:val="none"/>
          <w:lang w:val="en-US" w:eastAsia="zh-CN"/>
        </w:rPr>
        <w:t>相邻公司</w:t>
      </w:r>
      <w:r>
        <w:rPr>
          <w:rFonts w:hint="eastAsia" w:ascii="Times New Roman" w:hAnsi="Times New Roman" w:eastAsia="宋体" w:cs="Times New Roman"/>
          <w:sz w:val="24"/>
          <w:highlight w:val="none"/>
        </w:rPr>
        <w:t>、工业区现有消防力量，迅速采取消防措施</w:t>
      </w:r>
      <w:r>
        <w:rPr>
          <w:rFonts w:hint="eastAsia" w:cs="Times New Roman"/>
          <w:sz w:val="24"/>
          <w:highlight w:val="none"/>
          <w:lang w:eastAsia="zh-CN"/>
        </w:rPr>
        <w:t>，在</w:t>
      </w:r>
      <w:r>
        <w:rPr>
          <w:rFonts w:hint="eastAsia" w:ascii="Times New Roman" w:hAnsi="Times New Roman" w:eastAsia="宋体" w:cs="Times New Roman"/>
          <w:sz w:val="24"/>
          <w:highlight w:val="none"/>
        </w:rPr>
        <w:t>控制火灾情势后，及时采取堵漏措施，可保证对周边区域环境空气质量影响控制在有限范围内。</w:t>
      </w:r>
    </w:p>
    <w:p w14:paraId="201FAFE6">
      <w:pPr>
        <w:keepNext/>
        <w:keepLines/>
        <w:spacing w:line="360" w:lineRule="auto"/>
        <w:outlineLvl w:val="1"/>
        <w:rPr>
          <w:spacing w:val="-3"/>
          <w:szCs w:val="24"/>
          <w:highlight w:val="none"/>
        </w:rPr>
      </w:pPr>
      <w:bookmarkStart w:id="71" w:name="_Toc11198_WPSOffice_Level1"/>
      <w:r>
        <w:rPr>
          <w:rFonts w:hint="eastAsia" w:ascii="Times New Roman" w:hAnsi="Times New Roman" w:eastAsia="宋体" w:cs="Times New Roman"/>
          <w:b/>
          <w:bCs/>
          <w:sz w:val="28"/>
          <w:szCs w:val="28"/>
          <w:highlight w:val="none"/>
          <w:lang w:val="en-US" w:eastAsia="zh-CN"/>
        </w:rPr>
        <w:t>4</w:t>
      </w:r>
      <w:r>
        <w:rPr>
          <w:rFonts w:hint="default" w:ascii="Times New Roman" w:hAnsi="Times New Roman" w:eastAsia="宋体" w:cs="Times New Roman"/>
          <w:b/>
          <w:bCs/>
          <w:sz w:val="28"/>
          <w:szCs w:val="28"/>
          <w:highlight w:val="none"/>
        </w:rPr>
        <w:t>.</w:t>
      </w:r>
      <w:r>
        <w:rPr>
          <w:rFonts w:hint="eastAsia" w:cs="Times New Roman"/>
          <w:b/>
          <w:bCs/>
          <w:sz w:val="28"/>
          <w:szCs w:val="28"/>
          <w:highlight w:val="none"/>
          <w:lang w:val="en-US" w:eastAsia="zh-CN"/>
        </w:rPr>
        <w:t>3</w:t>
      </w:r>
      <w:r>
        <w:rPr>
          <w:rFonts w:hint="default" w:ascii="Times New Roman" w:hAnsi="Times New Roman" w:eastAsia="宋体" w:cs="Times New Roman"/>
          <w:b/>
          <w:bCs/>
          <w:sz w:val="28"/>
          <w:szCs w:val="28"/>
          <w:highlight w:val="none"/>
        </w:rPr>
        <w:t>地表水环境风险分析</w:t>
      </w:r>
    </w:p>
    <w:p w14:paraId="0E8BA456">
      <w:pPr>
        <w:adjustRightInd w:val="0"/>
        <w:snapToGrid w:val="0"/>
        <w:spacing w:line="360" w:lineRule="auto"/>
        <w:ind w:firstLine="480" w:firstLineChars="200"/>
        <w:rPr>
          <w:rFonts w:hint="eastAsia" w:ascii="Times New Roman" w:hAnsi="Times New Roman" w:eastAsia="宋体" w:cs="Times New Roman"/>
          <w:sz w:val="24"/>
          <w:szCs w:val="24"/>
          <w:highlight w:val="none"/>
          <w:lang w:eastAsia="zh-CN"/>
        </w:rPr>
      </w:pPr>
      <w:r>
        <w:rPr>
          <w:rFonts w:hint="eastAsia" w:ascii="Times New Roman" w:hAnsi="Times New Roman" w:eastAsia="宋体" w:cs="Times New Roman"/>
          <w:sz w:val="24"/>
          <w:szCs w:val="24"/>
          <w:highlight w:val="none"/>
        </w:rPr>
        <w:t>本次勘察场地及附近区域范围内未发现地表长期径流存在</w:t>
      </w:r>
      <w:bookmarkStart w:id="72" w:name="_Toc2850054"/>
      <w:r>
        <w:rPr>
          <w:rFonts w:hint="eastAsia" w:ascii="Times New Roman" w:hAnsi="Times New Roman" w:eastAsia="宋体" w:cs="Times New Roman"/>
          <w:sz w:val="24"/>
          <w:szCs w:val="24"/>
          <w:highlight w:val="none"/>
          <w:lang w:eastAsia="zh-CN"/>
        </w:rPr>
        <w:t>。</w:t>
      </w:r>
    </w:p>
    <w:p w14:paraId="2A986BDF">
      <w:pPr>
        <w:adjustRightInd w:val="0"/>
        <w:snapToGrid w:val="0"/>
        <w:spacing w:line="360" w:lineRule="auto"/>
        <w:ind w:firstLine="480" w:firstLineChars="200"/>
        <w:rPr>
          <w:rFonts w:hint="eastAsia" w:ascii="Times New Roman" w:hAnsi="Times New Roman" w:eastAsia="宋体" w:cs="Times New Roman"/>
          <w:sz w:val="24"/>
          <w:szCs w:val="24"/>
          <w:highlight w:val="none"/>
          <w:lang w:eastAsia="zh-CN"/>
        </w:rPr>
      </w:pPr>
      <w:r>
        <w:rPr>
          <w:rFonts w:hint="eastAsia" w:ascii="Times New Roman" w:hAnsi="Times New Roman" w:eastAsia="宋体" w:cs="Times New Roman"/>
          <w:sz w:val="24"/>
          <w:szCs w:val="24"/>
          <w:highlight w:val="none"/>
        </w:rPr>
        <w:t>一旦厂内发生</w:t>
      </w:r>
      <w:r>
        <w:rPr>
          <w:rFonts w:hint="eastAsia" w:ascii="Times New Roman" w:hAnsi="Times New Roman" w:eastAsia="宋体" w:cs="Times New Roman"/>
          <w:sz w:val="24"/>
          <w:szCs w:val="24"/>
          <w:highlight w:val="none"/>
          <w:lang w:val="en-US" w:eastAsia="zh-CN"/>
        </w:rPr>
        <w:t>泄漏</w:t>
      </w:r>
      <w:r>
        <w:rPr>
          <w:rFonts w:hint="eastAsia" w:ascii="Times New Roman" w:hAnsi="Times New Roman" w:eastAsia="宋体" w:cs="Times New Roman"/>
          <w:sz w:val="24"/>
          <w:szCs w:val="24"/>
          <w:highlight w:val="none"/>
        </w:rPr>
        <w:t>事故，事故废水</w:t>
      </w:r>
      <w:r>
        <w:rPr>
          <w:rFonts w:hint="eastAsia" w:ascii="Times New Roman" w:hAnsi="Times New Roman" w:eastAsia="宋体" w:cs="Times New Roman"/>
          <w:sz w:val="24"/>
          <w:szCs w:val="24"/>
          <w:highlight w:val="none"/>
          <w:lang w:val="en-US" w:eastAsia="zh-CN"/>
        </w:rPr>
        <w:t>会顺着地势由</w:t>
      </w:r>
      <w:r>
        <w:rPr>
          <w:rFonts w:hint="eastAsia" w:ascii="Times New Roman" w:hAnsi="Times New Roman" w:eastAsia="宋体" w:cs="Times New Roman"/>
          <w:sz w:val="24"/>
          <w:szCs w:val="24"/>
          <w:highlight w:val="none"/>
        </w:rPr>
        <w:t>东南向西北偏西</w:t>
      </w:r>
      <w:r>
        <w:rPr>
          <w:rFonts w:hint="eastAsia" w:ascii="Times New Roman" w:hAnsi="Times New Roman" w:eastAsia="宋体" w:cs="Times New Roman"/>
          <w:sz w:val="24"/>
          <w:szCs w:val="24"/>
          <w:highlight w:val="none"/>
          <w:lang w:val="en-US" w:eastAsia="zh-CN"/>
        </w:rPr>
        <w:t>方向流动</w:t>
      </w:r>
      <w:r>
        <w:rPr>
          <w:rFonts w:hint="eastAsia" w:ascii="Times New Roman" w:hAnsi="Times New Roman" w:eastAsia="宋体" w:cs="Times New Roman"/>
          <w:sz w:val="24"/>
          <w:szCs w:val="24"/>
          <w:highlight w:val="none"/>
        </w:rPr>
        <w:t>。</w:t>
      </w:r>
      <w:r>
        <w:rPr>
          <w:rFonts w:hint="eastAsia" w:ascii="Times New Roman" w:hAnsi="Times New Roman" w:eastAsia="宋体" w:cs="Times New Roman"/>
          <w:sz w:val="24"/>
          <w:szCs w:val="24"/>
          <w:highlight w:val="none"/>
          <w:lang w:val="en-US" w:eastAsia="zh-CN"/>
        </w:rPr>
        <w:t>本项目依托</w:t>
      </w:r>
      <w:r>
        <w:rPr>
          <w:rFonts w:hint="eastAsia" w:ascii="Times New Roman" w:hAnsi="Times New Roman" w:eastAsia="宋体" w:cs="Times New Roman"/>
          <w:sz w:val="24"/>
          <w:szCs w:val="24"/>
          <w:highlight w:val="none"/>
        </w:rPr>
        <w:t>内蒙古伊泰化工有限责任公司120万吨/年精细化学品示范项目已经建立</w:t>
      </w:r>
      <w:r>
        <w:rPr>
          <w:rFonts w:hint="eastAsia" w:ascii="Times New Roman" w:hAnsi="Times New Roman" w:eastAsia="宋体" w:cs="Times New Roman"/>
          <w:sz w:val="24"/>
          <w:szCs w:val="24"/>
          <w:highlight w:val="none"/>
          <w:lang w:eastAsia="zh-CN"/>
        </w:rPr>
        <w:t>的</w:t>
      </w:r>
      <w:bookmarkEnd w:id="72"/>
      <w:r>
        <w:rPr>
          <w:rFonts w:hint="eastAsia" w:cs="Times New Roman"/>
          <w:sz w:val="24"/>
          <w:szCs w:val="24"/>
          <w:highlight w:val="none"/>
          <w:lang w:eastAsia="zh-CN"/>
        </w:rPr>
        <w:t>“</w:t>
      </w:r>
      <w:r>
        <w:rPr>
          <w:rFonts w:hint="default" w:ascii="Times New Roman" w:hAnsi="Times New Roman" w:eastAsia="宋体" w:cs="Times New Roman"/>
          <w:sz w:val="24"/>
          <w:szCs w:val="24"/>
          <w:highlight w:val="none"/>
        </w:rPr>
        <w:t>单元——厂区——工业园区</w:t>
      </w:r>
      <w:r>
        <w:rPr>
          <w:rFonts w:hint="eastAsia" w:cs="Times New Roman"/>
          <w:sz w:val="24"/>
          <w:szCs w:val="24"/>
          <w:highlight w:val="none"/>
          <w:lang w:eastAsia="zh-CN"/>
        </w:rPr>
        <w:t>”</w:t>
      </w:r>
      <w:r>
        <w:rPr>
          <w:rFonts w:hint="default" w:ascii="Times New Roman" w:hAnsi="Times New Roman" w:eastAsia="宋体" w:cs="Times New Roman"/>
          <w:sz w:val="24"/>
          <w:szCs w:val="24"/>
          <w:highlight w:val="none"/>
        </w:rPr>
        <w:t>的环境风险防控体系</w:t>
      </w:r>
      <w:r>
        <w:rPr>
          <w:rFonts w:hint="eastAsia" w:cs="Times New Roman"/>
          <w:sz w:val="24"/>
          <w:szCs w:val="24"/>
          <w:highlight w:val="none"/>
          <w:lang w:val="en-US" w:eastAsia="zh-CN"/>
        </w:rPr>
        <w:t>：</w:t>
      </w:r>
    </w:p>
    <w:p w14:paraId="0748C7AA">
      <w:pPr>
        <w:adjustRightInd w:val="0"/>
        <w:snapToGrid w:val="0"/>
        <w:spacing w:line="360" w:lineRule="auto"/>
        <w:ind w:firstLine="480" w:firstLineChars="200"/>
        <w:rPr>
          <w:rFonts w:hint="eastAsia"/>
          <w:sz w:val="24"/>
          <w:szCs w:val="24"/>
          <w:highlight w:val="none"/>
          <w:lang w:eastAsia="zh-CN"/>
        </w:rPr>
      </w:pPr>
      <w:r>
        <w:rPr>
          <w:sz w:val="24"/>
          <w:szCs w:val="24"/>
          <w:highlight w:val="none"/>
        </w:rPr>
        <w:t>一级预防控制：在</w:t>
      </w:r>
      <w:r>
        <w:rPr>
          <w:rFonts w:hint="eastAsia"/>
          <w:sz w:val="24"/>
          <w:szCs w:val="24"/>
          <w:highlight w:val="none"/>
          <w:lang w:val="en-US" w:eastAsia="zh-CN"/>
        </w:rPr>
        <w:t>管线接入的</w:t>
      </w:r>
      <w:r>
        <w:rPr>
          <w:sz w:val="24"/>
          <w:szCs w:val="24"/>
          <w:highlight w:val="none"/>
        </w:rPr>
        <w:t>装置</w:t>
      </w:r>
      <w:r>
        <w:rPr>
          <w:rFonts w:hint="eastAsia"/>
          <w:sz w:val="24"/>
          <w:szCs w:val="24"/>
          <w:highlight w:val="none"/>
          <w:lang w:val="en-US" w:eastAsia="zh-CN"/>
        </w:rPr>
        <w:t>区</w:t>
      </w:r>
      <w:r>
        <w:rPr>
          <w:sz w:val="24"/>
          <w:szCs w:val="24"/>
          <w:highlight w:val="none"/>
        </w:rPr>
        <w:t>、罐区周围建设围堰、围堤以及罐区、装置区内建设的初期雨水收集池作为一级预防与控制体系，防止</w:t>
      </w:r>
      <w:r>
        <w:rPr>
          <w:rFonts w:hint="eastAsia"/>
          <w:sz w:val="24"/>
          <w:szCs w:val="24"/>
          <w:highlight w:val="none"/>
          <w:lang w:eastAsia="zh-CN"/>
        </w:rPr>
        <w:t>因</w:t>
      </w:r>
      <w:r>
        <w:rPr>
          <w:sz w:val="24"/>
          <w:szCs w:val="24"/>
          <w:highlight w:val="none"/>
        </w:rPr>
        <w:t>雨污染和轻微事故泄漏造成的环境污染。装置围堰</w:t>
      </w:r>
      <w:r>
        <w:rPr>
          <w:rFonts w:hint="eastAsia"/>
          <w:sz w:val="24"/>
          <w:szCs w:val="24"/>
          <w:highlight w:val="none"/>
          <w:lang w:eastAsia="zh-CN"/>
        </w:rPr>
        <w:t>深度</w:t>
      </w:r>
      <w:r>
        <w:rPr>
          <w:sz w:val="24"/>
          <w:szCs w:val="24"/>
          <w:highlight w:val="none"/>
        </w:rPr>
        <w:t>不低于150mm</w:t>
      </w:r>
      <w:r>
        <w:rPr>
          <w:rFonts w:hint="eastAsia"/>
          <w:sz w:val="24"/>
          <w:szCs w:val="24"/>
          <w:highlight w:val="none"/>
          <w:lang w:eastAsia="zh-CN"/>
        </w:rPr>
        <w:t>。</w:t>
      </w:r>
    </w:p>
    <w:p w14:paraId="12CD9B2E">
      <w:pPr>
        <w:adjustRightInd w:val="0"/>
        <w:snapToGrid w:val="0"/>
        <w:spacing w:line="360" w:lineRule="auto"/>
        <w:ind w:firstLine="480" w:firstLineChars="200"/>
        <w:rPr>
          <w:sz w:val="24"/>
          <w:szCs w:val="24"/>
          <w:highlight w:val="none"/>
        </w:rPr>
      </w:pPr>
      <w:r>
        <w:rPr>
          <w:sz w:val="24"/>
          <w:szCs w:val="24"/>
          <w:highlight w:val="none"/>
        </w:rPr>
        <w:t>二级预防控制：1座30000m</w:t>
      </w:r>
      <w:r>
        <w:rPr>
          <w:sz w:val="24"/>
          <w:szCs w:val="24"/>
          <w:highlight w:val="none"/>
          <w:vertAlign w:val="superscript"/>
        </w:rPr>
        <w:t>3</w:t>
      </w:r>
      <w:r>
        <w:rPr>
          <w:sz w:val="24"/>
          <w:szCs w:val="24"/>
          <w:highlight w:val="none"/>
        </w:rPr>
        <w:t>的消防事故水收集池，作为二级预防与控制体系。</w:t>
      </w:r>
    </w:p>
    <w:p w14:paraId="3D48EF4E">
      <w:pPr>
        <w:adjustRightInd w:val="0"/>
        <w:snapToGrid w:val="0"/>
        <w:spacing w:line="360" w:lineRule="auto"/>
        <w:ind w:firstLine="480" w:firstLineChars="200"/>
        <w:rPr>
          <w:rFonts w:hint="default" w:ascii="Times New Roman" w:hAnsi="Times New Roman" w:eastAsia="宋体" w:cs="Times New Roman"/>
          <w:sz w:val="24"/>
          <w:szCs w:val="24"/>
          <w:highlight w:val="none"/>
        </w:rPr>
      </w:pPr>
      <w:r>
        <w:rPr>
          <w:sz w:val="24"/>
          <w:szCs w:val="24"/>
          <w:highlight w:val="none"/>
        </w:rPr>
        <w:t>三级预防控制：</w:t>
      </w:r>
      <w:r>
        <w:rPr>
          <w:rFonts w:hint="eastAsia" w:ascii="Times New Roman" w:hAnsi="Times New Roman" w:eastAsia="宋体" w:cs="Times New Roman"/>
          <w:sz w:val="24"/>
          <w:szCs w:val="24"/>
          <w:highlight w:val="none"/>
        </w:rPr>
        <w:t>独贵塔拉产业园（南区）</w:t>
      </w:r>
      <w:r>
        <w:rPr>
          <w:rFonts w:hint="eastAsia" w:cs="Times New Roman"/>
          <w:sz w:val="24"/>
          <w:szCs w:val="24"/>
          <w:highlight w:val="none"/>
          <w:lang w:eastAsia="zh-CN"/>
        </w:rPr>
        <w:t>目前没有</w:t>
      </w:r>
      <w:r>
        <w:rPr>
          <w:rFonts w:hint="eastAsia" w:ascii="Times New Roman" w:hAnsi="Times New Roman" w:eastAsia="宋体" w:cs="Times New Roman"/>
          <w:sz w:val="24"/>
          <w:szCs w:val="24"/>
          <w:highlight w:val="none"/>
        </w:rPr>
        <w:t>大型事故应急水池，现有</w:t>
      </w:r>
      <w:r>
        <w:rPr>
          <w:rFonts w:hint="eastAsia" w:cs="Times New Roman"/>
          <w:sz w:val="24"/>
          <w:szCs w:val="24"/>
          <w:highlight w:val="none"/>
          <w:lang w:eastAsia="zh-CN"/>
        </w:rPr>
        <w:t>的</w:t>
      </w:r>
      <w:r>
        <w:rPr>
          <w:rFonts w:hint="eastAsia" w:ascii="Times New Roman" w:hAnsi="Times New Roman" w:eastAsia="宋体" w:cs="Times New Roman"/>
          <w:sz w:val="24"/>
          <w:szCs w:val="24"/>
          <w:highlight w:val="none"/>
        </w:rPr>
        <w:t>事故应急水池主要为企业自建</w:t>
      </w:r>
      <w:r>
        <w:rPr>
          <w:rFonts w:hint="eastAsia" w:cs="Times New Roman"/>
          <w:sz w:val="24"/>
          <w:szCs w:val="24"/>
          <w:highlight w:val="none"/>
          <w:lang w:eastAsia="zh-CN"/>
        </w:rPr>
        <w:t>的</w:t>
      </w:r>
      <w:r>
        <w:rPr>
          <w:rFonts w:hint="eastAsia" w:ascii="Times New Roman" w:hAnsi="Times New Roman" w:eastAsia="宋体" w:cs="Times New Roman"/>
          <w:sz w:val="24"/>
          <w:szCs w:val="24"/>
          <w:highlight w:val="none"/>
        </w:rPr>
        <w:t>；</w:t>
      </w:r>
      <w:r>
        <w:rPr>
          <w:rFonts w:hint="eastAsia" w:cs="Times New Roman"/>
          <w:sz w:val="24"/>
          <w:szCs w:val="24"/>
          <w:highlight w:val="none"/>
          <w:lang w:val="en-US" w:eastAsia="zh-CN"/>
        </w:rPr>
        <w:t>规划</w:t>
      </w:r>
      <w:r>
        <w:rPr>
          <w:rFonts w:hint="eastAsia" w:ascii="Times New Roman" w:hAnsi="Times New Roman" w:eastAsia="宋体" w:cs="Times New Roman"/>
          <w:sz w:val="24"/>
          <w:szCs w:val="24"/>
          <w:highlight w:val="none"/>
          <w:lang w:val="en-US" w:eastAsia="zh-CN"/>
        </w:rPr>
        <w:t>拟在</w:t>
      </w:r>
      <w:r>
        <w:rPr>
          <w:rFonts w:hint="eastAsia" w:ascii="Times New Roman" w:hAnsi="Times New Roman" w:eastAsia="宋体" w:cs="Times New Roman"/>
          <w:sz w:val="24"/>
          <w:szCs w:val="24"/>
          <w:highlight w:val="none"/>
        </w:rPr>
        <w:t>独贵塔拉产业园（南区）规划北侧新建一座容积2.5万m</w:t>
      </w:r>
      <w:r>
        <w:rPr>
          <w:rFonts w:hint="eastAsia" w:ascii="Times New Roman" w:hAnsi="Times New Roman" w:eastAsia="宋体" w:cs="Times New Roman"/>
          <w:sz w:val="24"/>
          <w:szCs w:val="24"/>
          <w:highlight w:val="none"/>
          <w:vertAlign w:val="superscript"/>
        </w:rPr>
        <w:t>3</w:t>
      </w:r>
      <w:r>
        <w:rPr>
          <w:rFonts w:hint="eastAsia" w:ascii="Times New Roman" w:hAnsi="Times New Roman" w:eastAsia="宋体" w:cs="Times New Roman"/>
          <w:sz w:val="24"/>
          <w:szCs w:val="24"/>
          <w:highlight w:val="none"/>
        </w:rPr>
        <w:t>的事故水池，用于收集独贵塔拉产业园（南区）各企业的事故水</w:t>
      </w:r>
      <w:r>
        <w:rPr>
          <w:rFonts w:hint="default" w:ascii="Times New Roman" w:hAnsi="Times New Roman" w:eastAsia="宋体" w:cs="Times New Roman"/>
          <w:sz w:val="24"/>
          <w:szCs w:val="24"/>
          <w:highlight w:val="none"/>
        </w:rPr>
        <w:t>以满足事故状态下收集泄漏物料、污染消防水和污染雨水的需要</w:t>
      </w:r>
      <w:r>
        <w:rPr>
          <w:rFonts w:hint="eastAsia" w:ascii="Times New Roman" w:hAnsi="Times New Roman" w:eastAsia="宋体" w:cs="Times New Roman"/>
          <w:sz w:val="24"/>
          <w:szCs w:val="24"/>
          <w:highlight w:val="none"/>
          <w:lang w:eastAsia="zh-CN"/>
        </w:rPr>
        <w:t>。</w:t>
      </w:r>
      <w:r>
        <w:rPr>
          <w:rFonts w:ascii="Times New Roman" w:hAnsi="Times New Roman" w:eastAsia="宋体" w:cs="Times New Roman"/>
          <w:sz w:val="24"/>
          <w:szCs w:val="24"/>
          <w:highlight w:val="none"/>
        </w:rPr>
        <w:t>园区事故水池未建设前，园区级事故废水防控措施依托内蒙古伊泰化工有限责任公司应急事故水池（容积30000m</w:t>
      </w:r>
      <w:r>
        <w:rPr>
          <w:rFonts w:ascii="Times New Roman" w:hAnsi="Times New Roman" w:eastAsia="宋体" w:cs="Times New Roman"/>
          <w:sz w:val="24"/>
          <w:szCs w:val="24"/>
          <w:highlight w:val="none"/>
          <w:vertAlign w:val="superscript"/>
        </w:rPr>
        <w:t>3</w:t>
      </w:r>
      <w:r>
        <w:rPr>
          <w:rFonts w:ascii="Times New Roman" w:hAnsi="Times New Roman" w:eastAsia="宋体" w:cs="Times New Roman"/>
          <w:sz w:val="24"/>
          <w:szCs w:val="24"/>
          <w:highlight w:val="none"/>
        </w:rPr>
        <w:t>），可确保消防事故废水不进入外环境，因此不再进行地表水环境敏感程度判定</w:t>
      </w:r>
      <w:r>
        <w:rPr>
          <w:rFonts w:hint="default" w:ascii="Times New Roman" w:hAnsi="Times New Roman" w:eastAsia="宋体" w:cs="Times New Roman"/>
          <w:sz w:val="24"/>
          <w:szCs w:val="24"/>
          <w:highlight w:val="none"/>
        </w:rPr>
        <w:t>。</w:t>
      </w:r>
    </w:p>
    <w:bookmarkEnd w:id="71"/>
    <w:p w14:paraId="077CE9C2">
      <w:pPr>
        <w:keepNext/>
        <w:keepLines/>
        <w:spacing w:line="360" w:lineRule="auto"/>
        <w:outlineLvl w:val="1"/>
        <w:rPr>
          <w:rFonts w:hint="default" w:ascii="Times New Roman" w:hAnsi="Times New Roman" w:eastAsia="宋体" w:cs="Times New Roman"/>
          <w:b/>
          <w:bCs/>
          <w:sz w:val="28"/>
          <w:szCs w:val="28"/>
          <w:highlight w:val="none"/>
          <w:lang w:val="en-US" w:eastAsia="zh-CN"/>
        </w:rPr>
      </w:pPr>
      <w:r>
        <w:rPr>
          <w:rFonts w:hint="default" w:ascii="Times New Roman" w:hAnsi="Times New Roman" w:eastAsia="宋体" w:cs="Times New Roman"/>
          <w:b/>
          <w:bCs/>
          <w:sz w:val="28"/>
          <w:szCs w:val="28"/>
          <w:highlight w:val="none"/>
          <w:lang w:val="en-US" w:eastAsia="zh-CN"/>
        </w:rPr>
        <w:t>4.</w:t>
      </w:r>
      <w:r>
        <w:rPr>
          <w:rFonts w:hint="eastAsia" w:ascii="Times New Roman" w:hAnsi="Times New Roman" w:eastAsia="宋体" w:cs="Times New Roman"/>
          <w:b/>
          <w:bCs/>
          <w:sz w:val="28"/>
          <w:szCs w:val="28"/>
          <w:highlight w:val="none"/>
          <w:lang w:val="en-US" w:eastAsia="zh-CN"/>
        </w:rPr>
        <w:t>4地下水环境</w:t>
      </w:r>
      <w:r>
        <w:rPr>
          <w:rFonts w:hint="eastAsia" w:cs="Times New Roman"/>
          <w:b/>
          <w:bCs/>
          <w:sz w:val="28"/>
          <w:szCs w:val="28"/>
          <w:highlight w:val="none"/>
          <w:lang w:val="en-US" w:eastAsia="zh-CN"/>
        </w:rPr>
        <w:t>风险</w:t>
      </w:r>
      <w:r>
        <w:rPr>
          <w:rFonts w:hint="eastAsia" w:ascii="Times New Roman" w:hAnsi="Times New Roman" w:eastAsia="宋体" w:cs="Times New Roman"/>
          <w:b/>
          <w:bCs/>
          <w:sz w:val="28"/>
          <w:szCs w:val="28"/>
          <w:highlight w:val="none"/>
          <w:lang w:val="en-US" w:eastAsia="zh-CN"/>
        </w:rPr>
        <w:t>评价分析</w:t>
      </w:r>
    </w:p>
    <w:p w14:paraId="66A926AB">
      <w:pPr>
        <w:adjustRightInd w:val="0"/>
        <w:snapToGrid w:val="0"/>
        <w:spacing w:line="360" w:lineRule="auto"/>
        <w:ind w:firstLine="480" w:firstLineChars="200"/>
        <w:rPr>
          <w:rFonts w:hint="eastAsia"/>
          <w:sz w:val="24"/>
          <w:highlight w:val="none"/>
        </w:rPr>
      </w:pPr>
      <w:r>
        <w:rPr>
          <w:rFonts w:hint="eastAsia" w:ascii="Times New Roman" w:hAnsi="Times New Roman" w:eastAsia="宋体" w:cs="Times New Roman"/>
          <w:sz w:val="24"/>
          <w:szCs w:val="24"/>
          <w:highlight w:val="none"/>
          <w:lang w:val="en-US" w:eastAsia="zh-CN"/>
        </w:rPr>
        <w:t>本项目为伊泰化工在原有联博管廊的基础上通过加固、加两层的方式，将23条物料管线布置在改造后的联博管廊</w:t>
      </w:r>
      <w:r>
        <w:rPr>
          <w:rFonts w:hint="eastAsia"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现有利旧管廊管架基础占地底部地面</w:t>
      </w:r>
      <w:r>
        <w:rPr>
          <w:rFonts w:hint="eastAsia" w:cs="Times New Roman"/>
          <w:sz w:val="24"/>
          <w:szCs w:val="24"/>
          <w:highlight w:val="none"/>
          <w:lang w:val="en-US" w:eastAsia="zh-CN"/>
        </w:rPr>
        <w:t>为碎石地面。</w:t>
      </w:r>
      <w:r>
        <w:rPr>
          <w:rFonts w:hint="eastAsia" w:ascii="Times New Roman" w:hAnsi="Times New Roman" w:eastAsia="宋体" w:cs="宋体"/>
          <w:kern w:val="0"/>
          <w:sz w:val="24"/>
          <w:highlight w:val="none"/>
          <w:lang w:val="en-US" w:eastAsia="zh-CN"/>
        </w:rPr>
        <w:t>其他管线都位于厂区内部。</w:t>
      </w:r>
      <w:r>
        <w:rPr>
          <w:rFonts w:hint="eastAsia"/>
          <w:sz w:val="24"/>
          <w:highlight w:val="none"/>
        </w:rPr>
        <w:t>均依托管廊架明管</w:t>
      </w:r>
      <w:r>
        <w:rPr>
          <w:rFonts w:hint="eastAsia"/>
          <w:sz w:val="24"/>
          <w:highlight w:val="none"/>
          <w:lang w:val="en-US" w:eastAsia="zh-CN"/>
        </w:rPr>
        <w:t>敷设</w:t>
      </w:r>
      <w:r>
        <w:rPr>
          <w:rFonts w:hint="eastAsia"/>
          <w:sz w:val="24"/>
          <w:highlight w:val="none"/>
        </w:rPr>
        <w:t>，无埋地管线，无站场设施。</w:t>
      </w:r>
    </w:p>
    <w:p w14:paraId="518C1459">
      <w:pPr>
        <w:spacing w:line="360" w:lineRule="auto"/>
        <w:ind w:firstLine="480" w:firstLineChars="200"/>
        <w:rPr>
          <w:rFonts w:hint="eastAsia" w:ascii="Times New Roman" w:hAnsi="Times New Roman" w:eastAsia="宋体" w:cs="Times New Roman"/>
          <w:sz w:val="24"/>
          <w:szCs w:val="24"/>
          <w:highlight w:val="none"/>
          <w:lang w:val="en-US" w:eastAsia="zh-CN"/>
        </w:rPr>
      </w:pPr>
      <w:r>
        <w:rPr>
          <w:rFonts w:hint="eastAsia"/>
          <w:sz w:val="24"/>
          <w:highlight w:val="none"/>
          <w:lang w:val="en-US" w:eastAsia="zh-CN"/>
        </w:rPr>
        <w:t>本项目污染废水主要为污水1管道、污水2管道因破裂造成泄漏，对</w:t>
      </w:r>
      <w:r>
        <w:rPr>
          <w:rFonts w:hint="eastAsia"/>
          <w:sz w:val="24"/>
          <w:highlight w:val="none"/>
        </w:rPr>
        <w:t>地下水、土壤</w:t>
      </w:r>
      <w:r>
        <w:rPr>
          <w:rFonts w:hint="eastAsia"/>
          <w:sz w:val="24"/>
          <w:highlight w:val="none"/>
          <w:lang w:val="en-US" w:eastAsia="zh-CN"/>
        </w:rPr>
        <w:t>产生一定影响</w:t>
      </w:r>
      <w:r>
        <w:rPr>
          <w:rFonts w:hint="eastAsia"/>
          <w:sz w:val="24"/>
          <w:highlight w:val="none"/>
        </w:rPr>
        <w:t>。</w:t>
      </w:r>
      <w:r>
        <w:rPr>
          <w:rFonts w:hint="eastAsia" w:ascii="Times New Roman" w:hAnsi="Times New Roman" w:eastAsia="宋体" w:cs="Times New Roman"/>
          <w:sz w:val="24"/>
          <w:szCs w:val="24"/>
          <w:highlight w:val="none"/>
          <w:lang w:val="en-US" w:eastAsia="zh-CN"/>
        </w:rPr>
        <w:t>依照</w:t>
      </w:r>
      <w:r>
        <w:rPr>
          <w:rFonts w:hint="eastAsia" w:cs="Times New Roman"/>
          <w:sz w:val="24"/>
          <w:szCs w:val="24"/>
          <w:highlight w:val="none"/>
          <w:lang w:val="en-US" w:eastAsia="zh-CN"/>
        </w:rPr>
        <w:t>项目区</w:t>
      </w:r>
      <w:r>
        <w:rPr>
          <w:rFonts w:hint="eastAsia" w:ascii="Times New Roman" w:hAnsi="Times New Roman" w:eastAsia="宋体" w:cs="Times New Roman"/>
          <w:sz w:val="24"/>
          <w:szCs w:val="24"/>
          <w:highlight w:val="none"/>
          <w:lang w:val="en-US" w:eastAsia="zh-CN"/>
        </w:rPr>
        <w:t>水文地质条件来看，地下水主要赋存于第④层中风化砂岩中。整体而言，孔内涌水量不大，地下水类型属于基岩裂隙水，水位随地层起伏变化不大。初见水位埋深</w:t>
      </w:r>
      <w:r>
        <w:rPr>
          <w:rFonts w:hint="eastAsia" w:cs="Times New Roman"/>
          <w:sz w:val="24"/>
          <w:szCs w:val="24"/>
          <w:highlight w:val="none"/>
          <w:lang w:val="en-US" w:eastAsia="zh-CN"/>
        </w:rPr>
        <w:t>为</w:t>
      </w:r>
      <w:r>
        <w:rPr>
          <w:rFonts w:hint="eastAsia" w:ascii="Times New Roman" w:hAnsi="Times New Roman" w:eastAsia="宋体" w:cs="Times New Roman"/>
          <w:sz w:val="24"/>
          <w:szCs w:val="24"/>
          <w:highlight w:val="none"/>
          <w:lang w:val="en-US" w:eastAsia="zh-CN"/>
        </w:rPr>
        <w:t>10.5</w:t>
      </w:r>
      <w:r>
        <w:rPr>
          <w:rFonts w:hint="eastAsia" w:cs="Times New Roman"/>
          <w:sz w:val="24"/>
          <w:szCs w:val="24"/>
          <w:highlight w:val="none"/>
          <w:lang w:val="en-US" w:eastAsia="zh-CN"/>
        </w:rPr>
        <w:t>m</w:t>
      </w:r>
      <w:r>
        <w:rPr>
          <w:rFonts w:hint="eastAsia" w:ascii="Times New Roman" w:hAnsi="Times New Roman" w:eastAsia="宋体" w:cs="Times New Roman"/>
          <w:sz w:val="24"/>
          <w:szCs w:val="24"/>
          <w:highlight w:val="none"/>
          <w:lang w:val="en-US" w:eastAsia="zh-CN"/>
        </w:rPr>
        <w:t>~13.5m。</w:t>
      </w:r>
      <w:r>
        <w:rPr>
          <w:rFonts w:hint="eastAsia"/>
          <w:sz w:val="24"/>
          <w:highlight w:val="none"/>
          <w:lang w:val="en-US" w:eastAsia="zh-CN"/>
        </w:rPr>
        <w:t>项目</w:t>
      </w:r>
      <w:r>
        <w:rPr>
          <w:rFonts w:hint="default" w:ascii="Times New Roman" w:hAnsi="Times New Roman" w:eastAsia="宋体" w:cs="Times New Roman"/>
          <w:color w:val="auto"/>
          <w:sz w:val="24"/>
          <w:szCs w:val="24"/>
          <w:highlight w:val="none"/>
          <w:lang w:val="en-US" w:eastAsia="zh-CN"/>
        </w:rPr>
        <w:t>管线</w:t>
      </w:r>
      <w:r>
        <w:rPr>
          <w:rFonts w:hint="eastAsia"/>
          <w:sz w:val="24"/>
          <w:highlight w:val="none"/>
          <w:lang w:val="en-US" w:eastAsia="zh-CN"/>
        </w:rPr>
        <w:t>周围均为碎石地面，且管线位于厂区内部，</w:t>
      </w:r>
      <w:r>
        <w:rPr>
          <w:rFonts w:hint="default" w:ascii="Times New Roman" w:hAnsi="Times New Roman" w:eastAsia="宋体" w:cs="Times New Roman"/>
          <w:color w:val="auto"/>
          <w:sz w:val="24"/>
          <w:szCs w:val="24"/>
          <w:highlight w:val="none"/>
          <w:lang w:val="en-US" w:eastAsia="zh-CN"/>
        </w:rPr>
        <w:t>设置压力调节阀组和流量计</w:t>
      </w:r>
      <w:r>
        <w:rPr>
          <w:rFonts w:hint="eastAsia" w:cs="Times New Roman"/>
          <w:color w:val="auto"/>
          <w:sz w:val="24"/>
          <w:szCs w:val="24"/>
          <w:highlight w:val="none"/>
          <w:lang w:val="en-US" w:eastAsia="zh-CN"/>
        </w:rPr>
        <w:t>，</w:t>
      </w:r>
      <w:r>
        <w:rPr>
          <w:rFonts w:hint="eastAsia"/>
          <w:sz w:val="24"/>
          <w:highlight w:val="none"/>
          <w:lang w:val="en-US" w:eastAsia="zh-CN"/>
        </w:rPr>
        <w:t>管线</w:t>
      </w:r>
      <w:r>
        <w:rPr>
          <w:rFonts w:hint="eastAsia" w:ascii="Times New Roman" w:hAnsi="Times New Roman" w:eastAsia="宋体" w:cs="Times New Roman"/>
          <w:sz w:val="24"/>
          <w:szCs w:val="24"/>
          <w:highlight w:val="none"/>
          <w:lang w:val="en-US" w:eastAsia="zh-CN"/>
        </w:rPr>
        <w:t>阀门和仪表的控制信号接入</w:t>
      </w:r>
      <w:r>
        <w:rPr>
          <w:rFonts w:hint="eastAsia" w:cs="Times New Roman"/>
          <w:sz w:val="24"/>
          <w:szCs w:val="24"/>
          <w:highlight w:val="none"/>
          <w:lang w:val="en-US" w:eastAsia="zh-CN"/>
        </w:rPr>
        <w:t>伊泰化工</w:t>
      </w:r>
      <w:r>
        <w:rPr>
          <w:rFonts w:hint="default" w:ascii="Times New Roman" w:hAnsi="Times New Roman" w:eastAsia="宋体" w:cs="Times New Roman"/>
          <w:sz w:val="24"/>
          <w:szCs w:val="24"/>
          <w:highlight w:val="none"/>
          <w:lang w:val="en-US" w:eastAsia="zh-CN"/>
        </w:rPr>
        <w:t>公司</w:t>
      </w:r>
      <w:r>
        <w:rPr>
          <w:rFonts w:hint="eastAsia" w:cs="Times New Roman"/>
          <w:sz w:val="24"/>
          <w:szCs w:val="24"/>
          <w:highlight w:val="none"/>
          <w:lang w:val="en-US" w:eastAsia="zh-CN"/>
        </w:rPr>
        <w:t>的</w:t>
      </w:r>
      <w:r>
        <w:rPr>
          <w:rFonts w:hint="default" w:ascii="Times New Roman" w:hAnsi="Times New Roman" w:eastAsia="宋体" w:cs="Times New Roman"/>
          <w:sz w:val="24"/>
          <w:szCs w:val="24"/>
          <w:highlight w:val="none"/>
          <w:lang w:val="en-US" w:eastAsia="zh-CN"/>
        </w:rPr>
        <w:t>DCS系统，DCS信号通过光纤接入伊泰化工的中控系统显示</w:t>
      </w:r>
      <w:r>
        <w:rPr>
          <w:rFonts w:hint="eastAsia" w:ascii="Times New Roman" w:hAnsi="Times New Roman" w:eastAsia="宋体" w:cs="Times New Roman"/>
          <w:sz w:val="24"/>
          <w:szCs w:val="24"/>
          <w:highlight w:val="none"/>
          <w:lang w:val="en-US" w:eastAsia="zh-CN"/>
        </w:rPr>
        <w:t>一旦发生泄漏易被发现，及时处理后影响较小</w:t>
      </w: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szCs w:val="24"/>
          <w:highlight w:val="none"/>
          <w:lang w:val="en-US" w:eastAsia="zh-CN"/>
        </w:rPr>
        <w:t>可将</w:t>
      </w:r>
      <w:r>
        <w:rPr>
          <w:rFonts w:hint="eastAsia" w:ascii="Times New Roman" w:hAnsi="Times New Roman" w:eastAsia="宋体" w:cs="Times New Roman"/>
          <w:sz w:val="24"/>
          <w:highlight w:val="none"/>
        </w:rPr>
        <w:t>影响控制在有限范围内</w:t>
      </w:r>
      <w:r>
        <w:rPr>
          <w:rFonts w:hint="eastAsia" w:ascii="Times New Roman" w:hAnsi="Times New Roman" w:eastAsia="宋体" w:cs="Times New Roman"/>
          <w:sz w:val="24"/>
          <w:szCs w:val="24"/>
          <w:highlight w:val="none"/>
          <w:lang w:val="en-US" w:eastAsia="zh-CN"/>
        </w:rPr>
        <w:t>。</w:t>
      </w:r>
    </w:p>
    <w:p w14:paraId="2B9B419B">
      <w:pPr>
        <w:spacing w:line="360" w:lineRule="auto"/>
        <w:ind w:firstLine="480" w:firstLineChars="200"/>
        <w:rPr>
          <w:rFonts w:hint="eastAsia" w:ascii="Times New Roman" w:hAnsi="Times New Roman" w:eastAsia="宋体" w:cs="Times New Roman"/>
          <w:sz w:val="24"/>
          <w:highlight w:val="none"/>
          <w:lang w:val="en-US" w:eastAsia="zh-CN"/>
        </w:rPr>
      </w:pPr>
      <w:r>
        <w:rPr>
          <w:rFonts w:hint="eastAsia" w:ascii="Times New Roman" w:hAnsi="Times New Roman" w:eastAsia="宋体" w:cs="Times New Roman"/>
          <w:sz w:val="24"/>
          <w:highlight w:val="none"/>
          <w:lang w:val="en-US" w:eastAsia="zh-CN"/>
        </w:rPr>
        <w:t>此外当发生管输物质泄漏并引发火灾爆炸事故时，消防及喷淋稀释会产生一定的洗消废水。本项目的事故污水系统是发生消防事故时，有污染的各生产装置和辅助生产设施界区内消防事故污水，</w:t>
      </w:r>
      <w:r>
        <w:rPr>
          <w:rFonts w:hint="eastAsia" w:cs="Times New Roman"/>
          <w:sz w:val="24"/>
          <w:highlight w:val="none"/>
          <w:lang w:val="en-US" w:eastAsia="zh-CN"/>
        </w:rPr>
        <w:t>管道断裂、发生爆炸火灾所产生的消防废水</w:t>
      </w:r>
      <w:r>
        <w:rPr>
          <w:rFonts w:hint="eastAsia" w:ascii="Times New Roman" w:hAnsi="Times New Roman" w:eastAsia="宋体" w:cs="Times New Roman"/>
          <w:sz w:val="24"/>
          <w:highlight w:val="none"/>
          <w:lang w:val="en-US" w:eastAsia="zh-CN"/>
        </w:rPr>
        <w:t>经</w:t>
      </w:r>
      <w:r>
        <w:rPr>
          <w:rFonts w:hint="eastAsia" w:cs="Times New Roman"/>
          <w:sz w:val="24"/>
          <w:highlight w:val="none"/>
          <w:lang w:val="en-US" w:eastAsia="zh-CN"/>
        </w:rPr>
        <w:t>就近</w:t>
      </w:r>
      <w:r>
        <w:rPr>
          <w:rFonts w:hint="eastAsia" w:ascii="Times New Roman" w:hAnsi="Times New Roman" w:eastAsia="宋体" w:cs="Times New Roman"/>
          <w:sz w:val="24"/>
          <w:highlight w:val="none"/>
          <w:lang w:val="en-US" w:eastAsia="zh-CN"/>
        </w:rPr>
        <w:t>装置区设置的围堰收集，最终送事故水池收集储存。</w:t>
      </w:r>
    </w:p>
    <w:p w14:paraId="36E98AED">
      <w:pPr>
        <w:spacing w:line="360" w:lineRule="auto"/>
        <w:ind w:firstLine="480" w:firstLineChars="200"/>
        <w:rPr>
          <w:rFonts w:hint="eastAsia" w:ascii="Times New Roman" w:hAnsi="Times New Roman" w:eastAsia="宋体" w:cs="Times New Roman"/>
          <w:sz w:val="24"/>
          <w:highlight w:val="none"/>
          <w:lang w:eastAsia="zh-CN"/>
        </w:rPr>
      </w:pPr>
      <w:r>
        <w:rPr>
          <w:rFonts w:hint="eastAsia" w:ascii="Times New Roman" w:hAnsi="Times New Roman" w:eastAsia="宋体" w:cs="Times New Roman"/>
          <w:sz w:val="24"/>
          <w:highlight w:val="none"/>
          <w:lang w:val="en-US" w:eastAsia="zh-CN"/>
        </w:rPr>
        <w:t>本项目依托内蒙古伊泰化工有限责任公司120万吨/年精细</w:t>
      </w:r>
      <w:r>
        <w:rPr>
          <w:rFonts w:hint="eastAsia"/>
          <w:color w:val="000000"/>
          <w:sz w:val="24"/>
          <w:highlight w:val="none"/>
        </w:rPr>
        <w:t>化学品示范项目</w:t>
      </w:r>
      <w:r>
        <w:rPr>
          <w:rFonts w:hint="eastAsia"/>
          <w:sz w:val="24"/>
          <w:highlight w:val="none"/>
        </w:rPr>
        <w:t>设置的</w:t>
      </w:r>
      <w:r>
        <w:rPr>
          <w:rFonts w:hint="eastAsia"/>
          <w:sz w:val="24"/>
          <w:highlight w:val="none"/>
          <w:lang w:val="en-US" w:eastAsia="zh-CN"/>
        </w:rPr>
        <w:t>1</w:t>
      </w:r>
      <w:r>
        <w:rPr>
          <w:rFonts w:hint="eastAsia"/>
          <w:sz w:val="24"/>
          <w:highlight w:val="none"/>
        </w:rPr>
        <w:t>座消防事故</w:t>
      </w:r>
      <w:r>
        <w:rPr>
          <w:rFonts w:hint="eastAsia"/>
          <w:sz w:val="24"/>
          <w:highlight w:val="none"/>
          <w:lang w:val="en-US" w:eastAsia="zh-CN"/>
        </w:rPr>
        <w:t>处理</w:t>
      </w:r>
      <w:r>
        <w:rPr>
          <w:rFonts w:hint="eastAsia"/>
          <w:sz w:val="24"/>
          <w:highlight w:val="none"/>
        </w:rPr>
        <w:t>水池</w:t>
      </w:r>
      <w:r>
        <w:rPr>
          <w:rFonts w:hint="eastAsia"/>
          <w:sz w:val="24"/>
          <w:highlight w:val="none"/>
          <w:lang w:val="en-US" w:eastAsia="zh-CN"/>
        </w:rPr>
        <w:t>，</w:t>
      </w:r>
      <w:r>
        <w:rPr>
          <w:rFonts w:hint="eastAsia"/>
          <w:sz w:val="24"/>
          <w:highlight w:val="none"/>
        </w:rPr>
        <w:t>有效容积为</w:t>
      </w:r>
      <w:r>
        <w:rPr>
          <w:sz w:val="24"/>
          <w:highlight w:val="none"/>
        </w:rPr>
        <w:t>3</w:t>
      </w:r>
      <w:r>
        <w:rPr>
          <w:rFonts w:hint="eastAsia"/>
          <w:sz w:val="24"/>
          <w:highlight w:val="none"/>
          <w:lang w:val="en-US" w:eastAsia="zh-CN"/>
        </w:rPr>
        <w:t>0</w:t>
      </w:r>
      <w:r>
        <w:rPr>
          <w:sz w:val="24"/>
          <w:highlight w:val="none"/>
        </w:rPr>
        <w:t>000m</w:t>
      </w:r>
      <w:r>
        <w:rPr>
          <w:sz w:val="24"/>
          <w:highlight w:val="none"/>
          <w:vertAlign w:val="superscript"/>
        </w:rPr>
        <w:t>3</w:t>
      </w:r>
      <w:r>
        <w:rPr>
          <w:rFonts w:hint="eastAsia"/>
          <w:sz w:val="24"/>
          <w:highlight w:val="none"/>
        </w:rPr>
        <w:t>。</w:t>
      </w:r>
    </w:p>
    <w:p w14:paraId="3267817E">
      <w:pPr>
        <w:keepNext/>
        <w:keepLines/>
        <w:spacing w:before="240" w:beforeLines="100" w:line="360" w:lineRule="auto"/>
        <w:outlineLvl w:val="0"/>
        <w:rPr>
          <w:b/>
          <w:bCs/>
          <w:kern w:val="44"/>
          <w:sz w:val="32"/>
          <w:szCs w:val="32"/>
          <w:highlight w:val="none"/>
        </w:rPr>
      </w:pPr>
      <w:bookmarkStart w:id="73" w:name="_Toc10057_WPSOffice_Level1"/>
      <w:r>
        <w:rPr>
          <w:rFonts w:hint="eastAsia"/>
          <w:b/>
          <w:bCs/>
          <w:kern w:val="44"/>
          <w:sz w:val="32"/>
          <w:szCs w:val="32"/>
          <w:highlight w:val="none"/>
        </w:rPr>
        <w:t>5</w:t>
      </w:r>
      <w:r>
        <w:rPr>
          <w:rFonts w:hint="eastAsia"/>
          <w:b/>
          <w:bCs/>
          <w:kern w:val="44"/>
          <w:sz w:val="32"/>
          <w:szCs w:val="32"/>
          <w:highlight w:val="none"/>
          <w:lang w:val="en-US" w:eastAsia="zh-CN"/>
        </w:rPr>
        <w:t>.</w:t>
      </w:r>
      <w:r>
        <w:rPr>
          <w:rFonts w:hint="eastAsia"/>
          <w:b/>
          <w:bCs/>
          <w:kern w:val="44"/>
          <w:sz w:val="32"/>
          <w:szCs w:val="32"/>
          <w:highlight w:val="none"/>
        </w:rPr>
        <w:t>环境风险防范及应急要求</w:t>
      </w:r>
      <w:bookmarkEnd w:id="73"/>
    </w:p>
    <w:p w14:paraId="18009AD7">
      <w:pPr>
        <w:keepNext/>
        <w:keepLines/>
        <w:spacing w:line="360" w:lineRule="auto"/>
        <w:outlineLvl w:val="1"/>
        <w:rPr>
          <w:rFonts w:hint="eastAsia"/>
          <w:b/>
          <w:bCs/>
          <w:sz w:val="24"/>
          <w:highlight w:val="none"/>
        </w:rPr>
      </w:pPr>
      <w:r>
        <w:rPr>
          <w:rFonts w:hint="eastAsia"/>
          <w:b/>
          <w:bCs/>
          <w:sz w:val="24"/>
          <w:highlight w:val="none"/>
        </w:rPr>
        <w:t>5.1合理选线</w:t>
      </w:r>
    </w:p>
    <w:p w14:paraId="193AC804">
      <w:pPr>
        <w:adjustRightInd w:val="0"/>
        <w:snapToGrid w:val="0"/>
        <w:spacing w:line="360" w:lineRule="auto"/>
        <w:ind w:firstLine="480" w:firstLineChars="200"/>
        <w:rPr>
          <w:rFonts w:hint="eastAsia"/>
          <w:color w:val="1900FF"/>
          <w:sz w:val="24"/>
          <w:szCs w:val="32"/>
          <w:highlight w:val="none"/>
        </w:rPr>
      </w:pPr>
      <w:r>
        <w:rPr>
          <w:rFonts w:hint="eastAsia"/>
          <w:sz w:val="24"/>
          <w:szCs w:val="32"/>
          <w:highlight w:val="none"/>
        </w:rPr>
        <w:t>本项目位于内蒙古鄂尔多斯市</w:t>
      </w:r>
      <w:r>
        <w:rPr>
          <w:rFonts w:hint="eastAsia" w:ascii="Times New Roman" w:hAnsi="Times New Roman" w:eastAsia="宋体" w:cs="Times New Roman"/>
          <w:bCs/>
          <w:sz w:val="24"/>
          <w:highlight w:val="none"/>
          <w:lang w:val="en-US" w:eastAsia="zh-CN"/>
        </w:rPr>
        <w:t>杭锦旗独贵塔拉工业园区锦泰精细化工园</w:t>
      </w:r>
      <w:r>
        <w:rPr>
          <w:rFonts w:hint="eastAsia"/>
          <w:sz w:val="24"/>
          <w:szCs w:val="32"/>
          <w:highlight w:val="none"/>
        </w:rPr>
        <w:t>，沿线不涉及自然遗迹、人文遗迹、自然保护区、风景名胜区、基本农田保护区、珍稀或濒危野生动植物生境、生态公益林用地等生态敏感目标。工程沿线两侧</w:t>
      </w:r>
      <w:r>
        <w:rPr>
          <w:rFonts w:hint="eastAsia"/>
          <w:sz w:val="24"/>
          <w:szCs w:val="32"/>
          <w:highlight w:val="none"/>
          <w:lang w:val="en-US" w:eastAsia="zh-CN"/>
        </w:rPr>
        <w:t>5</w:t>
      </w:r>
      <w:r>
        <w:rPr>
          <w:rFonts w:hint="eastAsia"/>
          <w:sz w:val="24"/>
          <w:szCs w:val="32"/>
          <w:highlight w:val="none"/>
        </w:rPr>
        <w:t>00m范围内无居民区、村庄，本项目建设与周边现状环境基本相容。</w:t>
      </w:r>
    </w:p>
    <w:p w14:paraId="26340342">
      <w:pPr>
        <w:adjustRightInd w:val="0"/>
        <w:snapToGrid w:val="0"/>
        <w:spacing w:line="360" w:lineRule="auto"/>
        <w:ind w:firstLine="480" w:firstLineChars="200"/>
        <w:rPr>
          <w:rFonts w:hint="eastAsia"/>
          <w:sz w:val="24"/>
          <w:szCs w:val="32"/>
          <w:highlight w:val="none"/>
        </w:rPr>
      </w:pPr>
      <w:r>
        <w:rPr>
          <w:rFonts w:hint="eastAsia"/>
          <w:sz w:val="24"/>
          <w:szCs w:val="32"/>
          <w:highlight w:val="none"/>
        </w:rPr>
        <w:t>工程沿线均为工业用地或空地，项目沿线200m范围无敏感目标，项目建设不涉及环境敏感点，选址选线符合区域相关用地规划、主体功能区划、生态功能区划等，与周边环境相容。</w:t>
      </w:r>
    </w:p>
    <w:p w14:paraId="589D1FF6">
      <w:pPr>
        <w:adjustRightInd w:val="0"/>
        <w:snapToGrid w:val="0"/>
        <w:spacing w:line="360" w:lineRule="auto"/>
        <w:ind w:firstLine="480" w:firstLineChars="200"/>
        <w:rPr>
          <w:rFonts w:hint="eastAsia"/>
          <w:sz w:val="24"/>
          <w:szCs w:val="32"/>
          <w:highlight w:val="none"/>
        </w:rPr>
      </w:pPr>
      <w:r>
        <w:rPr>
          <w:rFonts w:hint="eastAsia"/>
          <w:sz w:val="24"/>
          <w:szCs w:val="32"/>
          <w:highlight w:val="none"/>
        </w:rPr>
        <w:t>本项目建设基本无新增污染，主要影响要素为环境风险，在落实各项环境风险防控措施后，本项目环境风险可防可控。</w:t>
      </w:r>
    </w:p>
    <w:p w14:paraId="6C78C624">
      <w:pPr>
        <w:spacing w:line="360" w:lineRule="auto"/>
        <w:ind w:firstLine="480" w:firstLineChars="200"/>
        <w:rPr>
          <w:rFonts w:hint="eastAsia"/>
          <w:color w:val="0000FF"/>
          <w:sz w:val="24"/>
          <w:highlight w:val="none"/>
        </w:rPr>
      </w:pPr>
      <w:r>
        <w:rPr>
          <w:rFonts w:hint="eastAsia"/>
          <w:sz w:val="24"/>
          <w:szCs w:val="32"/>
          <w:highlight w:val="none"/>
        </w:rPr>
        <w:t>综上分析，从环境影响角度分析，项目选址</w:t>
      </w:r>
      <w:r>
        <w:rPr>
          <w:rFonts w:hint="eastAsia"/>
          <w:sz w:val="24"/>
          <w:szCs w:val="32"/>
          <w:highlight w:val="none"/>
          <w:lang w:eastAsia="zh-CN"/>
        </w:rPr>
        <w:t>和</w:t>
      </w:r>
      <w:r>
        <w:rPr>
          <w:rFonts w:hint="eastAsia"/>
          <w:sz w:val="24"/>
          <w:szCs w:val="32"/>
          <w:highlight w:val="none"/>
        </w:rPr>
        <w:t>选线合理可行</w:t>
      </w:r>
      <w:r>
        <w:rPr>
          <w:rFonts w:hint="eastAsia"/>
          <w:sz w:val="24"/>
          <w:highlight w:val="none"/>
        </w:rPr>
        <w:t>。</w:t>
      </w:r>
    </w:p>
    <w:p w14:paraId="5AA2E328">
      <w:pPr>
        <w:keepNext/>
        <w:keepLines/>
        <w:spacing w:line="360" w:lineRule="auto"/>
        <w:outlineLvl w:val="1"/>
        <w:rPr>
          <w:rFonts w:hint="eastAsia"/>
          <w:b/>
          <w:bCs/>
          <w:sz w:val="28"/>
          <w:szCs w:val="28"/>
          <w:highlight w:val="none"/>
        </w:rPr>
      </w:pPr>
      <w:r>
        <w:rPr>
          <w:rFonts w:hint="eastAsia"/>
          <w:b/>
          <w:bCs/>
          <w:sz w:val="28"/>
          <w:szCs w:val="28"/>
          <w:highlight w:val="none"/>
        </w:rPr>
        <w:t>5.2本项目施工期安全风险防护措施</w:t>
      </w:r>
    </w:p>
    <w:p w14:paraId="1E63EE77">
      <w:pPr>
        <w:spacing w:line="360" w:lineRule="auto"/>
        <w:ind w:firstLine="480" w:firstLineChars="200"/>
        <w:rPr>
          <w:rFonts w:hint="eastAsia"/>
          <w:sz w:val="24"/>
          <w:highlight w:val="none"/>
        </w:rPr>
      </w:pPr>
      <w:r>
        <w:rPr>
          <w:rFonts w:hint="eastAsia"/>
          <w:sz w:val="24"/>
          <w:highlight w:val="none"/>
        </w:rPr>
        <w:t>（1）本项目管道安装施工涉及焊接工序，会产生明火，存在安全隐患，应予以特别关注，施工前应排查现有风险隐患，特别是施工管道临近区域，办理相关动火手续，并在经得相关安监主管部门、园区管理部门及关联企业同意后方可动工。</w:t>
      </w:r>
    </w:p>
    <w:p w14:paraId="086CF1BD">
      <w:pPr>
        <w:spacing w:line="360" w:lineRule="auto"/>
        <w:ind w:firstLine="480" w:firstLineChars="200"/>
        <w:rPr>
          <w:rFonts w:hint="eastAsia"/>
          <w:sz w:val="24"/>
          <w:highlight w:val="none"/>
        </w:rPr>
      </w:pPr>
      <w:r>
        <w:rPr>
          <w:rFonts w:hint="eastAsia"/>
          <w:sz w:val="24"/>
          <w:highlight w:val="none"/>
        </w:rPr>
        <w:t>（2）制定施工方案，优化施工工艺，缩短施工作业时间，优选施工时段</w:t>
      </w:r>
      <w:r>
        <w:rPr>
          <w:rFonts w:hint="eastAsia"/>
          <w:sz w:val="24"/>
          <w:highlight w:val="none"/>
          <w:lang w:eastAsia="zh-CN"/>
        </w:rPr>
        <w:t>；在</w:t>
      </w:r>
      <w:r>
        <w:rPr>
          <w:rFonts w:hint="eastAsia"/>
          <w:sz w:val="24"/>
          <w:highlight w:val="none"/>
        </w:rPr>
        <w:t>现场焊接施工时，加强</w:t>
      </w:r>
      <w:r>
        <w:rPr>
          <w:rFonts w:hint="eastAsia"/>
          <w:sz w:val="24"/>
          <w:highlight w:val="none"/>
          <w:lang w:eastAsia="zh-CN"/>
        </w:rPr>
        <w:t>与</w:t>
      </w:r>
      <w:r>
        <w:rPr>
          <w:rFonts w:hint="eastAsia"/>
          <w:sz w:val="24"/>
          <w:highlight w:val="none"/>
        </w:rPr>
        <w:t>管道沿线企业的联防联控，加密巡检频次。</w:t>
      </w:r>
    </w:p>
    <w:p w14:paraId="4DF77E85">
      <w:pPr>
        <w:spacing w:line="360" w:lineRule="auto"/>
        <w:ind w:firstLine="480" w:firstLineChars="200"/>
        <w:rPr>
          <w:rFonts w:hint="eastAsia"/>
          <w:sz w:val="24"/>
          <w:highlight w:val="none"/>
        </w:rPr>
      </w:pPr>
      <w:r>
        <w:rPr>
          <w:rFonts w:hint="eastAsia"/>
          <w:sz w:val="24"/>
          <w:highlight w:val="none"/>
        </w:rPr>
        <w:t>（3）优选</w:t>
      </w:r>
      <w:r>
        <w:rPr>
          <w:rFonts w:hint="eastAsia"/>
          <w:sz w:val="24"/>
          <w:highlight w:val="none"/>
          <w:lang w:eastAsia="zh-CN"/>
        </w:rPr>
        <w:t>行业</w:t>
      </w:r>
      <w:r>
        <w:rPr>
          <w:rFonts w:hint="eastAsia"/>
          <w:sz w:val="24"/>
          <w:highlight w:val="none"/>
        </w:rPr>
        <w:t>施工经验丰富的施工队伍，施工作业前开展安全作业及安全防范知识培训。</w:t>
      </w:r>
    </w:p>
    <w:p w14:paraId="10C8B615">
      <w:pPr>
        <w:spacing w:line="360" w:lineRule="auto"/>
        <w:ind w:firstLine="480" w:firstLineChars="200"/>
        <w:rPr>
          <w:rFonts w:hint="eastAsia"/>
          <w:sz w:val="24"/>
          <w:highlight w:val="none"/>
        </w:rPr>
      </w:pPr>
      <w:r>
        <w:rPr>
          <w:rFonts w:hint="eastAsia"/>
          <w:sz w:val="24"/>
          <w:highlight w:val="none"/>
        </w:rPr>
        <w:t>（4）落实施工全过程监管及巡查，严控施工作业范围，遵守相关安全防护距离规定。</w:t>
      </w:r>
    </w:p>
    <w:p w14:paraId="2EB8D825">
      <w:pPr>
        <w:spacing w:line="360" w:lineRule="auto"/>
        <w:ind w:firstLine="480" w:firstLineChars="200"/>
        <w:rPr>
          <w:rFonts w:hint="eastAsia"/>
          <w:sz w:val="24"/>
          <w:highlight w:val="none"/>
        </w:rPr>
      </w:pPr>
      <w:r>
        <w:rPr>
          <w:rFonts w:hint="eastAsia"/>
          <w:sz w:val="24"/>
          <w:highlight w:val="none"/>
        </w:rPr>
        <w:t>（5）明确施工方、建设方和监管方的责任人，加强施工管理，强化焊接和防腐质量控制，落实施工作业区及附近的防火等防护措施。</w:t>
      </w:r>
    </w:p>
    <w:p w14:paraId="2468D165">
      <w:pPr>
        <w:keepNext/>
        <w:keepLines/>
        <w:spacing w:line="360" w:lineRule="auto"/>
        <w:outlineLvl w:val="1"/>
        <w:rPr>
          <w:rFonts w:hint="eastAsia"/>
          <w:b/>
          <w:bCs/>
          <w:sz w:val="28"/>
          <w:szCs w:val="28"/>
          <w:highlight w:val="none"/>
        </w:rPr>
      </w:pPr>
      <w:r>
        <w:rPr>
          <w:rFonts w:hint="eastAsia"/>
          <w:b/>
          <w:bCs/>
          <w:sz w:val="28"/>
          <w:szCs w:val="28"/>
          <w:highlight w:val="none"/>
        </w:rPr>
        <w:t>5.3相关设计安全防范措施</w:t>
      </w:r>
    </w:p>
    <w:p w14:paraId="3885BF32">
      <w:pPr>
        <w:spacing w:line="360" w:lineRule="auto"/>
        <w:ind w:firstLine="480" w:firstLineChars="200"/>
        <w:rPr>
          <w:rFonts w:hint="eastAsia"/>
          <w:sz w:val="24"/>
          <w:highlight w:val="none"/>
        </w:rPr>
      </w:pPr>
      <w:r>
        <w:rPr>
          <w:rFonts w:hint="eastAsia"/>
          <w:sz w:val="24"/>
          <w:highlight w:val="none"/>
        </w:rPr>
        <w:t>（1）优选管材及防火</w:t>
      </w:r>
      <w:r>
        <w:rPr>
          <w:rFonts w:hint="eastAsia"/>
          <w:sz w:val="24"/>
          <w:highlight w:val="none"/>
          <w:lang w:eastAsia="zh-CN"/>
        </w:rPr>
        <w:t>防腐蚀</w:t>
      </w:r>
      <w:r>
        <w:rPr>
          <w:rFonts w:hint="eastAsia"/>
          <w:sz w:val="24"/>
          <w:highlight w:val="none"/>
        </w:rPr>
        <w:t>涂料，选用质量有保证的产品，确保管材质量可靠，符合规范设计要求；本项目管道除采用法兰连接和焊接连接</w:t>
      </w:r>
      <w:r>
        <w:rPr>
          <w:rFonts w:hint="eastAsia"/>
          <w:sz w:val="24"/>
          <w:highlight w:val="none"/>
          <w:lang w:eastAsia="zh-CN"/>
        </w:rPr>
        <w:t>外</w:t>
      </w:r>
      <w:r>
        <w:rPr>
          <w:rFonts w:hint="eastAsia"/>
          <w:sz w:val="24"/>
          <w:highlight w:val="none"/>
        </w:rPr>
        <w:t>，不采用其他连接方式，降低泄漏风险</w:t>
      </w:r>
      <w:r>
        <w:rPr>
          <w:rFonts w:hint="eastAsia"/>
          <w:sz w:val="24"/>
          <w:highlight w:val="none"/>
          <w:lang w:eastAsia="zh-CN"/>
        </w:rPr>
        <w:t>概率</w:t>
      </w:r>
      <w:r>
        <w:rPr>
          <w:rFonts w:hint="eastAsia"/>
          <w:sz w:val="24"/>
          <w:highlight w:val="none"/>
        </w:rPr>
        <w:t>；严格控制管道焊接质量，精心施工安装，加强施工质量管理。</w:t>
      </w:r>
    </w:p>
    <w:p w14:paraId="4FAB8810">
      <w:pPr>
        <w:spacing w:line="360" w:lineRule="auto"/>
        <w:ind w:firstLine="480" w:firstLineChars="200"/>
        <w:rPr>
          <w:rFonts w:hint="eastAsia"/>
          <w:sz w:val="24"/>
          <w:highlight w:val="none"/>
        </w:rPr>
      </w:pPr>
      <w:r>
        <w:rPr>
          <w:rFonts w:hint="eastAsia"/>
          <w:sz w:val="24"/>
          <w:highlight w:val="none"/>
        </w:rPr>
        <w:t>（2）本项目应严格按照《石油化工企业设计防火标准》《石油化工设备和管道涂料防腐蚀设计规范》《工业金属管道设计规范》《压力管道规范工业管道》等相关规范要求进行设计，预留足够的与周边保护目标及其他管道等设施之间的安全防护距离，采取严格的防腐层保护金属管道，确保管道质量可靠。设计中，应充分考虑设备的风荷载及防腐设计。管线应按规范要求进行防雷及防静电接地设计。</w:t>
      </w:r>
    </w:p>
    <w:p w14:paraId="2F5D7CAC">
      <w:pPr>
        <w:spacing w:line="360" w:lineRule="auto"/>
        <w:ind w:firstLine="480" w:firstLineChars="200"/>
        <w:rPr>
          <w:rFonts w:hint="eastAsia"/>
          <w:sz w:val="24"/>
          <w:highlight w:val="none"/>
        </w:rPr>
      </w:pPr>
      <w:r>
        <w:rPr>
          <w:rFonts w:hint="eastAsia"/>
          <w:sz w:val="24"/>
          <w:highlight w:val="none"/>
        </w:rPr>
        <w:t>（3）项目管道沿线设置各种警示标识，避免手机、金属碰撞、汽车发动机等潜在火源的发生，并加强维护管理；设置完善的管道标志，管道标志不仅清楚、明确，并且其设置应能从不同方向，不同角度均可看清。</w:t>
      </w:r>
    </w:p>
    <w:p w14:paraId="75709C7D">
      <w:pPr>
        <w:spacing w:line="360" w:lineRule="auto"/>
        <w:ind w:firstLine="480" w:firstLineChars="200"/>
        <w:rPr>
          <w:rFonts w:hint="eastAsia"/>
          <w:color w:val="0000FF"/>
          <w:sz w:val="24"/>
          <w:highlight w:val="none"/>
        </w:rPr>
      </w:pPr>
      <w:r>
        <w:rPr>
          <w:rFonts w:hint="eastAsia"/>
          <w:sz w:val="24"/>
          <w:highlight w:val="none"/>
        </w:rPr>
        <w:t>（4）项目化学品输送管道</w:t>
      </w:r>
      <w:r>
        <w:rPr>
          <w:rFonts w:hint="eastAsia"/>
          <w:sz w:val="24"/>
          <w:highlight w:val="none"/>
          <w:lang w:eastAsia="zh-CN"/>
        </w:rPr>
        <w:t>、</w:t>
      </w:r>
      <w:r>
        <w:rPr>
          <w:rFonts w:hint="eastAsia"/>
          <w:sz w:val="24"/>
          <w:highlight w:val="none"/>
          <w:lang w:val="en-US" w:eastAsia="zh-CN"/>
        </w:rPr>
        <w:t>管线</w:t>
      </w:r>
      <w:r>
        <w:rPr>
          <w:rFonts w:hint="eastAsia" w:ascii="Times New Roman" w:hAnsi="Times New Roman" w:eastAsia="宋体" w:cs="Times New Roman"/>
          <w:sz w:val="24"/>
          <w:szCs w:val="24"/>
          <w:highlight w:val="none"/>
          <w:lang w:val="en-US" w:eastAsia="zh-CN"/>
        </w:rPr>
        <w:t>阀门和仪表的控制信号</w:t>
      </w:r>
      <w:r>
        <w:rPr>
          <w:rFonts w:hint="eastAsia" w:ascii="Times New Roman" w:hAnsi="Times New Roman" w:eastAsia="宋体" w:cs="Times New Roman"/>
          <w:color w:val="auto"/>
          <w:sz w:val="24"/>
          <w:szCs w:val="24"/>
          <w:highlight w:val="none"/>
          <w:lang w:val="en-US" w:eastAsia="zh-CN"/>
        </w:rPr>
        <w:t>接入</w:t>
      </w:r>
      <w:r>
        <w:rPr>
          <w:rFonts w:hint="eastAsia" w:cs="Times New Roman"/>
          <w:color w:val="auto"/>
          <w:sz w:val="24"/>
          <w:szCs w:val="24"/>
          <w:highlight w:val="none"/>
          <w:lang w:val="en-US" w:eastAsia="zh-CN"/>
        </w:rPr>
        <w:t>伊泰化工</w:t>
      </w:r>
      <w:r>
        <w:rPr>
          <w:rFonts w:hint="default" w:ascii="Times New Roman" w:hAnsi="Times New Roman" w:eastAsia="宋体" w:cs="Times New Roman"/>
          <w:color w:val="auto"/>
          <w:sz w:val="24"/>
          <w:szCs w:val="24"/>
          <w:highlight w:val="none"/>
          <w:lang w:val="en-US" w:eastAsia="zh-CN"/>
        </w:rPr>
        <w:t>公司DCS系统</w:t>
      </w:r>
      <w:r>
        <w:rPr>
          <w:rFonts w:hint="default" w:ascii="Times New Roman" w:hAnsi="Times New Roman" w:eastAsia="宋体" w:cs="Times New Roman"/>
          <w:sz w:val="24"/>
          <w:szCs w:val="24"/>
          <w:highlight w:val="none"/>
          <w:lang w:val="en-US" w:eastAsia="zh-CN"/>
        </w:rPr>
        <w:t>，DCS信号通过光纤接入伊泰化工的中控系统</w:t>
      </w:r>
      <w:r>
        <w:rPr>
          <w:rFonts w:hint="eastAsia"/>
          <w:sz w:val="24"/>
          <w:highlight w:val="none"/>
        </w:rPr>
        <w:t>，实行24h实时监控。</w:t>
      </w:r>
    </w:p>
    <w:p w14:paraId="7175CC38">
      <w:pPr>
        <w:keepNext/>
        <w:keepLines/>
        <w:spacing w:line="360" w:lineRule="auto"/>
        <w:outlineLvl w:val="1"/>
        <w:rPr>
          <w:rFonts w:hint="eastAsia"/>
          <w:b/>
          <w:bCs/>
          <w:sz w:val="28"/>
          <w:szCs w:val="28"/>
          <w:highlight w:val="none"/>
        </w:rPr>
      </w:pPr>
      <w:r>
        <w:rPr>
          <w:rFonts w:hint="eastAsia"/>
          <w:b/>
          <w:bCs/>
          <w:sz w:val="28"/>
          <w:szCs w:val="28"/>
          <w:highlight w:val="none"/>
        </w:rPr>
        <w:t>5.4本项目防爆措施</w:t>
      </w:r>
    </w:p>
    <w:p w14:paraId="2527A374">
      <w:pPr>
        <w:numPr>
          <w:ilvl w:val="0"/>
          <w:numId w:val="0"/>
        </w:numPr>
        <w:spacing w:line="360" w:lineRule="auto"/>
        <w:ind w:firstLine="480" w:firstLineChars="200"/>
        <w:rPr>
          <w:rFonts w:hint="eastAsia"/>
          <w:sz w:val="24"/>
          <w:highlight w:val="none"/>
          <w:lang w:val="en-US" w:eastAsia="zh-CN"/>
        </w:rPr>
      </w:pPr>
      <w:r>
        <w:rPr>
          <w:rFonts w:hint="eastAsia"/>
          <w:sz w:val="24"/>
          <w:highlight w:val="none"/>
          <w:lang w:val="en-US" w:eastAsia="zh-CN"/>
        </w:rPr>
        <w:t>1.管理上的防范措施</w:t>
      </w:r>
    </w:p>
    <w:p w14:paraId="72DE0F8F">
      <w:pPr>
        <w:numPr>
          <w:ilvl w:val="0"/>
          <w:numId w:val="0"/>
        </w:numPr>
        <w:spacing w:line="360" w:lineRule="auto"/>
        <w:ind w:firstLine="480" w:firstLineChars="200"/>
        <w:rPr>
          <w:rFonts w:hint="eastAsia"/>
          <w:sz w:val="24"/>
          <w:highlight w:val="none"/>
        </w:rPr>
      </w:pPr>
      <w:r>
        <w:rPr>
          <w:rFonts w:hint="default"/>
          <w:sz w:val="24"/>
          <w:highlight w:val="none"/>
          <w:lang w:val="en-US" w:eastAsia="zh-CN"/>
        </w:rPr>
        <w:t>本项目是一个易燃、易爆、火灾危险性较大的项目，存在劳动安全卫生危害因素，必须在操作与管理上采取防范措施。但项目没有新增危险因素或防范介质，劳动、安全、卫生</w:t>
      </w:r>
      <w:r>
        <w:rPr>
          <w:rFonts w:hint="eastAsia"/>
          <w:sz w:val="24"/>
          <w:highlight w:val="none"/>
          <w:lang w:val="en-US" w:eastAsia="zh-CN"/>
        </w:rPr>
        <w:t>等</w:t>
      </w:r>
      <w:r>
        <w:rPr>
          <w:rFonts w:hint="default"/>
          <w:sz w:val="24"/>
          <w:highlight w:val="none"/>
          <w:lang w:val="en-US" w:eastAsia="zh-CN"/>
        </w:rPr>
        <w:t>防范措施</w:t>
      </w:r>
      <w:r>
        <w:rPr>
          <w:rFonts w:hint="eastAsia"/>
          <w:sz w:val="24"/>
          <w:highlight w:val="none"/>
          <w:lang w:val="en-US" w:eastAsia="zh-CN"/>
        </w:rPr>
        <w:t>与原来</w:t>
      </w:r>
      <w:r>
        <w:rPr>
          <w:rFonts w:hint="default"/>
          <w:sz w:val="24"/>
          <w:highlight w:val="none"/>
          <w:lang w:val="en-US" w:eastAsia="zh-CN"/>
        </w:rPr>
        <w:t>一致，安全管理、监督工作可完全由伊泰化工环保科统一部署实施</w:t>
      </w:r>
      <w:r>
        <w:rPr>
          <w:rFonts w:hint="eastAsia"/>
          <w:sz w:val="24"/>
          <w:highlight w:val="none"/>
          <w:lang w:val="en-US" w:eastAsia="zh-CN"/>
        </w:rPr>
        <w:t>。</w:t>
      </w:r>
      <w:r>
        <w:rPr>
          <w:rFonts w:hint="default"/>
          <w:sz w:val="24"/>
          <w:highlight w:val="none"/>
          <w:lang w:val="en-US" w:eastAsia="zh-CN"/>
        </w:rPr>
        <w:t>装置投产前，必须制定必要的安全生产管理制度，例如安全教育制度、安全作业证制度、安全检查制度等。</w:t>
      </w:r>
    </w:p>
    <w:p w14:paraId="344F4C79">
      <w:pPr>
        <w:spacing w:line="360" w:lineRule="auto"/>
        <w:ind w:firstLine="480" w:firstLineChars="200"/>
        <w:rPr>
          <w:rFonts w:hint="eastAsia"/>
          <w:sz w:val="24"/>
          <w:highlight w:val="none"/>
        </w:rPr>
      </w:pPr>
      <w:r>
        <w:rPr>
          <w:rFonts w:hint="default"/>
          <w:sz w:val="24"/>
          <w:highlight w:val="none"/>
          <w:lang w:val="en-US" w:eastAsia="zh-CN"/>
        </w:rPr>
        <w:t>2.工程设计上的防范措施</w:t>
      </w:r>
    </w:p>
    <w:p w14:paraId="634693E9">
      <w:pPr>
        <w:spacing w:line="360" w:lineRule="auto"/>
        <w:ind w:firstLine="480" w:firstLineChars="200"/>
        <w:rPr>
          <w:rFonts w:hint="eastAsia"/>
          <w:sz w:val="24"/>
          <w:highlight w:val="none"/>
        </w:rPr>
      </w:pPr>
      <w:r>
        <w:rPr>
          <w:rFonts w:hint="eastAsia"/>
          <w:sz w:val="24"/>
          <w:highlight w:val="none"/>
          <w:lang w:val="en-US" w:eastAsia="zh-CN"/>
        </w:rPr>
        <w:t>管廊</w:t>
      </w:r>
      <w:r>
        <w:rPr>
          <w:rFonts w:hint="default"/>
          <w:sz w:val="24"/>
          <w:highlight w:val="none"/>
          <w:lang w:val="en-US" w:eastAsia="zh-CN"/>
        </w:rPr>
        <w:t>平面布置严格执行有关防火、防爆规定，</w:t>
      </w:r>
      <w:r>
        <w:rPr>
          <w:rFonts w:hint="eastAsia"/>
          <w:sz w:val="24"/>
          <w:highlight w:val="none"/>
          <w:lang w:val="en-US" w:eastAsia="zh-CN"/>
        </w:rPr>
        <w:t>管道</w:t>
      </w:r>
      <w:r>
        <w:rPr>
          <w:rFonts w:hint="default"/>
          <w:sz w:val="24"/>
          <w:highlight w:val="none"/>
          <w:lang w:val="en-US" w:eastAsia="zh-CN"/>
        </w:rPr>
        <w:t>之间设有足够的防火间距。</w:t>
      </w:r>
    </w:p>
    <w:p w14:paraId="7C971AE7">
      <w:pPr>
        <w:spacing w:line="360" w:lineRule="auto"/>
        <w:ind w:firstLine="480" w:firstLineChars="200"/>
        <w:rPr>
          <w:rFonts w:hint="eastAsia"/>
          <w:sz w:val="24"/>
          <w:highlight w:val="none"/>
        </w:rPr>
      </w:pPr>
      <w:r>
        <w:rPr>
          <w:rFonts w:hint="default"/>
          <w:sz w:val="24"/>
          <w:highlight w:val="none"/>
          <w:lang w:val="en-US" w:eastAsia="zh-CN"/>
        </w:rPr>
        <w:t>选择安全可靠的工艺技术和设备，采用密闭系统、连续化生产过程，防止泄漏，从根本上提高装置的安全性，防止和减少事故的发生。</w:t>
      </w:r>
    </w:p>
    <w:p w14:paraId="34992B7E">
      <w:pPr>
        <w:spacing w:line="360" w:lineRule="auto"/>
        <w:ind w:firstLine="480" w:firstLineChars="200"/>
        <w:rPr>
          <w:rFonts w:hint="eastAsia"/>
          <w:sz w:val="24"/>
          <w:highlight w:val="none"/>
        </w:rPr>
      </w:pPr>
      <w:r>
        <w:rPr>
          <w:rFonts w:hint="default"/>
          <w:sz w:val="24"/>
          <w:highlight w:val="none"/>
          <w:lang w:val="en-US" w:eastAsia="zh-CN"/>
        </w:rPr>
        <w:t>设备设计严格执行压力容器设计规定，并按规定装设安全阀，防止超压引发的危害；选择良好的设备、阀门、管件及密封材料，防止跑、冒、滴、漏</w:t>
      </w:r>
      <w:r>
        <w:rPr>
          <w:rFonts w:hint="eastAsia"/>
          <w:sz w:val="24"/>
          <w:highlight w:val="none"/>
          <w:lang w:val="en-US" w:eastAsia="zh-CN"/>
        </w:rPr>
        <w:t>等</w:t>
      </w:r>
      <w:r>
        <w:rPr>
          <w:rFonts w:hint="default"/>
          <w:sz w:val="24"/>
          <w:highlight w:val="none"/>
          <w:lang w:val="en-US" w:eastAsia="zh-CN"/>
        </w:rPr>
        <w:t>发生。</w:t>
      </w:r>
    </w:p>
    <w:p w14:paraId="14A724B5">
      <w:pPr>
        <w:spacing w:line="360" w:lineRule="auto"/>
        <w:ind w:firstLine="480" w:firstLineChars="200"/>
        <w:rPr>
          <w:rFonts w:hint="eastAsia"/>
          <w:sz w:val="24"/>
          <w:highlight w:val="none"/>
        </w:rPr>
      </w:pPr>
      <w:r>
        <w:rPr>
          <w:rFonts w:hint="default"/>
          <w:sz w:val="24"/>
          <w:highlight w:val="none"/>
          <w:lang w:val="en-US" w:eastAsia="zh-CN"/>
        </w:rPr>
        <w:t>抗震、防雷措施：新增的建构筑物及设备采取相应的抗震、防爆、防静电措施。</w:t>
      </w:r>
    </w:p>
    <w:p w14:paraId="3B444502">
      <w:pPr>
        <w:spacing w:line="360" w:lineRule="auto"/>
        <w:ind w:firstLine="480" w:firstLineChars="200"/>
        <w:rPr>
          <w:rFonts w:hint="eastAsia"/>
          <w:sz w:val="24"/>
          <w:highlight w:val="none"/>
        </w:rPr>
      </w:pPr>
      <w:r>
        <w:rPr>
          <w:rFonts w:hint="default"/>
          <w:sz w:val="24"/>
          <w:highlight w:val="none"/>
          <w:lang w:val="en-US" w:eastAsia="zh-CN"/>
        </w:rPr>
        <w:t>根据火灾危险性等级和防火、防爆要求，建筑物</w:t>
      </w:r>
      <w:r>
        <w:rPr>
          <w:rFonts w:hint="eastAsia"/>
          <w:sz w:val="24"/>
          <w:highlight w:val="none"/>
          <w:lang w:val="en-US" w:eastAsia="zh-CN"/>
        </w:rPr>
        <w:t>应</w:t>
      </w:r>
      <w:r>
        <w:rPr>
          <w:rFonts w:hint="default"/>
          <w:sz w:val="24"/>
          <w:highlight w:val="none"/>
          <w:lang w:val="en-US" w:eastAsia="zh-CN"/>
        </w:rPr>
        <w:t>按二级耐火等级设计。</w:t>
      </w:r>
    </w:p>
    <w:p w14:paraId="06A2DF88">
      <w:pPr>
        <w:keepNext/>
        <w:keepLines/>
        <w:spacing w:line="360" w:lineRule="auto"/>
        <w:outlineLvl w:val="1"/>
        <w:rPr>
          <w:rFonts w:hint="eastAsia"/>
          <w:b/>
          <w:bCs/>
          <w:sz w:val="28"/>
          <w:szCs w:val="28"/>
          <w:highlight w:val="none"/>
        </w:rPr>
      </w:pPr>
      <w:r>
        <w:rPr>
          <w:rFonts w:hint="eastAsia"/>
          <w:b/>
          <w:bCs/>
          <w:sz w:val="28"/>
          <w:szCs w:val="28"/>
          <w:highlight w:val="none"/>
        </w:rPr>
        <w:t>5.5本项目自动控制安全防范措施</w:t>
      </w:r>
    </w:p>
    <w:p w14:paraId="15FE68F0">
      <w:pPr>
        <w:numPr>
          <w:ilvl w:val="0"/>
          <w:numId w:val="0"/>
        </w:numPr>
        <w:spacing w:line="360" w:lineRule="auto"/>
        <w:ind w:firstLine="480" w:firstLineChars="200"/>
        <w:rPr>
          <w:rFonts w:hint="eastAsia" w:eastAsia="宋体"/>
          <w:sz w:val="24"/>
          <w:highlight w:val="none"/>
          <w:lang w:eastAsia="zh-CN"/>
        </w:rPr>
      </w:pPr>
      <w:r>
        <w:rPr>
          <w:rFonts w:hint="eastAsia"/>
          <w:sz w:val="24"/>
          <w:highlight w:val="none"/>
        </w:rPr>
        <w:t>项目管道架空敷设，其中为了便于计量和快速切断，在合成脱碳尾气、未变换净化气、WRT甲烷气、回用水、富甲烷气</w:t>
      </w:r>
      <w:r>
        <w:rPr>
          <w:rFonts w:hint="eastAsia"/>
          <w:sz w:val="24"/>
          <w:highlight w:val="none"/>
          <w:lang w:eastAsia="zh-CN"/>
        </w:rPr>
        <w:t>等</w:t>
      </w:r>
      <w:r>
        <w:rPr>
          <w:rFonts w:hint="eastAsia"/>
          <w:sz w:val="24"/>
          <w:highlight w:val="none"/>
        </w:rPr>
        <w:t>管道上设置快速切断阀，WRT甲烷气和污水2管线设置压力调节阀组和流量计</w:t>
      </w:r>
      <w:r>
        <w:rPr>
          <w:rFonts w:hint="eastAsia"/>
          <w:sz w:val="24"/>
          <w:highlight w:val="none"/>
          <w:lang w:eastAsia="zh-CN"/>
        </w:rPr>
        <w:t>，</w:t>
      </w:r>
      <w:r>
        <w:rPr>
          <w:rFonts w:hint="eastAsia"/>
          <w:sz w:val="24"/>
          <w:highlight w:val="none"/>
        </w:rPr>
        <w:t>其</w:t>
      </w:r>
      <w:r>
        <w:rPr>
          <w:rFonts w:hint="eastAsia"/>
          <w:sz w:val="24"/>
          <w:highlight w:val="none"/>
          <w:lang w:eastAsia="zh-CN"/>
        </w:rPr>
        <w:t>他</w:t>
      </w:r>
      <w:r>
        <w:rPr>
          <w:rFonts w:hint="eastAsia"/>
          <w:sz w:val="24"/>
          <w:highlight w:val="none"/>
        </w:rPr>
        <w:t>工艺和公用工程管道仅设置流量计用于计量结算，管线末端设置手动切断阀组。在物料输出端和接收端设置中控系统和紧急切断阀，阀门和仪表的控制信号接入伊泰化工公司DCS系统</w:t>
      </w:r>
      <w:r>
        <w:rPr>
          <w:rFonts w:hint="eastAsia"/>
          <w:sz w:val="24"/>
          <w:highlight w:val="none"/>
          <w:lang w:eastAsia="zh-CN"/>
        </w:rPr>
        <w:t>，</w:t>
      </w:r>
      <w:r>
        <w:rPr>
          <w:rFonts w:hint="eastAsia"/>
          <w:sz w:val="24"/>
          <w:highlight w:val="none"/>
        </w:rPr>
        <w:t>一旦发生泄漏易被发现</w:t>
      </w:r>
      <w:r>
        <w:rPr>
          <w:rFonts w:hint="eastAsia"/>
          <w:sz w:val="24"/>
          <w:highlight w:val="none"/>
          <w:lang w:eastAsia="zh-CN"/>
        </w:rPr>
        <w:t>。</w:t>
      </w:r>
    </w:p>
    <w:p w14:paraId="70EF9E36">
      <w:pPr>
        <w:keepNext/>
        <w:keepLines/>
        <w:spacing w:line="360" w:lineRule="auto"/>
        <w:outlineLvl w:val="1"/>
        <w:rPr>
          <w:rFonts w:hint="eastAsia"/>
          <w:b/>
          <w:bCs/>
          <w:sz w:val="28"/>
          <w:szCs w:val="28"/>
          <w:highlight w:val="none"/>
        </w:rPr>
      </w:pPr>
      <w:r>
        <w:rPr>
          <w:rFonts w:hint="eastAsia"/>
          <w:b/>
          <w:bCs/>
          <w:sz w:val="28"/>
          <w:szCs w:val="28"/>
          <w:highlight w:val="none"/>
        </w:rPr>
        <w:t>5.</w:t>
      </w:r>
      <w:r>
        <w:rPr>
          <w:rFonts w:hint="eastAsia"/>
          <w:b/>
          <w:bCs/>
          <w:sz w:val="28"/>
          <w:szCs w:val="28"/>
          <w:highlight w:val="none"/>
          <w:lang w:val="en-US" w:eastAsia="zh-CN"/>
        </w:rPr>
        <w:t>6</w:t>
      </w:r>
      <w:r>
        <w:rPr>
          <w:rFonts w:hint="eastAsia"/>
          <w:b/>
          <w:bCs/>
          <w:sz w:val="28"/>
          <w:szCs w:val="28"/>
          <w:highlight w:val="none"/>
        </w:rPr>
        <w:t>本项目防毒性危害措施</w:t>
      </w:r>
    </w:p>
    <w:p w14:paraId="0153B6B6">
      <w:pPr>
        <w:spacing w:line="360" w:lineRule="auto"/>
        <w:ind w:firstLine="480" w:firstLineChars="200"/>
        <w:rPr>
          <w:rFonts w:hint="eastAsia"/>
          <w:sz w:val="24"/>
          <w:highlight w:val="none"/>
        </w:rPr>
      </w:pPr>
      <w:r>
        <w:rPr>
          <w:rFonts w:hint="eastAsia"/>
          <w:sz w:val="24"/>
          <w:highlight w:val="none"/>
        </w:rPr>
        <w:t>为厂区外管线巡线作业人员配备必要的劳</w:t>
      </w:r>
      <w:r>
        <w:rPr>
          <w:rFonts w:hint="eastAsia"/>
          <w:sz w:val="24"/>
          <w:highlight w:val="none"/>
          <w:lang w:eastAsia="zh-CN"/>
        </w:rPr>
        <w:t>动保护</w:t>
      </w:r>
      <w:r>
        <w:rPr>
          <w:rFonts w:hint="eastAsia"/>
          <w:sz w:val="24"/>
          <w:highlight w:val="none"/>
        </w:rPr>
        <w:t>用品和</w:t>
      </w:r>
      <w:bookmarkStart w:id="75" w:name="_GoBack"/>
      <w:bookmarkEnd w:id="75"/>
      <w:r>
        <w:rPr>
          <w:rFonts w:hint="eastAsia"/>
          <w:sz w:val="24"/>
          <w:highlight w:val="none"/>
        </w:rPr>
        <w:t>检漏仪器。如：防护手套、防护鞋、防护眼镜、防毒面罩及便携式可燃报警仪等。</w:t>
      </w:r>
    </w:p>
    <w:p w14:paraId="47C809AA">
      <w:pPr>
        <w:keepNext/>
        <w:keepLines/>
        <w:spacing w:line="360" w:lineRule="auto"/>
        <w:outlineLvl w:val="1"/>
        <w:rPr>
          <w:rFonts w:hint="eastAsia"/>
          <w:b/>
          <w:bCs/>
          <w:sz w:val="28"/>
          <w:szCs w:val="28"/>
          <w:highlight w:val="none"/>
        </w:rPr>
      </w:pPr>
      <w:r>
        <w:rPr>
          <w:rFonts w:hint="eastAsia"/>
          <w:b/>
          <w:bCs/>
          <w:sz w:val="28"/>
          <w:szCs w:val="28"/>
          <w:highlight w:val="none"/>
        </w:rPr>
        <w:t>5.</w:t>
      </w:r>
      <w:r>
        <w:rPr>
          <w:rFonts w:hint="eastAsia"/>
          <w:b/>
          <w:bCs/>
          <w:sz w:val="28"/>
          <w:szCs w:val="28"/>
          <w:highlight w:val="none"/>
          <w:lang w:val="en-US" w:eastAsia="zh-CN"/>
        </w:rPr>
        <w:t>7</w:t>
      </w:r>
      <w:r>
        <w:rPr>
          <w:rFonts w:hint="eastAsia"/>
          <w:b/>
          <w:bCs/>
          <w:sz w:val="28"/>
          <w:szCs w:val="28"/>
          <w:highlight w:val="none"/>
        </w:rPr>
        <w:t>管道泄漏风险防范措施</w:t>
      </w:r>
    </w:p>
    <w:p w14:paraId="469EB15F">
      <w:pPr>
        <w:spacing w:line="360" w:lineRule="auto"/>
        <w:ind w:firstLine="480" w:firstLineChars="200"/>
        <w:rPr>
          <w:rFonts w:hint="eastAsia"/>
          <w:sz w:val="24"/>
          <w:highlight w:val="none"/>
        </w:rPr>
      </w:pPr>
      <w:r>
        <w:rPr>
          <w:rFonts w:hint="eastAsia"/>
          <w:sz w:val="24"/>
          <w:highlight w:val="none"/>
        </w:rPr>
        <w:t>（1）管道按照相关规范进行设计、施工和验收，严格把控管道等材料质量及施工质量。严格落实管道材质及焊接、防腐质量，杜绝因管材质量缺陷发生泄漏事故。</w:t>
      </w:r>
    </w:p>
    <w:p w14:paraId="47EBA194">
      <w:pPr>
        <w:spacing w:line="360" w:lineRule="auto"/>
        <w:ind w:firstLine="480" w:firstLineChars="200"/>
        <w:rPr>
          <w:rFonts w:hint="eastAsia"/>
          <w:sz w:val="24"/>
          <w:highlight w:val="none"/>
        </w:rPr>
      </w:pPr>
      <w:r>
        <w:rPr>
          <w:rFonts w:hint="eastAsia"/>
          <w:sz w:val="24"/>
          <w:highlight w:val="none"/>
        </w:rPr>
        <w:t>（2）加强维护与管理</w:t>
      </w:r>
    </w:p>
    <w:p w14:paraId="2FE0F018">
      <w:pPr>
        <w:spacing w:line="360" w:lineRule="auto"/>
        <w:ind w:firstLine="480" w:firstLineChars="200"/>
        <w:rPr>
          <w:rFonts w:hint="eastAsia"/>
          <w:sz w:val="24"/>
          <w:highlight w:val="none"/>
        </w:rPr>
      </w:pPr>
      <w:r>
        <w:rPr>
          <w:rFonts w:hint="eastAsia"/>
          <w:sz w:val="24"/>
          <w:highlight w:val="none"/>
        </w:rPr>
        <w:t>制定完善的安全生产管理制度及安全操作规程、巡回检查管理制度、安全检查与隐患排查整改管理制度、相关责任制等。进一步加强设备、阀门、流量计、压力表报警等设施的维修维护。</w:t>
      </w:r>
    </w:p>
    <w:p w14:paraId="1CFE6534">
      <w:pPr>
        <w:spacing w:line="360" w:lineRule="auto"/>
        <w:ind w:firstLine="480" w:firstLineChars="200"/>
        <w:rPr>
          <w:rFonts w:hint="eastAsia"/>
          <w:sz w:val="24"/>
          <w:highlight w:val="none"/>
        </w:rPr>
      </w:pPr>
      <w:r>
        <w:rPr>
          <w:rFonts w:hint="eastAsia"/>
          <w:sz w:val="24"/>
          <w:highlight w:val="none"/>
        </w:rPr>
        <w:t>①制定完善的管道日常巡检管理制度，明确每个班次的巡检人员和责任，并落实巡检记录和台账。</w:t>
      </w:r>
    </w:p>
    <w:p w14:paraId="1C767118">
      <w:pPr>
        <w:spacing w:line="360" w:lineRule="auto"/>
        <w:ind w:firstLine="480" w:firstLineChars="200"/>
        <w:rPr>
          <w:rFonts w:hint="eastAsia"/>
          <w:sz w:val="24"/>
          <w:highlight w:val="none"/>
        </w:rPr>
      </w:pPr>
      <w:r>
        <w:rPr>
          <w:rFonts w:hint="eastAsia"/>
          <w:sz w:val="24"/>
          <w:highlight w:val="none"/>
        </w:rPr>
        <w:t>②制定严格的运行操作规章制度，对操作员、管线巡查员等进行岗位培训，使其了解物料特性、输送工艺过程，熟悉操作规程，对各种情况能进行正确判断，经考核合格后方可上岗；同时加强职工安全教育。</w:t>
      </w:r>
    </w:p>
    <w:p w14:paraId="44916DCC">
      <w:pPr>
        <w:spacing w:line="360" w:lineRule="auto"/>
        <w:ind w:firstLine="480" w:firstLineChars="200"/>
        <w:rPr>
          <w:rFonts w:hint="eastAsia"/>
          <w:sz w:val="24"/>
          <w:highlight w:val="none"/>
        </w:rPr>
      </w:pPr>
      <w:r>
        <w:rPr>
          <w:rFonts w:hint="eastAsia"/>
          <w:sz w:val="24"/>
          <w:highlight w:val="none"/>
        </w:rPr>
        <w:t>③定期巡检检查，发现问题及时报告、及时处理，特别关注管道弯头、焊接处</w:t>
      </w:r>
      <w:r>
        <w:rPr>
          <w:rFonts w:hint="eastAsia"/>
          <w:sz w:val="24"/>
          <w:highlight w:val="none"/>
          <w:lang w:eastAsia="zh-CN"/>
        </w:rPr>
        <w:t>等</w:t>
      </w:r>
      <w:r>
        <w:rPr>
          <w:rFonts w:hint="eastAsia"/>
          <w:sz w:val="24"/>
          <w:highlight w:val="none"/>
        </w:rPr>
        <w:t>。日常管理过程</w:t>
      </w:r>
      <w:r>
        <w:rPr>
          <w:rFonts w:hint="eastAsia"/>
          <w:sz w:val="24"/>
          <w:highlight w:val="none"/>
          <w:lang w:eastAsia="zh-CN"/>
        </w:rPr>
        <w:t>中</w:t>
      </w:r>
      <w:r>
        <w:rPr>
          <w:rFonts w:hint="eastAsia"/>
          <w:sz w:val="24"/>
          <w:highlight w:val="none"/>
        </w:rPr>
        <w:t>，中控室定时查看各类报警设施，安排专人巡查，发现问题，立即上报，并对泄漏管线进行堵漏。</w:t>
      </w:r>
    </w:p>
    <w:p w14:paraId="645BDD34">
      <w:pPr>
        <w:spacing w:line="360" w:lineRule="auto"/>
        <w:ind w:firstLine="480" w:firstLineChars="200"/>
        <w:rPr>
          <w:rFonts w:hint="eastAsia"/>
          <w:sz w:val="24"/>
          <w:highlight w:val="none"/>
        </w:rPr>
      </w:pPr>
      <w:r>
        <w:rPr>
          <w:rFonts w:hint="eastAsia"/>
          <w:sz w:val="24"/>
          <w:highlight w:val="none"/>
        </w:rPr>
        <w:t>（3）管道沿线</w:t>
      </w:r>
      <w:r>
        <w:rPr>
          <w:rFonts w:hint="eastAsia"/>
          <w:sz w:val="24"/>
          <w:highlight w:val="none"/>
          <w:lang w:eastAsia="zh-CN"/>
        </w:rPr>
        <w:t>设置</w:t>
      </w:r>
      <w:r>
        <w:rPr>
          <w:rFonts w:hint="eastAsia"/>
          <w:sz w:val="24"/>
          <w:highlight w:val="none"/>
        </w:rPr>
        <w:t>警示标志，设置醒目的禁火区域标志。</w:t>
      </w:r>
      <w:r>
        <w:rPr>
          <w:rFonts w:hint="eastAsia"/>
          <w:sz w:val="24"/>
          <w:highlight w:val="none"/>
          <w:lang w:eastAsia="zh-CN"/>
        </w:rPr>
        <w:t>将</w:t>
      </w:r>
      <w:r>
        <w:rPr>
          <w:rFonts w:hint="eastAsia"/>
          <w:sz w:val="24"/>
          <w:highlight w:val="none"/>
        </w:rPr>
        <w:t>管道纳入厂区环境应急预案，开展应急演练；确保管道长期安全、稳定</w:t>
      </w:r>
      <w:r>
        <w:rPr>
          <w:rFonts w:hint="eastAsia"/>
          <w:sz w:val="24"/>
          <w:highlight w:val="none"/>
          <w:lang w:eastAsia="zh-CN"/>
        </w:rPr>
        <w:t>地</w:t>
      </w:r>
      <w:r>
        <w:rPr>
          <w:rFonts w:hint="eastAsia"/>
          <w:sz w:val="24"/>
          <w:highlight w:val="none"/>
        </w:rPr>
        <w:t>运行。</w:t>
      </w:r>
    </w:p>
    <w:p w14:paraId="780A18A6">
      <w:pPr>
        <w:spacing w:line="360" w:lineRule="auto"/>
        <w:ind w:firstLine="480" w:firstLineChars="200"/>
        <w:rPr>
          <w:rFonts w:hint="eastAsia"/>
          <w:sz w:val="24"/>
          <w:highlight w:val="none"/>
        </w:rPr>
      </w:pPr>
      <w:r>
        <w:rPr>
          <w:rFonts w:hint="eastAsia"/>
          <w:sz w:val="24"/>
          <w:highlight w:val="none"/>
        </w:rPr>
        <w:t>（4）项目化学品输送管道</w:t>
      </w:r>
      <w:r>
        <w:rPr>
          <w:rFonts w:hint="eastAsia"/>
          <w:sz w:val="24"/>
          <w:highlight w:val="none"/>
          <w:lang w:eastAsia="zh-CN"/>
        </w:rPr>
        <w:t>在</w:t>
      </w:r>
      <w:r>
        <w:rPr>
          <w:rFonts w:hint="eastAsia"/>
          <w:sz w:val="24"/>
          <w:highlight w:val="none"/>
        </w:rPr>
        <w:t>输出端企业和接收端企业内设置压力监控装置</w:t>
      </w:r>
      <w:r>
        <w:rPr>
          <w:rFonts w:hint="eastAsia"/>
          <w:sz w:val="24"/>
          <w:highlight w:val="none"/>
          <w:lang w:eastAsia="zh-CN"/>
        </w:rPr>
        <w:t>。</w:t>
      </w:r>
      <w:r>
        <w:rPr>
          <w:rFonts w:hint="eastAsia"/>
          <w:sz w:val="24"/>
          <w:highlight w:val="none"/>
        </w:rPr>
        <w:t>一旦发生压力异常情况立刻启动报警程序，如发生泄漏或火灾爆炸事故可在30s内切断上下游阀门，以降低管道破裂事故的物料泄漏量。</w:t>
      </w:r>
    </w:p>
    <w:p w14:paraId="5FB7B6E5">
      <w:pPr>
        <w:spacing w:line="360" w:lineRule="auto"/>
        <w:ind w:firstLine="480" w:firstLineChars="200"/>
        <w:rPr>
          <w:rFonts w:hint="eastAsia"/>
          <w:sz w:val="24"/>
          <w:highlight w:val="none"/>
        </w:rPr>
      </w:pPr>
      <w:r>
        <w:rPr>
          <w:rFonts w:hint="eastAsia"/>
          <w:sz w:val="24"/>
          <w:highlight w:val="none"/>
        </w:rPr>
        <w:t>如在物料管道输出端或接收端企业界区内发生管道泄漏，首先切断上下游阀门，并电话通知管道另一端企业相关部门</w:t>
      </w:r>
      <w:r>
        <w:rPr>
          <w:rFonts w:hint="eastAsia"/>
          <w:sz w:val="24"/>
          <w:highlight w:val="none"/>
          <w:lang w:eastAsia="zh-CN"/>
        </w:rPr>
        <w:t>。</w:t>
      </w:r>
      <w:r>
        <w:rPr>
          <w:rFonts w:hint="eastAsia"/>
          <w:sz w:val="24"/>
          <w:highlight w:val="none"/>
        </w:rPr>
        <w:t>其次，根据泄漏点的位置和泄漏量，确定使用堵漏的方法。在保证安全的情况</w:t>
      </w:r>
      <w:r>
        <w:rPr>
          <w:rFonts w:hint="eastAsia"/>
          <w:sz w:val="24"/>
          <w:highlight w:val="none"/>
          <w:lang w:eastAsia="zh-CN"/>
        </w:rPr>
        <w:t>下</w:t>
      </w:r>
      <w:r>
        <w:rPr>
          <w:rFonts w:hint="eastAsia"/>
          <w:sz w:val="24"/>
          <w:highlight w:val="none"/>
        </w:rPr>
        <w:t>，管道内物料送各自生产企业火炬焚烧。</w:t>
      </w:r>
    </w:p>
    <w:p w14:paraId="12386E11">
      <w:pPr>
        <w:spacing w:line="360" w:lineRule="auto"/>
        <w:ind w:firstLine="480" w:firstLineChars="200"/>
        <w:rPr>
          <w:rFonts w:hint="eastAsia"/>
          <w:sz w:val="24"/>
          <w:highlight w:val="none"/>
        </w:rPr>
      </w:pPr>
      <w:r>
        <w:rPr>
          <w:rFonts w:hint="eastAsia"/>
          <w:sz w:val="24"/>
          <w:highlight w:val="none"/>
        </w:rPr>
        <w:t>（5）检修过程</w:t>
      </w:r>
      <w:r>
        <w:rPr>
          <w:rFonts w:hint="eastAsia"/>
          <w:sz w:val="24"/>
          <w:highlight w:val="none"/>
          <w:lang w:eastAsia="zh-CN"/>
        </w:rPr>
        <w:t>中的</w:t>
      </w:r>
      <w:r>
        <w:rPr>
          <w:rFonts w:hint="eastAsia"/>
          <w:sz w:val="24"/>
          <w:highlight w:val="none"/>
        </w:rPr>
        <w:t>风险防范措施</w:t>
      </w:r>
    </w:p>
    <w:p w14:paraId="59C792C0">
      <w:pPr>
        <w:spacing w:line="360" w:lineRule="auto"/>
        <w:ind w:firstLine="480" w:firstLineChars="200"/>
        <w:rPr>
          <w:rFonts w:hint="eastAsia"/>
          <w:sz w:val="24"/>
          <w:highlight w:val="none"/>
        </w:rPr>
      </w:pPr>
      <w:r>
        <w:rPr>
          <w:rFonts w:hint="eastAsia"/>
          <w:sz w:val="24"/>
          <w:highlight w:val="none"/>
        </w:rPr>
        <w:t>每年定期检查管线管道防腐层的完好情况，对有明显腐蚀和冲刷减薄的管道进行壁厚抽样测定。检修时配备便携式可燃气体检测报警器。检修过</w:t>
      </w:r>
      <w:r>
        <w:rPr>
          <w:rFonts w:hint="eastAsia"/>
          <w:sz w:val="24"/>
          <w:highlight w:val="none"/>
          <w:lang w:eastAsia="zh-CN"/>
        </w:rPr>
        <w:t>程中</w:t>
      </w:r>
      <w:r>
        <w:rPr>
          <w:rFonts w:hint="eastAsia"/>
          <w:sz w:val="24"/>
          <w:highlight w:val="none"/>
        </w:rPr>
        <w:t>应制定相应的</w:t>
      </w:r>
      <w:r>
        <w:rPr>
          <w:rFonts w:hint="eastAsia"/>
          <w:sz w:val="24"/>
          <w:highlight w:val="none"/>
          <w:lang w:eastAsia="zh-CN"/>
        </w:rPr>
        <w:t>“</w:t>
      </w:r>
      <w:r>
        <w:rPr>
          <w:rFonts w:hint="eastAsia"/>
          <w:sz w:val="24"/>
          <w:highlight w:val="none"/>
        </w:rPr>
        <w:t>安全生产操作规程</w:t>
      </w:r>
      <w:r>
        <w:rPr>
          <w:rFonts w:hint="eastAsia"/>
          <w:sz w:val="24"/>
          <w:highlight w:val="none"/>
          <w:lang w:eastAsia="zh-CN"/>
        </w:rPr>
        <w:t>”</w:t>
      </w:r>
      <w:r>
        <w:rPr>
          <w:rFonts w:hint="eastAsia"/>
          <w:sz w:val="24"/>
          <w:highlight w:val="none"/>
        </w:rPr>
        <w:t>，并按该规程严格执行。动火检修时需严格执行安全防火规定。</w:t>
      </w:r>
    </w:p>
    <w:p w14:paraId="03980C2A">
      <w:pPr>
        <w:spacing w:line="360" w:lineRule="auto"/>
        <w:ind w:firstLine="480" w:firstLineChars="200"/>
        <w:rPr>
          <w:rFonts w:hint="eastAsia"/>
          <w:color w:val="0000FF"/>
          <w:sz w:val="24"/>
          <w:highlight w:val="none"/>
        </w:rPr>
      </w:pPr>
      <w:r>
        <w:rPr>
          <w:rFonts w:hint="eastAsia"/>
          <w:sz w:val="24"/>
          <w:highlight w:val="none"/>
        </w:rPr>
        <w:t>（6）应急设施、措施</w:t>
      </w:r>
    </w:p>
    <w:p w14:paraId="39BF3EF4">
      <w:pPr>
        <w:spacing w:line="360" w:lineRule="auto"/>
        <w:ind w:firstLine="480" w:firstLineChars="200"/>
        <w:rPr>
          <w:rFonts w:hint="eastAsia"/>
          <w:sz w:val="24"/>
          <w:highlight w:val="none"/>
        </w:rPr>
      </w:pPr>
      <w:r>
        <w:rPr>
          <w:rFonts w:hint="eastAsia"/>
          <w:sz w:val="24"/>
          <w:highlight w:val="none"/>
        </w:rPr>
        <w:t>①管道设置测压装置及超限报警装置，管道内的压力、流量等参数</w:t>
      </w:r>
      <w:r>
        <w:rPr>
          <w:rFonts w:hint="eastAsia"/>
          <w:sz w:val="24"/>
          <w:highlight w:val="none"/>
          <w:lang w:eastAsia="zh-CN"/>
        </w:rPr>
        <w:t>纳入</w:t>
      </w:r>
      <w:r>
        <w:rPr>
          <w:rFonts w:hint="eastAsia"/>
          <w:sz w:val="24"/>
          <w:highlight w:val="none"/>
        </w:rPr>
        <w:t>关联企业的中控系统进行监控，一旦发生泄漏，可及时切断泄漏源。</w:t>
      </w:r>
    </w:p>
    <w:p w14:paraId="198B8DA4">
      <w:pPr>
        <w:spacing w:line="360" w:lineRule="auto"/>
        <w:ind w:firstLine="480" w:firstLineChars="200"/>
        <w:rPr>
          <w:rFonts w:hint="eastAsia"/>
          <w:sz w:val="24"/>
          <w:highlight w:val="none"/>
        </w:rPr>
      </w:pPr>
      <w:r>
        <w:rPr>
          <w:rFonts w:hint="eastAsia"/>
          <w:sz w:val="24"/>
          <w:highlight w:val="none"/>
        </w:rPr>
        <w:t>②为预防管道压力超过最大允许积聚压力，管道两端设置了压力表、安全阀和紧急切断阀。</w:t>
      </w:r>
    </w:p>
    <w:p w14:paraId="1FDCCA11">
      <w:pPr>
        <w:spacing w:line="360" w:lineRule="auto"/>
        <w:ind w:firstLine="480" w:firstLineChars="200"/>
        <w:rPr>
          <w:rFonts w:hint="eastAsia"/>
          <w:sz w:val="24"/>
          <w:highlight w:val="none"/>
        </w:rPr>
      </w:pPr>
      <w:r>
        <w:rPr>
          <w:rFonts w:hint="eastAsia"/>
          <w:sz w:val="24"/>
          <w:highlight w:val="none"/>
        </w:rPr>
        <w:t>③依托现有消防车、地上消防栓、消防泡沫灭火装置、干粉灭火器、二氧化碳灭火器、柴油发电机、空气呼吸器等灭火器材。</w:t>
      </w:r>
    </w:p>
    <w:p w14:paraId="72938A96">
      <w:pPr>
        <w:spacing w:line="360" w:lineRule="auto"/>
        <w:ind w:firstLine="480" w:firstLineChars="200"/>
        <w:rPr>
          <w:rFonts w:hint="eastAsia"/>
          <w:sz w:val="24"/>
          <w:highlight w:val="none"/>
        </w:rPr>
      </w:pPr>
      <w:r>
        <w:rPr>
          <w:rFonts w:hint="eastAsia"/>
          <w:sz w:val="24"/>
          <w:highlight w:val="none"/>
        </w:rPr>
        <w:t>④有完善的消防及火灾报警系统</w:t>
      </w:r>
      <w:r>
        <w:rPr>
          <w:rFonts w:hint="eastAsia"/>
          <w:sz w:val="24"/>
          <w:highlight w:val="none"/>
          <w:lang w:eastAsia="zh-CN"/>
        </w:rPr>
        <w:t>和</w:t>
      </w:r>
      <w:r>
        <w:rPr>
          <w:rFonts w:hint="eastAsia"/>
          <w:sz w:val="24"/>
          <w:highlight w:val="none"/>
        </w:rPr>
        <w:t>消防废水处置</w:t>
      </w:r>
      <w:r>
        <w:rPr>
          <w:rFonts w:hint="eastAsia"/>
          <w:sz w:val="24"/>
          <w:highlight w:val="none"/>
          <w:lang w:eastAsia="zh-CN"/>
        </w:rPr>
        <w:t>系统</w:t>
      </w:r>
      <w:r>
        <w:rPr>
          <w:rFonts w:hint="eastAsia"/>
          <w:sz w:val="24"/>
          <w:highlight w:val="none"/>
        </w:rPr>
        <w:t>。</w:t>
      </w:r>
    </w:p>
    <w:p w14:paraId="0312487B">
      <w:pPr>
        <w:spacing w:line="360" w:lineRule="auto"/>
        <w:ind w:firstLine="480" w:firstLineChars="200"/>
        <w:rPr>
          <w:rFonts w:hint="eastAsia"/>
          <w:sz w:val="24"/>
          <w:highlight w:val="none"/>
        </w:rPr>
      </w:pPr>
      <w:r>
        <w:rPr>
          <w:rFonts w:hint="eastAsia"/>
          <w:sz w:val="24"/>
          <w:highlight w:val="none"/>
        </w:rPr>
        <w:t>⑤本项目管道建成投运使用前，将本管道纳入中煤鄂尔多斯能源化工有限公司图克厂区环境应急预案，开展应急演练；条件许可时，与周边企业开展联合应急演练，提高应急处置能力。</w:t>
      </w:r>
    </w:p>
    <w:p w14:paraId="6CBC4DC2">
      <w:pPr>
        <w:spacing w:line="360" w:lineRule="auto"/>
        <w:ind w:firstLine="480" w:firstLineChars="200"/>
        <w:rPr>
          <w:rFonts w:hint="eastAsia"/>
          <w:sz w:val="24"/>
          <w:highlight w:val="none"/>
        </w:rPr>
      </w:pPr>
      <w:r>
        <w:rPr>
          <w:rFonts w:hint="eastAsia"/>
          <w:sz w:val="24"/>
          <w:highlight w:val="none"/>
        </w:rPr>
        <w:t>（7）区域联防联控措施</w:t>
      </w:r>
    </w:p>
    <w:p w14:paraId="1087812E">
      <w:pPr>
        <w:spacing w:line="360" w:lineRule="auto"/>
        <w:ind w:firstLine="480" w:firstLineChars="200"/>
        <w:rPr>
          <w:rFonts w:hint="eastAsia"/>
          <w:sz w:val="24"/>
          <w:highlight w:val="none"/>
        </w:rPr>
      </w:pPr>
      <w:r>
        <w:rPr>
          <w:rFonts w:hint="eastAsia"/>
          <w:sz w:val="24"/>
          <w:highlight w:val="none"/>
        </w:rPr>
        <w:t>本项目建设单位应与关联企业及园区在风险防范防控、应急处置等方面进行联防联控。</w:t>
      </w:r>
    </w:p>
    <w:p w14:paraId="22867CEA">
      <w:pPr>
        <w:keepNext/>
        <w:keepLines/>
        <w:spacing w:line="360" w:lineRule="auto"/>
        <w:outlineLvl w:val="1"/>
        <w:rPr>
          <w:rFonts w:hint="eastAsia"/>
          <w:b/>
          <w:bCs/>
          <w:sz w:val="28"/>
          <w:szCs w:val="28"/>
          <w:highlight w:val="none"/>
        </w:rPr>
      </w:pPr>
      <w:r>
        <w:rPr>
          <w:rFonts w:hint="eastAsia"/>
          <w:b/>
          <w:bCs/>
          <w:sz w:val="28"/>
          <w:szCs w:val="28"/>
          <w:highlight w:val="none"/>
        </w:rPr>
        <w:t>5.</w:t>
      </w:r>
      <w:r>
        <w:rPr>
          <w:rFonts w:hint="eastAsia"/>
          <w:b/>
          <w:bCs/>
          <w:sz w:val="28"/>
          <w:szCs w:val="28"/>
          <w:highlight w:val="none"/>
          <w:lang w:val="en-US" w:eastAsia="zh-CN"/>
        </w:rPr>
        <w:t>8</w:t>
      </w:r>
      <w:r>
        <w:rPr>
          <w:rFonts w:hint="eastAsia"/>
          <w:b/>
          <w:bCs/>
          <w:sz w:val="28"/>
          <w:szCs w:val="28"/>
          <w:highlight w:val="none"/>
        </w:rPr>
        <w:t>关联企业非正常工况风险防范措施</w:t>
      </w:r>
    </w:p>
    <w:p w14:paraId="11CF039E">
      <w:pPr>
        <w:spacing w:line="360" w:lineRule="auto"/>
        <w:ind w:firstLine="480" w:firstLineChars="200"/>
        <w:rPr>
          <w:rFonts w:hint="eastAsia"/>
          <w:sz w:val="24"/>
          <w:highlight w:val="none"/>
        </w:rPr>
      </w:pPr>
      <w:r>
        <w:rPr>
          <w:rFonts w:hint="eastAsia"/>
          <w:sz w:val="24"/>
          <w:highlight w:val="none"/>
        </w:rPr>
        <w:t>如遇输出端企业非正常工况，不能正常输出物料，将关闭</w:t>
      </w:r>
      <w:r>
        <w:rPr>
          <w:rFonts w:hint="eastAsia"/>
          <w:sz w:val="24"/>
          <w:highlight w:val="none"/>
          <w:lang w:val="en-US" w:eastAsia="zh-CN"/>
        </w:rPr>
        <w:t>阀门</w:t>
      </w:r>
      <w:r>
        <w:rPr>
          <w:rFonts w:hint="eastAsia"/>
          <w:sz w:val="24"/>
          <w:highlight w:val="none"/>
        </w:rPr>
        <w:t>并立即通知下游接收端企业；如下游企业发生装置</w:t>
      </w:r>
      <w:r>
        <w:rPr>
          <w:rFonts w:hint="eastAsia"/>
          <w:sz w:val="24"/>
          <w:highlight w:val="none"/>
          <w:lang w:eastAsia="zh-CN"/>
        </w:rPr>
        <w:t>联锁</w:t>
      </w:r>
      <w:r>
        <w:rPr>
          <w:rFonts w:hint="eastAsia"/>
          <w:sz w:val="24"/>
          <w:highlight w:val="none"/>
        </w:rPr>
        <w:t>停车等情况，紧急切断</w:t>
      </w:r>
      <w:r>
        <w:rPr>
          <w:rFonts w:hint="eastAsia"/>
          <w:sz w:val="24"/>
          <w:highlight w:val="none"/>
          <w:lang w:eastAsia="zh-CN"/>
        </w:rPr>
        <w:t>阀门</w:t>
      </w:r>
      <w:r>
        <w:rPr>
          <w:rFonts w:hint="eastAsia"/>
          <w:sz w:val="24"/>
          <w:highlight w:val="none"/>
        </w:rPr>
        <w:t>，同时电话通知上游输出端企业。发生此类情况，管道中各企业</w:t>
      </w:r>
      <w:r>
        <w:rPr>
          <w:rFonts w:hint="eastAsia"/>
          <w:sz w:val="24"/>
          <w:highlight w:val="none"/>
          <w:lang w:eastAsia="zh-CN"/>
        </w:rPr>
        <w:t>的</w:t>
      </w:r>
      <w:r>
        <w:rPr>
          <w:rFonts w:hint="eastAsia"/>
          <w:sz w:val="24"/>
          <w:highlight w:val="none"/>
        </w:rPr>
        <w:t>物料将送各自公司火炬进行焚烧，不会发生</w:t>
      </w:r>
      <w:r>
        <w:rPr>
          <w:rFonts w:hint="eastAsia"/>
          <w:sz w:val="24"/>
          <w:highlight w:val="none"/>
          <w:lang w:val="en-US" w:eastAsia="zh-CN"/>
        </w:rPr>
        <w:t>泄漏</w:t>
      </w:r>
      <w:r>
        <w:rPr>
          <w:rFonts w:hint="eastAsia"/>
          <w:sz w:val="24"/>
          <w:highlight w:val="none"/>
        </w:rPr>
        <w:t>事故。</w:t>
      </w:r>
    </w:p>
    <w:p w14:paraId="5FBA4EF8">
      <w:pPr>
        <w:keepNext/>
        <w:keepLines/>
        <w:spacing w:line="360" w:lineRule="auto"/>
        <w:outlineLvl w:val="1"/>
        <w:rPr>
          <w:rFonts w:hint="eastAsia"/>
          <w:b/>
          <w:bCs/>
          <w:sz w:val="28"/>
          <w:szCs w:val="28"/>
          <w:highlight w:val="none"/>
        </w:rPr>
      </w:pPr>
      <w:r>
        <w:rPr>
          <w:rFonts w:hint="eastAsia"/>
          <w:b/>
          <w:bCs/>
          <w:sz w:val="28"/>
          <w:szCs w:val="28"/>
          <w:highlight w:val="none"/>
        </w:rPr>
        <w:t>5.</w:t>
      </w:r>
      <w:r>
        <w:rPr>
          <w:rFonts w:hint="eastAsia"/>
          <w:b/>
          <w:bCs/>
          <w:sz w:val="28"/>
          <w:szCs w:val="28"/>
          <w:highlight w:val="none"/>
          <w:lang w:val="en-US" w:eastAsia="zh-CN"/>
        </w:rPr>
        <w:t>9</w:t>
      </w:r>
      <w:r>
        <w:rPr>
          <w:rFonts w:hint="eastAsia"/>
          <w:b/>
          <w:bCs/>
          <w:sz w:val="28"/>
          <w:szCs w:val="28"/>
          <w:highlight w:val="none"/>
        </w:rPr>
        <w:t>公共管廊其他管道防范措施</w:t>
      </w:r>
    </w:p>
    <w:p w14:paraId="3CF2A7D7">
      <w:pPr>
        <w:spacing w:line="360" w:lineRule="auto"/>
        <w:ind w:firstLine="480" w:firstLineChars="200"/>
        <w:rPr>
          <w:rFonts w:hint="eastAsia"/>
          <w:sz w:val="24"/>
          <w:highlight w:val="none"/>
        </w:rPr>
      </w:pPr>
      <w:r>
        <w:rPr>
          <w:rFonts w:hint="eastAsia"/>
          <w:sz w:val="24"/>
          <w:highlight w:val="none"/>
        </w:rPr>
        <w:t>如本项目管道发生火灾爆炸事故，立即关闭本项目其他管道阀门，并电话告知涉及的物料管廊上所有共线管道所属公司，立即关闭输送物料泵，及时排空管道暂存物料。</w:t>
      </w:r>
    </w:p>
    <w:p w14:paraId="1E59F759">
      <w:pPr>
        <w:keepNext/>
        <w:keepLines/>
        <w:spacing w:line="360" w:lineRule="auto"/>
        <w:outlineLvl w:val="1"/>
        <w:rPr>
          <w:rFonts w:hint="eastAsia"/>
          <w:b/>
          <w:bCs/>
          <w:sz w:val="28"/>
          <w:szCs w:val="28"/>
          <w:highlight w:val="none"/>
        </w:rPr>
      </w:pPr>
      <w:r>
        <w:rPr>
          <w:rFonts w:hint="eastAsia"/>
          <w:b/>
          <w:bCs/>
          <w:sz w:val="28"/>
          <w:szCs w:val="28"/>
          <w:highlight w:val="none"/>
        </w:rPr>
        <w:t>5.1</w:t>
      </w:r>
      <w:r>
        <w:rPr>
          <w:rFonts w:hint="eastAsia"/>
          <w:b/>
          <w:bCs/>
          <w:sz w:val="28"/>
          <w:szCs w:val="28"/>
          <w:highlight w:val="none"/>
          <w:lang w:val="en-US" w:eastAsia="zh-CN"/>
        </w:rPr>
        <w:t>0</w:t>
      </w:r>
      <w:r>
        <w:rPr>
          <w:rFonts w:hint="eastAsia"/>
          <w:b/>
          <w:bCs/>
          <w:sz w:val="28"/>
          <w:szCs w:val="28"/>
          <w:highlight w:val="none"/>
        </w:rPr>
        <w:t>项目风险物质泄漏及事故废水的拦截、导流措施要求</w:t>
      </w:r>
    </w:p>
    <w:p w14:paraId="2C743464">
      <w:pPr>
        <w:spacing w:line="360" w:lineRule="auto"/>
        <w:ind w:firstLine="480" w:firstLineChars="200"/>
        <w:rPr>
          <w:rFonts w:hint="default" w:ascii="Times New Roman" w:hAnsi="Times New Roman" w:eastAsia="宋体" w:cs="Times New Roman"/>
          <w:sz w:val="24"/>
          <w:szCs w:val="24"/>
          <w:highlight w:val="none"/>
        </w:rPr>
      </w:pPr>
      <w:r>
        <w:rPr>
          <w:rFonts w:hint="eastAsia" w:ascii="Times New Roman" w:hAnsi="Times New Roman" w:eastAsia="宋体" w:cs="Times New Roman"/>
          <w:sz w:val="24"/>
          <w:highlight w:val="none"/>
        </w:rPr>
        <w:t>本项目环</w:t>
      </w:r>
      <w:r>
        <w:rPr>
          <w:rFonts w:hint="eastAsia" w:ascii="Times New Roman" w:hAnsi="Times New Roman" w:eastAsia="宋体" w:cs="Times New Roman"/>
          <w:sz w:val="24"/>
          <w:szCs w:val="24"/>
          <w:highlight w:val="none"/>
        </w:rPr>
        <w:t>保责任主体</w:t>
      </w:r>
      <w:r>
        <w:rPr>
          <w:rFonts w:hint="eastAsia" w:cs="Times New Roman"/>
          <w:sz w:val="24"/>
          <w:szCs w:val="24"/>
          <w:highlight w:val="none"/>
          <w:lang w:val="en-US" w:eastAsia="zh-CN"/>
        </w:rPr>
        <w:t>为内蒙古伊泰化工有限责任公司，公司已经</w:t>
      </w:r>
      <w:r>
        <w:rPr>
          <w:rFonts w:hint="eastAsia" w:ascii="Times New Roman" w:hAnsi="Times New Roman" w:eastAsia="宋体" w:cs="Times New Roman"/>
          <w:sz w:val="24"/>
          <w:szCs w:val="24"/>
          <w:highlight w:val="none"/>
        </w:rPr>
        <w:t>建立</w:t>
      </w:r>
      <w:r>
        <w:rPr>
          <w:rFonts w:hint="eastAsia" w:cs="Times New Roman"/>
          <w:sz w:val="24"/>
          <w:szCs w:val="24"/>
          <w:highlight w:val="none"/>
          <w:lang w:eastAsia="zh-CN"/>
        </w:rPr>
        <w:t>“</w:t>
      </w:r>
      <w:r>
        <w:rPr>
          <w:rFonts w:hint="eastAsia" w:ascii="Times New Roman" w:hAnsi="Times New Roman" w:eastAsia="宋体" w:cs="Times New Roman"/>
          <w:sz w:val="24"/>
          <w:szCs w:val="24"/>
          <w:highlight w:val="none"/>
        </w:rPr>
        <w:t>环境污染三级防控体系</w:t>
      </w:r>
      <w:r>
        <w:rPr>
          <w:rFonts w:hint="eastAsia" w:cs="Times New Roman"/>
          <w:sz w:val="24"/>
          <w:szCs w:val="24"/>
          <w:highlight w:val="none"/>
          <w:lang w:eastAsia="zh-CN"/>
        </w:rPr>
        <w:t>”</w:t>
      </w:r>
      <w:r>
        <w:rPr>
          <w:sz w:val="24"/>
          <w:szCs w:val="24"/>
          <w:highlight w:val="none"/>
        </w:rPr>
        <w:t>一级预防控制</w:t>
      </w:r>
      <w:r>
        <w:rPr>
          <w:rFonts w:hint="eastAsia"/>
          <w:sz w:val="24"/>
          <w:szCs w:val="24"/>
          <w:highlight w:val="none"/>
          <w:lang w:eastAsia="zh-CN"/>
        </w:rPr>
        <w:t>体系</w:t>
      </w:r>
      <w:r>
        <w:rPr>
          <w:sz w:val="24"/>
          <w:szCs w:val="24"/>
          <w:highlight w:val="none"/>
        </w:rPr>
        <w:t>：在装置、罐区周围建设围堰、围堤以及罐区、装置区内建设初期雨水收集池作为一级预防与控制体系，防止污染雨水和轻微事故泄漏造成的环境污染。装置围堰不低于150mm。二级预防控制</w:t>
      </w:r>
      <w:r>
        <w:rPr>
          <w:rFonts w:hint="eastAsia"/>
          <w:sz w:val="24"/>
          <w:szCs w:val="24"/>
          <w:highlight w:val="none"/>
          <w:lang w:eastAsia="zh-CN"/>
        </w:rPr>
        <w:t>体系</w:t>
      </w:r>
      <w:r>
        <w:rPr>
          <w:sz w:val="24"/>
          <w:szCs w:val="24"/>
          <w:highlight w:val="none"/>
        </w:rPr>
        <w:t>：1座30000m</w:t>
      </w:r>
      <w:r>
        <w:rPr>
          <w:sz w:val="24"/>
          <w:szCs w:val="24"/>
          <w:highlight w:val="none"/>
          <w:vertAlign w:val="superscript"/>
        </w:rPr>
        <w:t>3</w:t>
      </w:r>
      <w:r>
        <w:rPr>
          <w:sz w:val="24"/>
          <w:szCs w:val="24"/>
          <w:highlight w:val="none"/>
        </w:rPr>
        <w:t>的消防事故水收集池，作为二级</w:t>
      </w:r>
      <w:r>
        <w:rPr>
          <w:rFonts w:hint="eastAsia"/>
          <w:sz w:val="24"/>
          <w:szCs w:val="24"/>
          <w:highlight w:val="none"/>
          <w:lang w:eastAsia="zh-CN"/>
        </w:rPr>
        <w:t>预防</w:t>
      </w:r>
      <w:r>
        <w:rPr>
          <w:sz w:val="24"/>
          <w:szCs w:val="24"/>
          <w:highlight w:val="none"/>
        </w:rPr>
        <w:t>控制体系。三级预防控制</w:t>
      </w:r>
      <w:r>
        <w:rPr>
          <w:rFonts w:hint="eastAsia"/>
          <w:sz w:val="24"/>
          <w:szCs w:val="24"/>
          <w:highlight w:val="none"/>
          <w:lang w:eastAsia="zh-CN"/>
        </w:rPr>
        <w:t>体系</w:t>
      </w:r>
      <w:r>
        <w:rPr>
          <w:sz w:val="24"/>
          <w:szCs w:val="24"/>
          <w:highlight w:val="none"/>
        </w:rPr>
        <w:t>：</w:t>
      </w:r>
      <w:r>
        <w:rPr>
          <w:rFonts w:hint="eastAsia" w:ascii="Times New Roman" w:hAnsi="Times New Roman" w:eastAsia="宋体" w:cs="Times New Roman"/>
          <w:sz w:val="24"/>
          <w:szCs w:val="24"/>
          <w:highlight w:val="none"/>
        </w:rPr>
        <w:t>独贵塔拉产业园（南区）</w:t>
      </w:r>
      <w:r>
        <w:rPr>
          <w:rFonts w:hint="eastAsia" w:cs="Times New Roman"/>
          <w:sz w:val="24"/>
          <w:szCs w:val="24"/>
          <w:highlight w:val="none"/>
          <w:lang w:eastAsia="zh-CN"/>
        </w:rPr>
        <w:t>目前没有</w:t>
      </w:r>
      <w:r>
        <w:rPr>
          <w:rFonts w:hint="eastAsia" w:ascii="Times New Roman" w:hAnsi="Times New Roman" w:eastAsia="宋体" w:cs="Times New Roman"/>
          <w:sz w:val="24"/>
          <w:szCs w:val="24"/>
          <w:highlight w:val="none"/>
        </w:rPr>
        <w:t>大型事故应急水池，现有</w:t>
      </w:r>
      <w:r>
        <w:rPr>
          <w:rFonts w:hint="eastAsia" w:cs="Times New Roman"/>
          <w:sz w:val="24"/>
          <w:szCs w:val="24"/>
          <w:highlight w:val="none"/>
          <w:lang w:eastAsia="zh-CN"/>
        </w:rPr>
        <w:t>的</w:t>
      </w:r>
      <w:r>
        <w:rPr>
          <w:rFonts w:hint="eastAsia" w:ascii="Times New Roman" w:hAnsi="Times New Roman" w:eastAsia="宋体" w:cs="Times New Roman"/>
          <w:sz w:val="24"/>
          <w:szCs w:val="24"/>
          <w:highlight w:val="none"/>
        </w:rPr>
        <w:t>事故应急水池主要</w:t>
      </w:r>
      <w:r>
        <w:rPr>
          <w:rFonts w:hint="eastAsia" w:cs="Times New Roman"/>
          <w:sz w:val="24"/>
          <w:szCs w:val="24"/>
          <w:highlight w:val="none"/>
          <w:lang w:eastAsia="zh-CN"/>
        </w:rPr>
        <w:t>是</w:t>
      </w:r>
      <w:r>
        <w:rPr>
          <w:rFonts w:hint="eastAsia" w:ascii="Times New Roman" w:hAnsi="Times New Roman" w:eastAsia="宋体" w:cs="Times New Roman"/>
          <w:sz w:val="24"/>
          <w:szCs w:val="24"/>
          <w:highlight w:val="none"/>
        </w:rPr>
        <w:t>企业自建</w:t>
      </w:r>
      <w:r>
        <w:rPr>
          <w:rFonts w:hint="eastAsia" w:cs="Times New Roman"/>
          <w:sz w:val="24"/>
          <w:szCs w:val="24"/>
          <w:highlight w:val="none"/>
          <w:lang w:eastAsia="zh-CN"/>
        </w:rPr>
        <w:t>的</w:t>
      </w:r>
      <w:r>
        <w:rPr>
          <w:rFonts w:hint="eastAsia" w:ascii="Times New Roman" w:hAnsi="Times New Roman" w:eastAsia="宋体" w:cs="Times New Roman"/>
          <w:sz w:val="24"/>
          <w:szCs w:val="24"/>
          <w:highlight w:val="none"/>
        </w:rPr>
        <w:t>；</w:t>
      </w:r>
      <w:r>
        <w:rPr>
          <w:rFonts w:hint="eastAsia" w:cs="Times New Roman"/>
          <w:sz w:val="24"/>
          <w:szCs w:val="24"/>
          <w:highlight w:val="none"/>
          <w:lang w:val="en-US" w:eastAsia="zh-CN"/>
        </w:rPr>
        <w:t>规划</w:t>
      </w:r>
      <w:r>
        <w:rPr>
          <w:rFonts w:hint="eastAsia" w:ascii="Times New Roman" w:hAnsi="Times New Roman" w:eastAsia="宋体" w:cs="Times New Roman"/>
          <w:sz w:val="24"/>
          <w:szCs w:val="24"/>
          <w:highlight w:val="none"/>
          <w:lang w:val="en-US" w:eastAsia="zh-CN"/>
        </w:rPr>
        <w:t>拟在</w:t>
      </w:r>
      <w:r>
        <w:rPr>
          <w:rFonts w:hint="eastAsia" w:ascii="Times New Roman" w:hAnsi="Times New Roman" w:eastAsia="宋体" w:cs="Times New Roman"/>
          <w:sz w:val="24"/>
          <w:szCs w:val="24"/>
          <w:highlight w:val="none"/>
        </w:rPr>
        <w:t>独贵塔拉产业园（南区）规划北侧新建一座容积2.5万m</w:t>
      </w:r>
      <w:r>
        <w:rPr>
          <w:rFonts w:hint="eastAsia" w:ascii="Times New Roman" w:hAnsi="Times New Roman" w:eastAsia="宋体" w:cs="Times New Roman"/>
          <w:sz w:val="24"/>
          <w:szCs w:val="24"/>
          <w:highlight w:val="none"/>
          <w:vertAlign w:val="superscript"/>
        </w:rPr>
        <w:t>3</w:t>
      </w:r>
      <w:r>
        <w:rPr>
          <w:rFonts w:hint="eastAsia" w:ascii="Times New Roman" w:hAnsi="Times New Roman" w:eastAsia="宋体" w:cs="Times New Roman"/>
          <w:sz w:val="24"/>
          <w:szCs w:val="24"/>
          <w:highlight w:val="none"/>
        </w:rPr>
        <w:t>的事故水池，用于收集独贵塔拉产业园（南区）各企业的事故水</w:t>
      </w:r>
      <w:r>
        <w:rPr>
          <w:rFonts w:hint="default" w:ascii="Times New Roman" w:hAnsi="Times New Roman" w:eastAsia="宋体" w:cs="Times New Roman"/>
          <w:sz w:val="24"/>
          <w:szCs w:val="24"/>
          <w:highlight w:val="none"/>
        </w:rPr>
        <w:t>以满足事故状态下收集泄漏物料、污染消防水和污染雨水的需要</w:t>
      </w:r>
      <w:r>
        <w:rPr>
          <w:rFonts w:hint="eastAsia" w:ascii="Times New Roman" w:hAnsi="Times New Roman" w:eastAsia="宋体" w:cs="Times New Roman"/>
          <w:sz w:val="24"/>
          <w:szCs w:val="24"/>
          <w:highlight w:val="none"/>
          <w:lang w:eastAsia="zh-CN"/>
        </w:rPr>
        <w:t>。</w:t>
      </w:r>
      <w:r>
        <w:rPr>
          <w:rFonts w:ascii="Times New Roman" w:hAnsi="Times New Roman" w:eastAsia="宋体" w:cs="Times New Roman"/>
          <w:sz w:val="24"/>
          <w:szCs w:val="24"/>
          <w:highlight w:val="none"/>
        </w:rPr>
        <w:t>园区事故水池未建设前，园区级事故废水防控措施依托内蒙古伊泰化工有限责任公司应急事故水池（容积30000m</w:t>
      </w:r>
      <w:r>
        <w:rPr>
          <w:rFonts w:ascii="Times New Roman" w:hAnsi="Times New Roman" w:eastAsia="宋体" w:cs="Times New Roman"/>
          <w:sz w:val="24"/>
          <w:szCs w:val="24"/>
          <w:highlight w:val="none"/>
          <w:vertAlign w:val="superscript"/>
        </w:rPr>
        <w:t>3</w:t>
      </w:r>
      <w:r>
        <w:rPr>
          <w:rFonts w:ascii="Times New Roman" w:hAnsi="Times New Roman" w:eastAsia="宋体" w:cs="Times New Roman"/>
          <w:sz w:val="24"/>
          <w:szCs w:val="24"/>
          <w:highlight w:val="none"/>
        </w:rPr>
        <w:t>）</w:t>
      </w:r>
      <w:r>
        <w:rPr>
          <w:rFonts w:hint="eastAsia" w:ascii="Times New Roman" w:hAnsi="Times New Roman" w:eastAsia="宋体" w:cs="Times New Roman"/>
          <w:sz w:val="24"/>
          <w:szCs w:val="24"/>
          <w:highlight w:val="none"/>
          <w:lang w:eastAsia="zh-CN"/>
        </w:rPr>
        <w:t>。</w:t>
      </w:r>
      <w:r>
        <w:rPr>
          <w:rFonts w:ascii="Times New Roman" w:hAnsi="Times New Roman" w:eastAsia="宋体" w:cs="Times New Roman"/>
          <w:sz w:val="24"/>
          <w:szCs w:val="24"/>
          <w:highlight w:val="none"/>
        </w:rPr>
        <w:t>可确保消防事故废水不进入外环境</w:t>
      </w:r>
      <w:r>
        <w:rPr>
          <w:rFonts w:hint="default" w:ascii="Times New Roman" w:hAnsi="Times New Roman" w:eastAsia="宋体" w:cs="Times New Roman"/>
          <w:sz w:val="24"/>
          <w:szCs w:val="24"/>
          <w:highlight w:val="none"/>
        </w:rPr>
        <w:t>。</w:t>
      </w:r>
    </w:p>
    <w:p w14:paraId="6E07F0F1">
      <w:pPr>
        <w:spacing w:line="360" w:lineRule="auto"/>
        <w:ind w:firstLine="480" w:firstLineChars="200"/>
        <w:rPr>
          <w:rFonts w:hint="eastAsia" w:ascii="Times New Roman" w:hAnsi="Times New Roman" w:eastAsia="宋体" w:cs="Times New Roman"/>
          <w:sz w:val="24"/>
          <w:highlight w:val="none"/>
          <w:lang w:eastAsia="zh-CN"/>
        </w:rPr>
      </w:pPr>
      <w:r>
        <w:rPr>
          <w:rFonts w:hint="eastAsia"/>
          <w:sz w:val="24"/>
          <w:highlight w:val="none"/>
        </w:rPr>
        <w:t>项目设置了紧急切断阀、流量计、压力表等安全控制仪表设施。一旦发生物质泄漏，</w:t>
      </w:r>
      <w:r>
        <w:rPr>
          <w:rFonts w:hint="eastAsia"/>
          <w:sz w:val="24"/>
          <w:highlight w:val="none"/>
          <w:lang w:val="en-US" w:eastAsia="zh-CN"/>
        </w:rPr>
        <w:t>及时关闭</w:t>
      </w:r>
      <w:r>
        <w:rPr>
          <w:rFonts w:hint="eastAsia"/>
          <w:sz w:val="24"/>
          <w:highlight w:val="none"/>
        </w:rPr>
        <w:t>管线末端</w:t>
      </w:r>
      <w:r>
        <w:rPr>
          <w:rFonts w:hint="eastAsia"/>
          <w:sz w:val="24"/>
          <w:highlight w:val="none"/>
          <w:lang w:eastAsia="zh-CN"/>
        </w:rPr>
        <w:t>的</w:t>
      </w:r>
      <w:r>
        <w:rPr>
          <w:rFonts w:hint="eastAsia"/>
          <w:sz w:val="24"/>
          <w:highlight w:val="none"/>
        </w:rPr>
        <w:t>手动切断阀组。在物料输出端和接收端</w:t>
      </w:r>
      <w:r>
        <w:rPr>
          <w:rFonts w:hint="eastAsia"/>
          <w:sz w:val="24"/>
          <w:highlight w:val="none"/>
          <w:lang w:eastAsia="zh-CN"/>
        </w:rPr>
        <w:t>的</w:t>
      </w:r>
      <w:r>
        <w:rPr>
          <w:rFonts w:hint="eastAsia"/>
          <w:sz w:val="24"/>
          <w:highlight w:val="none"/>
        </w:rPr>
        <w:t>紧急切断阀，</w:t>
      </w:r>
      <w:r>
        <w:rPr>
          <w:rFonts w:hint="eastAsia"/>
          <w:sz w:val="24"/>
          <w:highlight w:val="none"/>
          <w:lang w:eastAsia="zh-CN"/>
        </w:rPr>
        <w:t>及时</w:t>
      </w:r>
      <w:r>
        <w:rPr>
          <w:rFonts w:hint="eastAsia"/>
          <w:sz w:val="24"/>
          <w:highlight w:val="none"/>
        </w:rPr>
        <w:t>采取封堵措施、对泄漏区域进行喷水雾稀释避免发生火灾爆炸，且避免管输物质大量泄漏；当发生管输物质泄漏并引发火灾爆炸事故时，消防及喷淋稀释会产生一定的洗消废水，</w:t>
      </w:r>
      <w:r>
        <w:rPr>
          <w:rFonts w:hint="eastAsia"/>
          <w:sz w:val="24"/>
          <w:highlight w:val="none"/>
          <w:lang w:val="en-US" w:eastAsia="zh-CN"/>
        </w:rPr>
        <w:t>本项目的</w:t>
      </w:r>
      <w:r>
        <w:rPr>
          <w:rFonts w:hint="eastAsia"/>
          <w:sz w:val="24"/>
          <w:highlight w:val="none"/>
        </w:rPr>
        <w:t>事故污水系统是发生消防事故时，有污染的各生产装置和辅助生产设施界区内</w:t>
      </w:r>
      <w:r>
        <w:rPr>
          <w:rFonts w:hint="eastAsia"/>
          <w:sz w:val="24"/>
          <w:highlight w:val="none"/>
          <w:lang w:eastAsia="zh-CN"/>
        </w:rPr>
        <w:t>的</w:t>
      </w:r>
      <w:r>
        <w:rPr>
          <w:rFonts w:hint="eastAsia"/>
          <w:sz w:val="24"/>
          <w:highlight w:val="none"/>
        </w:rPr>
        <w:t>消防事故污水，首先经装置区</w:t>
      </w:r>
      <w:r>
        <w:rPr>
          <w:rFonts w:hint="eastAsia"/>
          <w:sz w:val="24"/>
          <w:highlight w:val="none"/>
          <w:lang w:val="en-US" w:eastAsia="zh-CN"/>
        </w:rPr>
        <w:t>围堰收集</w:t>
      </w:r>
      <w:r>
        <w:rPr>
          <w:rFonts w:hint="eastAsia"/>
          <w:sz w:val="24"/>
          <w:highlight w:val="none"/>
        </w:rPr>
        <w:t>储满后，依托</w:t>
      </w:r>
      <w:r>
        <w:rPr>
          <w:rFonts w:hint="eastAsia"/>
          <w:color w:val="000000"/>
          <w:sz w:val="24"/>
          <w:highlight w:val="none"/>
        </w:rPr>
        <w:t>内蒙古伊泰化工有限责任公司120万吨/年精细化学品示范项目</w:t>
      </w:r>
      <w:r>
        <w:rPr>
          <w:rFonts w:hint="eastAsia"/>
          <w:sz w:val="24"/>
          <w:highlight w:val="none"/>
        </w:rPr>
        <w:t>设置的</w:t>
      </w:r>
      <w:r>
        <w:rPr>
          <w:rFonts w:hint="eastAsia"/>
          <w:sz w:val="24"/>
          <w:highlight w:val="none"/>
          <w:lang w:val="en-US" w:eastAsia="zh-CN"/>
        </w:rPr>
        <w:t>1</w:t>
      </w:r>
      <w:r>
        <w:rPr>
          <w:rFonts w:hint="eastAsia"/>
          <w:sz w:val="24"/>
          <w:highlight w:val="none"/>
        </w:rPr>
        <w:t>座消防事故水池，有效容积为</w:t>
      </w:r>
      <w:r>
        <w:rPr>
          <w:sz w:val="24"/>
          <w:highlight w:val="none"/>
        </w:rPr>
        <w:t>3</w:t>
      </w:r>
      <w:r>
        <w:rPr>
          <w:rFonts w:hint="eastAsia"/>
          <w:sz w:val="24"/>
          <w:highlight w:val="none"/>
          <w:lang w:val="en-US" w:eastAsia="zh-CN"/>
        </w:rPr>
        <w:t>0</w:t>
      </w:r>
      <w:r>
        <w:rPr>
          <w:sz w:val="24"/>
          <w:highlight w:val="none"/>
        </w:rPr>
        <w:t>000m</w:t>
      </w:r>
      <w:r>
        <w:rPr>
          <w:sz w:val="24"/>
          <w:highlight w:val="none"/>
          <w:vertAlign w:val="superscript"/>
        </w:rPr>
        <w:t>3</w:t>
      </w:r>
      <w:r>
        <w:rPr>
          <w:rFonts w:hint="eastAsia"/>
          <w:sz w:val="24"/>
          <w:highlight w:val="none"/>
        </w:rPr>
        <w:t>。</w:t>
      </w:r>
    </w:p>
    <w:p w14:paraId="4E705EA7">
      <w:pPr>
        <w:keepNext/>
        <w:keepLines/>
        <w:spacing w:line="360" w:lineRule="auto"/>
        <w:outlineLvl w:val="1"/>
        <w:rPr>
          <w:rFonts w:hint="eastAsia"/>
          <w:b/>
          <w:bCs/>
          <w:sz w:val="28"/>
          <w:szCs w:val="28"/>
          <w:highlight w:val="none"/>
        </w:rPr>
      </w:pPr>
      <w:r>
        <w:rPr>
          <w:rFonts w:hint="eastAsia"/>
          <w:b/>
          <w:bCs/>
          <w:sz w:val="28"/>
          <w:szCs w:val="28"/>
          <w:highlight w:val="none"/>
        </w:rPr>
        <w:t>5.1</w:t>
      </w:r>
      <w:r>
        <w:rPr>
          <w:rFonts w:hint="eastAsia"/>
          <w:b/>
          <w:bCs/>
          <w:sz w:val="28"/>
          <w:szCs w:val="28"/>
          <w:highlight w:val="none"/>
          <w:lang w:val="en-US" w:eastAsia="zh-CN"/>
        </w:rPr>
        <w:t>1</w:t>
      </w:r>
      <w:r>
        <w:rPr>
          <w:rFonts w:hint="eastAsia"/>
          <w:b/>
          <w:bCs/>
          <w:sz w:val="28"/>
          <w:szCs w:val="28"/>
          <w:highlight w:val="none"/>
        </w:rPr>
        <w:t>应急疏散及预警要求</w:t>
      </w:r>
    </w:p>
    <w:p w14:paraId="4606A024">
      <w:pPr>
        <w:spacing w:line="360" w:lineRule="auto"/>
        <w:ind w:firstLine="480" w:firstLineChars="200"/>
        <w:rPr>
          <w:rFonts w:hint="eastAsia"/>
          <w:sz w:val="24"/>
          <w:highlight w:val="none"/>
        </w:rPr>
      </w:pPr>
      <w:r>
        <w:rPr>
          <w:rFonts w:hint="eastAsia"/>
          <w:sz w:val="24"/>
          <w:highlight w:val="none"/>
        </w:rPr>
        <w:t>（1）应急疏散</w:t>
      </w:r>
    </w:p>
    <w:p w14:paraId="5BC701B3">
      <w:pPr>
        <w:spacing w:line="360" w:lineRule="auto"/>
        <w:ind w:firstLine="480" w:firstLineChars="200"/>
        <w:rPr>
          <w:rFonts w:hint="eastAsia"/>
          <w:sz w:val="24"/>
          <w:highlight w:val="none"/>
        </w:rPr>
      </w:pPr>
      <w:r>
        <w:rPr>
          <w:rFonts w:hint="eastAsia"/>
          <w:sz w:val="24"/>
          <w:highlight w:val="none"/>
        </w:rPr>
        <w:t>当本项目发生环境风险事故</w:t>
      </w:r>
      <w:r>
        <w:rPr>
          <w:rFonts w:hint="eastAsia"/>
          <w:sz w:val="24"/>
          <w:highlight w:val="none"/>
          <w:lang w:eastAsia="zh-CN"/>
        </w:rPr>
        <w:t>时</w:t>
      </w:r>
      <w:r>
        <w:rPr>
          <w:rFonts w:hint="eastAsia"/>
          <w:sz w:val="24"/>
          <w:highlight w:val="none"/>
        </w:rPr>
        <w:t>，应及时通知和引导管道沿线企业职工往上风向进行疏散撤离。</w:t>
      </w:r>
    </w:p>
    <w:p w14:paraId="1CC3A7B7">
      <w:pPr>
        <w:spacing w:line="360" w:lineRule="auto"/>
        <w:ind w:firstLine="480" w:firstLineChars="200"/>
        <w:rPr>
          <w:rFonts w:hint="eastAsia"/>
          <w:sz w:val="24"/>
          <w:highlight w:val="none"/>
        </w:rPr>
      </w:pPr>
      <w:r>
        <w:rPr>
          <w:rFonts w:hint="eastAsia"/>
          <w:sz w:val="24"/>
          <w:highlight w:val="none"/>
        </w:rPr>
        <w:t>（2）预警要求</w:t>
      </w:r>
    </w:p>
    <w:p w14:paraId="551A2C43">
      <w:pPr>
        <w:spacing w:line="360" w:lineRule="auto"/>
        <w:ind w:firstLine="480" w:firstLineChars="200"/>
        <w:rPr>
          <w:rFonts w:hint="eastAsia"/>
          <w:sz w:val="24"/>
          <w:highlight w:val="none"/>
        </w:rPr>
      </w:pPr>
      <w:r>
        <w:rPr>
          <w:rFonts w:hint="eastAsia"/>
          <w:sz w:val="24"/>
          <w:highlight w:val="none"/>
        </w:rPr>
        <w:t>公司采用人工巡检与自动报警装置相结合的监控形式，当通过人工巡检与自动报警装置发现可能发生突发环境事件时，现场人员立即报告部门负责人，并通知应急办公室，部门负责人视现场情况组织现场处置，应急办公室视情况通知相关应急工作组</w:t>
      </w:r>
      <w:r>
        <w:rPr>
          <w:rFonts w:hint="eastAsia"/>
          <w:sz w:val="24"/>
          <w:highlight w:val="none"/>
          <w:lang w:eastAsia="zh-CN"/>
        </w:rPr>
        <w:t>做好</w:t>
      </w:r>
      <w:r>
        <w:rPr>
          <w:rFonts w:hint="eastAsia"/>
          <w:sz w:val="24"/>
          <w:highlight w:val="none"/>
        </w:rPr>
        <w:t>应急准备并报告应急指挥中心。公司应急指挥中心确定预警条件、预警级别后，立即向各部门负责人、公司员工通报相关情况，采取相应的预警措施。</w:t>
      </w:r>
    </w:p>
    <w:p w14:paraId="6E34DC6D">
      <w:pPr>
        <w:spacing w:line="360" w:lineRule="auto"/>
        <w:ind w:firstLine="480" w:firstLineChars="200"/>
        <w:rPr>
          <w:rFonts w:hint="eastAsia"/>
          <w:sz w:val="24"/>
          <w:highlight w:val="none"/>
        </w:rPr>
      </w:pPr>
      <w:r>
        <w:rPr>
          <w:rFonts w:hint="eastAsia"/>
          <w:sz w:val="24"/>
          <w:highlight w:val="none"/>
        </w:rPr>
        <w:t>主要预警条件有：巡检时发现管线处发出漏气响声；巡检时便携式可燃气泄漏报警仪发出报警；管线周围发生火灾。</w:t>
      </w:r>
    </w:p>
    <w:p w14:paraId="14D9219F">
      <w:pPr>
        <w:keepNext/>
        <w:keepLines/>
        <w:spacing w:line="360" w:lineRule="auto"/>
        <w:outlineLvl w:val="1"/>
        <w:rPr>
          <w:rFonts w:hint="eastAsia"/>
          <w:b/>
          <w:bCs/>
          <w:sz w:val="28"/>
          <w:szCs w:val="28"/>
          <w:highlight w:val="none"/>
        </w:rPr>
      </w:pPr>
      <w:r>
        <w:rPr>
          <w:rFonts w:hint="eastAsia"/>
          <w:b/>
          <w:bCs/>
          <w:sz w:val="28"/>
          <w:szCs w:val="28"/>
          <w:highlight w:val="none"/>
        </w:rPr>
        <w:t>5.1</w:t>
      </w:r>
      <w:r>
        <w:rPr>
          <w:rFonts w:hint="eastAsia"/>
          <w:b/>
          <w:bCs/>
          <w:sz w:val="28"/>
          <w:szCs w:val="28"/>
          <w:highlight w:val="none"/>
          <w:lang w:val="en-US" w:eastAsia="zh-CN"/>
        </w:rPr>
        <w:t>2</w:t>
      </w:r>
      <w:r>
        <w:rPr>
          <w:rFonts w:hint="eastAsia"/>
          <w:b/>
          <w:bCs/>
          <w:sz w:val="28"/>
          <w:szCs w:val="28"/>
          <w:highlight w:val="none"/>
        </w:rPr>
        <w:t>突发环境事件应急预案编制要求</w:t>
      </w:r>
    </w:p>
    <w:p w14:paraId="18408BAF">
      <w:pPr>
        <w:spacing w:line="360" w:lineRule="auto"/>
        <w:ind w:firstLine="480" w:firstLineChars="200"/>
        <w:rPr>
          <w:rFonts w:hint="eastAsia"/>
          <w:color w:val="0000FF"/>
          <w:sz w:val="24"/>
          <w:highlight w:val="none"/>
        </w:rPr>
      </w:pPr>
      <w:r>
        <w:rPr>
          <w:rFonts w:hint="eastAsia"/>
          <w:sz w:val="24"/>
          <w:highlight w:val="none"/>
        </w:rPr>
        <w:t>建设单位应根据《突发事件应急预案管理办法》</w:t>
      </w:r>
      <w:r>
        <w:rPr>
          <w:rFonts w:hint="eastAsia"/>
          <w:sz w:val="24"/>
          <w:highlight w:val="none"/>
          <w:lang w:eastAsia="zh-CN"/>
        </w:rPr>
        <w:t>（</w:t>
      </w:r>
      <w:r>
        <w:rPr>
          <w:rFonts w:hint="eastAsia"/>
          <w:sz w:val="24"/>
          <w:highlight w:val="none"/>
        </w:rPr>
        <w:t>国办发〔2013〕101号</w:t>
      </w:r>
      <w:r>
        <w:rPr>
          <w:rFonts w:hint="eastAsia"/>
          <w:sz w:val="24"/>
          <w:highlight w:val="none"/>
          <w:lang w:eastAsia="zh-CN"/>
        </w:rPr>
        <w:t>）</w:t>
      </w:r>
      <w:r>
        <w:rPr>
          <w:rFonts w:hint="eastAsia"/>
          <w:sz w:val="24"/>
          <w:highlight w:val="none"/>
        </w:rPr>
        <w:t>、《突发环境事件应急管理办法》</w:t>
      </w:r>
      <w:r>
        <w:rPr>
          <w:rFonts w:hint="eastAsia"/>
          <w:sz w:val="24"/>
          <w:highlight w:val="none"/>
          <w:lang w:eastAsia="zh-CN"/>
        </w:rPr>
        <w:t>（</w:t>
      </w:r>
      <w:r>
        <w:rPr>
          <w:rFonts w:hint="eastAsia"/>
          <w:sz w:val="24"/>
          <w:highlight w:val="none"/>
        </w:rPr>
        <w:t>2015年，环保部令第34号</w:t>
      </w:r>
      <w:r>
        <w:rPr>
          <w:rFonts w:hint="eastAsia"/>
          <w:sz w:val="24"/>
          <w:highlight w:val="none"/>
          <w:lang w:eastAsia="zh-CN"/>
        </w:rPr>
        <w:t>）</w:t>
      </w:r>
      <w:r>
        <w:rPr>
          <w:rFonts w:hint="eastAsia"/>
          <w:sz w:val="24"/>
          <w:highlight w:val="none"/>
        </w:rPr>
        <w:t>、内蒙古自治区环保厅印发自治区突发环境事件应急预案（2022年版）的通知及《企业突发环境事件风险分级方法》</w:t>
      </w:r>
      <w:r>
        <w:rPr>
          <w:rFonts w:hint="eastAsia"/>
          <w:sz w:val="24"/>
          <w:highlight w:val="none"/>
          <w:lang w:eastAsia="zh-CN"/>
        </w:rPr>
        <w:t>（</w:t>
      </w:r>
      <w:r>
        <w:rPr>
          <w:rFonts w:hint="eastAsia"/>
          <w:sz w:val="24"/>
          <w:highlight w:val="none"/>
        </w:rPr>
        <w:t>HJ 941-2018</w:t>
      </w:r>
      <w:r>
        <w:rPr>
          <w:rFonts w:hint="eastAsia"/>
          <w:sz w:val="24"/>
          <w:highlight w:val="none"/>
          <w:lang w:eastAsia="zh-CN"/>
        </w:rPr>
        <w:t>）</w:t>
      </w:r>
      <w:r>
        <w:rPr>
          <w:rFonts w:hint="eastAsia"/>
          <w:sz w:val="24"/>
          <w:highlight w:val="none"/>
        </w:rPr>
        <w:t>等有关要求，将本项目纳入企业突发环境事件应急预案，报鄂尔多斯市</w:t>
      </w:r>
      <w:r>
        <w:rPr>
          <w:rFonts w:hint="eastAsia"/>
          <w:sz w:val="24"/>
          <w:highlight w:val="none"/>
          <w:lang w:val="en-US" w:eastAsia="zh-CN"/>
        </w:rPr>
        <w:t>杭锦旗</w:t>
      </w:r>
      <w:r>
        <w:rPr>
          <w:rFonts w:hint="eastAsia"/>
          <w:sz w:val="24"/>
          <w:highlight w:val="none"/>
        </w:rPr>
        <w:t>生态环境局备案，并每3年修订1次。建设单位应</w:t>
      </w:r>
      <w:r>
        <w:rPr>
          <w:rFonts w:hint="eastAsia"/>
          <w:sz w:val="24"/>
          <w:highlight w:val="none"/>
          <w:lang w:eastAsia="zh-CN"/>
        </w:rPr>
        <w:t>按</w:t>
      </w:r>
      <w:r>
        <w:rPr>
          <w:rFonts w:hint="eastAsia"/>
          <w:sz w:val="24"/>
          <w:highlight w:val="none"/>
        </w:rPr>
        <w:t>规定定期开展应急演练。本项目环境风险应急</w:t>
      </w:r>
      <w:r>
        <w:rPr>
          <w:rFonts w:hint="eastAsia"/>
          <w:sz w:val="24"/>
          <w:highlight w:val="none"/>
          <w:lang w:eastAsia="zh-CN"/>
        </w:rPr>
        <w:t>预案</w:t>
      </w:r>
      <w:r>
        <w:rPr>
          <w:rFonts w:hint="eastAsia"/>
          <w:sz w:val="24"/>
          <w:highlight w:val="none"/>
        </w:rPr>
        <w:t>应</w:t>
      </w:r>
      <w:r>
        <w:rPr>
          <w:rFonts w:hint="eastAsia"/>
          <w:sz w:val="24"/>
          <w:highlight w:val="none"/>
          <w:lang w:val="en-US" w:eastAsia="zh-CN"/>
        </w:rPr>
        <w:t>当</w:t>
      </w:r>
      <w:r>
        <w:rPr>
          <w:rFonts w:hint="eastAsia"/>
          <w:sz w:val="24"/>
          <w:szCs w:val="32"/>
          <w:highlight w:val="none"/>
        </w:rPr>
        <w:t>与邻近</w:t>
      </w:r>
      <w:r>
        <w:rPr>
          <w:rFonts w:hint="eastAsia"/>
          <w:sz w:val="24"/>
          <w:szCs w:val="32"/>
          <w:highlight w:val="none"/>
          <w:lang w:eastAsia="zh-CN"/>
        </w:rPr>
        <w:t>单位</w:t>
      </w:r>
      <w:r>
        <w:rPr>
          <w:rFonts w:hint="eastAsia"/>
          <w:sz w:val="24"/>
          <w:highlight w:val="none"/>
        </w:rPr>
        <w:t>进行联防联控，与园区环境风险防控系统有效衔接。</w:t>
      </w:r>
    </w:p>
    <w:p w14:paraId="4033A7AD">
      <w:pPr>
        <w:spacing w:line="360" w:lineRule="auto"/>
        <w:ind w:firstLine="480" w:firstLineChars="200"/>
        <w:rPr>
          <w:rFonts w:hint="eastAsia"/>
          <w:sz w:val="24"/>
          <w:highlight w:val="none"/>
        </w:rPr>
      </w:pPr>
      <w:r>
        <w:rPr>
          <w:rFonts w:hint="eastAsia"/>
          <w:sz w:val="24"/>
          <w:highlight w:val="none"/>
        </w:rPr>
        <w:t>应急预案应按照国家、地方和相关部门要求进行编制，主要内容包括预案适用范围、环境事件分类与分级、组织机构与职责、监控和预警、应急响应、应急保障、善后处置、预案管理与演练等内容。</w:t>
      </w:r>
    </w:p>
    <w:p w14:paraId="593664EA">
      <w:pPr>
        <w:keepNext/>
        <w:keepLines/>
        <w:spacing w:before="240" w:beforeLines="100" w:line="360" w:lineRule="auto"/>
        <w:outlineLvl w:val="0"/>
        <w:rPr>
          <w:rFonts w:hint="eastAsia"/>
          <w:b/>
          <w:bCs/>
          <w:kern w:val="44"/>
          <w:sz w:val="32"/>
          <w:szCs w:val="32"/>
          <w:highlight w:val="none"/>
        </w:rPr>
      </w:pPr>
      <w:bookmarkStart w:id="74" w:name="_Toc2289_WPSOffice_Level1"/>
      <w:r>
        <w:rPr>
          <w:rFonts w:hint="eastAsia"/>
          <w:b/>
          <w:bCs/>
          <w:kern w:val="44"/>
          <w:sz w:val="32"/>
          <w:szCs w:val="32"/>
          <w:highlight w:val="none"/>
        </w:rPr>
        <w:t>6</w:t>
      </w:r>
      <w:r>
        <w:rPr>
          <w:rFonts w:hint="eastAsia"/>
          <w:b/>
          <w:bCs/>
          <w:kern w:val="44"/>
          <w:sz w:val="32"/>
          <w:szCs w:val="32"/>
          <w:highlight w:val="none"/>
          <w:lang w:val="en-US" w:eastAsia="zh-CN"/>
        </w:rPr>
        <w:t>.</w:t>
      </w:r>
      <w:r>
        <w:rPr>
          <w:rFonts w:hint="eastAsia"/>
          <w:b/>
          <w:bCs/>
          <w:kern w:val="44"/>
          <w:sz w:val="32"/>
          <w:szCs w:val="32"/>
          <w:highlight w:val="none"/>
        </w:rPr>
        <w:t>环境风险分析结论</w:t>
      </w:r>
      <w:bookmarkEnd w:id="74"/>
    </w:p>
    <w:p w14:paraId="3DCB48AB">
      <w:pPr>
        <w:spacing w:line="360" w:lineRule="auto"/>
        <w:ind w:firstLine="480" w:firstLineChars="200"/>
        <w:rPr>
          <w:rFonts w:hint="eastAsia"/>
          <w:sz w:val="24"/>
          <w:highlight w:val="none"/>
        </w:rPr>
      </w:pPr>
      <w:r>
        <w:rPr>
          <w:rFonts w:hint="eastAsia"/>
          <w:sz w:val="24"/>
          <w:highlight w:val="none"/>
        </w:rPr>
        <w:t>根据《建设项目环境风险评价技术导则》（HJ169－2018）中环境风险评价等级的判定方法，本项目</w:t>
      </w:r>
      <w:r>
        <w:rPr>
          <w:rFonts w:hint="eastAsia"/>
          <w:sz w:val="24"/>
          <w:highlight w:val="none"/>
          <w:lang w:val="en-US" w:eastAsia="zh-CN"/>
        </w:rPr>
        <w:t>Q＜1</w:t>
      </w:r>
      <w:r>
        <w:rPr>
          <w:rFonts w:hint="eastAsia"/>
          <w:sz w:val="24"/>
          <w:highlight w:val="none"/>
        </w:rPr>
        <w:t>风险潜势均为I</w:t>
      </w:r>
      <w:r>
        <w:rPr>
          <w:rFonts w:hint="eastAsia"/>
          <w:sz w:val="24"/>
          <w:highlight w:val="none"/>
          <w:lang w:eastAsia="zh-CN"/>
        </w:rPr>
        <w:t>，</w:t>
      </w:r>
      <w:r>
        <w:rPr>
          <w:rFonts w:hint="eastAsia"/>
          <w:sz w:val="24"/>
          <w:highlight w:val="none"/>
          <w:lang w:val="en-US" w:eastAsia="zh-CN"/>
        </w:rPr>
        <w:t>进行简单分析</w:t>
      </w:r>
      <w:r>
        <w:rPr>
          <w:rFonts w:hint="eastAsia"/>
          <w:sz w:val="24"/>
          <w:highlight w:val="none"/>
        </w:rPr>
        <w:t>。</w:t>
      </w:r>
    </w:p>
    <w:p w14:paraId="7C14FE7F">
      <w:pPr>
        <w:spacing w:line="360" w:lineRule="auto"/>
        <w:ind w:firstLine="480" w:firstLineChars="200"/>
        <w:rPr>
          <w:rFonts w:hint="eastAsia"/>
          <w:color w:val="0000FF"/>
          <w:sz w:val="24"/>
          <w:highlight w:val="none"/>
        </w:rPr>
      </w:pPr>
      <w:r>
        <w:rPr>
          <w:rFonts w:hint="eastAsia"/>
          <w:sz w:val="24"/>
          <w:highlight w:val="none"/>
        </w:rPr>
        <w:t>本项目主要危险单元为物料输送管线，根据环境风险识别与分析，项目运营过程</w:t>
      </w:r>
      <w:r>
        <w:rPr>
          <w:rFonts w:hint="eastAsia"/>
          <w:sz w:val="24"/>
          <w:highlight w:val="none"/>
          <w:lang w:eastAsia="zh-CN"/>
        </w:rPr>
        <w:t>中</w:t>
      </w:r>
      <w:r>
        <w:rPr>
          <w:rFonts w:hint="eastAsia"/>
          <w:sz w:val="24"/>
          <w:highlight w:val="none"/>
        </w:rPr>
        <w:t>的主要环境风险事故为管道泄漏事故或泄漏后遇明火引发火灾、爆炸导致的次生污染事故。</w:t>
      </w:r>
    </w:p>
    <w:p w14:paraId="5C17FFAF">
      <w:pPr>
        <w:adjustRightInd w:val="0"/>
        <w:snapToGrid w:val="0"/>
        <w:spacing w:line="360" w:lineRule="auto"/>
        <w:ind w:firstLine="480" w:firstLineChars="200"/>
        <w:rPr>
          <w:rFonts w:hint="eastAsia"/>
          <w:sz w:val="24"/>
          <w:highlight w:val="none"/>
        </w:rPr>
      </w:pPr>
      <w:r>
        <w:rPr>
          <w:rFonts w:hint="eastAsia" w:ascii="Times New Roman" w:hAnsi="Times New Roman" w:eastAsia="宋体" w:cs="Times New Roman"/>
          <w:color w:val="auto"/>
          <w:sz w:val="24"/>
          <w:szCs w:val="24"/>
          <w:highlight w:val="none"/>
          <w:lang w:val="en-US" w:eastAsia="zh-CN"/>
        </w:rPr>
        <w:t>项目管道架空敷设，其中为了便于计量和快速切断，在合成脱碳尾气、未变换净化气、WRT甲烷气、回用水、富甲烷气</w:t>
      </w:r>
      <w:r>
        <w:rPr>
          <w:rFonts w:hint="eastAsia" w:cs="Times New Roman"/>
          <w:color w:val="auto"/>
          <w:sz w:val="24"/>
          <w:szCs w:val="24"/>
          <w:highlight w:val="none"/>
          <w:lang w:val="en-US" w:eastAsia="zh-CN"/>
        </w:rPr>
        <w:t>等</w:t>
      </w:r>
      <w:r>
        <w:rPr>
          <w:rFonts w:hint="eastAsia" w:ascii="Times New Roman" w:hAnsi="Times New Roman" w:eastAsia="宋体" w:cs="Times New Roman"/>
          <w:color w:val="auto"/>
          <w:sz w:val="24"/>
          <w:szCs w:val="24"/>
          <w:highlight w:val="none"/>
          <w:lang w:val="en-US" w:eastAsia="zh-CN"/>
        </w:rPr>
        <w:t>管道上设置快速切断阀，WRT甲烷气和污水2管线设置压力调节阀组和流量计</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其</w:t>
      </w:r>
      <w:r>
        <w:rPr>
          <w:rFonts w:hint="eastAsia" w:cs="Times New Roman"/>
          <w:color w:val="auto"/>
          <w:sz w:val="24"/>
          <w:szCs w:val="24"/>
          <w:highlight w:val="none"/>
          <w:lang w:val="en-US" w:eastAsia="zh-CN"/>
        </w:rPr>
        <w:t>他</w:t>
      </w:r>
      <w:r>
        <w:rPr>
          <w:rFonts w:hint="eastAsia" w:ascii="Times New Roman" w:hAnsi="Times New Roman" w:eastAsia="宋体" w:cs="Times New Roman"/>
          <w:color w:val="auto"/>
          <w:sz w:val="24"/>
          <w:szCs w:val="24"/>
          <w:highlight w:val="none"/>
          <w:lang w:val="en-US" w:eastAsia="zh-CN"/>
        </w:rPr>
        <w:t>工艺和公用工程管道仅设置流量计用于计量结算，管线末端设置手动切断阀组。在物料输出端和接收端设置中控系统和紧急切断阀，阀门和仪表的控制信号接入伊泰化工公司DCS系统</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一旦发生泄漏易被发现，</w:t>
      </w:r>
      <w:r>
        <w:rPr>
          <w:rFonts w:hint="eastAsia" w:ascii="Times New Roman" w:hAnsi="Times New Roman" w:eastAsia="宋体" w:cs="Times New Roman"/>
          <w:sz w:val="24"/>
          <w:szCs w:val="24"/>
          <w:highlight w:val="none"/>
          <w:lang w:val="en-US" w:eastAsia="zh-CN"/>
        </w:rPr>
        <w:t>可控制发生泄漏的物质量在较小的范围内，泄漏挥发产生的污染物源强不大，且本项</w:t>
      </w:r>
      <w:r>
        <w:rPr>
          <w:rFonts w:hint="eastAsia"/>
          <w:sz w:val="24"/>
          <w:highlight w:val="none"/>
        </w:rPr>
        <w:t>目管道沿线</w:t>
      </w:r>
      <w:r>
        <w:rPr>
          <w:rFonts w:hint="eastAsia"/>
          <w:sz w:val="24"/>
          <w:highlight w:val="none"/>
          <w:lang w:val="en-US" w:eastAsia="zh-CN"/>
        </w:rPr>
        <w:t>2</w:t>
      </w:r>
      <w:r>
        <w:rPr>
          <w:rFonts w:hint="eastAsia"/>
          <w:sz w:val="24"/>
          <w:highlight w:val="none"/>
        </w:rPr>
        <w:t>00m范围内无大气环境</w:t>
      </w:r>
      <w:r>
        <w:rPr>
          <w:rFonts w:hint="eastAsia"/>
          <w:sz w:val="24"/>
          <w:highlight w:val="none"/>
          <w:lang w:eastAsia="zh-CN"/>
        </w:rPr>
        <w:t>、</w:t>
      </w:r>
      <w:r>
        <w:rPr>
          <w:rFonts w:hint="eastAsia"/>
          <w:sz w:val="24"/>
          <w:highlight w:val="none"/>
          <w:lang w:val="en-US" w:eastAsia="zh-CN"/>
        </w:rPr>
        <w:t>水环境</w:t>
      </w:r>
      <w:r>
        <w:rPr>
          <w:rFonts w:hint="eastAsia"/>
          <w:sz w:val="24"/>
          <w:highlight w:val="none"/>
        </w:rPr>
        <w:t>敏感目标，</w:t>
      </w:r>
      <w:r>
        <w:rPr>
          <w:rFonts w:hint="eastAsia"/>
          <w:sz w:val="24"/>
          <w:highlight w:val="none"/>
          <w:lang w:val="en-US" w:eastAsia="zh-CN"/>
        </w:rPr>
        <w:t>周边无</w:t>
      </w:r>
      <w:r>
        <w:rPr>
          <w:rFonts w:hint="eastAsia" w:ascii="Times New Roman" w:hAnsi="Times New Roman" w:eastAsia="宋体" w:cs="Times New Roman"/>
          <w:sz w:val="24"/>
          <w:highlight w:val="none"/>
        </w:rPr>
        <w:t>地表长期径流存在</w:t>
      </w:r>
      <w:r>
        <w:rPr>
          <w:rFonts w:hint="eastAsia" w:cs="Times New Roman"/>
          <w:sz w:val="24"/>
          <w:highlight w:val="none"/>
          <w:lang w:eastAsia="zh-CN"/>
        </w:rPr>
        <w:t>，</w:t>
      </w:r>
      <w:r>
        <w:rPr>
          <w:rFonts w:hint="eastAsia"/>
          <w:sz w:val="24"/>
          <w:highlight w:val="none"/>
        </w:rPr>
        <w:t>因此对周边环境影响基本可控。</w:t>
      </w:r>
    </w:p>
    <w:p w14:paraId="6DA0626E">
      <w:pPr>
        <w:spacing w:line="360" w:lineRule="auto"/>
        <w:ind w:firstLine="480" w:firstLineChars="200"/>
        <w:rPr>
          <w:rFonts w:hint="eastAsia"/>
          <w:sz w:val="24"/>
          <w:highlight w:val="none"/>
        </w:rPr>
      </w:pPr>
      <w:r>
        <w:rPr>
          <w:rFonts w:hint="eastAsia"/>
          <w:sz w:val="24"/>
          <w:highlight w:val="none"/>
        </w:rPr>
        <w:t>建设单位应采取严格的风险防控体系，配套可燃气体报警仪，项目输送</w:t>
      </w:r>
      <w:r>
        <w:rPr>
          <w:rFonts w:hint="eastAsia" w:ascii="Times New Roman" w:hAnsi="Times New Roman" w:eastAsia="宋体" w:cs="Times New Roman"/>
          <w:color w:val="auto"/>
          <w:sz w:val="24"/>
          <w:szCs w:val="24"/>
          <w:highlight w:val="none"/>
          <w:lang w:val="en-US" w:eastAsia="zh-CN"/>
        </w:rPr>
        <w:t>管线末端设置手动切断阀组。在物料输出端和接收端设置中控系统和紧急切断阀</w:t>
      </w:r>
      <w:r>
        <w:rPr>
          <w:rFonts w:hint="eastAsia"/>
          <w:sz w:val="24"/>
          <w:highlight w:val="none"/>
        </w:rPr>
        <w:t>、流量计、压力表</w:t>
      </w:r>
      <w:r>
        <w:rPr>
          <w:rFonts w:hint="eastAsia"/>
          <w:sz w:val="24"/>
          <w:highlight w:val="none"/>
          <w:lang w:eastAsia="zh-CN"/>
        </w:rPr>
        <w:t>等</w:t>
      </w:r>
      <w:r>
        <w:rPr>
          <w:rFonts w:hint="eastAsia"/>
          <w:sz w:val="24"/>
          <w:highlight w:val="none"/>
        </w:rPr>
        <w:t>，依托</w:t>
      </w:r>
      <w:r>
        <w:rPr>
          <w:rFonts w:hint="eastAsia"/>
          <w:sz w:val="24"/>
          <w:highlight w:val="none"/>
          <w:lang w:val="en-US" w:eastAsia="zh-CN"/>
        </w:rPr>
        <w:t>内蒙古伊泰化工有限责任公司及其</w:t>
      </w:r>
      <w:r>
        <w:rPr>
          <w:rFonts w:hint="eastAsia"/>
          <w:sz w:val="24"/>
          <w:highlight w:val="none"/>
        </w:rPr>
        <w:t>关联企业、园区的环境风险防控系统和消防灭火设施，</w:t>
      </w:r>
      <w:r>
        <w:rPr>
          <w:rFonts w:hint="eastAsia"/>
          <w:sz w:val="24"/>
          <w:highlight w:val="none"/>
          <w:lang w:eastAsia="zh-CN"/>
        </w:rPr>
        <w:t>以及</w:t>
      </w:r>
      <w:r>
        <w:rPr>
          <w:rFonts w:hint="eastAsia"/>
          <w:sz w:val="24"/>
          <w:highlight w:val="none"/>
          <w:lang w:val="en-US" w:eastAsia="zh-CN"/>
        </w:rPr>
        <w:t>杭锦旗</w:t>
      </w:r>
      <w:r>
        <w:rPr>
          <w:rFonts w:hint="eastAsia"/>
          <w:sz w:val="24"/>
          <w:highlight w:val="none"/>
        </w:rPr>
        <w:t>消防大队的消防力</w:t>
      </w:r>
      <w:r>
        <w:rPr>
          <w:rFonts w:hint="eastAsia" w:ascii="Times New Roman" w:hAnsi="Times New Roman" w:eastAsia="宋体" w:cs="Times New Roman"/>
          <w:sz w:val="24"/>
          <w:highlight w:val="none"/>
        </w:rPr>
        <w:t>量</w:t>
      </w: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rPr>
        <w:t>本项目事故水池及消防水池均依托</w:t>
      </w:r>
      <w:r>
        <w:rPr>
          <w:rFonts w:hint="eastAsia"/>
          <w:sz w:val="24"/>
          <w:highlight w:val="none"/>
          <w:lang w:val="en-US" w:eastAsia="zh-CN"/>
        </w:rPr>
        <w:t>内蒙古伊泰化工有限责任公司</w:t>
      </w:r>
      <w:r>
        <w:rPr>
          <w:rFonts w:hint="eastAsia" w:ascii="Times New Roman" w:hAnsi="Times New Roman" w:eastAsia="宋体" w:cs="Times New Roman"/>
          <w:sz w:val="24"/>
          <w:highlight w:val="none"/>
        </w:rPr>
        <w:t>现有</w:t>
      </w:r>
      <w:r>
        <w:rPr>
          <w:rFonts w:hint="eastAsia" w:ascii="Times New Roman" w:hAnsi="Times New Roman" w:eastAsia="宋体" w:cs="Times New Roman"/>
          <w:sz w:val="24"/>
          <w:highlight w:val="none"/>
          <w:lang w:eastAsia="zh-CN"/>
        </w:rPr>
        <w:t>水池</w:t>
      </w:r>
      <w:r>
        <w:rPr>
          <w:rFonts w:hint="eastAsia" w:cs="Times New Roman"/>
          <w:sz w:val="24"/>
          <w:highlight w:val="none"/>
          <w:lang w:eastAsia="zh-CN"/>
        </w:rPr>
        <w:t>，</w:t>
      </w:r>
      <w:r>
        <w:rPr>
          <w:rFonts w:hint="eastAsia" w:ascii="Times New Roman" w:hAnsi="Times New Roman" w:eastAsia="宋体" w:cs="Times New Roman"/>
          <w:sz w:val="24"/>
          <w:highlight w:val="none"/>
        </w:rPr>
        <w:t>编制应急预案，并开展应急演练。在落实本</w:t>
      </w:r>
      <w:r>
        <w:rPr>
          <w:rFonts w:hint="eastAsia"/>
          <w:sz w:val="24"/>
          <w:highlight w:val="none"/>
        </w:rPr>
        <w:t>评价提出的各项环境风险防范措施后，从环境风险角度分析，本项目的环境风险水平属于可接受范畴。</w:t>
      </w:r>
    </w:p>
    <w:p w14:paraId="47B8E377">
      <w:pPr>
        <w:widowControl/>
        <w:spacing w:line="360" w:lineRule="auto"/>
        <w:ind w:firstLine="0" w:firstLineChars="0"/>
        <w:jc w:val="center"/>
        <w:rPr>
          <w:rFonts w:hint="eastAsia" w:ascii="Times New Roman" w:hAnsi="Times New Roman" w:eastAsia="宋体" w:cs="Times New Roman"/>
          <w:b/>
          <w:bCs/>
          <w:sz w:val="21"/>
          <w:szCs w:val="21"/>
          <w:highlight w:val="none"/>
          <w:lang w:val="en-US" w:eastAsia="zh-CN"/>
        </w:rPr>
      </w:pPr>
      <w:r>
        <w:rPr>
          <w:rFonts w:hint="eastAsia" w:ascii="Times New Roman" w:hAnsi="Times New Roman" w:eastAsia="宋体" w:cs="Times New Roman"/>
          <w:b/>
          <w:bCs/>
          <w:sz w:val="21"/>
          <w:szCs w:val="21"/>
          <w:highlight w:val="none"/>
          <w:lang w:val="en-US" w:eastAsia="zh-CN"/>
        </w:rPr>
        <w:t xml:space="preserve">表6.1   </w:t>
      </w:r>
      <w:r>
        <w:rPr>
          <w:rFonts w:hint="default" w:ascii="Times New Roman" w:hAnsi="Times New Roman" w:eastAsia="宋体" w:cs="Times New Roman"/>
          <w:b/>
          <w:bCs/>
          <w:sz w:val="21"/>
          <w:szCs w:val="21"/>
          <w:highlight w:val="none"/>
        </w:rPr>
        <w:t>环境风险</w:t>
      </w:r>
      <w:r>
        <w:rPr>
          <w:rFonts w:hint="eastAsia" w:cs="Times New Roman"/>
          <w:b/>
          <w:bCs/>
          <w:sz w:val="21"/>
          <w:szCs w:val="21"/>
          <w:highlight w:val="none"/>
          <w:lang w:val="en-US" w:eastAsia="zh-CN"/>
        </w:rPr>
        <w:t>自查表</w:t>
      </w:r>
    </w:p>
    <w:tbl>
      <w:tblPr>
        <w:tblStyle w:val="20"/>
        <w:tblW w:w="51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7"/>
        <w:gridCol w:w="1146"/>
        <w:gridCol w:w="1031"/>
        <w:gridCol w:w="1528"/>
        <w:gridCol w:w="503"/>
        <w:gridCol w:w="220"/>
        <w:gridCol w:w="1062"/>
        <w:gridCol w:w="1015"/>
        <w:gridCol w:w="580"/>
        <w:gridCol w:w="1477"/>
      </w:tblGrid>
      <w:tr w14:paraId="080C6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543" w:type="dxa"/>
            <w:gridSpan w:val="2"/>
            <w:vAlign w:val="center"/>
          </w:tcPr>
          <w:p w14:paraId="415D1ACD">
            <w:pPr>
              <w:jc w:val="center"/>
              <w:rPr>
                <w:rFonts w:ascii="Times New Roman" w:hAnsi="Times New Roman" w:eastAsia="宋体" w:cs="Times New Roman"/>
                <w:kern w:val="0"/>
                <w:sz w:val="21"/>
                <w:szCs w:val="21"/>
                <w:highlight w:val="none"/>
              </w:rPr>
            </w:pPr>
            <w:r>
              <w:rPr>
                <w:rFonts w:hint="eastAsia"/>
                <w:sz w:val="21"/>
                <w:szCs w:val="21"/>
                <w:highlight w:val="none"/>
              </w:rPr>
              <w:t>建设项目名称</w:t>
            </w:r>
          </w:p>
        </w:tc>
        <w:tc>
          <w:tcPr>
            <w:tcW w:w="7416" w:type="dxa"/>
            <w:gridSpan w:val="8"/>
            <w:vAlign w:val="center"/>
          </w:tcPr>
          <w:p w14:paraId="03650365">
            <w:pPr>
              <w:jc w:val="center"/>
              <w:rPr>
                <w:rFonts w:hint="eastAsia" w:ascii="Times New Roman" w:hAnsi="Times New Roman" w:eastAsia="宋体" w:cs="Times New Roman"/>
                <w:kern w:val="0"/>
                <w:sz w:val="21"/>
                <w:szCs w:val="21"/>
                <w:highlight w:val="none"/>
              </w:rPr>
            </w:pPr>
            <w:r>
              <w:rPr>
                <w:rFonts w:hint="eastAsia" w:ascii="宋体" w:hAnsi="宋体" w:cs="宋体"/>
                <w:sz w:val="21"/>
                <w:szCs w:val="21"/>
                <w:highlight w:val="none"/>
                <w:lang w:val="en-US" w:eastAsia="zh-CN"/>
              </w:rPr>
              <w:t>鹏泰-伊泰化工物料输送管线及管廊建设项目</w:t>
            </w:r>
          </w:p>
        </w:tc>
      </w:tr>
      <w:tr w14:paraId="0A88C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397" w:type="dxa"/>
            <w:vMerge w:val="restart"/>
            <w:vAlign w:val="center"/>
          </w:tcPr>
          <w:p w14:paraId="68EDF84B">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风险调查</w:t>
            </w:r>
          </w:p>
        </w:tc>
        <w:tc>
          <w:tcPr>
            <w:tcW w:w="1146" w:type="dxa"/>
            <w:vMerge w:val="restart"/>
            <w:vAlign w:val="center"/>
          </w:tcPr>
          <w:p w14:paraId="2C693A1D">
            <w:pPr>
              <w:adjustRightInd w:val="0"/>
              <w:snapToGrid w:val="0"/>
              <w:spacing w:line="240" w:lineRule="auto"/>
              <w:ind w:firstLine="0" w:firstLineChars="0"/>
              <w:jc w:val="center"/>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危险物质</w:t>
            </w:r>
          </w:p>
        </w:tc>
        <w:tc>
          <w:tcPr>
            <w:tcW w:w="7416" w:type="dxa"/>
            <w:gridSpan w:val="8"/>
            <w:vAlign w:val="center"/>
          </w:tcPr>
          <w:p w14:paraId="14C5FF80">
            <w:pPr>
              <w:adjustRightInd w:val="0"/>
              <w:snapToGrid w:val="0"/>
              <w:spacing w:line="240" w:lineRule="auto"/>
              <w:ind w:firstLine="0" w:firstLineChars="0"/>
              <w:jc w:val="center"/>
              <w:rPr>
                <w:rFonts w:hint="default" w:ascii="Times New Roman" w:hAnsi="Times New Roman" w:eastAsia="宋体" w:cs="Times New Roman"/>
                <w:kern w:val="0"/>
                <w:sz w:val="21"/>
                <w:szCs w:val="21"/>
                <w:highlight w:val="none"/>
                <w:lang w:val="en-US"/>
              </w:rPr>
            </w:pPr>
            <w:r>
              <w:rPr>
                <w:rFonts w:hint="eastAsia" w:ascii="Times New Roman" w:hAnsi="Times New Roman" w:eastAsia="宋体" w:cs="Times New Roman"/>
                <w:kern w:val="0"/>
                <w:sz w:val="21"/>
                <w:szCs w:val="21"/>
                <w:highlight w:val="none"/>
              </w:rPr>
              <w:t>本项目</w:t>
            </w:r>
            <w:r>
              <w:rPr>
                <w:rFonts w:hint="eastAsia" w:ascii="Times New Roman" w:hAnsi="Times New Roman" w:eastAsia="宋体" w:cs="Times New Roman"/>
                <w:kern w:val="0"/>
                <w:sz w:val="21"/>
                <w:szCs w:val="21"/>
                <w:highlight w:val="none"/>
                <w:lang w:val="en-US" w:eastAsia="zh-CN"/>
              </w:rPr>
              <w:t>合成气中</w:t>
            </w:r>
            <w:r>
              <w:rPr>
                <w:rFonts w:hint="eastAsia" w:ascii="Times New Roman" w:hAnsi="Times New Roman" w:eastAsia="宋体" w:cs="Times New Roman"/>
                <w:kern w:val="0"/>
                <w:sz w:val="21"/>
                <w:szCs w:val="21"/>
                <w:highlight w:val="none"/>
              </w:rPr>
              <w:t>涉及的危险物质为</w:t>
            </w:r>
            <w:r>
              <w:rPr>
                <w:rFonts w:hint="eastAsia" w:ascii="Times New Roman" w:hAnsi="Times New Roman" w:eastAsia="宋体" w:cs="Times New Roman"/>
                <w:kern w:val="0"/>
                <w:sz w:val="21"/>
                <w:szCs w:val="21"/>
                <w:highlight w:val="none"/>
                <w:lang w:val="en-US" w:eastAsia="zh-CN"/>
              </w:rPr>
              <w:t>一氧化碳、甲烷、乙烷、硫化氢、丁醇、乙酸乙酯、甲醇、异丙醇、乙酸、乙醛、氨气，经过核算得出本项目Q为</w:t>
            </w:r>
            <w:r>
              <w:rPr>
                <w:rFonts w:hint="eastAsia" w:cs="Times New Roman"/>
                <w:kern w:val="0"/>
                <w:sz w:val="21"/>
                <w:szCs w:val="21"/>
                <w:highlight w:val="none"/>
                <w:lang w:val="en-US" w:eastAsia="zh-CN"/>
              </w:rPr>
              <w:t>0.124</w:t>
            </w:r>
            <w:r>
              <w:rPr>
                <w:rFonts w:hint="eastAsia" w:ascii="Times New Roman" w:hAnsi="Times New Roman" w:eastAsia="宋体" w:cs="Times New Roman"/>
                <w:kern w:val="0"/>
                <w:sz w:val="21"/>
                <w:szCs w:val="21"/>
                <w:highlight w:val="none"/>
                <w:lang w:val="en-US" w:eastAsia="zh-CN"/>
              </w:rPr>
              <w:t>。</w:t>
            </w:r>
          </w:p>
        </w:tc>
      </w:tr>
      <w:tr w14:paraId="79EB2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7" w:type="dxa"/>
            <w:vMerge w:val="continue"/>
            <w:vAlign w:val="center"/>
          </w:tcPr>
          <w:p w14:paraId="69AE6383">
            <w:pPr>
              <w:adjustRightInd w:val="0"/>
              <w:snapToGrid w:val="0"/>
              <w:spacing w:line="240" w:lineRule="auto"/>
              <w:ind w:firstLine="0" w:firstLineChars="0"/>
              <w:jc w:val="center"/>
              <w:rPr>
                <w:rFonts w:cs="Times New Roman"/>
                <w:sz w:val="21"/>
                <w:szCs w:val="21"/>
                <w:highlight w:val="none"/>
              </w:rPr>
            </w:pPr>
          </w:p>
        </w:tc>
        <w:tc>
          <w:tcPr>
            <w:tcW w:w="1146" w:type="dxa"/>
            <w:vMerge w:val="restart"/>
            <w:vAlign w:val="center"/>
          </w:tcPr>
          <w:p w14:paraId="3EEBD465">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环境敏感性</w:t>
            </w:r>
          </w:p>
        </w:tc>
        <w:tc>
          <w:tcPr>
            <w:tcW w:w="1031" w:type="dxa"/>
            <w:vMerge w:val="restart"/>
            <w:vAlign w:val="center"/>
          </w:tcPr>
          <w:p w14:paraId="3D3B9441">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大气</w:t>
            </w:r>
          </w:p>
        </w:tc>
        <w:tc>
          <w:tcPr>
            <w:tcW w:w="3313" w:type="dxa"/>
            <w:gridSpan w:val="4"/>
            <w:vAlign w:val="center"/>
          </w:tcPr>
          <w:p w14:paraId="5D787788">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500m范围内人口数</w:t>
            </w:r>
            <w:r>
              <w:rPr>
                <w:rFonts w:cs="Times New Roman"/>
                <w:kern w:val="0"/>
                <w:sz w:val="21"/>
                <w:szCs w:val="21"/>
                <w:highlight w:val="none"/>
                <w:u w:val="single"/>
              </w:rPr>
              <w:t>0</w:t>
            </w:r>
            <w:r>
              <w:rPr>
                <w:rFonts w:cs="Times New Roman"/>
                <w:kern w:val="0"/>
                <w:sz w:val="21"/>
                <w:szCs w:val="21"/>
                <w:highlight w:val="none"/>
              </w:rPr>
              <w:t>人</w:t>
            </w:r>
          </w:p>
        </w:tc>
        <w:tc>
          <w:tcPr>
            <w:tcW w:w="3072" w:type="dxa"/>
            <w:gridSpan w:val="3"/>
            <w:vAlign w:val="center"/>
          </w:tcPr>
          <w:p w14:paraId="2203042D">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5km范围内人口数</w:t>
            </w:r>
            <w:r>
              <w:rPr>
                <w:rFonts w:hint="eastAsia" w:cs="Times New Roman"/>
                <w:kern w:val="0"/>
                <w:sz w:val="21"/>
                <w:szCs w:val="21"/>
                <w:highlight w:val="none"/>
                <w:u w:val="single"/>
                <w:lang w:val="en-US" w:eastAsia="zh-CN"/>
              </w:rPr>
              <w:t>1422</w:t>
            </w:r>
            <w:r>
              <w:rPr>
                <w:rFonts w:cs="Times New Roman"/>
                <w:kern w:val="0"/>
                <w:sz w:val="21"/>
                <w:szCs w:val="21"/>
                <w:highlight w:val="none"/>
              </w:rPr>
              <w:t>人</w:t>
            </w:r>
          </w:p>
        </w:tc>
      </w:tr>
      <w:tr w14:paraId="7F808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7" w:type="dxa"/>
            <w:vMerge w:val="continue"/>
            <w:vAlign w:val="center"/>
          </w:tcPr>
          <w:p w14:paraId="34EF4526">
            <w:pPr>
              <w:adjustRightInd w:val="0"/>
              <w:snapToGrid w:val="0"/>
              <w:spacing w:line="240" w:lineRule="auto"/>
              <w:ind w:firstLine="0" w:firstLineChars="0"/>
              <w:jc w:val="center"/>
              <w:rPr>
                <w:rFonts w:cs="Times New Roman"/>
                <w:sz w:val="21"/>
                <w:szCs w:val="21"/>
                <w:highlight w:val="none"/>
              </w:rPr>
            </w:pPr>
          </w:p>
        </w:tc>
        <w:tc>
          <w:tcPr>
            <w:tcW w:w="1146" w:type="dxa"/>
            <w:vMerge w:val="continue"/>
            <w:vAlign w:val="center"/>
          </w:tcPr>
          <w:p w14:paraId="34129399">
            <w:pPr>
              <w:adjustRightInd w:val="0"/>
              <w:snapToGrid w:val="0"/>
              <w:spacing w:line="240" w:lineRule="auto"/>
              <w:ind w:firstLine="0" w:firstLineChars="0"/>
              <w:jc w:val="center"/>
              <w:rPr>
                <w:rFonts w:cs="Times New Roman"/>
                <w:sz w:val="21"/>
                <w:szCs w:val="21"/>
                <w:highlight w:val="none"/>
              </w:rPr>
            </w:pPr>
          </w:p>
        </w:tc>
        <w:tc>
          <w:tcPr>
            <w:tcW w:w="1031" w:type="dxa"/>
            <w:vMerge w:val="continue"/>
            <w:vAlign w:val="center"/>
          </w:tcPr>
          <w:p w14:paraId="14DE0FCE">
            <w:pPr>
              <w:adjustRightInd w:val="0"/>
              <w:snapToGrid w:val="0"/>
              <w:spacing w:line="240" w:lineRule="auto"/>
              <w:ind w:firstLine="0" w:firstLineChars="0"/>
              <w:jc w:val="center"/>
              <w:rPr>
                <w:rFonts w:cs="Times New Roman"/>
                <w:sz w:val="21"/>
                <w:szCs w:val="21"/>
                <w:highlight w:val="none"/>
              </w:rPr>
            </w:pPr>
          </w:p>
        </w:tc>
        <w:tc>
          <w:tcPr>
            <w:tcW w:w="4908" w:type="dxa"/>
            <w:gridSpan w:val="6"/>
            <w:vAlign w:val="center"/>
          </w:tcPr>
          <w:p w14:paraId="4BAF5C85">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每公里管段周边200 m 范围内人口数（最大）</w:t>
            </w:r>
          </w:p>
        </w:tc>
        <w:tc>
          <w:tcPr>
            <w:tcW w:w="1477" w:type="dxa"/>
            <w:vAlign w:val="center"/>
          </w:tcPr>
          <w:p w14:paraId="1B1979A0">
            <w:pPr>
              <w:adjustRightInd w:val="0"/>
              <w:snapToGrid w:val="0"/>
              <w:spacing w:line="240" w:lineRule="auto"/>
              <w:ind w:firstLine="0" w:firstLineChars="0"/>
              <w:jc w:val="center"/>
              <w:rPr>
                <w:rFonts w:cs="Times New Roman"/>
                <w:sz w:val="21"/>
                <w:szCs w:val="21"/>
                <w:highlight w:val="none"/>
              </w:rPr>
            </w:pPr>
            <w:r>
              <w:rPr>
                <w:rFonts w:hint="eastAsia" w:cs="Times New Roman"/>
                <w:kern w:val="0"/>
                <w:sz w:val="21"/>
                <w:szCs w:val="21"/>
                <w:highlight w:val="none"/>
                <w:u w:val="single"/>
                <w:lang w:val="en-US" w:eastAsia="zh-CN"/>
              </w:rPr>
              <w:t>0</w:t>
            </w:r>
            <w:r>
              <w:rPr>
                <w:rFonts w:cs="Times New Roman"/>
                <w:kern w:val="0"/>
                <w:sz w:val="21"/>
                <w:szCs w:val="21"/>
                <w:highlight w:val="none"/>
              </w:rPr>
              <w:t>人</w:t>
            </w:r>
          </w:p>
        </w:tc>
      </w:tr>
      <w:tr w14:paraId="630E9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7" w:type="dxa"/>
            <w:vMerge w:val="continue"/>
            <w:vAlign w:val="center"/>
          </w:tcPr>
          <w:p w14:paraId="1DC3E111">
            <w:pPr>
              <w:adjustRightInd w:val="0"/>
              <w:snapToGrid w:val="0"/>
              <w:spacing w:line="240" w:lineRule="auto"/>
              <w:ind w:firstLine="0" w:firstLineChars="0"/>
              <w:jc w:val="center"/>
              <w:rPr>
                <w:rFonts w:cs="Times New Roman"/>
                <w:sz w:val="21"/>
                <w:szCs w:val="21"/>
                <w:highlight w:val="none"/>
              </w:rPr>
            </w:pPr>
          </w:p>
        </w:tc>
        <w:tc>
          <w:tcPr>
            <w:tcW w:w="1146" w:type="dxa"/>
            <w:vMerge w:val="continue"/>
            <w:vAlign w:val="center"/>
          </w:tcPr>
          <w:p w14:paraId="1473E3C6">
            <w:pPr>
              <w:adjustRightInd w:val="0"/>
              <w:snapToGrid w:val="0"/>
              <w:spacing w:line="240" w:lineRule="auto"/>
              <w:ind w:firstLine="0" w:firstLineChars="0"/>
              <w:jc w:val="center"/>
              <w:rPr>
                <w:rFonts w:cs="Times New Roman"/>
                <w:sz w:val="21"/>
                <w:szCs w:val="21"/>
                <w:highlight w:val="none"/>
              </w:rPr>
            </w:pPr>
          </w:p>
        </w:tc>
        <w:tc>
          <w:tcPr>
            <w:tcW w:w="1031" w:type="dxa"/>
            <w:vMerge w:val="restart"/>
            <w:vAlign w:val="center"/>
          </w:tcPr>
          <w:p w14:paraId="306BCD11">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地表水</w:t>
            </w:r>
          </w:p>
        </w:tc>
        <w:tc>
          <w:tcPr>
            <w:tcW w:w="2031" w:type="dxa"/>
            <w:gridSpan w:val="2"/>
            <w:vAlign w:val="center"/>
          </w:tcPr>
          <w:p w14:paraId="2DB16D3A">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地表水功能敏感性</w:t>
            </w:r>
          </w:p>
        </w:tc>
        <w:tc>
          <w:tcPr>
            <w:tcW w:w="1282" w:type="dxa"/>
            <w:gridSpan w:val="2"/>
            <w:vAlign w:val="center"/>
          </w:tcPr>
          <w:p w14:paraId="2E13C9A2">
            <w:pPr>
              <w:adjustRightInd w:val="0"/>
              <w:snapToGrid w:val="0"/>
              <w:spacing w:line="240" w:lineRule="auto"/>
              <w:ind w:firstLine="0" w:firstLineChars="0"/>
              <w:jc w:val="center"/>
              <w:rPr>
                <w:rFonts w:hint="eastAsia" w:eastAsia="宋体" w:cs="Times New Roman"/>
                <w:sz w:val="21"/>
                <w:szCs w:val="21"/>
                <w:highlight w:val="none"/>
                <w:lang w:eastAsia="zh-CN"/>
              </w:rPr>
            </w:pPr>
            <w:r>
              <w:rPr>
                <w:rFonts w:cs="Times New Roman"/>
                <w:kern w:val="0"/>
                <w:sz w:val="21"/>
                <w:szCs w:val="21"/>
                <w:highlight w:val="none"/>
              </w:rPr>
              <w:t>F1</w:t>
            </w:r>
            <w:r>
              <w:rPr>
                <w:rFonts w:hint="eastAsia" w:cs="Times New Roman"/>
                <w:kern w:val="0"/>
                <w:sz w:val="21"/>
                <w:szCs w:val="21"/>
                <w:highlight w:val="none"/>
                <w:lang w:eastAsia="zh-CN"/>
              </w:rPr>
              <w:t>□</w:t>
            </w:r>
          </w:p>
        </w:tc>
        <w:tc>
          <w:tcPr>
            <w:tcW w:w="1595" w:type="dxa"/>
            <w:gridSpan w:val="2"/>
            <w:vAlign w:val="center"/>
          </w:tcPr>
          <w:p w14:paraId="2BC66C00">
            <w:pPr>
              <w:adjustRightInd w:val="0"/>
              <w:snapToGrid w:val="0"/>
              <w:spacing w:line="240" w:lineRule="auto"/>
              <w:ind w:firstLine="0" w:firstLineChars="0"/>
              <w:jc w:val="center"/>
              <w:rPr>
                <w:rFonts w:hint="eastAsia" w:eastAsia="宋体" w:cs="Times New Roman"/>
                <w:sz w:val="21"/>
                <w:szCs w:val="21"/>
                <w:highlight w:val="none"/>
                <w:lang w:eastAsia="zh-CN"/>
              </w:rPr>
            </w:pPr>
            <w:r>
              <w:rPr>
                <w:rFonts w:cs="Times New Roman"/>
                <w:kern w:val="0"/>
                <w:sz w:val="21"/>
                <w:szCs w:val="21"/>
                <w:highlight w:val="none"/>
              </w:rPr>
              <w:t>F2</w:t>
            </w:r>
            <w:r>
              <w:rPr>
                <w:rFonts w:hint="eastAsia" w:cs="Times New Roman"/>
                <w:kern w:val="0"/>
                <w:sz w:val="21"/>
                <w:szCs w:val="21"/>
                <w:highlight w:val="none"/>
                <w:lang w:eastAsia="zh-CN"/>
              </w:rPr>
              <w:t>□</w:t>
            </w:r>
          </w:p>
        </w:tc>
        <w:tc>
          <w:tcPr>
            <w:tcW w:w="1477" w:type="dxa"/>
            <w:vAlign w:val="center"/>
          </w:tcPr>
          <w:p w14:paraId="4FDA825E">
            <w:pPr>
              <w:adjustRightInd w:val="0"/>
              <w:snapToGrid w:val="0"/>
              <w:spacing w:line="240" w:lineRule="auto"/>
              <w:ind w:firstLine="0" w:firstLineChars="0"/>
              <w:jc w:val="center"/>
              <w:rPr>
                <w:rFonts w:hint="eastAsia" w:eastAsia="宋体" w:cs="Times New Roman"/>
                <w:sz w:val="21"/>
                <w:szCs w:val="21"/>
                <w:highlight w:val="none"/>
                <w:lang w:eastAsia="zh-CN"/>
              </w:rPr>
            </w:pPr>
            <w:r>
              <w:rPr>
                <w:rFonts w:cs="Times New Roman"/>
                <w:kern w:val="0"/>
                <w:sz w:val="21"/>
                <w:szCs w:val="21"/>
                <w:highlight w:val="none"/>
              </w:rPr>
              <w:t>F3</w:t>
            </w:r>
            <w:r>
              <w:rPr>
                <w:rFonts w:hint="eastAsia" w:cs="Times New Roman"/>
                <w:kern w:val="0"/>
                <w:sz w:val="21"/>
                <w:szCs w:val="21"/>
                <w:highlight w:val="none"/>
                <w:lang w:eastAsia="zh-CN"/>
              </w:rPr>
              <w:t>☑</w:t>
            </w:r>
          </w:p>
        </w:tc>
      </w:tr>
      <w:tr w14:paraId="5C915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7" w:type="dxa"/>
            <w:vMerge w:val="continue"/>
            <w:vAlign w:val="center"/>
          </w:tcPr>
          <w:p w14:paraId="2EE7053A">
            <w:pPr>
              <w:adjustRightInd w:val="0"/>
              <w:snapToGrid w:val="0"/>
              <w:spacing w:line="240" w:lineRule="auto"/>
              <w:ind w:firstLine="0" w:firstLineChars="0"/>
              <w:jc w:val="center"/>
              <w:rPr>
                <w:rFonts w:cs="Times New Roman"/>
                <w:sz w:val="21"/>
                <w:szCs w:val="21"/>
                <w:highlight w:val="none"/>
              </w:rPr>
            </w:pPr>
          </w:p>
        </w:tc>
        <w:tc>
          <w:tcPr>
            <w:tcW w:w="1146" w:type="dxa"/>
            <w:vMerge w:val="continue"/>
            <w:vAlign w:val="center"/>
          </w:tcPr>
          <w:p w14:paraId="00820CD4">
            <w:pPr>
              <w:adjustRightInd w:val="0"/>
              <w:snapToGrid w:val="0"/>
              <w:spacing w:line="240" w:lineRule="auto"/>
              <w:ind w:firstLine="0" w:firstLineChars="0"/>
              <w:jc w:val="center"/>
              <w:rPr>
                <w:rFonts w:cs="Times New Roman"/>
                <w:sz w:val="21"/>
                <w:szCs w:val="21"/>
                <w:highlight w:val="none"/>
              </w:rPr>
            </w:pPr>
          </w:p>
        </w:tc>
        <w:tc>
          <w:tcPr>
            <w:tcW w:w="1031" w:type="dxa"/>
            <w:vMerge w:val="continue"/>
            <w:vAlign w:val="center"/>
          </w:tcPr>
          <w:p w14:paraId="69F0DD25">
            <w:pPr>
              <w:adjustRightInd w:val="0"/>
              <w:snapToGrid w:val="0"/>
              <w:spacing w:line="240" w:lineRule="auto"/>
              <w:ind w:firstLine="0" w:firstLineChars="0"/>
              <w:jc w:val="center"/>
              <w:rPr>
                <w:rFonts w:cs="Times New Roman"/>
                <w:sz w:val="21"/>
                <w:szCs w:val="21"/>
                <w:highlight w:val="none"/>
              </w:rPr>
            </w:pPr>
          </w:p>
        </w:tc>
        <w:tc>
          <w:tcPr>
            <w:tcW w:w="2031" w:type="dxa"/>
            <w:gridSpan w:val="2"/>
            <w:vAlign w:val="center"/>
          </w:tcPr>
          <w:p w14:paraId="0975054C">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环境敏感目标分级</w:t>
            </w:r>
          </w:p>
        </w:tc>
        <w:tc>
          <w:tcPr>
            <w:tcW w:w="1282" w:type="dxa"/>
            <w:gridSpan w:val="2"/>
            <w:vAlign w:val="center"/>
          </w:tcPr>
          <w:p w14:paraId="1DDD4391">
            <w:pPr>
              <w:adjustRightInd w:val="0"/>
              <w:snapToGrid w:val="0"/>
              <w:spacing w:line="240" w:lineRule="auto"/>
              <w:ind w:firstLine="0" w:firstLineChars="0"/>
              <w:jc w:val="center"/>
              <w:rPr>
                <w:rFonts w:hint="eastAsia" w:eastAsia="宋体" w:cs="Times New Roman"/>
                <w:sz w:val="21"/>
                <w:szCs w:val="21"/>
                <w:highlight w:val="none"/>
                <w:lang w:eastAsia="zh-CN"/>
              </w:rPr>
            </w:pPr>
            <w:r>
              <w:rPr>
                <w:rFonts w:cs="Times New Roman"/>
                <w:kern w:val="0"/>
                <w:sz w:val="21"/>
                <w:szCs w:val="21"/>
                <w:highlight w:val="none"/>
              </w:rPr>
              <w:t>S1</w:t>
            </w:r>
            <w:r>
              <w:rPr>
                <w:rFonts w:hint="eastAsia" w:cs="Times New Roman"/>
                <w:kern w:val="0"/>
                <w:sz w:val="21"/>
                <w:szCs w:val="21"/>
                <w:highlight w:val="none"/>
                <w:lang w:eastAsia="zh-CN"/>
              </w:rPr>
              <w:t>□</w:t>
            </w:r>
          </w:p>
        </w:tc>
        <w:tc>
          <w:tcPr>
            <w:tcW w:w="1595" w:type="dxa"/>
            <w:gridSpan w:val="2"/>
            <w:vAlign w:val="center"/>
          </w:tcPr>
          <w:p w14:paraId="571A20D7">
            <w:pPr>
              <w:adjustRightInd w:val="0"/>
              <w:snapToGrid w:val="0"/>
              <w:spacing w:line="240" w:lineRule="auto"/>
              <w:ind w:firstLine="0" w:firstLineChars="0"/>
              <w:jc w:val="center"/>
              <w:rPr>
                <w:rFonts w:hint="eastAsia" w:eastAsia="宋体" w:cs="Times New Roman"/>
                <w:sz w:val="21"/>
                <w:szCs w:val="21"/>
                <w:highlight w:val="none"/>
                <w:lang w:eastAsia="zh-CN"/>
              </w:rPr>
            </w:pPr>
            <w:r>
              <w:rPr>
                <w:rFonts w:cs="Times New Roman"/>
                <w:kern w:val="0"/>
                <w:sz w:val="21"/>
                <w:szCs w:val="21"/>
                <w:highlight w:val="none"/>
              </w:rPr>
              <w:t>S2</w:t>
            </w:r>
            <w:r>
              <w:rPr>
                <w:rFonts w:hint="eastAsia" w:cs="Times New Roman"/>
                <w:kern w:val="0"/>
                <w:sz w:val="21"/>
                <w:szCs w:val="21"/>
                <w:highlight w:val="none"/>
                <w:lang w:eastAsia="zh-CN"/>
              </w:rPr>
              <w:t>□</w:t>
            </w:r>
          </w:p>
        </w:tc>
        <w:tc>
          <w:tcPr>
            <w:tcW w:w="1477" w:type="dxa"/>
            <w:vAlign w:val="center"/>
          </w:tcPr>
          <w:p w14:paraId="25D98B09">
            <w:pPr>
              <w:adjustRightInd w:val="0"/>
              <w:snapToGrid w:val="0"/>
              <w:spacing w:line="240" w:lineRule="auto"/>
              <w:ind w:firstLine="0" w:firstLineChars="0"/>
              <w:jc w:val="center"/>
              <w:rPr>
                <w:rFonts w:hint="eastAsia" w:eastAsia="宋体" w:cs="Times New Roman"/>
                <w:sz w:val="21"/>
                <w:szCs w:val="21"/>
                <w:highlight w:val="none"/>
                <w:lang w:eastAsia="zh-CN"/>
              </w:rPr>
            </w:pPr>
            <w:r>
              <w:rPr>
                <w:rFonts w:cs="Times New Roman"/>
                <w:kern w:val="0"/>
                <w:sz w:val="21"/>
                <w:szCs w:val="21"/>
                <w:highlight w:val="none"/>
              </w:rPr>
              <w:t>S3</w:t>
            </w:r>
            <w:r>
              <w:rPr>
                <w:rFonts w:hint="eastAsia" w:cs="Times New Roman"/>
                <w:kern w:val="0"/>
                <w:sz w:val="21"/>
                <w:szCs w:val="21"/>
                <w:highlight w:val="none"/>
                <w:lang w:eastAsia="zh-CN"/>
              </w:rPr>
              <w:t>☑</w:t>
            </w:r>
          </w:p>
        </w:tc>
      </w:tr>
      <w:tr w14:paraId="52F28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7" w:type="dxa"/>
            <w:vMerge w:val="continue"/>
            <w:vAlign w:val="center"/>
          </w:tcPr>
          <w:p w14:paraId="6A0E2476">
            <w:pPr>
              <w:adjustRightInd w:val="0"/>
              <w:snapToGrid w:val="0"/>
              <w:spacing w:line="240" w:lineRule="auto"/>
              <w:ind w:firstLine="0" w:firstLineChars="0"/>
              <w:jc w:val="center"/>
              <w:rPr>
                <w:rFonts w:cs="Times New Roman"/>
                <w:sz w:val="21"/>
                <w:szCs w:val="21"/>
                <w:highlight w:val="none"/>
              </w:rPr>
            </w:pPr>
          </w:p>
        </w:tc>
        <w:tc>
          <w:tcPr>
            <w:tcW w:w="1146" w:type="dxa"/>
            <w:vMerge w:val="continue"/>
            <w:vAlign w:val="center"/>
          </w:tcPr>
          <w:p w14:paraId="249FFE09">
            <w:pPr>
              <w:adjustRightInd w:val="0"/>
              <w:snapToGrid w:val="0"/>
              <w:spacing w:line="240" w:lineRule="auto"/>
              <w:ind w:firstLine="0" w:firstLineChars="0"/>
              <w:jc w:val="center"/>
              <w:rPr>
                <w:rFonts w:cs="Times New Roman"/>
                <w:sz w:val="21"/>
                <w:szCs w:val="21"/>
                <w:highlight w:val="none"/>
              </w:rPr>
            </w:pPr>
          </w:p>
        </w:tc>
        <w:tc>
          <w:tcPr>
            <w:tcW w:w="1031" w:type="dxa"/>
            <w:vMerge w:val="restart"/>
            <w:vAlign w:val="center"/>
          </w:tcPr>
          <w:p w14:paraId="484CEB3A">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地下水</w:t>
            </w:r>
          </w:p>
        </w:tc>
        <w:tc>
          <w:tcPr>
            <w:tcW w:w="2031" w:type="dxa"/>
            <w:gridSpan w:val="2"/>
            <w:vAlign w:val="center"/>
          </w:tcPr>
          <w:p w14:paraId="25347565">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地下水功能敏感性</w:t>
            </w:r>
          </w:p>
        </w:tc>
        <w:tc>
          <w:tcPr>
            <w:tcW w:w="1282" w:type="dxa"/>
            <w:gridSpan w:val="2"/>
            <w:vAlign w:val="center"/>
          </w:tcPr>
          <w:p w14:paraId="4F9EFDE3">
            <w:pPr>
              <w:adjustRightInd w:val="0"/>
              <w:snapToGrid w:val="0"/>
              <w:spacing w:line="240" w:lineRule="auto"/>
              <w:ind w:firstLine="0" w:firstLineChars="0"/>
              <w:jc w:val="center"/>
              <w:rPr>
                <w:rFonts w:hint="eastAsia" w:eastAsia="宋体" w:cs="Times New Roman"/>
                <w:sz w:val="21"/>
                <w:szCs w:val="21"/>
                <w:highlight w:val="none"/>
                <w:lang w:eastAsia="zh-CN"/>
              </w:rPr>
            </w:pPr>
            <w:r>
              <w:rPr>
                <w:rFonts w:cs="Times New Roman"/>
                <w:kern w:val="0"/>
                <w:sz w:val="21"/>
                <w:szCs w:val="21"/>
                <w:highlight w:val="none"/>
              </w:rPr>
              <w:t>G1</w:t>
            </w:r>
            <w:r>
              <w:rPr>
                <w:rFonts w:hint="eastAsia" w:cs="Times New Roman"/>
                <w:kern w:val="0"/>
                <w:sz w:val="21"/>
                <w:szCs w:val="21"/>
                <w:highlight w:val="none"/>
                <w:lang w:eastAsia="zh-CN"/>
              </w:rPr>
              <w:t>□</w:t>
            </w:r>
          </w:p>
        </w:tc>
        <w:tc>
          <w:tcPr>
            <w:tcW w:w="1595" w:type="dxa"/>
            <w:gridSpan w:val="2"/>
            <w:vAlign w:val="center"/>
          </w:tcPr>
          <w:p w14:paraId="7E2216D7">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G2</w:t>
            </w:r>
            <w:r>
              <w:rPr>
                <w:rFonts w:hint="eastAsia" w:cs="Times New Roman"/>
                <w:kern w:val="0"/>
                <w:sz w:val="21"/>
                <w:szCs w:val="21"/>
                <w:highlight w:val="none"/>
                <w:lang w:eastAsia="zh-CN"/>
              </w:rPr>
              <w:t>□</w:t>
            </w:r>
          </w:p>
        </w:tc>
        <w:tc>
          <w:tcPr>
            <w:tcW w:w="1477" w:type="dxa"/>
            <w:vAlign w:val="center"/>
          </w:tcPr>
          <w:p w14:paraId="2DC32418">
            <w:pPr>
              <w:adjustRightInd w:val="0"/>
              <w:snapToGrid w:val="0"/>
              <w:spacing w:line="240" w:lineRule="auto"/>
              <w:ind w:firstLine="0" w:firstLineChars="0"/>
              <w:jc w:val="center"/>
              <w:rPr>
                <w:rFonts w:hint="eastAsia" w:eastAsia="宋体" w:cs="Times New Roman"/>
                <w:sz w:val="21"/>
                <w:szCs w:val="21"/>
                <w:highlight w:val="none"/>
                <w:lang w:eastAsia="zh-CN"/>
              </w:rPr>
            </w:pPr>
            <w:r>
              <w:rPr>
                <w:rFonts w:cs="Times New Roman"/>
                <w:kern w:val="0"/>
                <w:sz w:val="21"/>
                <w:szCs w:val="21"/>
                <w:highlight w:val="none"/>
              </w:rPr>
              <w:t>G3</w:t>
            </w:r>
            <w:r>
              <w:rPr>
                <w:rFonts w:hint="eastAsia" w:cs="Times New Roman"/>
                <w:kern w:val="0"/>
                <w:sz w:val="21"/>
                <w:szCs w:val="21"/>
                <w:highlight w:val="none"/>
                <w:lang w:eastAsia="zh-CN"/>
              </w:rPr>
              <w:t>☑</w:t>
            </w:r>
          </w:p>
        </w:tc>
      </w:tr>
      <w:tr w14:paraId="6052A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7" w:type="dxa"/>
            <w:vMerge w:val="continue"/>
            <w:vAlign w:val="center"/>
          </w:tcPr>
          <w:p w14:paraId="173BEAB9">
            <w:pPr>
              <w:adjustRightInd w:val="0"/>
              <w:snapToGrid w:val="0"/>
              <w:spacing w:line="240" w:lineRule="auto"/>
              <w:ind w:firstLine="0" w:firstLineChars="0"/>
              <w:jc w:val="center"/>
              <w:rPr>
                <w:rFonts w:cs="Times New Roman"/>
                <w:sz w:val="21"/>
                <w:szCs w:val="21"/>
                <w:highlight w:val="none"/>
              </w:rPr>
            </w:pPr>
          </w:p>
        </w:tc>
        <w:tc>
          <w:tcPr>
            <w:tcW w:w="1146" w:type="dxa"/>
            <w:vMerge w:val="continue"/>
            <w:vAlign w:val="center"/>
          </w:tcPr>
          <w:p w14:paraId="32A5FCC4">
            <w:pPr>
              <w:adjustRightInd w:val="0"/>
              <w:snapToGrid w:val="0"/>
              <w:spacing w:line="240" w:lineRule="auto"/>
              <w:ind w:firstLine="0" w:firstLineChars="0"/>
              <w:jc w:val="center"/>
              <w:rPr>
                <w:rFonts w:cs="Times New Roman"/>
                <w:sz w:val="21"/>
                <w:szCs w:val="21"/>
                <w:highlight w:val="none"/>
              </w:rPr>
            </w:pPr>
          </w:p>
        </w:tc>
        <w:tc>
          <w:tcPr>
            <w:tcW w:w="1031" w:type="dxa"/>
            <w:vMerge w:val="continue"/>
            <w:vAlign w:val="center"/>
          </w:tcPr>
          <w:p w14:paraId="09688D8C">
            <w:pPr>
              <w:adjustRightInd w:val="0"/>
              <w:snapToGrid w:val="0"/>
              <w:spacing w:line="240" w:lineRule="auto"/>
              <w:ind w:firstLine="0" w:firstLineChars="0"/>
              <w:jc w:val="center"/>
              <w:rPr>
                <w:rFonts w:cs="Times New Roman"/>
                <w:sz w:val="21"/>
                <w:szCs w:val="21"/>
                <w:highlight w:val="none"/>
              </w:rPr>
            </w:pPr>
          </w:p>
        </w:tc>
        <w:tc>
          <w:tcPr>
            <w:tcW w:w="2031" w:type="dxa"/>
            <w:gridSpan w:val="2"/>
            <w:vAlign w:val="center"/>
          </w:tcPr>
          <w:p w14:paraId="53FE4739">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包气带防污性能</w:t>
            </w:r>
          </w:p>
        </w:tc>
        <w:tc>
          <w:tcPr>
            <w:tcW w:w="1282" w:type="dxa"/>
            <w:gridSpan w:val="2"/>
            <w:vAlign w:val="center"/>
          </w:tcPr>
          <w:p w14:paraId="56CCA024">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D1</w:t>
            </w:r>
            <w:r>
              <w:rPr>
                <w:rFonts w:hint="eastAsia" w:cs="Times New Roman"/>
                <w:kern w:val="0"/>
                <w:sz w:val="21"/>
                <w:szCs w:val="21"/>
                <w:highlight w:val="none"/>
                <w:lang w:eastAsia="zh-CN"/>
              </w:rPr>
              <w:t>☑</w:t>
            </w:r>
          </w:p>
        </w:tc>
        <w:tc>
          <w:tcPr>
            <w:tcW w:w="1595" w:type="dxa"/>
            <w:gridSpan w:val="2"/>
            <w:vAlign w:val="center"/>
          </w:tcPr>
          <w:p w14:paraId="71042EDB">
            <w:pPr>
              <w:adjustRightInd w:val="0"/>
              <w:snapToGrid w:val="0"/>
              <w:spacing w:line="240" w:lineRule="auto"/>
              <w:ind w:firstLine="0" w:firstLineChars="0"/>
              <w:jc w:val="center"/>
              <w:rPr>
                <w:rFonts w:hint="eastAsia" w:eastAsia="宋体" w:cs="Times New Roman"/>
                <w:sz w:val="21"/>
                <w:szCs w:val="21"/>
                <w:highlight w:val="none"/>
                <w:lang w:eastAsia="zh-CN"/>
              </w:rPr>
            </w:pPr>
            <w:r>
              <w:rPr>
                <w:rFonts w:cs="Times New Roman"/>
                <w:kern w:val="0"/>
                <w:sz w:val="21"/>
                <w:szCs w:val="21"/>
                <w:highlight w:val="none"/>
              </w:rPr>
              <w:t>D2</w:t>
            </w:r>
            <w:r>
              <w:rPr>
                <w:rFonts w:hint="eastAsia" w:cs="Times New Roman"/>
                <w:kern w:val="0"/>
                <w:sz w:val="21"/>
                <w:szCs w:val="21"/>
                <w:highlight w:val="none"/>
                <w:lang w:eastAsia="zh-CN"/>
              </w:rPr>
              <w:t>□</w:t>
            </w:r>
          </w:p>
        </w:tc>
        <w:tc>
          <w:tcPr>
            <w:tcW w:w="1477" w:type="dxa"/>
            <w:vAlign w:val="center"/>
          </w:tcPr>
          <w:p w14:paraId="28E43EB1">
            <w:pPr>
              <w:adjustRightInd w:val="0"/>
              <w:snapToGrid w:val="0"/>
              <w:spacing w:line="240" w:lineRule="auto"/>
              <w:ind w:firstLine="0" w:firstLineChars="0"/>
              <w:jc w:val="center"/>
              <w:rPr>
                <w:rFonts w:hint="eastAsia" w:eastAsia="宋体" w:cs="Times New Roman"/>
                <w:sz w:val="21"/>
                <w:szCs w:val="21"/>
                <w:highlight w:val="none"/>
                <w:lang w:eastAsia="zh-CN"/>
              </w:rPr>
            </w:pPr>
            <w:r>
              <w:rPr>
                <w:rFonts w:cs="Times New Roman"/>
                <w:kern w:val="0"/>
                <w:sz w:val="21"/>
                <w:szCs w:val="21"/>
                <w:highlight w:val="none"/>
              </w:rPr>
              <w:t>D3</w:t>
            </w:r>
            <w:r>
              <w:rPr>
                <w:rFonts w:hint="eastAsia" w:cs="Times New Roman"/>
                <w:kern w:val="0"/>
                <w:sz w:val="21"/>
                <w:szCs w:val="21"/>
                <w:highlight w:val="none"/>
                <w:lang w:eastAsia="zh-CN"/>
              </w:rPr>
              <w:t>□</w:t>
            </w:r>
          </w:p>
        </w:tc>
      </w:tr>
      <w:tr w14:paraId="141F4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3" w:type="dxa"/>
            <w:gridSpan w:val="2"/>
            <w:vMerge w:val="restart"/>
            <w:vAlign w:val="center"/>
          </w:tcPr>
          <w:p w14:paraId="28E85AA8">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物质及工艺系统危险性</w:t>
            </w:r>
          </w:p>
        </w:tc>
        <w:tc>
          <w:tcPr>
            <w:tcW w:w="1031" w:type="dxa"/>
            <w:vAlign w:val="center"/>
          </w:tcPr>
          <w:p w14:paraId="182FCB70">
            <w:pPr>
              <w:adjustRightInd w:val="0"/>
              <w:snapToGrid w:val="0"/>
              <w:spacing w:line="240" w:lineRule="auto"/>
              <w:ind w:firstLine="0" w:firstLineChars="0"/>
              <w:jc w:val="center"/>
              <w:rPr>
                <w:rFonts w:cs="Times New Roman"/>
                <w:sz w:val="21"/>
                <w:szCs w:val="21"/>
                <w:highlight w:val="none"/>
              </w:rPr>
            </w:pPr>
            <w:r>
              <w:rPr>
                <w:rFonts w:cs="Times New Roman"/>
                <w:i/>
                <w:iCs/>
                <w:kern w:val="0"/>
                <w:sz w:val="21"/>
                <w:szCs w:val="21"/>
                <w:highlight w:val="none"/>
              </w:rPr>
              <w:t>Q</w:t>
            </w:r>
            <w:r>
              <w:rPr>
                <w:rFonts w:cs="Times New Roman"/>
                <w:kern w:val="0"/>
                <w:sz w:val="21"/>
                <w:szCs w:val="21"/>
                <w:highlight w:val="none"/>
              </w:rPr>
              <w:t>值</w:t>
            </w:r>
          </w:p>
        </w:tc>
        <w:tc>
          <w:tcPr>
            <w:tcW w:w="2031" w:type="dxa"/>
            <w:gridSpan w:val="2"/>
            <w:vAlign w:val="center"/>
          </w:tcPr>
          <w:p w14:paraId="25671CCF">
            <w:pPr>
              <w:adjustRightInd w:val="0"/>
              <w:snapToGrid w:val="0"/>
              <w:spacing w:line="240" w:lineRule="auto"/>
              <w:ind w:firstLine="0" w:firstLineChars="0"/>
              <w:jc w:val="center"/>
              <w:rPr>
                <w:rFonts w:hint="eastAsia" w:eastAsia="宋体" w:cs="Times New Roman"/>
                <w:sz w:val="21"/>
                <w:szCs w:val="21"/>
                <w:highlight w:val="none"/>
                <w:lang w:eastAsia="zh-CN"/>
              </w:rPr>
            </w:pPr>
            <w:r>
              <w:rPr>
                <w:rFonts w:cs="Times New Roman"/>
                <w:i/>
                <w:iCs/>
                <w:kern w:val="0"/>
                <w:sz w:val="21"/>
                <w:szCs w:val="21"/>
                <w:highlight w:val="none"/>
              </w:rPr>
              <w:t>Q</w:t>
            </w:r>
            <w:r>
              <w:rPr>
                <w:rFonts w:cs="Times New Roman"/>
                <w:kern w:val="0"/>
                <w:sz w:val="21"/>
                <w:szCs w:val="21"/>
                <w:highlight w:val="none"/>
              </w:rPr>
              <w:t>＜1</w:t>
            </w:r>
            <w:r>
              <w:rPr>
                <w:rFonts w:hint="eastAsia" w:cs="Times New Roman"/>
                <w:kern w:val="0"/>
                <w:sz w:val="21"/>
                <w:szCs w:val="21"/>
                <w:highlight w:val="none"/>
                <w:lang w:eastAsia="zh-CN"/>
              </w:rPr>
              <w:t>☑</w:t>
            </w:r>
          </w:p>
        </w:tc>
        <w:tc>
          <w:tcPr>
            <w:tcW w:w="1282" w:type="dxa"/>
            <w:gridSpan w:val="2"/>
            <w:vAlign w:val="center"/>
          </w:tcPr>
          <w:p w14:paraId="43A937D5">
            <w:pPr>
              <w:adjustRightInd w:val="0"/>
              <w:snapToGrid w:val="0"/>
              <w:spacing w:line="240" w:lineRule="auto"/>
              <w:ind w:firstLine="0" w:firstLineChars="0"/>
              <w:jc w:val="center"/>
              <w:rPr>
                <w:rFonts w:hint="eastAsia" w:eastAsia="宋体" w:cs="Times New Roman"/>
                <w:sz w:val="21"/>
                <w:szCs w:val="21"/>
                <w:highlight w:val="none"/>
                <w:lang w:eastAsia="zh-CN"/>
              </w:rPr>
            </w:pPr>
            <w:r>
              <w:rPr>
                <w:rFonts w:cs="Times New Roman"/>
                <w:kern w:val="0"/>
                <w:sz w:val="21"/>
                <w:szCs w:val="21"/>
                <w:highlight w:val="none"/>
              </w:rPr>
              <w:t>1≤</w:t>
            </w:r>
            <w:r>
              <w:rPr>
                <w:rFonts w:cs="Times New Roman"/>
                <w:i/>
                <w:iCs/>
                <w:kern w:val="0"/>
                <w:sz w:val="21"/>
                <w:szCs w:val="21"/>
                <w:highlight w:val="none"/>
              </w:rPr>
              <w:t>Q</w:t>
            </w:r>
            <w:r>
              <w:rPr>
                <w:rFonts w:cs="Times New Roman"/>
                <w:kern w:val="0"/>
                <w:sz w:val="21"/>
                <w:szCs w:val="21"/>
                <w:highlight w:val="none"/>
              </w:rPr>
              <w:t xml:space="preserve">＜10 </w:t>
            </w:r>
            <w:r>
              <w:rPr>
                <w:rFonts w:hint="eastAsia" w:cs="Times New Roman"/>
                <w:kern w:val="0"/>
                <w:sz w:val="21"/>
                <w:szCs w:val="21"/>
                <w:highlight w:val="none"/>
                <w:lang w:eastAsia="zh-CN"/>
              </w:rPr>
              <w:t>□</w:t>
            </w:r>
          </w:p>
        </w:tc>
        <w:tc>
          <w:tcPr>
            <w:tcW w:w="1595" w:type="dxa"/>
            <w:gridSpan w:val="2"/>
            <w:vAlign w:val="center"/>
          </w:tcPr>
          <w:p w14:paraId="47FEFEFB">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10≤</w:t>
            </w:r>
            <w:r>
              <w:rPr>
                <w:rFonts w:cs="Times New Roman"/>
                <w:i/>
                <w:iCs/>
                <w:kern w:val="0"/>
                <w:sz w:val="21"/>
                <w:szCs w:val="21"/>
                <w:highlight w:val="none"/>
              </w:rPr>
              <w:t>Q</w:t>
            </w:r>
            <w:r>
              <w:rPr>
                <w:rFonts w:cs="Times New Roman"/>
                <w:kern w:val="0"/>
                <w:sz w:val="21"/>
                <w:szCs w:val="21"/>
                <w:highlight w:val="none"/>
              </w:rPr>
              <w:t>＜100 □</w:t>
            </w:r>
          </w:p>
        </w:tc>
        <w:tc>
          <w:tcPr>
            <w:tcW w:w="1477" w:type="dxa"/>
            <w:vAlign w:val="center"/>
          </w:tcPr>
          <w:p w14:paraId="2D03F995">
            <w:pPr>
              <w:adjustRightInd w:val="0"/>
              <w:snapToGrid w:val="0"/>
              <w:spacing w:line="240" w:lineRule="auto"/>
              <w:ind w:firstLine="0" w:firstLineChars="0"/>
              <w:jc w:val="center"/>
              <w:rPr>
                <w:rFonts w:cs="Times New Roman"/>
                <w:sz w:val="21"/>
                <w:szCs w:val="21"/>
                <w:highlight w:val="none"/>
              </w:rPr>
            </w:pPr>
            <w:r>
              <w:rPr>
                <w:rFonts w:cs="Times New Roman"/>
                <w:i/>
                <w:iCs/>
                <w:kern w:val="0"/>
                <w:sz w:val="21"/>
                <w:szCs w:val="21"/>
                <w:highlight w:val="none"/>
              </w:rPr>
              <w:t>Q</w:t>
            </w:r>
            <w:r>
              <w:rPr>
                <w:rFonts w:cs="Times New Roman"/>
                <w:kern w:val="0"/>
                <w:sz w:val="21"/>
                <w:szCs w:val="21"/>
                <w:highlight w:val="none"/>
              </w:rPr>
              <w:t xml:space="preserve">＞100 </w:t>
            </w:r>
          </w:p>
        </w:tc>
      </w:tr>
      <w:tr w14:paraId="4ECEF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3" w:type="dxa"/>
            <w:gridSpan w:val="2"/>
            <w:vMerge w:val="continue"/>
            <w:vAlign w:val="center"/>
          </w:tcPr>
          <w:p w14:paraId="79F1AB39">
            <w:pPr>
              <w:adjustRightInd w:val="0"/>
              <w:snapToGrid w:val="0"/>
              <w:spacing w:line="240" w:lineRule="auto"/>
              <w:ind w:firstLine="0" w:firstLineChars="0"/>
              <w:jc w:val="center"/>
              <w:rPr>
                <w:rFonts w:cs="Times New Roman"/>
                <w:sz w:val="21"/>
                <w:szCs w:val="21"/>
                <w:highlight w:val="none"/>
              </w:rPr>
            </w:pPr>
          </w:p>
        </w:tc>
        <w:tc>
          <w:tcPr>
            <w:tcW w:w="1031" w:type="dxa"/>
            <w:vAlign w:val="center"/>
          </w:tcPr>
          <w:p w14:paraId="44CF9221">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M值</w:t>
            </w:r>
          </w:p>
        </w:tc>
        <w:tc>
          <w:tcPr>
            <w:tcW w:w="2031" w:type="dxa"/>
            <w:gridSpan w:val="2"/>
            <w:vAlign w:val="center"/>
          </w:tcPr>
          <w:p w14:paraId="3425A434">
            <w:pPr>
              <w:adjustRightInd w:val="0"/>
              <w:snapToGrid w:val="0"/>
              <w:spacing w:line="240" w:lineRule="auto"/>
              <w:ind w:firstLine="0" w:firstLineChars="0"/>
              <w:jc w:val="center"/>
              <w:rPr>
                <w:rFonts w:hint="eastAsia" w:eastAsia="宋体" w:cs="Times New Roman"/>
                <w:sz w:val="21"/>
                <w:szCs w:val="21"/>
                <w:highlight w:val="none"/>
                <w:lang w:eastAsia="zh-CN"/>
              </w:rPr>
            </w:pPr>
            <w:r>
              <w:rPr>
                <w:rFonts w:cs="Times New Roman"/>
                <w:kern w:val="0"/>
                <w:sz w:val="21"/>
                <w:szCs w:val="21"/>
                <w:highlight w:val="none"/>
              </w:rPr>
              <w:t>M1</w:t>
            </w:r>
            <w:r>
              <w:rPr>
                <w:rFonts w:hint="eastAsia" w:cs="Times New Roman"/>
                <w:kern w:val="0"/>
                <w:sz w:val="21"/>
                <w:szCs w:val="21"/>
                <w:highlight w:val="none"/>
                <w:lang w:eastAsia="zh-CN"/>
              </w:rPr>
              <w:t>□</w:t>
            </w:r>
          </w:p>
        </w:tc>
        <w:tc>
          <w:tcPr>
            <w:tcW w:w="1282" w:type="dxa"/>
            <w:gridSpan w:val="2"/>
            <w:vAlign w:val="center"/>
          </w:tcPr>
          <w:p w14:paraId="1E45BE72">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M2</w:t>
            </w:r>
            <w:r>
              <w:rPr>
                <w:rFonts w:hint="eastAsia" w:cs="Times New Roman"/>
                <w:kern w:val="0"/>
                <w:sz w:val="21"/>
                <w:szCs w:val="21"/>
                <w:highlight w:val="none"/>
                <w:lang w:eastAsia="zh-CN"/>
              </w:rPr>
              <w:t>□</w:t>
            </w:r>
          </w:p>
        </w:tc>
        <w:tc>
          <w:tcPr>
            <w:tcW w:w="1595" w:type="dxa"/>
            <w:gridSpan w:val="2"/>
            <w:vAlign w:val="center"/>
          </w:tcPr>
          <w:p w14:paraId="27314686">
            <w:pPr>
              <w:adjustRightInd w:val="0"/>
              <w:snapToGrid w:val="0"/>
              <w:spacing w:line="240" w:lineRule="auto"/>
              <w:ind w:firstLine="0" w:firstLineChars="0"/>
              <w:jc w:val="center"/>
              <w:rPr>
                <w:rFonts w:hint="eastAsia" w:eastAsia="宋体" w:cs="Times New Roman"/>
                <w:sz w:val="21"/>
                <w:szCs w:val="21"/>
                <w:highlight w:val="none"/>
                <w:lang w:eastAsia="zh-CN"/>
              </w:rPr>
            </w:pPr>
            <w:r>
              <w:rPr>
                <w:rFonts w:cs="Times New Roman"/>
                <w:kern w:val="0"/>
                <w:sz w:val="21"/>
                <w:szCs w:val="21"/>
                <w:highlight w:val="none"/>
              </w:rPr>
              <w:t>M3</w:t>
            </w:r>
            <w:r>
              <w:rPr>
                <w:rFonts w:hint="eastAsia" w:cs="Times New Roman"/>
                <w:kern w:val="0"/>
                <w:sz w:val="21"/>
                <w:szCs w:val="21"/>
                <w:highlight w:val="none"/>
                <w:lang w:eastAsia="zh-CN"/>
              </w:rPr>
              <w:t>□</w:t>
            </w:r>
          </w:p>
        </w:tc>
        <w:tc>
          <w:tcPr>
            <w:tcW w:w="1477" w:type="dxa"/>
            <w:vAlign w:val="center"/>
          </w:tcPr>
          <w:p w14:paraId="7F0C8827">
            <w:pPr>
              <w:adjustRightInd w:val="0"/>
              <w:snapToGrid w:val="0"/>
              <w:spacing w:line="240" w:lineRule="auto"/>
              <w:ind w:firstLine="0" w:firstLineChars="0"/>
              <w:jc w:val="center"/>
              <w:rPr>
                <w:rFonts w:hint="eastAsia" w:eastAsia="宋体" w:cs="Times New Roman"/>
                <w:sz w:val="21"/>
                <w:szCs w:val="21"/>
                <w:highlight w:val="none"/>
                <w:lang w:eastAsia="zh-CN"/>
              </w:rPr>
            </w:pPr>
            <w:r>
              <w:rPr>
                <w:rFonts w:cs="Times New Roman"/>
                <w:kern w:val="0"/>
                <w:sz w:val="21"/>
                <w:szCs w:val="21"/>
                <w:highlight w:val="none"/>
              </w:rPr>
              <w:t>M4</w:t>
            </w:r>
            <w:r>
              <w:rPr>
                <w:rFonts w:hint="eastAsia" w:cs="Times New Roman"/>
                <w:kern w:val="0"/>
                <w:sz w:val="21"/>
                <w:szCs w:val="21"/>
                <w:highlight w:val="none"/>
                <w:lang w:eastAsia="zh-CN"/>
              </w:rPr>
              <w:t>□</w:t>
            </w:r>
          </w:p>
        </w:tc>
      </w:tr>
      <w:tr w14:paraId="3EE30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3" w:type="dxa"/>
            <w:gridSpan w:val="2"/>
            <w:vMerge w:val="continue"/>
            <w:vAlign w:val="center"/>
          </w:tcPr>
          <w:p w14:paraId="3AD570AC">
            <w:pPr>
              <w:adjustRightInd w:val="0"/>
              <w:snapToGrid w:val="0"/>
              <w:spacing w:line="240" w:lineRule="auto"/>
              <w:ind w:firstLine="0" w:firstLineChars="0"/>
              <w:jc w:val="center"/>
              <w:rPr>
                <w:rFonts w:cs="Times New Roman"/>
                <w:sz w:val="21"/>
                <w:szCs w:val="21"/>
                <w:highlight w:val="none"/>
              </w:rPr>
            </w:pPr>
          </w:p>
        </w:tc>
        <w:tc>
          <w:tcPr>
            <w:tcW w:w="1031" w:type="dxa"/>
            <w:vAlign w:val="center"/>
          </w:tcPr>
          <w:p w14:paraId="24D36327">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P值</w:t>
            </w:r>
          </w:p>
        </w:tc>
        <w:tc>
          <w:tcPr>
            <w:tcW w:w="2031" w:type="dxa"/>
            <w:gridSpan w:val="2"/>
            <w:vAlign w:val="center"/>
          </w:tcPr>
          <w:p w14:paraId="2073BB1F">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P1</w:t>
            </w:r>
            <w:r>
              <w:rPr>
                <w:rFonts w:hint="eastAsia" w:cs="Times New Roman"/>
                <w:kern w:val="0"/>
                <w:sz w:val="21"/>
                <w:szCs w:val="21"/>
                <w:highlight w:val="none"/>
                <w:lang w:eastAsia="zh-CN"/>
              </w:rPr>
              <w:t>□</w:t>
            </w:r>
          </w:p>
        </w:tc>
        <w:tc>
          <w:tcPr>
            <w:tcW w:w="1282" w:type="dxa"/>
            <w:gridSpan w:val="2"/>
            <w:vAlign w:val="center"/>
          </w:tcPr>
          <w:p w14:paraId="6D0F26A3">
            <w:pPr>
              <w:adjustRightInd w:val="0"/>
              <w:snapToGrid w:val="0"/>
              <w:spacing w:line="240" w:lineRule="auto"/>
              <w:ind w:firstLine="0" w:firstLineChars="0"/>
              <w:jc w:val="center"/>
              <w:rPr>
                <w:rFonts w:hint="eastAsia" w:eastAsia="宋体" w:cs="Times New Roman"/>
                <w:sz w:val="21"/>
                <w:szCs w:val="21"/>
                <w:highlight w:val="none"/>
                <w:lang w:eastAsia="zh-CN"/>
              </w:rPr>
            </w:pPr>
            <w:r>
              <w:rPr>
                <w:rFonts w:cs="Times New Roman"/>
                <w:kern w:val="0"/>
                <w:sz w:val="21"/>
                <w:szCs w:val="21"/>
                <w:highlight w:val="none"/>
              </w:rPr>
              <w:t>P2</w:t>
            </w:r>
            <w:r>
              <w:rPr>
                <w:rFonts w:hint="eastAsia" w:cs="Times New Roman"/>
                <w:kern w:val="0"/>
                <w:sz w:val="21"/>
                <w:szCs w:val="21"/>
                <w:highlight w:val="none"/>
                <w:lang w:eastAsia="zh-CN"/>
              </w:rPr>
              <w:t>□</w:t>
            </w:r>
          </w:p>
        </w:tc>
        <w:tc>
          <w:tcPr>
            <w:tcW w:w="1595" w:type="dxa"/>
            <w:gridSpan w:val="2"/>
            <w:vAlign w:val="center"/>
          </w:tcPr>
          <w:p w14:paraId="4F0FFA7C">
            <w:pPr>
              <w:adjustRightInd w:val="0"/>
              <w:snapToGrid w:val="0"/>
              <w:spacing w:line="240" w:lineRule="auto"/>
              <w:ind w:firstLine="0" w:firstLineChars="0"/>
              <w:jc w:val="center"/>
              <w:rPr>
                <w:rFonts w:hint="eastAsia" w:eastAsia="宋体" w:cs="Times New Roman"/>
                <w:sz w:val="21"/>
                <w:szCs w:val="21"/>
                <w:highlight w:val="none"/>
                <w:lang w:eastAsia="zh-CN"/>
              </w:rPr>
            </w:pPr>
            <w:r>
              <w:rPr>
                <w:rFonts w:cs="Times New Roman"/>
                <w:kern w:val="0"/>
                <w:sz w:val="21"/>
                <w:szCs w:val="21"/>
                <w:highlight w:val="none"/>
              </w:rPr>
              <w:t>P3</w:t>
            </w:r>
            <w:r>
              <w:rPr>
                <w:rFonts w:hint="eastAsia" w:cs="Times New Roman"/>
                <w:kern w:val="0"/>
                <w:sz w:val="21"/>
                <w:szCs w:val="21"/>
                <w:highlight w:val="none"/>
                <w:lang w:eastAsia="zh-CN"/>
              </w:rPr>
              <w:t>□</w:t>
            </w:r>
          </w:p>
        </w:tc>
        <w:tc>
          <w:tcPr>
            <w:tcW w:w="1477" w:type="dxa"/>
            <w:vAlign w:val="center"/>
          </w:tcPr>
          <w:p w14:paraId="4BDC41BA">
            <w:pPr>
              <w:adjustRightInd w:val="0"/>
              <w:snapToGrid w:val="0"/>
              <w:spacing w:line="240" w:lineRule="auto"/>
              <w:ind w:firstLine="0" w:firstLineChars="0"/>
              <w:jc w:val="center"/>
              <w:rPr>
                <w:rFonts w:hint="eastAsia" w:eastAsia="宋体" w:cs="Times New Roman"/>
                <w:sz w:val="21"/>
                <w:szCs w:val="21"/>
                <w:highlight w:val="none"/>
                <w:lang w:eastAsia="zh-CN"/>
              </w:rPr>
            </w:pPr>
            <w:r>
              <w:rPr>
                <w:rFonts w:cs="Times New Roman"/>
                <w:kern w:val="0"/>
                <w:sz w:val="21"/>
                <w:szCs w:val="21"/>
                <w:highlight w:val="none"/>
              </w:rPr>
              <w:t>P4</w:t>
            </w:r>
            <w:r>
              <w:rPr>
                <w:rFonts w:hint="eastAsia" w:cs="Times New Roman"/>
                <w:kern w:val="0"/>
                <w:sz w:val="21"/>
                <w:szCs w:val="21"/>
                <w:highlight w:val="none"/>
                <w:lang w:eastAsia="zh-CN"/>
              </w:rPr>
              <w:t>☑</w:t>
            </w:r>
          </w:p>
        </w:tc>
      </w:tr>
      <w:tr w14:paraId="362E6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3" w:type="dxa"/>
            <w:gridSpan w:val="2"/>
            <w:vMerge w:val="restart"/>
            <w:vAlign w:val="center"/>
          </w:tcPr>
          <w:p w14:paraId="7F40B3BE">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环境敏感程度</w:t>
            </w:r>
          </w:p>
        </w:tc>
        <w:tc>
          <w:tcPr>
            <w:tcW w:w="1031" w:type="dxa"/>
            <w:vAlign w:val="center"/>
          </w:tcPr>
          <w:p w14:paraId="230C6802">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大气</w:t>
            </w:r>
          </w:p>
        </w:tc>
        <w:tc>
          <w:tcPr>
            <w:tcW w:w="2031" w:type="dxa"/>
            <w:gridSpan w:val="2"/>
            <w:vAlign w:val="center"/>
          </w:tcPr>
          <w:p w14:paraId="6526BE30">
            <w:pPr>
              <w:adjustRightInd w:val="0"/>
              <w:snapToGrid w:val="0"/>
              <w:spacing w:line="240" w:lineRule="auto"/>
              <w:ind w:firstLine="0" w:firstLineChars="0"/>
              <w:jc w:val="center"/>
              <w:rPr>
                <w:rFonts w:hint="eastAsia" w:eastAsia="宋体" w:cs="Times New Roman"/>
                <w:sz w:val="21"/>
                <w:szCs w:val="21"/>
                <w:highlight w:val="none"/>
                <w:lang w:eastAsia="zh-CN"/>
              </w:rPr>
            </w:pPr>
            <w:r>
              <w:rPr>
                <w:rFonts w:cs="Times New Roman"/>
                <w:kern w:val="0"/>
                <w:sz w:val="21"/>
                <w:szCs w:val="21"/>
                <w:highlight w:val="none"/>
              </w:rPr>
              <w:t>E1</w:t>
            </w:r>
            <w:r>
              <w:rPr>
                <w:rFonts w:hint="eastAsia" w:cs="Times New Roman"/>
                <w:kern w:val="0"/>
                <w:sz w:val="21"/>
                <w:szCs w:val="21"/>
                <w:highlight w:val="none"/>
                <w:lang w:eastAsia="zh-CN"/>
              </w:rPr>
              <w:t>□</w:t>
            </w:r>
          </w:p>
        </w:tc>
        <w:tc>
          <w:tcPr>
            <w:tcW w:w="2877" w:type="dxa"/>
            <w:gridSpan w:val="4"/>
            <w:vAlign w:val="center"/>
          </w:tcPr>
          <w:p w14:paraId="100A47C5">
            <w:pPr>
              <w:adjustRightInd w:val="0"/>
              <w:snapToGrid w:val="0"/>
              <w:spacing w:line="240" w:lineRule="auto"/>
              <w:ind w:firstLine="0" w:firstLineChars="0"/>
              <w:jc w:val="center"/>
              <w:rPr>
                <w:rFonts w:hint="eastAsia" w:eastAsia="宋体" w:cs="Times New Roman"/>
                <w:sz w:val="21"/>
                <w:szCs w:val="21"/>
                <w:highlight w:val="none"/>
                <w:lang w:eastAsia="zh-CN"/>
              </w:rPr>
            </w:pPr>
            <w:r>
              <w:rPr>
                <w:rFonts w:cs="Times New Roman"/>
                <w:kern w:val="0"/>
                <w:sz w:val="21"/>
                <w:szCs w:val="21"/>
                <w:highlight w:val="none"/>
              </w:rPr>
              <w:t>E2</w:t>
            </w:r>
            <w:r>
              <w:rPr>
                <w:rFonts w:hint="eastAsia" w:cs="Times New Roman"/>
                <w:kern w:val="0"/>
                <w:sz w:val="21"/>
                <w:szCs w:val="21"/>
                <w:highlight w:val="none"/>
                <w:lang w:eastAsia="zh-CN"/>
              </w:rPr>
              <w:t>□</w:t>
            </w:r>
          </w:p>
        </w:tc>
        <w:tc>
          <w:tcPr>
            <w:tcW w:w="1477" w:type="dxa"/>
            <w:vAlign w:val="center"/>
          </w:tcPr>
          <w:p w14:paraId="10F9C3AB">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E3</w:t>
            </w:r>
            <w:r>
              <w:rPr>
                <w:rFonts w:hint="eastAsia" w:cs="Times New Roman"/>
                <w:kern w:val="0"/>
                <w:sz w:val="21"/>
                <w:szCs w:val="21"/>
                <w:highlight w:val="none"/>
                <w:lang w:eastAsia="zh-CN"/>
              </w:rPr>
              <w:t>□</w:t>
            </w:r>
          </w:p>
        </w:tc>
      </w:tr>
      <w:tr w14:paraId="2950D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3" w:type="dxa"/>
            <w:gridSpan w:val="2"/>
            <w:vMerge w:val="continue"/>
            <w:vAlign w:val="center"/>
          </w:tcPr>
          <w:p w14:paraId="53FB19A2">
            <w:pPr>
              <w:adjustRightInd w:val="0"/>
              <w:snapToGrid w:val="0"/>
              <w:spacing w:line="240" w:lineRule="auto"/>
              <w:ind w:firstLine="0" w:firstLineChars="0"/>
              <w:jc w:val="center"/>
              <w:rPr>
                <w:rFonts w:cs="Times New Roman"/>
                <w:sz w:val="21"/>
                <w:szCs w:val="21"/>
                <w:highlight w:val="none"/>
              </w:rPr>
            </w:pPr>
          </w:p>
        </w:tc>
        <w:tc>
          <w:tcPr>
            <w:tcW w:w="1031" w:type="dxa"/>
            <w:vAlign w:val="center"/>
          </w:tcPr>
          <w:p w14:paraId="4A8046E1">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地表水</w:t>
            </w:r>
          </w:p>
        </w:tc>
        <w:tc>
          <w:tcPr>
            <w:tcW w:w="2031" w:type="dxa"/>
            <w:gridSpan w:val="2"/>
            <w:vAlign w:val="center"/>
          </w:tcPr>
          <w:p w14:paraId="743D92A8">
            <w:pPr>
              <w:adjustRightInd w:val="0"/>
              <w:snapToGrid w:val="0"/>
              <w:spacing w:line="240" w:lineRule="auto"/>
              <w:ind w:firstLine="0" w:firstLineChars="0"/>
              <w:jc w:val="center"/>
              <w:rPr>
                <w:rFonts w:hint="eastAsia" w:eastAsia="宋体" w:cs="Times New Roman"/>
                <w:sz w:val="21"/>
                <w:szCs w:val="21"/>
                <w:highlight w:val="none"/>
                <w:lang w:eastAsia="zh-CN"/>
              </w:rPr>
            </w:pPr>
            <w:r>
              <w:rPr>
                <w:rFonts w:cs="Times New Roman"/>
                <w:kern w:val="0"/>
                <w:sz w:val="21"/>
                <w:szCs w:val="21"/>
                <w:highlight w:val="none"/>
              </w:rPr>
              <w:t>E1</w:t>
            </w:r>
            <w:r>
              <w:rPr>
                <w:rFonts w:hint="eastAsia" w:cs="Times New Roman"/>
                <w:kern w:val="0"/>
                <w:sz w:val="21"/>
                <w:szCs w:val="21"/>
                <w:highlight w:val="none"/>
                <w:lang w:eastAsia="zh-CN"/>
              </w:rPr>
              <w:t>□</w:t>
            </w:r>
          </w:p>
        </w:tc>
        <w:tc>
          <w:tcPr>
            <w:tcW w:w="2877" w:type="dxa"/>
            <w:gridSpan w:val="4"/>
            <w:vAlign w:val="center"/>
          </w:tcPr>
          <w:p w14:paraId="4A54BC58">
            <w:pPr>
              <w:adjustRightInd w:val="0"/>
              <w:snapToGrid w:val="0"/>
              <w:spacing w:line="240" w:lineRule="auto"/>
              <w:ind w:firstLine="0" w:firstLineChars="0"/>
              <w:jc w:val="center"/>
              <w:rPr>
                <w:rFonts w:hint="eastAsia" w:eastAsia="宋体" w:cs="Times New Roman"/>
                <w:sz w:val="21"/>
                <w:szCs w:val="21"/>
                <w:highlight w:val="none"/>
                <w:lang w:eastAsia="zh-CN"/>
              </w:rPr>
            </w:pPr>
            <w:r>
              <w:rPr>
                <w:rFonts w:cs="Times New Roman"/>
                <w:kern w:val="0"/>
                <w:sz w:val="21"/>
                <w:szCs w:val="21"/>
                <w:highlight w:val="none"/>
              </w:rPr>
              <w:t>E2</w:t>
            </w:r>
            <w:r>
              <w:rPr>
                <w:rFonts w:hint="eastAsia" w:cs="Times New Roman"/>
                <w:kern w:val="0"/>
                <w:sz w:val="21"/>
                <w:szCs w:val="21"/>
                <w:highlight w:val="none"/>
                <w:lang w:eastAsia="zh-CN"/>
              </w:rPr>
              <w:t>□</w:t>
            </w:r>
          </w:p>
        </w:tc>
        <w:tc>
          <w:tcPr>
            <w:tcW w:w="1477" w:type="dxa"/>
            <w:vAlign w:val="center"/>
          </w:tcPr>
          <w:p w14:paraId="210C9294">
            <w:pPr>
              <w:adjustRightInd w:val="0"/>
              <w:snapToGrid w:val="0"/>
              <w:spacing w:line="240" w:lineRule="auto"/>
              <w:ind w:firstLine="0" w:firstLineChars="0"/>
              <w:jc w:val="center"/>
              <w:rPr>
                <w:rFonts w:hint="eastAsia" w:eastAsia="宋体" w:cs="Times New Roman"/>
                <w:sz w:val="21"/>
                <w:szCs w:val="21"/>
                <w:highlight w:val="none"/>
                <w:lang w:eastAsia="zh-CN"/>
              </w:rPr>
            </w:pPr>
            <w:r>
              <w:rPr>
                <w:rFonts w:cs="Times New Roman"/>
                <w:kern w:val="0"/>
                <w:sz w:val="21"/>
                <w:szCs w:val="21"/>
                <w:highlight w:val="none"/>
              </w:rPr>
              <w:t>E3</w:t>
            </w:r>
            <w:r>
              <w:rPr>
                <w:rFonts w:hint="eastAsia" w:cs="Times New Roman"/>
                <w:kern w:val="0"/>
                <w:sz w:val="21"/>
                <w:szCs w:val="21"/>
                <w:highlight w:val="none"/>
                <w:lang w:eastAsia="zh-CN"/>
              </w:rPr>
              <w:t>□</w:t>
            </w:r>
          </w:p>
        </w:tc>
      </w:tr>
      <w:tr w14:paraId="7172F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3" w:type="dxa"/>
            <w:gridSpan w:val="2"/>
            <w:vMerge w:val="continue"/>
            <w:vAlign w:val="center"/>
          </w:tcPr>
          <w:p w14:paraId="26DF6751">
            <w:pPr>
              <w:adjustRightInd w:val="0"/>
              <w:snapToGrid w:val="0"/>
              <w:spacing w:line="240" w:lineRule="auto"/>
              <w:ind w:firstLine="0" w:firstLineChars="0"/>
              <w:jc w:val="center"/>
              <w:rPr>
                <w:rFonts w:cs="Times New Roman"/>
                <w:sz w:val="21"/>
                <w:szCs w:val="21"/>
                <w:highlight w:val="none"/>
              </w:rPr>
            </w:pPr>
          </w:p>
        </w:tc>
        <w:tc>
          <w:tcPr>
            <w:tcW w:w="1031" w:type="dxa"/>
            <w:vAlign w:val="center"/>
          </w:tcPr>
          <w:p w14:paraId="54F95032">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地下水</w:t>
            </w:r>
          </w:p>
        </w:tc>
        <w:tc>
          <w:tcPr>
            <w:tcW w:w="2031" w:type="dxa"/>
            <w:gridSpan w:val="2"/>
            <w:vAlign w:val="center"/>
          </w:tcPr>
          <w:p w14:paraId="6D1C68AD">
            <w:pPr>
              <w:adjustRightInd w:val="0"/>
              <w:snapToGrid w:val="0"/>
              <w:spacing w:line="240" w:lineRule="auto"/>
              <w:ind w:firstLine="0" w:firstLineChars="0"/>
              <w:jc w:val="center"/>
              <w:rPr>
                <w:rFonts w:hint="eastAsia" w:eastAsia="宋体" w:cs="Times New Roman"/>
                <w:sz w:val="21"/>
                <w:szCs w:val="21"/>
                <w:highlight w:val="none"/>
                <w:lang w:eastAsia="zh-CN"/>
              </w:rPr>
            </w:pPr>
            <w:r>
              <w:rPr>
                <w:rFonts w:cs="Times New Roman"/>
                <w:kern w:val="0"/>
                <w:sz w:val="21"/>
                <w:szCs w:val="21"/>
                <w:highlight w:val="none"/>
              </w:rPr>
              <w:t>E1</w:t>
            </w:r>
            <w:r>
              <w:rPr>
                <w:rFonts w:hint="eastAsia" w:cs="Times New Roman"/>
                <w:kern w:val="0"/>
                <w:sz w:val="21"/>
                <w:szCs w:val="21"/>
                <w:highlight w:val="none"/>
                <w:lang w:eastAsia="zh-CN"/>
              </w:rPr>
              <w:t>□</w:t>
            </w:r>
          </w:p>
        </w:tc>
        <w:tc>
          <w:tcPr>
            <w:tcW w:w="2877" w:type="dxa"/>
            <w:gridSpan w:val="4"/>
            <w:vAlign w:val="center"/>
          </w:tcPr>
          <w:p w14:paraId="32E3C0E0">
            <w:pPr>
              <w:adjustRightInd w:val="0"/>
              <w:snapToGrid w:val="0"/>
              <w:spacing w:line="240" w:lineRule="auto"/>
              <w:ind w:firstLine="0" w:firstLineChars="0"/>
              <w:jc w:val="center"/>
              <w:rPr>
                <w:rFonts w:hint="eastAsia" w:eastAsia="宋体" w:cs="Times New Roman"/>
                <w:sz w:val="21"/>
                <w:szCs w:val="21"/>
                <w:highlight w:val="none"/>
                <w:lang w:eastAsia="zh-CN"/>
              </w:rPr>
            </w:pPr>
            <w:r>
              <w:rPr>
                <w:rFonts w:cs="Times New Roman"/>
                <w:kern w:val="0"/>
                <w:sz w:val="21"/>
                <w:szCs w:val="21"/>
                <w:highlight w:val="none"/>
              </w:rPr>
              <w:t>E2</w:t>
            </w:r>
            <w:r>
              <w:rPr>
                <w:rFonts w:hint="eastAsia" w:cs="Times New Roman"/>
                <w:kern w:val="0"/>
                <w:sz w:val="21"/>
                <w:szCs w:val="21"/>
                <w:highlight w:val="none"/>
                <w:lang w:eastAsia="zh-CN"/>
              </w:rPr>
              <w:t>□</w:t>
            </w:r>
          </w:p>
        </w:tc>
        <w:tc>
          <w:tcPr>
            <w:tcW w:w="1477" w:type="dxa"/>
            <w:vAlign w:val="center"/>
          </w:tcPr>
          <w:p w14:paraId="5D213598">
            <w:pPr>
              <w:adjustRightInd w:val="0"/>
              <w:snapToGrid w:val="0"/>
              <w:spacing w:line="240" w:lineRule="auto"/>
              <w:ind w:firstLine="0" w:firstLineChars="0"/>
              <w:jc w:val="center"/>
              <w:rPr>
                <w:rFonts w:hint="eastAsia" w:eastAsia="宋体" w:cs="Times New Roman"/>
                <w:sz w:val="21"/>
                <w:szCs w:val="21"/>
                <w:highlight w:val="none"/>
                <w:lang w:eastAsia="zh-CN"/>
              </w:rPr>
            </w:pPr>
            <w:r>
              <w:rPr>
                <w:rFonts w:cs="Times New Roman"/>
                <w:kern w:val="0"/>
                <w:sz w:val="21"/>
                <w:szCs w:val="21"/>
                <w:highlight w:val="none"/>
              </w:rPr>
              <w:t>E3</w:t>
            </w:r>
            <w:r>
              <w:rPr>
                <w:rFonts w:hint="eastAsia" w:cs="Times New Roman"/>
                <w:kern w:val="0"/>
                <w:sz w:val="21"/>
                <w:szCs w:val="21"/>
                <w:highlight w:val="none"/>
                <w:lang w:eastAsia="zh-CN"/>
              </w:rPr>
              <w:t>□</w:t>
            </w:r>
          </w:p>
        </w:tc>
      </w:tr>
      <w:tr w14:paraId="21B57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3" w:type="dxa"/>
            <w:gridSpan w:val="2"/>
            <w:vMerge w:val="restart"/>
            <w:vAlign w:val="center"/>
          </w:tcPr>
          <w:p w14:paraId="076F35E1">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环境风险潜势</w:t>
            </w:r>
          </w:p>
        </w:tc>
        <w:tc>
          <w:tcPr>
            <w:tcW w:w="1031" w:type="dxa"/>
            <w:vAlign w:val="center"/>
          </w:tcPr>
          <w:p w14:paraId="09CD17AC">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大气</w:t>
            </w:r>
          </w:p>
        </w:tc>
        <w:tc>
          <w:tcPr>
            <w:tcW w:w="2031" w:type="dxa"/>
            <w:gridSpan w:val="2"/>
            <w:vAlign w:val="center"/>
          </w:tcPr>
          <w:p w14:paraId="3B21A729">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Ⅳ</w:t>
            </w:r>
            <w:r>
              <w:rPr>
                <w:rFonts w:hint="eastAsia" w:cs="Times New Roman"/>
                <w:kern w:val="0"/>
                <w:sz w:val="21"/>
                <w:szCs w:val="21"/>
                <w:highlight w:val="none"/>
                <w:lang w:eastAsia="zh-CN"/>
              </w:rPr>
              <w:t>□</w:t>
            </w:r>
          </w:p>
        </w:tc>
        <w:tc>
          <w:tcPr>
            <w:tcW w:w="1282" w:type="dxa"/>
            <w:gridSpan w:val="2"/>
            <w:vAlign w:val="center"/>
          </w:tcPr>
          <w:p w14:paraId="3A1C7A23">
            <w:pPr>
              <w:adjustRightInd w:val="0"/>
              <w:snapToGrid w:val="0"/>
              <w:spacing w:line="240" w:lineRule="auto"/>
              <w:ind w:firstLine="0" w:firstLineChars="0"/>
              <w:jc w:val="center"/>
              <w:rPr>
                <w:rFonts w:hint="eastAsia" w:eastAsia="宋体" w:cs="Times New Roman"/>
                <w:sz w:val="21"/>
                <w:szCs w:val="21"/>
                <w:highlight w:val="none"/>
                <w:lang w:eastAsia="zh-CN"/>
              </w:rPr>
            </w:pPr>
            <w:r>
              <w:rPr>
                <w:rFonts w:cs="Times New Roman"/>
                <w:kern w:val="0"/>
                <w:sz w:val="21"/>
                <w:szCs w:val="21"/>
                <w:highlight w:val="none"/>
              </w:rPr>
              <w:t>Ⅲ</w:t>
            </w:r>
            <w:r>
              <w:rPr>
                <w:rFonts w:hint="eastAsia" w:cs="Times New Roman"/>
                <w:kern w:val="0"/>
                <w:sz w:val="21"/>
                <w:szCs w:val="21"/>
                <w:highlight w:val="none"/>
                <w:lang w:eastAsia="zh-CN"/>
              </w:rPr>
              <w:t>□</w:t>
            </w:r>
          </w:p>
        </w:tc>
        <w:tc>
          <w:tcPr>
            <w:tcW w:w="1595" w:type="dxa"/>
            <w:gridSpan w:val="2"/>
            <w:vAlign w:val="center"/>
          </w:tcPr>
          <w:p w14:paraId="1B894C44">
            <w:pPr>
              <w:adjustRightInd w:val="0"/>
              <w:snapToGrid w:val="0"/>
              <w:spacing w:line="240" w:lineRule="auto"/>
              <w:ind w:firstLine="0" w:firstLineChars="0"/>
              <w:jc w:val="center"/>
              <w:rPr>
                <w:rFonts w:hint="eastAsia" w:eastAsia="宋体" w:cs="Times New Roman"/>
                <w:sz w:val="21"/>
                <w:szCs w:val="21"/>
                <w:highlight w:val="none"/>
                <w:lang w:eastAsia="zh-CN"/>
              </w:rPr>
            </w:pPr>
            <w:r>
              <w:rPr>
                <w:rFonts w:cs="Times New Roman"/>
                <w:kern w:val="0"/>
                <w:sz w:val="21"/>
                <w:szCs w:val="21"/>
                <w:highlight w:val="none"/>
              </w:rPr>
              <w:t>Ⅱ</w:t>
            </w:r>
            <w:r>
              <w:rPr>
                <w:rFonts w:hint="eastAsia" w:cs="Times New Roman"/>
                <w:kern w:val="0"/>
                <w:sz w:val="21"/>
                <w:szCs w:val="21"/>
                <w:highlight w:val="none"/>
                <w:lang w:eastAsia="zh-CN"/>
              </w:rPr>
              <w:t>□</w:t>
            </w:r>
          </w:p>
        </w:tc>
        <w:tc>
          <w:tcPr>
            <w:tcW w:w="1477" w:type="dxa"/>
            <w:vAlign w:val="center"/>
          </w:tcPr>
          <w:p w14:paraId="3643014B">
            <w:pPr>
              <w:adjustRightInd w:val="0"/>
              <w:snapToGrid w:val="0"/>
              <w:spacing w:line="240" w:lineRule="auto"/>
              <w:ind w:firstLine="0" w:firstLineChars="0"/>
              <w:jc w:val="center"/>
              <w:rPr>
                <w:rFonts w:hint="eastAsia" w:eastAsia="宋体" w:cs="Times New Roman"/>
                <w:sz w:val="21"/>
                <w:szCs w:val="21"/>
                <w:highlight w:val="none"/>
                <w:lang w:eastAsia="zh-CN"/>
              </w:rPr>
            </w:pPr>
            <w:r>
              <w:rPr>
                <w:rFonts w:cs="Times New Roman"/>
                <w:kern w:val="0"/>
                <w:sz w:val="21"/>
                <w:szCs w:val="21"/>
                <w:highlight w:val="none"/>
              </w:rPr>
              <w:t>I</w:t>
            </w:r>
            <w:r>
              <w:rPr>
                <w:rFonts w:hint="eastAsia" w:cs="Times New Roman"/>
                <w:kern w:val="0"/>
                <w:sz w:val="21"/>
                <w:szCs w:val="21"/>
                <w:highlight w:val="none"/>
                <w:lang w:eastAsia="zh-CN"/>
              </w:rPr>
              <w:t>☑</w:t>
            </w:r>
          </w:p>
        </w:tc>
      </w:tr>
      <w:tr w14:paraId="28AA9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3" w:type="dxa"/>
            <w:gridSpan w:val="2"/>
            <w:vMerge w:val="continue"/>
            <w:vAlign w:val="center"/>
          </w:tcPr>
          <w:p w14:paraId="29DDAC5D">
            <w:pPr>
              <w:adjustRightInd w:val="0"/>
              <w:snapToGrid w:val="0"/>
              <w:spacing w:line="240" w:lineRule="auto"/>
              <w:ind w:firstLine="0" w:firstLineChars="0"/>
              <w:jc w:val="center"/>
              <w:rPr>
                <w:rFonts w:cs="Times New Roman"/>
                <w:kern w:val="0"/>
                <w:sz w:val="21"/>
                <w:szCs w:val="21"/>
                <w:highlight w:val="none"/>
              </w:rPr>
            </w:pPr>
          </w:p>
        </w:tc>
        <w:tc>
          <w:tcPr>
            <w:tcW w:w="1031" w:type="dxa"/>
            <w:vAlign w:val="center"/>
          </w:tcPr>
          <w:p w14:paraId="500CC6D3">
            <w:pPr>
              <w:adjustRightInd w:val="0"/>
              <w:snapToGrid w:val="0"/>
              <w:spacing w:line="240" w:lineRule="auto"/>
              <w:ind w:firstLine="0" w:firstLineChars="0"/>
              <w:jc w:val="center"/>
              <w:rPr>
                <w:rFonts w:cs="Times New Roman"/>
                <w:kern w:val="0"/>
                <w:sz w:val="21"/>
                <w:szCs w:val="21"/>
                <w:highlight w:val="none"/>
              </w:rPr>
            </w:pPr>
            <w:r>
              <w:rPr>
                <w:rFonts w:cs="Times New Roman"/>
                <w:kern w:val="0"/>
                <w:sz w:val="21"/>
                <w:szCs w:val="21"/>
                <w:highlight w:val="none"/>
              </w:rPr>
              <w:t>地表水</w:t>
            </w:r>
          </w:p>
        </w:tc>
        <w:tc>
          <w:tcPr>
            <w:tcW w:w="2031" w:type="dxa"/>
            <w:gridSpan w:val="2"/>
            <w:vAlign w:val="center"/>
          </w:tcPr>
          <w:p w14:paraId="737A9E40">
            <w:pPr>
              <w:adjustRightInd w:val="0"/>
              <w:snapToGrid w:val="0"/>
              <w:spacing w:line="240" w:lineRule="auto"/>
              <w:ind w:firstLine="0" w:firstLineChars="0"/>
              <w:jc w:val="center"/>
              <w:rPr>
                <w:rFonts w:cs="Times New Roman"/>
                <w:kern w:val="0"/>
                <w:sz w:val="21"/>
                <w:szCs w:val="21"/>
                <w:highlight w:val="none"/>
              </w:rPr>
            </w:pPr>
            <w:r>
              <w:rPr>
                <w:rFonts w:cs="Times New Roman"/>
                <w:kern w:val="0"/>
                <w:sz w:val="21"/>
                <w:szCs w:val="21"/>
                <w:highlight w:val="none"/>
              </w:rPr>
              <w:t>Ⅳ</w:t>
            </w:r>
            <w:r>
              <w:rPr>
                <w:rFonts w:hint="eastAsia" w:cs="Times New Roman"/>
                <w:kern w:val="0"/>
                <w:sz w:val="21"/>
                <w:szCs w:val="21"/>
                <w:highlight w:val="none"/>
                <w:lang w:eastAsia="zh-CN"/>
              </w:rPr>
              <w:t>□</w:t>
            </w:r>
          </w:p>
        </w:tc>
        <w:tc>
          <w:tcPr>
            <w:tcW w:w="1282" w:type="dxa"/>
            <w:gridSpan w:val="2"/>
            <w:vAlign w:val="center"/>
          </w:tcPr>
          <w:p w14:paraId="1FDE8364">
            <w:pPr>
              <w:adjustRightInd w:val="0"/>
              <w:snapToGrid w:val="0"/>
              <w:spacing w:line="240" w:lineRule="auto"/>
              <w:ind w:firstLine="0" w:firstLineChars="0"/>
              <w:jc w:val="center"/>
              <w:rPr>
                <w:rFonts w:hint="eastAsia" w:eastAsia="宋体" w:cs="Times New Roman"/>
                <w:kern w:val="0"/>
                <w:sz w:val="21"/>
                <w:szCs w:val="21"/>
                <w:highlight w:val="none"/>
                <w:lang w:eastAsia="zh-CN"/>
              </w:rPr>
            </w:pPr>
            <w:r>
              <w:rPr>
                <w:rFonts w:cs="Times New Roman"/>
                <w:kern w:val="0"/>
                <w:sz w:val="21"/>
                <w:szCs w:val="21"/>
                <w:highlight w:val="none"/>
              </w:rPr>
              <w:t>Ⅲ</w:t>
            </w:r>
            <w:r>
              <w:rPr>
                <w:rFonts w:hint="eastAsia" w:cs="Times New Roman"/>
                <w:kern w:val="0"/>
                <w:sz w:val="21"/>
                <w:szCs w:val="21"/>
                <w:highlight w:val="none"/>
                <w:lang w:eastAsia="zh-CN"/>
              </w:rPr>
              <w:t>□</w:t>
            </w:r>
          </w:p>
        </w:tc>
        <w:tc>
          <w:tcPr>
            <w:tcW w:w="1595" w:type="dxa"/>
            <w:gridSpan w:val="2"/>
            <w:vAlign w:val="center"/>
          </w:tcPr>
          <w:p w14:paraId="1F325F6C">
            <w:pPr>
              <w:adjustRightInd w:val="0"/>
              <w:snapToGrid w:val="0"/>
              <w:spacing w:line="240" w:lineRule="auto"/>
              <w:ind w:firstLine="0" w:firstLineChars="0"/>
              <w:jc w:val="center"/>
              <w:rPr>
                <w:rFonts w:hint="eastAsia" w:eastAsia="宋体" w:cs="Times New Roman"/>
                <w:kern w:val="0"/>
                <w:sz w:val="21"/>
                <w:szCs w:val="21"/>
                <w:highlight w:val="none"/>
                <w:lang w:eastAsia="zh-CN"/>
              </w:rPr>
            </w:pPr>
            <w:r>
              <w:rPr>
                <w:rFonts w:cs="Times New Roman"/>
                <w:kern w:val="0"/>
                <w:sz w:val="21"/>
                <w:szCs w:val="21"/>
                <w:highlight w:val="none"/>
              </w:rPr>
              <w:t>Ⅱ</w:t>
            </w:r>
            <w:r>
              <w:rPr>
                <w:rFonts w:hint="eastAsia" w:cs="Times New Roman"/>
                <w:kern w:val="0"/>
                <w:sz w:val="21"/>
                <w:szCs w:val="21"/>
                <w:highlight w:val="none"/>
                <w:lang w:eastAsia="zh-CN"/>
              </w:rPr>
              <w:t>□</w:t>
            </w:r>
          </w:p>
        </w:tc>
        <w:tc>
          <w:tcPr>
            <w:tcW w:w="1477" w:type="dxa"/>
            <w:vAlign w:val="center"/>
          </w:tcPr>
          <w:p w14:paraId="4CC4F037">
            <w:pPr>
              <w:adjustRightInd w:val="0"/>
              <w:snapToGrid w:val="0"/>
              <w:spacing w:line="240" w:lineRule="auto"/>
              <w:ind w:firstLine="0" w:firstLineChars="0"/>
              <w:jc w:val="center"/>
              <w:rPr>
                <w:rFonts w:hint="eastAsia" w:eastAsia="宋体" w:cs="Times New Roman"/>
                <w:kern w:val="0"/>
                <w:sz w:val="21"/>
                <w:szCs w:val="21"/>
                <w:highlight w:val="none"/>
                <w:lang w:eastAsia="zh-CN"/>
              </w:rPr>
            </w:pPr>
            <w:r>
              <w:rPr>
                <w:rFonts w:cs="Times New Roman"/>
                <w:kern w:val="0"/>
                <w:sz w:val="21"/>
                <w:szCs w:val="21"/>
                <w:highlight w:val="none"/>
              </w:rPr>
              <w:t>I</w:t>
            </w:r>
            <w:r>
              <w:rPr>
                <w:rFonts w:hint="eastAsia" w:cs="Times New Roman"/>
                <w:kern w:val="0"/>
                <w:sz w:val="21"/>
                <w:szCs w:val="21"/>
                <w:highlight w:val="none"/>
                <w:lang w:eastAsia="zh-CN"/>
              </w:rPr>
              <w:t>☑</w:t>
            </w:r>
          </w:p>
        </w:tc>
      </w:tr>
      <w:tr w14:paraId="694D0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3" w:type="dxa"/>
            <w:gridSpan w:val="2"/>
            <w:vMerge w:val="continue"/>
            <w:vAlign w:val="center"/>
          </w:tcPr>
          <w:p w14:paraId="30B16400">
            <w:pPr>
              <w:adjustRightInd w:val="0"/>
              <w:snapToGrid w:val="0"/>
              <w:spacing w:line="240" w:lineRule="auto"/>
              <w:ind w:firstLine="0" w:firstLineChars="0"/>
              <w:jc w:val="center"/>
              <w:rPr>
                <w:rFonts w:cs="Times New Roman"/>
                <w:kern w:val="0"/>
                <w:sz w:val="21"/>
                <w:szCs w:val="21"/>
                <w:highlight w:val="none"/>
              </w:rPr>
            </w:pPr>
          </w:p>
        </w:tc>
        <w:tc>
          <w:tcPr>
            <w:tcW w:w="1031" w:type="dxa"/>
            <w:vAlign w:val="center"/>
          </w:tcPr>
          <w:p w14:paraId="2CE5705B">
            <w:pPr>
              <w:adjustRightInd w:val="0"/>
              <w:snapToGrid w:val="0"/>
              <w:spacing w:line="240" w:lineRule="auto"/>
              <w:ind w:firstLine="0" w:firstLineChars="0"/>
              <w:jc w:val="center"/>
              <w:rPr>
                <w:rFonts w:cs="Times New Roman"/>
                <w:kern w:val="0"/>
                <w:sz w:val="21"/>
                <w:szCs w:val="21"/>
                <w:highlight w:val="none"/>
              </w:rPr>
            </w:pPr>
            <w:r>
              <w:rPr>
                <w:rFonts w:cs="Times New Roman"/>
                <w:kern w:val="0"/>
                <w:sz w:val="21"/>
                <w:szCs w:val="21"/>
                <w:highlight w:val="none"/>
              </w:rPr>
              <w:t>地下水</w:t>
            </w:r>
          </w:p>
        </w:tc>
        <w:tc>
          <w:tcPr>
            <w:tcW w:w="2031" w:type="dxa"/>
            <w:gridSpan w:val="2"/>
            <w:vAlign w:val="center"/>
          </w:tcPr>
          <w:p w14:paraId="29E13A9E">
            <w:pPr>
              <w:adjustRightInd w:val="0"/>
              <w:snapToGrid w:val="0"/>
              <w:spacing w:line="240" w:lineRule="auto"/>
              <w:ind w:firstLine="0" w:firstLineChars="0"/>
              <w:jc w:val="center"/>
              <w:rPr>
                <w:rFonts w:cs="Times New Roman"/>
                <w:kern w:val="0"/>
                <w:sz w:val="21"/>
                <w:szCs w:val="21"/>
                <w:highlight w:val="none"/>
              </w:rPr>
            </w:pPr>
            <w:r>
              <w:rPr>
                <w:rFonts w:cs="Times New Roman"/>
                <w:kern w:val="0"/>
                <w:sz w:val="21"/>
                <w:szCs w:val="21"/>
                <w:highlight w:val="none"/>
              </w:rPr>
              <w:t>Ⅳ</w:t>
            </w:r>
            <w:r>
              <w:rPr>
                <w:rFonts w:hint="eastAsia" w:cs="Times New Roman"/>
                <w:kern w:val="0"/>
                <w:sz w:val="21"/>
                <w:szCs w:val="21"/>
                <w:highlight w:val="none"/>
                <w:lang w:eastAsia="zh-CN"/>
              </w:rPr>
              <w:t>□</w:t>
            </w:r>
          </w:p>
        </w:tc>
        <w:tc>
          <w:tcPr>
            <w:tcW w:w="1282" w:type="dxa"/>
            <w:gridSpan w:val="2"/>
            <w:vAlign w:val="center"/>
          </w:tcPr>
          <w:p w14:paraId="0B9CC853">
            <w:pPr>
              <w:adjustRightInd w:val="0"/>
              <w:snapToGrid w:val="0"/>
              <w:spacing w:line="240" w:lineRule="auto"/>
              <w:ind w:firstLine="0" w:firstLineChars="0"/>
              <w:jc w:val="center"/>
              <w:rPr>
                <w:rFonts w:hint="eastAsia" w:eastAsia="宋体" w:cs="Times New Roman"/>
                <w:kern w:val="0"/>
                <w:sz w:val="21"/>
                <w:szCs w:val="21"/>
                <w:highlight w:val="none"/>
                <w:lang w:eastAsia="zh-CN"/>
              </w:rPr>
            </w:pPr>
            <w:r>
              <w:rPr>
                <w:rFonts w:cs="Times New Roman"/>
                <w:kern w:val="0"/>
                <w:sz w:val="21"/>
                <w:szCs w:val="21"/>
                <w:highlight w:val="none"/>
              </w:rPr>
              <w:t>Ⅲ</w:t>
            </w:r>
            <w:r>
              <w:rPr>
                <w:rFonts w:hint="eastAsia" w:cs="Times New Roman"/>
                <w:kern w:val="0"/>
                <w:sz w:val="21"/>
                <w:szCs w:val="21"/>
                <w:highlight w:val="none"/>
                <w:lang w:eastAsia="zh-CN"/>
              </w:rPr>
              <w:t>□</w:t>
            </w:r>
          </w:p>
        </w:tc>
        <w:tc>
          <w:tcPr>
            <w:tcW w:w="1595" w:type="dxa"/>
            <w:gridSpan w:val="2"/>
            <w:vAlign w:val="center"/>
          </w:tcPr>
          <w:p w14:paraId="60BFD6B8">
            <w:pPr>
              <w:adjustRightInd w:val="0"/>
              <w:snapToGrid w:val="0"/>
              <w:spacing w:line="240" w:lineRule="auto"/>
              <w:ind w:firstLine="0" w:firstLineChars="0"/>
              <w:jc w:val="center"/>
              <w:rPr>
                <w:rFonts w:hint="eastAsia" w:eastAsia="宋体" w:cs="Times New Roman"/>
                <w:kern w:val="0"/>
                <w:sz w:val="21"/>
                <w:szCs w:val="21"/>
                <w:highlight w:val="none"/>
                <w:lang w:eastAsia="zh-CN"/>
              </w:rPr>
            </w:pPr>
            <w:r>
              <w:rPr>
                <w:rFonts w:cs="Times New Roman"/>
                <w:kern w:val="0"/>
                <w:sz w:val="21"/>
                <w:szCs w:val="21"/>
                <w:highlight w:val="none"/>
              </w:rPr>
              <w:t>Ⅱ</w:t>
            </w:r>
            <w:r>
              <w:rPr>
                <w:rFonts w:hint="eastAsia" w:cs="Times New Roman"/>
                <w:kern w:val="0"/>
                <w:sz w:val="21"/>
                <w:szCs w:val="21"/>
                <w:highlight w:val="none"/>
                <w:lang w:eastAsia="zh-CN"/>
              </w:rPr>
              <w:t>□</w:t>
            </w:r>
          </w:p>
        </w:tc>
        <w:tc>
          <w:tcPr>
            <w:tcW w:w="1477" w:type="dxa"/>
            <w:vAlign w:val="center"/>
          </w:tcPr>
          <w:p w14:paraId="22AEDE66">
            <w:pPr>
              <w:adjustRightInd w:val="0"/>
              <w:snapToGrid w:val="0"/>
              <w:spacing w:line="240" w:lineRule="auto"/>
              <w:ind w:firstLine="0" w:firstLineChars="0"/>
              <w:jc w:val="center"/>
              <w:rPr>
                <w:rFonts w:hint="eastAsia" w:eastAsia="宋体" w:cs="Times New Roman"/>
                <w:kern w:val="0"/>
                <w:sz w:val="21"/>
                <w:szCs w:val="21"/>
                <w:highlight w:val="none"/>
                <w:lang w:eastAsia="zh-CN"/>
              </w:rPr>
            </w:pPr>
            <w:r>
              <w:rPr>
                <w:rFonts w:cs="Times New Roman"/>
                <w:kern w:val="0"/>
                <w:sz w:val="21"/>
                <w:szCs w:val="21"/>
                <w:highlight w:val="none"/>
              </w:rPr>
              <w:t>I</w:t>
            </w:r>
            <w:r>
              <w:rPr>
                <w:rFonts w:hint="eastAsia" w:cs="Times New Roman"/>
                <w:kern w:val="0"/>
                <w:sz w:val="21"/>
                <w:szCs w:val="21"/>
                <w:highlight w:val="none"/>
                <w:lang w:eastAsia="zh-CN"/>
              </w:rPr>
              <w:t>☑</w:t>
            </w:r>
          </w:p>
        </w:tc>
      </w:tr>
      <w:tr w14:paraId="46E60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3" w:type="dxa"/>
            <w:gridSpan w:val="2"/>
            <w:vMerge w:val="restart"/>
            <w:vAlign w:val="center"/>
          </w:tcPr>
          <w:p w14:paraId="1385F675">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评价等级</w:t>
            </w:r>
          </w:p>
        </w:tc>
        <w:tc>
          <w:tcPr>
            <w:tcW w:w="1031" w:type="dxa"/>
            <w:vAlign w:val="center"/>
          </w:tcPr>
          <w:p w14:paraId="7064C1E5">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大气</w:t>
            </w:r>
          </w:p>
        </w:tc>
        <w:tc>
          <w:tcPr>
            <w:tcW w:w="2031" w:type="dxa"/>
            <w:gridSpan w:val="2"/>
            <w:vAlign w:val="center"/>
          </w:tcPr>
          <w:p w14:paraId="62475A59">
            <w:pPr>
              <w:adjustRightInd w:val="0"/>
              <w:snapToGrid w:val="0"/>
              <w:spacing w:line="240" w:lineRule="auto"/>
              <w:ind w:firstLine="0" w:firstLineChars="0"/>
              <w:jc w:val="center"/>
              <w:rPr>
                <w:rFonts w:hint="eastAsia" w:eastAsia="宋体" w:cs="Times New Roman"/>
                <w:kern w:val="0"/>
                <w:sz w:val="21"/>
                <w:szCs w:val="21"/>
                <w:highlight w:val="none"/>
                <w:lang w:val="en-US" w:eastAsia="zh-CN"/>
              </w:rPr>
            </w:pPr>
            <w:r>
              <w:rPr>
                <w:rFonts w:hint="eastAsia" w:cs="Times New Roman"/>
                <w:kern w:val="0"/>
                <w:sz w:val="21"/>
                <w:szCs w:val="21"/>
                <w:highlight w:val="none"/>
                <w:lang w:val="en-US" w:eastAsia="zh-CN"/>
              </w:rPr>
              <w:t>一级</w:t>
            </w:r>
            <w:r>
              <w:rPr>
                <w:rFonts w:hint="eastAsia" w:cs="Times New Roman"/>
                <w:kern w:val="0"/>
                <w:sz w:val="21"/>
                <w:szCs w:val="21"/>
                <w:highlight w:val="none"/>
                <w:lang w:eastAsia="zh-CN"/>
              </w:rPr>
              <w:t>□</w:t>
            </w:r>
          </w:p>
        </w:tc>
        <w:tc>
          <w:tcPr>
            <w:tcW w:w="1282" w:type="dxa"/>
            <w:gridSpan w:val="2"/>
            <w:vAlign w:val="center"/>
          </w:tcPr>
          <w:p w14:paraId="5EA5ECEE">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二级</w:t>
            </w:r>
            <w:r>
              <w:rPr>
                <w:rFonts w:hint="eastAsia" w:cs="Times New Roman"/>
                <w:kern w:val="0"/>
                <w:sz w:val="21"/>
                <w:szCs w:val="21"/>
                <w:highlight w:val="none"/>
                <w:lang w:eastAsia="zh-CN"/>
              </w:rPr>
              <w:t>□</w:t>
            </w:r>
          </w:p>
        </w:tc>
        <w:tc>
          <w:tcPr>
            <w:tcW w:w="1595" w:type="dxa"/>
            <w:gridSpan w:val="2"/>
            <w:vAlign w:val="center"/>
          </w:tcPr>
          <w:p w14:paraId="4F7DE74B">
            <w:pPr>
              <w:adjustRightInd w:val="0"/>
              <w:snapToGrid w:val="0"/>
              <w:spacing w:line="240" w:lineRule="auto"/>
              <w:ind w:firstLine="0" w:firstLineChars="0"/>
              <w:jc w:val="center"/>
              <w:rPr>
                <w:rFonts w:hint="eastAsia" w:eastAsia="宋体" w:cs="Times New Roman"/>
                <w:sz w:val="21"/>
                <w:szCs w:val="21"/>
                <w:highlight w:val="none"/>
                <w:lang w:eastAsia="zh-CN"/>
              </w:rPr>
            </w:pPr>
            <w:r>
              <w:rPr>
                <w:rFonts w:cs="Times New Roman"/>
                <w:kern w:val="0"/>
                <w:sz w:val="21"/>
                <w:szCs w:val="21"/>
                <w:highlight w:val="none"/>
              </w:rPr>
              <w:t>三级</w:t>
            </w:r>
            <w:r>
              <w:rPr>
                <w:rFonts w:hint="eastAsia" w:cs="Times New Roman"/>
                <w:kern w:val="0"/>
                <w:sz w:val="21"/>
                <w:szCs w:val="21"/>
                <w:highlight w:val="none"/>
                <w:lang w:eastAsia="zh-CN"/>
              </w:rPr>
              <w:t>□</w:t>
            </w:r>
          </w:p>
        </w:tc>
        <w:tc>
          <w:tcPr>
            <w:tcW w:w="1477" w:type="dxa"/>
            <w:vAlign w:val="center"/>
          </w:tcPr>
          <w:p w14:paraId="620BB3B3">
            <w:pPr>
              <w:adjustRightInd w:val="0"/>
              <w:snapToGrid w:val="0"/>
              <w:spacing w:line="240" w:lineRule="auto"/>
              <w:ind w:firstLine="0" w:firstLineChars="0"/>
              <w:jc w:val="center"/>
              <w:rPr>
                <w:rFonts w:hint="eastAsia" w:eastAsia="宋体" w:cs="Times New Roman"/>
                <w:sz w:val="21"/>
                <w:szCs w:val="21"/>
                <w:highlight w:val="none"/>
                <w:lang w:eastAsia="zh-CN"/>
              </w:rPr>
            </w:pPr>
            <w:r>
              <w:rPr>
                <w:rFonts w:cs="Times New Roman"/>
                <w:kern w:val="0"/>
                <w:sz w:val="21"/>
                <w:szCs w:val="21"/>
                <w:highlight w:val="none"/>
              </w:rPr>
              <w:t>简单分析</w:t>
            </w:r>
            <w:r>
              <w:rPr>
                <w:rFonts w:hint="eastAsia" w:cs="Times New Roman"/>
                <w:kern w:val="0"/>
                <w:sz w:val="21"/>
                <w:szCs w:val="21"/>
                <w:highlight w:val="none"/>
                <w:lang w:eastAsia="zh-CN"/>
              </w:rPr>
              <w:t>☑</w:t>
            </w:r>
          </w:p>
        </w:tc>
      </w:tr>
      <w:tr w14:paraId="6851C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3" w:type="dxa"/>
            <w:gridSpan w:val="2"/>
            <w:vMerge w:val="continue"/>
            <w:vAlign w:val="center"/>
          </w:tcPr>
          <w:p w14:paraId="4DD88A11">
            <w:pPr>
              <w:adjustRightInd w:val="0"/>
              <w:snapToGrid w:val="0"/>
              <w:spacing w:line="240" w:lineRule="auto"/>
              <w:ind w:firstLine="0" w:firstLineChars="0"/>
              <w:jc w:val="center"/>
              <w:rPr>
                <w:rFonts w:cs="Times New Roman"/>
                <w:kern w:val="0"/>
                <w:sz w:val="21"/>
                <w:szCs w:val="21"/>
                <w:highlight w:val="none"/>
              </w:rPr>
            </w:pPr>
          </w:p>
        </w:tc>
        <w:tc>
          <w:tcPr>
            <w:tcW w:w="1031" w:type="dxa"/>
            <w:vAlign w:val="center"/>
          </w:tcPr>
          <w:p w14:paraId="74C2D3BA">
            <w:pPr>
              <w:adjustRightInd w:val="0"/>
              <w:snapToGrid w:val="0"/>
              <w:spacing w:line="240" w:lineRule="auto"/>
              <w:ind w:firstLine="0" w:firstLineChars="0"/>
              <w:jc w:val="center"/>
              <w:rPr>
                <w:rFonts w:cs="Times New Roman"/>
                <w:kern w:val="0"/>
                <w:sz w:val="21"/>
                <w:szCs w:val="21"/>
                <w:highlight w:val="none"/>
              </w:rPr>
            </w:pPr>
            <w:r>
              <w:rPr>
                <w:rFonts w:cs="Times New Roman"/>
                <w:kern w:val="0"/>
                <w:sz w:val="21"/>
                <w:szCs w:val="21"/>
                <w:highlight w:val="none"/>
              </w:rPr>
              <w:t>地表水</w:t>
            </w:r>
          </w:p>
        </w:tc>
        <w:tc>
          <w:tcPr>
            <w:tcW w:w="2031" w:type="dxa"/>
            <w:gridSpan w:val="2"/>
            <w:vAlign w:val="center"/>
          </w:tcPr>
          <w:p w14:paraId="6B611ED6">
            <w:pPr>
              <w:adjustRightInd w:val="0"/>
              <w:snapToGrid w:val="0"/>
              <w:spacing w:line="240" w:lineRule="auto"/>
              <w:ind w:firstLine="0" w:firstLineChars="0"/>
              <w:jc w:val="center"/>
              <w:rPr>
                <w:rFonts w:cs="Times New Roman"/>
                <w:kern w:val="0"/>
                <w:sz w:val="21"/>
                <w:szCs w:val="21"/>
                <w:highlight w:val="none"/>
              </w:rPr>
            </w:pPr>
            <w:r>
              <w:rPr>
                <w:rFonts w:hint="eastAsia" w:cs="Times New Roman"/>
                <w:kern w:val="0"/>
                <w:sz w:val="21"/>
                <w:szCs w:val="21"/>
                <w:highlight w:val="none"/>
                <w:lang w:val="en-US" w:eastAsia="zh-CN"/>
              </w:rPr>
              <w:t>一级</w:t>
            </w:r>
            <w:r>
              <w:rPr>
                <w:rFonts w:hint="eastAsia" w:cs="Times New Roman"/>
                <w:kern w:val="0"/>
                <w:sz w:val="21"/>
                <w:szCs w:val="21"/>
                <w:highlight w:val="none"/>
                <w:lang w:eastAsia="zh-CN"/>
              </w:rPr>
              <w:t>□</w:t>
            </w:r>
          </w:p>
        </w:tc>
        <w:tc>
          <w:tcPr>
            <w:tcW w:w="1282" w:type="dxa"/>
            <w:gridSpan w:val="2"/>
            <w:vAlign w:val="center"/>
          </w:tcPr>
          <w:p w14:paraId="5A7D6CED">
            <w:pPr>
              <w:adjustRightInd w:val="0"/>
              <w:snapToGrid w:val="0"/>
              <w:spacing w:line="240" w:lineRule="auto"/>
              <w:ind w:firstLine="0" w:firstLineChars="0"/>
              <w:jc w:val="center"/>
              <w:rPr>
                <w:rFonts w:cs="Times New Roman"/>
                <w:kern w:val="0"/>
                <w:sz w:val="21"/>
                <w:szCs w:val="21"/>
                <w:highlight w:val="none"/>
              </w:rPr>
            </w:pPr>
            <w:r>
              <w:rPr>
                <w:rFonts w:cs="Times New Roman"/>
                <w:kern w:val="0"/>
                <w:sz w:val="21"/>
                <w:szCs w:val="21"/>
                <w:highlight w:val="none"/>
              </w:rPr>
              <w:t>二级</w:t>
            </w:r>
            <w:r>
              <w:rPr>
                <w:rFonts w:hint="eastAsia" w:cs="Times New Roman"/>
                <w:kern w:val="0"/>
                <w:sz w:val="21"/>
                <w:szCs w:val="21"/>
                <w:highlight w:val="none"/>
                <w:lang w:eastAsia="zh-CN"/>
              </w:rPr>
              <w:t>□</w:t>
            </w:r>
          </w:p>
        </w:tc>
        <w:tc>
          <w:tcPr>
            <w:tcW w:w="1595" w:type="dxa"/>
            <w:gridSpan w:val="2"/>
            <w:vAlign w:val="center"/>
          </w:tcPr>
          <w:p w14:paraId="769F2143">
            <w:pPr>
              <w:adjustRightInd w:val="0"/>
              <w:snapToGrid w:val="0"/>
              <w:spacing w:line="240" w:lineRule="auto"/>
              <w:ind w:firstLine="0" w:firstLineChars="0"/>
              <w:jc w:val="center"/>
              <w:rPr>
                <w:rFonts w:hint="eastAsia" w:eastAsia="宋体" w:cs="Times New Roman"/>
                <w:kern w:val="0"/>
                <w:sz w:val="21"/>
                <w:szCs w:val="21"/>
                <w:highlight w:val="none"/>
                <w:lang w:eastAsia="zh-CN"/>
              </w:rPr>
            </w:pPr>
            <w:r>
              <w:rPr>
                <w:rFonts w:cs="Times New Roman"/>
                <w:kern w:val="0"/>
                <w:sz w:val="21"/>
                <w:szCs w:val="21"/>
                <w:highlight w:val="none"/>
              </w:rPr>
              <w:t>三级</w:t>
            </w:r>
            <w:r>
              <w:rPr>
                <w:rFonts w:hint="eastAsia" w:cs="Times New Roman"/>
                <w:kern w:val="0"/>
                <w:sz w:val="21"/>
                <w:szCs w:val="21"/>
                <w:highlight w:val="none"/>
                <w:lang w:eastAsia="zh-CN"/>
              </w:rPr>
              <w:t>□</w:t>
            </w:r>
          </w:p>
        </w:tc>
        <w:tc>
          <w:tcPr>
            <w:tcW w:w="1477" w:type="dxa"/>
            <w:vAlign w:val="center"/>
          </w:tcPr>
          <w:p w14:paraId="344CF4E5">
            <w:pPr>
              <w:adjustRightInd w:val="0"/>
              <w:snapToGrid w:val="0"/>
              <w:spacing w:line="240" w:lineRule="auto"/>
              <w:ind w:firstLine="0" w:firstLineChars="0"/>
              <w:jc w:val="center"/>
              <w:rPr>
                <w:rFonts w:hint="eastAsia" w:eastAsia="宋体" w:cs="Times New Roman"/>
                <w:kern w:val="0"/>
                <w:sz w:val="21"/>
                <w:szCs w:val="21"/>
                <w:highlight w:val="none"/>
                <w:lang w:eastAsia="zh-CN"/>
              </w:rPr>
            </w:pPr>
            <w:r>
              <w:rPr>
                <w:rFonts w:cs="Times New Roman"/>
                <w:kern w:val="0"/>
                <w:sz w:val="21"/>
                <w:szCs w:val="21"/>
                <w:highlight w:val="none"/>
              </w:rPr>
              <w:t>简单分析</w:t>
            </w:r>
            <w:r>
              <w:rPr>
                <w:rFonts w:hint="eastAsia" w:cs="Times New Roman"/>
                <w:kern w:val="0"/>
                <w:sz w:val="21"/>
                <w:szCs w:val="21"/>
                <w:highlight w:val="none"/>
                <w:lang w:eastAsia="zh-CN"/>
              </w:rPr>
              <w:t>☑</w:t>
            </w:r>
          </w:p>
        </w:tc>
      </w:tr>
      <w:tr w14:paraId="2978C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3" w:type="dxa"/>
            <w:gridSpan w:val="2"/>
            <w:vMerge w:val="continue"/>
            <w:vAlign w:val="center"/>
          </w:tcPr>
          <w:p w14:paraId="1894DFD5">
            <w:pPr>
              <w:adjustRightInd w:val="0"/>
              <w:snapToGrid w:val="0"/>
              <w:spacing w:line="240" w:lineRule="auto"/>
              <w:ind w:firstLine="0" w:firstLineChars="0"/>
              <w:jc w:val="center"/>
              <w:rPr>
                <w:rFonts w:cs="Times New Roman"/>
                <w:kern w:val="0"/>
                <w:sz w:val="21"/>
                <w:szCs w:val="21"/>
                <w:highlight w:val="none"/>
              </w:rPr>
            </w:pPr>
          </w:p>
        </w:tc>
        <w:tc>
          <w:tcPr>
            <w:tcW w:w="1031" w:type="dxa"/>
            <w:vAlign w:val="center"/>
          </w:tcPr>
          <w:p w14:paraId="6EBDBE60">
            <w:pPr>
              <w:adjustRightInd w:val="0"/>
              <w:snapToGrid w:val="0"/>
              <w:spacing w:line="240" w:lineRule="auto"/>
              <w:ind w:firstLine="0" w:firstLineChars="0"/>
              <w:jc w:val="center"/>
              <w:rPr>
                <w:rFonts w:cs="Times New Roman"/>
                <w:kern w:val="0"/>
                <w:sz w:val="21"/>
                <w:szCs w:val="21"/>
                <w:highlight w:val="none"/>
              </w:rPr>
            </w:pPr>
            <w:r>
              <w:rPr>
                <w:rFonts w:cs="Times New Roman"/>
                <w:kern w:val="0"/>
                <w:sz w:val="21"/>
                <w:szCs w:val="21"/>
                <w:highlight w:val="none"/>
              </w:rPr>
              <w:t>地下水</w:t>
            </w:r>
          </w:p>
        </w:tc>
        <w:tc>
          <w:tcPr>
            <w:tcW w:w="2031" w:type="dxa"/>
            <w:gridSpan w:val="2"/>
            <w:vAlign w:val="center"/>
          </w:tcPr>
          <w:p w14:paraId="466646C2">
            <w:pPr>
              <w:adjustRightInd w:val="0"/>
              <w:snapToGrid w:val="0"/>
              <w:spacing w:line="240" w:lineRule="auto"/>
              <w:ind w:firstLine="0" w:firstLineChars="0"/>
              <w:jc w:val="center"/>
              <w:rPr>
                <w:rFonts w:cs="Times New Roman"/>
                <w:kern w:val="0"/>
                <w:sz w:val="21"/>
                <w:szCs w:val="21"/>
                <w:highlight w:val="none"/>
              </w:rPr>
            </w:pPr>
            <w:r>
              <w:rPr>
                <w:rFonts w:hint="eastAsia" w:cs="Times New Roman"/>
                <w:kern w:val="0"/>
                <w:sz w:val="21"/>
                <w:szCs w:val="21"/>
                <w:highlight w:val="none"/>
                <w:lang w:val="en-US" w:eastAsia="zh-CN"/>
              </w:rPr>
              <w:t>一级</w:t>
            </w:r>
            <w:r>
              <w:rPr>
                <w:rFonts w:hint="eastAsia" w:cs="Times New Roman"/>
                <w:kern w:val="0"/>
                <w:sz w:val="21"/>
                <w:szCs w:val="21"/>
                <w:highlight w:val="none"/>
                <w:lang w:eastAsia="zh-CN"/>
              </w:rPr>
              <w:t>□</w:t>
            </w:r>
          </w:p>
        </w:tc>
        <w:tc>
          <w:tcPr>
            <w:tcW w:w="1282" w:type="dxa"/>
            <w:gridSpan w:val="2"/>
            <w:vAlign w:val="center"/>
          </w:tcPr>
          <w:p w14:paraId="3F86705A">
            <w:pPr>
              <w:adjustRightInd w:val="0"/>
              <w:snapToGrid w:val="0"/>
              <w:spacing w:line="240" w:lineRule="auto"/>
              <w:ind w:firstLine="0" w:firstLineChars="0"/>
              <w:jc w:val="center"/>
              <w:rPr>
                <w:rFonts w:cs="Times New Roman"/>
                <w:kern w:val="0"/>
                <w:sz w:val="21"/>
                <w:szCs w:val="21"/>
                <w:highlight w:val="none"/>
              </w:rPr>
            </w:pPr>
            <w:r>
              <w:rPr>
                <w:rFonts w:cs="Times New Roman"/>
                <w:kern w:val="0"/>
                <w:sz w:val="21"/>
                <w:szCs w:val="21"/>
                <w:highlight w:val="none"/>
              </w:rPr>
              <w:t>二级</w:t>
            </w:r>
            <w:r>
              <w:rPr>
                <w:rFonts w:hint="eastAsia" w:cs="Times New Roman"/>
                <w:kern w:val="0"/>
                <w:sz w:val="21"/>
                <w:szCs w:val="21"/>
                <w:highlight w:val="none"/>
                <w:lang w:eastAsia="zh-CN"/>
              </w:rPr>
              <w:t>□</w:t>
            </w:r>
          </w:p>
        </w:tc>
        <w:tc>
          <w:tcPr>
            <w:tcW w:w="1595" w:type="dxa"/>
            <w:gridSpan w:val="2"/>
            <w:vAlign w:val="center"/>
          </w:tcPr>
          <w:p w14:paraId="222D0DF7">
            <w:pPr>
              <w:adjustRightInd w:val="0"/>
              <w:snapToGrid w:val="0"/>
              <w:spacing w:line="240" w:lineRule="auto"/>
              <w:ind w:firstLine="0" w:firstLineChars="0"/>
              <w:jc w:val="center"/>
              <w:rPr>
                <w:rFonts w:hint="eastAsia" w:eastAsia="宋体" w:cs="Times New Roman"/>
                <w:kern w:val="0"/>
                <w:sz w:val="21"/>
                <w:szCs w:val="21"/>
                <w:highlight w:val="none"/>
                <w:lang w:eastAsia="zh-CN"/>
              </w:rPr>
            </w:pPr>
            <w:r>
              <w:rPr>
                <w:rFonts w:cs="Times New Roman"/>
                <w:kern w:val="0"/>
                <w:sz w:val="21"/>
                <w:szCs w:val="21"/>
                <w:highlight w:val="none"/>
              </w:rPr>
              <w:t>三级</w:t>
            </w:r>
            <w:r>
              <w:rPr>
                <w:rFonts w:hint="eastAsia" w:cs="Times New Roman"/>
                <w:kern w:val="0"/>
                <w:sz w:val="21"/>
                <w:szCs w:val="21"/>
                <w:highlight w:val="none"/>
                <w:lang w:eastAsia="zh-CN"/>
              </w:rPr>
              <w:t>□</w:t>
            </w:r>
          </w:p>
        </w:tc>
        <w:tc>
          <w:tcPr>
            <w:tcW w:w="1477" w:type="dxa"/>
            <w:vAlign w:val="center"/>
          </w:tcPr>
          <w:p w14:paraId="62132713">
            <w:pPr>
              <w:adjustRightInd w:val="0"/>
              <w:snapToGrid w:val="0"/>
              <w:spacing w:line="240" w:lineRule="auto"/>
              <w:ind w:firstLine="0" w:firstLineChars="0"/>
              <w:jc w:val="center"/>
              <w:rPr>
                <w:rFonts w:hint="eastAsia" w:eastAsia="宋体" w:cs="Times New Roman"/>
                <w:kern w:val="0"/>
                <w:sz w:val="21"/>
                <w:szCs w:val="21"/>
                <w:highlight w:val="none"/>
                <w:lang w:eastAsia="zh-CN"/>
              </w:rPr>
            </w:pPr>
            <w:r>
              <w:rPr>
                <w:rFonts w:cs="Times New Roman"/>
                <w:kern w:val="0"/>
                <w:sz w:val="21"/>
                <w:szCs w:val="21"/>
                <w:highlight w:val="none"/>
              </w:rPr>
              <w:t>简单分析</w:t>
            </w:r>
            <w:r>
              <w:rPr>
                <w:rFonts w:hint="eastAsia" w:cs="Times New Roman"/>
                <w:kern w:val="0"/>
                <w:sz w:val="21"/>
                <w:szCs w:val="21"/>
                <w:highlight w:val="none"/>
                <w:lang w:eastAsia="zh-CN"/>
              </w:rPr>
              <w:t>☑</w:t>
            </w:r>
          </w:p>
        </w:tc>
      </w:tr>
      <w:tr w14:paraId="7C707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7" w:type="dxa"/>
            <w:vMerge w:val="restart"/>
            <w:vAlign w:val="center"/>
          </w:tcPr>
          <w:p w14:paraId="2EA89242">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风险识别</w:t>
            </w:r>
          </w:p>
        </w:tc>
        <w:tc>
          <w:tcPr>
            <w:tcW w:w="1146" w:type="dxa"/>
            <w:vAlign w:val="center"/>
          </w:tcPr>
          <w:p w14:paraId="23F6D2BE">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物质危险性</w:t>
            </w:r>
          </w:p>
        </w:tc>
        <w:tc>
          <w:tcPr>
            <w:tcW w:w="4344" w:type="dxa"/>
            <w:gridSpan w:val="5"/>
            <w:vAlign w:val="center"/>
          </w:tcPr>
          <w:p w14:paraId="286804B5">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有毒有害</w:t>
            </w:r>
            <w:r>
              <w:rPr>
                <w:rFonts w:hint="eastAsia" w:cs="Times New Roman"/>
                <w:kern w:val="0"/>
                <w:sz w:val="21"/>
                <w:szCs w:val="21"/>
                <w:highlight w:val="none"/>
                <w:lang w:eastAsia="zh-CN"/>
              </w:rPr>
              <w:t>☑</w:t>
            </w:r>
          </w:p>
        </w:tc>
        <w:tc>
          <w:tcPr>
            <w:tcW w:w="3072" w:type="dxa"/>
            <w:gridSpan w:val="3"/>
            <w:vAlign w:val="center"/>
          </w:tcPr>
          <w:p w14:paraId="3395EAA3">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易燃易爆</w:t>
            </w:r>
            <w:r>
              <w:rPr>
                <w:rFonts w:hint="eastAsia" w:cs="Times New Roman"/>
                <w:kern w:val="0"/>
                <w:sz w:val="21"/>
                <w:szCs w:val="21"/>
                <w:highlight w:val="none"/>
                <w:lang w:eastAsia="zh-CN"/>
              </w:rPr>
              <w:t>☑</w:t>
            </w:r>
          </w:p>
        </w:tc>
      </w:tr>
      <w:tr w14:paraId="74AD1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7" w:type="dxa"/>
            <w:vMerge w:val="continue"/>
            <w:vAlign w:val="center"/>
          </w:tcPr>
          <w:p w14:paraId="747E7A03">
            <w:pPr>
              <w:adjustRightInd w:val="0"/>
              <w:snapToGrid w:val="0"/>
              <w:spacing w:line="240" w:lineRule="auto"/>
              <w:ind w:firstLine="0" w:firstLineChars="0"/>
              <w:jc w:val="center"/>
              <w:rPr>
                <w:rFonts w:cs="Times New Roman"/>
                <w:sz w:val="21"/>
                <w:szCs w:val="21"/>
                <w:highlight w:val="none"/>
              </w:rPr>
            </w:pPr>
          </w:p>
        </w:tc>
        <w:tc>
          <w:tcPr>
            <w:tcW w:w="1146" w:type="dxa"/>
            <w:vAlign w:val="center"/>
          </w:tcPr>
          <w:p w14:paraId="701115A7">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环境风险类型</w:t>
            </w:r>
          </w:p>
        </w:tc>
        <w:tc>
          <w:tcPr>
            <w:tcW w:w="4344" w:type="dxa"/>
            <w:gridSpan w:val="5"/>
            <w:vAlign w:val="center"/>
          </w:tcPr>
          <w:p w14:paraId="4DD041C3">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泄漏</w:t>
            </w:r>
            <w:r>
              <w:rPr>
                <w:rFonts w:hint="eastAsia" w:cs="Times New Roman"/>
                <w:kern w:val="0"/>
                <w:sz w:val="21"/>
                <w:szCs w:val="21"/>
                <w:highlight w:val="none"/>
                <w:lang w:eastAsia="zh-CN"/>
              </w:rPr>
              <w:t>☑</w:t>
            </w:r>
          </w:p>
        </w:tc>
        <w:tc>
          <w:tcPr>
            <w:tcW w:w="3072" w:type="dxa"/>
            <w:gridSpan w:val="3"/>
            <w:vAlign w:val="center"/>
          </w:tcPr>
          <w:p w14:paraId="131CD89B">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火灾、爆炸引发</w:t>
            </w:r>
            <w:r>
              <w:rPr>
                <w:rFonts w:hint="eastAsia" w:cs="Times New Roman"/>
                <w:kern w:val="0"/>
                <w:sz w:val="21"/>
                <w:szCs w:val="21"/>
                <w:highlight w:val="none"/>
                <w:lang w:eastAsia="zh-CN"/>
              </w:rPr>
              <w:t>的</w:t>
            </w:r>
            <w:r>
              <w:rPr>
                <w:rFonts w:cs="Times New Roman"/>
                <w:kern w:val="0"/>
                <w:sz w:val="21"/>
                <w:szCs w:val="21"/>
                <w:highlight w:val="none"/>
              </w:rPr>
              <w:t>伴生/次生污染物排放</w:t>
            </w:r>
            <w:r>
              <w:rPr>
                <w:rFonts w:hint="eastAsia" w:cs="Times New Roman"/>
                <w:kern w:val="0"/>
                <w:sz w:val="21"/>
                <w:szCs w:val="21"/>
                <w:highlight w:val="none"/>
                <w:lang w:eastAsia="zh-CN"/>
              </w:rPr>
              <w:t>☑</w:t>
            </w:r>
          </w:p>
        </w:tc>
      </w:tr>
      <w:tr w14:paraId="5B19B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7" w:type="dxa"/>
            <w:vMerge w:val="continue"/>
            <w:vAlign w:val="center"/>
          </w:tcPr>
          <w:p w14:paraId="604E7180">
            <w:pPr>
              <w:adjustRightInd w:val="0"/>
              <w:snapToGrid w:val="0"/>
              <w:spacing w:line="240" w:lineRule="auto"/>
              <w:ind w:firstLine="0" w:firstLineChars="0"/>
              <w:jc w:val="center"/>
              <w:rPr>
                <w:rFonts w:cs="Times New Roman"/>
                <w:sz w:val="21"/>
                <w:szCs w:val="21"/>
                <w:highlight w:val="none"/>
              </w:rPr>
            </w:pPr>
          </w:p>
        </w:tc>
        <w:tc>
          <w:tcPr>
            <w:tcW w:w="1146" w:type="dxa"/>
            <w:vAlign w:val="center"/>
          </w:tcPr>
          <w:p w14:paraId="46EBFD91">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影响途径</w:t>
            </w:r>
          </w:p>
        </w:tc>
        <w:tc>
          <w:tcPr>
            <w:tcW w:w="2559" w:type="dxa"/>
            <w:gridSpan w:val="2"/>
            <w:vAlign w:val="center"/>
          </w:tcPr>
          <w:p w14:paraId="70055BC9">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大气</w:t>
            </w:r>
            <w:r>
              <w:rPr>
                <w:rFonts w:hint="eastAsia" w:cs="Times New Roman"/>
                <w:kern w:val="0"/>
                <w:sz w:val="21"/>
                <w:szCs w:val="21"/>
                <w:highlight w:val="none"/>
                <w:lang w:eastAsia="zh-CN"/>
              </w:rPr>
              <w:t>☑</w:t>
            </w:r>
          </w:p>
        </w:tc>
        <w:tc>
          <w:tcPr>
            <w:tcW w:w="2800" w:type="dxa"/>
            <w:gridSpan w:val="4"/>
            <w:vAlign w:val="center"/>
          </w:tcPr>
          <w:p w14:paraId="6A0FF6BE">
            <w:pPr>
              <w:adjustRightInd w:val="0"/>
              <w:snapToGrid w:val="0"/>
              <w:spacing w:line="240" w:lineRule="auto"/>
              <w:ind w:firstLine="0" w:firstLineChars="0"/>
              <w:jc w:val="center"/>
              <w:rPr>
                <w:rFonts w:hint="eastAsia" w:eastAsia="宋体" w:cs="Times New Roman"/>
                <w:sz w:val="21"/>
                <w:szCs w:val="21"/>
                <w:highlight w:val="none"/>
                <w:lang w:eastAsia="zh-CN"/>
              </w:rPr>
            </w:pPr>
            <w:r>
              <w:rPr>
                <w:rFonts w:cs="Times New Roman"/>
                <w:kern w:val="0"/>
                <w:sz w:val="21"/>
                <w:szCs w:val="21"/>
                <w:highlight w:val="none"/>
              </w:rPr>
              <w:t>地表水</w:t>
            </w:r>
            <w:r>
              <w:rPr>
                <w:rFonts w:hint="eastAsia" w:cs="Times New Roman"/>
                <w:kern w:val="0"/>
                <w:sz w:val="21"/>
                <w:szCs w:val="21"/>
                <w:highlight w:val="none"/>
                <w:lang w:eastAsia="zh-CN"/>
              </w:rPr>
              <w:t>□</w:t>
            </w:r>
          </w:p>
        </w:tc>
        <w:tc>
          <w:tcPr>
            <w:tcW w:w="2057" w:type="dxa"/>
            <w:gridSpan w:val="2"/>
            <w:vAlign w:val="center"/>
          </w:tcPr>
          <w:p w14:paraId="7ED64964">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地下水</w:t>
            </w:r>
            <w:r>
              <w:rPr>
                <w:rFonts w:hint="eastAsia" w:cs="Times New Roman"/>
                <w:kern w:val="0"/>
                <w:sz w:val="21"/>
                <w:szCs w:val="21"/>
                <w:highlight w:val="none"/>
                <w:lang w:eastAsia="zh-CN"/>
              </w:rPr>
              <w:t>☑</w:t>
            </w:r>
          </w:p>
        </w:tc>
      </w:tr>
      <w:tr w14:paraId="1A80A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3" w:type="dxa"/>
            <w:gridSpan w:val="2"/>
            <w:vAlign w:val="center"/>
          </w:tcPr>
          <w:p w14:paraId="3CAB71C9">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事故情形分析</w:t>
            </w:r>
          </w:p>
        </w:tc>
        <w:tc>
          <w:tcPr>
            <w:tcW w:w="1031" w:type="dxa"/>
            <w:vAlign w:val="center"/>
          </w:tcPr>
          <w:p w14:paraId="2A879FC7">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源强设定方法</w:t>
            </w:r>
          </w:p>
        </w:tc>
        <w:tc>
          <w:tcPr>
            <w:tcW w:w="2251" w:type="dxa"/>
            <w:gridSpan w:val="3"/>
            <w:vAlign w:val="center"/>
          </w:tcPr>
          <w:p w14:paraId="0E2DF977">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计算</w:t>
            </w:r>
            <w:r>
              <w:rPr>
                <w:rFonts w:hint="eastAsia" w:cs="Times New Roman"/>
                <w:kern w:val="0"/>
                <w:sz w:val="21"/>
                <w:szCs w:val="21"/>
                <w:highlight w:val="none"/>
                <w:lang w:eastAsia="zh-CN"/>
              </w:rPr>
              <w:t>方法□</w:t>
            </w:r>
          </w:p>
        </w:tc>
        <w:tc>
          <w:tcPr>
            <w:tcW w:w="2077" w:type="dxa"/>
            <w:gridSpan w:val="2"/>
            <w:vAlign w:val="center"/>
          </w:tcPr>
          <w:p w14:paraId="68DFBE05">
            <w:pPr>
              <w:adjustRightInd w:val="0"/>
              <w:snapToGrid w:val="0"/>
              <w:spacing w:line="240" w:lineRule="auto"/>
              <w:ind w:firstLine="0" w:firstLineChars="0"/>
              <w:jc w:val="center"/>
              <w:rPr>
                <w:rFonts w:hint="eastAsia" w:eastAsia="宋体" w:cs="Times New Roman"/>
                <w:sz w:val="21"/>
                <w:szCs w:val="21"/>
                <w:highlight w:val="none"/>
                <w:lang w:eastAsia="zh-CN"/>
              </w:rPr>
            </w:pPr>
            <w:r>
              <w:rPr>
                <w:rFonts w:cs="Times New Roman"/>
                <w:kern w:val="0"/>
                <w:sz w:val="21"/>
                <w:szCs w:val="21"/>
                <w:highlight w:val="none"/>
              </w:rPr>
              <w:t>经验估算法</w:t>
            </w:r>
            <w:r>
              <w:rPr>
                <w:rFonts w:hint="eastAsia" w:cs="Times New Roman"/>
                <w:kern w:val="0"/>
                <w:sz w:val="21"/>
                <w:szCs w:val="21"/>
                <w:highlight w:val="none"/>
                <w:lang w:eastAsia="zh-CN"/>
              </w:rPr>
              <w:t>□</w:t>
            </w:r>
          </w:p>
        </w:tc>
        <w:tc>
          <w:tcPr>
            <w:tcW w:w="2057" w:type="dxa"/>
            <w:gridSpan w:val="2"/>
            <w:vAlign w:val="center"/>
          </w:tcPr>
          <w:p w14:paraId="0979549A">
            <w:pPr>
              <w:adjustRightInd w:val="0"/>
              <w:snapToGrid w:val="0"/>
              <w:spacing w:line="240" w:lineRule="auto"/>
              <w:ind w:firstLine="0" w:firstLineChars="0"/>
              <w:jc w:val="center"/>
              <w:rPr>
                <w:rFonts w:hint="eastAsia" w:eastAsia="宋体" w:cs="Times New Roman"/>
                <w:sz w:val="21"/>
                <w:szCs w:val="21"/>
                <w:highlight w:val="none"/>
                <w:lang w:eastAsia="zh-CN"/>
              </w:rPr>
            </w:pPr>
            <w:r>
              <w:rPr>
                <w:rFonts w:cs="Times New Roman"/>
                <w:kern w:val="0"/>
                <w:sz w:val="21"/>
                <w:szCs w:val="21"/>
                <w:highlight w:val="none"/>
              </w:rPr>
              <w:t>其他估算法</w:t>
            </w:r>
            <w:r>
              <w:rPr>
                <w:rFonts w:hint="eastAsia" w:cs="Times New Roman"/>
                <w:kern w:val="0"/>
                <w:sz w:val="21"/>
                <w:szCs w:val="21"/>
                <w:highlight w:val="none"/>
                <w:lang w:eastAsia="zh-CN"/>
              </w:rPr>
              <w:t>□</w:t>
            </w:r>
          </w:p>
        </w:tc>
      </w:tr>
      <w:tr w14:paraId="618E2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7" w:type="dxa"/>
            <w:vMerge w:val="restart"/>
            <w:vAlign w:val="center"/>
          </w:tcPr>
          <w:p w14:paraId="66531AC1">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风险预测与评价</w:t>
            </w:r>
          </w:p>
        </w:tc>
        <w:tc>
          <w:tcPr>
            <w:tcW w:w="1146" w:type="dxa"/>
            <w:vMerge w:val="restart"/>
            <w:vAlign w:val="center"/>
          </w:tcPr>
          <w:p w14:paraId="3DB32F3D">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大气</w:t>
            </w:r>
          </w:p>
        </w:tc>
        <w:tc>
          <w:tcPr>
            <w:tcW w:w="1031" w:type="dxa"/>
            <w:vAlign w:val="center"/>
          </w:tcPr>
          <w:p w14:paraId="4D929BDB">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预测模型</w:t>
            </w:r>
          </w:p>
        </w:tc>
        <w:tc>
          <w:tcPr>
            <w:tcW w:w="2251" w:type="dxa"/>
            <w:gridSpan w:val="3"/>
            <w:vAlign w:val="center"/>
          </w:tcPr>
          <w:p w14:paraId="4E93C1D4">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SLAB</w:t>
            </w:r>
            <w:r>
              <w:rPr>
                <w:rFonts w:hint="eastAsia" w:cs="Times New Roman"/>
                <w:kern w:val="0"/>
                <w:sz w:val="21"/>
                <w:szCs w:val="21"/>
                <w:highlight w:val="none"/>
                <w:lang w:eastAsia="zh-CN"/>
              </w:rPr>
              <w:t>□</w:t>
            </w:r>
          </w:p>
        </w:tc>
        <w:tc>
          <w:tcPr>
            <w:tcW w:w="2077" w:type="dxa"/>
            <w:gridSpan w:val="2"/>
            <w:vAlign w:val="center"/>
          </w:tcPr>
          <w:p w14:paraId="47E43449">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AFTOX</w:t>
            </w:r>
            <w:r>
              <w:rPr>
                <w:rFonts w:hint="eastAsia" w:cs="Times New Roman"/>
                <w:kern w:val="0"/>
                <w:sz w:val="21"/>
                <w:szCs w:val="21"/>
                <w:highlight w:val="none"/>
                <w:lang w:eastAsia="zh-CN"/>
              </w:rPr>
              <w:t>□</w:t>
            </w:r>
          </w:p>
        </w:tc>
        <w:tc>
          <w:tcPr>
            <w:tcW w:w="2057" w:type="dxa"/>
            <w:gridSpan w:val="2"/>
            <w:vAlign w:val="center"/>
          </w:tcPr>
          <w:p w14:paraId="5D685D5C">
            <w:pPr>
              <w:adjustRightInd w:val="0"/>
              <w:snapToGrid w:val="0"/>
              <w:spacing w:line="240" w:lineRule="auto"/>
              <w:ind w:firstLine="0" w:firstLineChars="0"/>
              <w:jc w:val="center"/>
              <w:rPr>
                <w:rFonts w:hint="eastAsia" w:eastAsia="宋体" w:cs="Times New Roman"/>
                <w:sz w:val="21"/>
                <w:szCs w:val="21"/>
                <w:highlight w:val="none"/>
                <w:lang w:eastAsia="zh-CN"/>
              </w:rPr>
            </w:pPr>
            <w:r>
              <w:rPr>
                <w:rFonts w:cs="Times New Roman"/>
                <w:kern w:val="0"/>
                <w:sz w:val="21"/>
                <w:szCs w:val="21"/>
                <w:highlight w:val="none"/>
              </w:rPr>
              <w:t>其他</w:t>
            </w:r>
            <w:r>
              <w:rPr>
                <w:rFonts w:hint="eastAsia" w:cs="Times New Roman"/>
                <w:kern w:val="0"/>
                <w:sz w:val="21"/>
                <w:szCs w:val="21"/>
                <w:highlight w:val="none"/>
                <w:lang w:eastAsia="zh-CN"/>
              </w:rPr>
              <w:t>□</w:t>
            </w:r>
          </w:p>
        </w:tc>
      </w:tr>
      <w:tr w14:paraId="367F9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7" w:type="dxa"/>
            <w:vMerge w:val="continue"/>
            <w:vAlign w:val="center"/>
          </w:tcPr>
          <w:p w14:paraId="10251894">
            <w:pPr>
              <w:adjustRightInd w:val="0"/>
              <w:snapToGrid w:val="0"/>
              <w:spacing w:line="240" w:lineRule="auto"/>
              <w:ind w:firstLine="0" w:firstLineChars="0"/>
              <w:jc w:val="center"/>
              <w:rPr>
                <w:rFonts w:cs="Times New Roman"/>
                <w:sz w:val="21"/>
                <w:szCs w:val="21"/>
                <w:highlight w:val="none"/>
              </w:rPr>
            </w:pPr>
          </w:p>
        </w:tc>
        <w:tc>
          <w:tcPr>
            <w:tcW w:w="1146" w:type="dxa"/>
            <w:vMerge w:val="continue"/>
            <w:vAlign w:val="center"/>
          </w:tcPr>
          <w:p w14:paraId="39695377">
            <w:pPr>
              <w:adjustRightInd w:val="0"/>
              <w:snapToGrid w:val="0"/>
              <w:spacing w:line="240" w:lineRule="auto"/>
              <w:ind w:firstLine="0" w:firstLineChars="0"/>
              <w:jc w:val="center"/>
              <w:rPr>
                <w:rFonts w:cs="Times New Roman"/>
                <w:sz w:val="21"/>
                <w:szCs w:val="21"/>
                <w:highlight w:val="none"/>
              </w:rPr>
            </w:pPr>
          </w:p>
        </w:tc>
        <w:tc>
          <w:tcPr>
            <w:tcW w:w="1031" w:type="dxa"/>
            <w:vMerge w:val="restart"/>
            <w:vAlign w:val="center"/>
          </w:tcPr>
          <w:p w14:paraId="0E63E8D6">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预测结果</w:t>
            </w:r>
          </w:p>
        </w:tc>
        <w:tc>
          <w:tcPr>
            <w:tcW w:w="6385" w:type="dxa"/>
            <w:gridSpan w:val="7"/>
            <w:vAlign w:val="center"/>
          </w:tcPr>
          <w:p w14:paraId="6E34CC7C">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大气毒性终点浓度-1最大影响范围m</w:t>
            </w:r>
          </w:p>
        </w:tc>
      </w:tr>
      <w:tr w14:paraId="1FD18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7" w:type="dxa"/>
            <w:vMerge w:val="continue"/>
            <w:vAlign w:val="center"/>
          </w:tcPr>
          <w:p w14:paraId="25526A19">
            <w:pPr>
              <w:adjustRightInd w:val="0"/>
              <w:snapToGrid w:val="0"/>
              <w:spacing w:line="240" w:lineRule="auto"/>
              <w:ind w:firstLine="0" w:firstLineChars="0"/>
              <w:jc w:val="center"/>
              <w:rPr>
                <w:rFonts w:cs="Times New Roman"/>
                <w:sz w:val="21"/>
                <w:szCs w:val="21"/>
                <w:highlight w:val="none"/>
              </w:rPr>
            </w:pPr>
          </w:p>
        </w:tc>
        <w:tc>
          <w:tcPr>
            <w:tcW w:w="1146" w:type="dxa"/>
            <w:vMerge w:val="continue"/>
            <w:vAlign w:val="center"/>
          </w:tcPr>
          <w:p w14:paraId="0B4C7A63">
            <w:pPr>
              <w:adjustRightInd w:val="0"/>
              <w:snapToGrid w:val="0"/>
              <w:spacing w:line="240" w:lineRule="auto"/>
              <w:ind w:firstLine="0" w:firstLineChars="0"/>
              <w:jc w:val="center"/>
              <w:rPr>
                <w:rFonts w:cs="Times New Roman"/>
                <w:sz w:val="21"/>
                <w:szCs w:val="21"/>
                <w:highlight w:val="none"/>
              </w:rPr>
            </w:pPr>
          </w:p>
        </w:tc>
        <w:tc>
          <w:tcPr>
            <w:tcW w:w="1031" w:type="dxa"/>
            <w:vMerge w:val="continue"/>
            <w:vAlign w:val="center"/>
          </w:tcPr>
          <w:p w14:paraId="6C73393A">
            <w:pPr>
              <w:adjustRightInd w:val="0"/>
              <w:snapToGrid w:val="0"/>
              <w:spacing w:line="240" w:lineRule="auto"/>
              <w:ind w:firstLine="0" w:firstLineChars="0"/>
              <w:jc w:val="center"/>
              <w:rPr>
                <w:rFonts w:cs="Times New Roman"/>
                <w:sz w:val="21"/>
                <w:szCs w:val="21"/>
                <w:highlight w:val="none"/>
              </w:rPr>
            </w:pPr>
          </w:p>
        </w:tc>
        <w:tc>
          <w:tcPr>
            <w:tcW w:w="6385" w:type="dxa"/>
            <w:gridSpan w:val="7"/>
            <w:vAlign w:val="center"/>
          </w:tcPr>
          <w:p w14:paraId="3F004BEE">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大气毒性终点浓度-2最大影响范围m</w:t>
            </w:r>
          </w:p>
        </w:tc>
      </w:tr>
      <w:tr w14:paraId="20202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7" w:type="dxa"/>
            <w:vMerge w:val="continue"/>
            <w:vAlign w:val="center"/>
          </w:tcPr>
          <w:p w14:paraId="1A94CD50">
            <w:pPr>
              <w:adjustRightInd w:val="0"/>
              <w:snapToGrid w:val="0"/>
              <w:spacing w:line="240" w:lineRule="auto"/>
              <w:ind w:firstLine="0" w:firstLineChars="0"/>
              <w:jc w:val="center"/>
              <w:rPr>
                <w:rFonts w:cs="Times New Roman"/>
                <w:sz w:val="21"/>
                <w:szCs w:val="21"/>
                <w:highlight w:val="none"/>
              </w:rPr>
            </w:pPr>
          </w:p>
        </w:tc>
        <w:tc>
          <w:tcPr>
            <w:tcW w:w="1146" w:type="dxa"/>
            <w:vAlign w:val="center"/>
          </w:tcPr>
          <w:p w14:paraId="1245EA30">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地表水</w:t>
            </w:r>
          </w:p>
        </w:tc>
        <w:tc>
          <w:tcPr>
            <w:tcW w:w="7416" w:type="dxa"/>
            <w:gridSpan w:val="8"/>
            <w:vAlign w:val="center"/>
          </w:tcPr>
          <w:p w14:paraId="139CCDB1">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最近环境敏感目标</w:t>
            </w:r>
            <w:r>
              <w:rPr>
                <w:rFonts w:cs="Times New Roman"/>
                <w:kern w:val="0"/>
                <w:sz w:val="21"/>
                <w:szCs w:val="21"/>
                <w:highlight w:val="none"/>
                <w:u w:val="single"/>
              </w:rPr>
              <w:t>/</w:t>
            </w:r>
            <w:r>
              <w:rPr>
                <w:rFonts w:cs="Times New Roman"/>
                <w:kern w:val="0"/>
                <w:sz w:val="21"/>
                <w:szCs w:val="21"/>
                <w:highlight w:val="none"/>
              </w:rPr>
              <w:t>，到达时间</w:t>
            </w:r>
            <w:r>
              <w:rPr>
                <w:rFonts w:cs="Times New Roman"/>
                <w:kern w:val="0"/>
                <w:sz w:val="21"/>
                <w:szCs w:val="21"/>
                <w:highlight w:val="none"/>
                <w:u w:val="single"/>
              </w:rPr>
              <w:t>/</w:t>
            </w:r>
            <w:r>
              <w:rPr>
                <w:rFonts w:cs="Times New Roman"/>
                <w:kern w:val="0"/>
                <w:sz w:val="21"/>
                <w:szCs w:val="21"/>
                <w:highlight w:val="none"/>
              </w:rPr>
              <w:t>h</w:t>
            </w:r>
          </w:p>
        </w:tc>
      </w:tr>
      <w:tr w14:paraId="50376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7" w:type="dxa"/>
            <w:vMerge w:val="continue"/>
            <w:vAlign w:val="center"/>
          </w:tcPr>
          <w:p w14:paraId="45FDEC1C">
            <w:pPr>
              <w:adjustRightInd w:val="0"/>
              <w:snapToGrid w:val="0"/>
              <w:spacing w:line="240" w:lineRule="auto"/>
              <w:ind w:firstLine="0" w:firstLineChars="0"/>
              <w:jc w:val="center"/>
              <w:rPr>
                <w:rFonts w:cs="Times New Roman"/>
                <w:sz w:val="21"/>
                <w:szCs w:val="21"/>
                <w:highlight w:val="none"/>
              </w:rPr>
            </w:pPr>
          </w:p>
        </w:tc>
        <w:tc>
          <w:tcPr>
            <w:tcW w:w="1146" w:type="dxa"/>
            <w:vMerge w:val="restart"/>
            <w:vAlign w:val="center"/>
          </w:tcPr>
          <w:p w14:paraId="306DE8F4">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地下水</w:t>
            </w:r>
          </w:p>
        </w:tc>
        <w:tc>
          <w:tcPr>
            <w:tcW w:w="7416" w:type="dxa"/>
            <w:gridSpan w:val="8"/>
            <w:vAlign w:val="center"/>
          </w:tcPr>
          <w:p w14:paraId="4DC90E87">
            <w:pPr>
              <w:adjustRightInd w:val="0"/>
              <w:snapToGrid w:val="0"/>
              <w:spacing w:line="240" w:lineRule="auto"/>
              <w:ind w:firstLine="0" w:firstLineChars="0"/>
              <w:jc w:val="center"/>
              <w:rPr>
                <w:rFonts w:hint="eastAsia" w:eastAsia="宋体" w:cs="Times New Roman"/>
                <w:sz w:val="21"/>
                <w:szCs w:val="21"/>
                <w:highlight w:val="none"/>
                <w:lang w:val="en-US" w:eastAsia="zh-CN"/>
              </w:rPr>
            </w:pPr>
            <w:r>
              <w:rPr>
                <w:rFonts w:hint="eastAsia"/>
                <w:highlight w:val="none"/>
              </w:rPr>
              <w:t>下游厂区边界到达时间/d</w:t>
            </w:r>
          </w:p>
        </w:tc>
      </w:tr>
      <w:tr w14:paraId="54703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7" w:type="dxa"/>
            <w:vMerge w:val="continue"/>
            <w:vAlign w:val="center"/>
          </w:tcPr>
          <w:p w14:paraId="6275D067">
            <w:pPr>
              <w:adjustRightInd w:val="0"/>
              <w:snapToGrid w:val="0"/>
              <w:spacing w:line="240" w:lineRule="auto"/>
              <w:ind w:firstLine="0" w:firstLineChars="0"/>
              <w:jc w:val="center"/>
              <w:rPr>
                <w:rFonts w:cs="Times New Roman"/>
                <w:sz w:val="21"/>
                <w:szCs w:val="21"/>
                <w:highlight w:val="none"/>
              </w:rPr>
            </w:pPr>
          </w:p>
        </w:tc>
        <w:tc>
          <w:tcPr>
            <w:tcW w:w="1146" w:type="dxa"/>
            <w:vMerge w:val="continue"/>
            <w:vAlign w:val="center"/>
          </w:tcPr>
          <w:p w14:paraId="43538D81">
            <w:pPr>
              <w:adjustRightInd w:val="0"/>
              <w:snapToGrid w:val="0"/>
              <w:spacing w:line="240" w:lineRule="auto"/>
              <w:ind w:firstLine="0" w:firstLineChars="0"/>
              <w:jc w:val="center"/>
              <w:rPr>
                <w:rFonts w:cs="Times New Roman"/>
                <w:sz w:val="21"/>
                <w:szCs w:val="21"/>
                <w:highlight w:val="none"/>
              </w:rPr>
            </w:pPr>
          </w:p>
        </w:tc>
        <w:tc>
          <w:tcPr>
            <w:tcW w:w="7416" w:type="dxa"/>
            <w:gridSpan w:val="8"/>
            <w:vAlign w:val="center"/>
          </w:tcPr>
          <w:p w14:paraId="64679226">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最近环境敏感目标</w:t>
            </w:r>
            <w:r>
              <w:rPr>
                <w:rFonts w:cs="Times New Roman"/>
                <w:kern w:val="0"/>
                <w:sz w:val="21"/>
                <w:szCs w:val="21"/>
                <w:highlight w:val="none"/>
                <w:u w:val="single"/>
              </w:rPr>
              <w:t>/</w:t>
            </w:r>
            <w:r>
              <w:rPr>
                <w:rFonts w:cs="Times New Roman"/>
                <w:kern w:val="0"/>
                <w:sz w:val="21"/>
                <w:szCs w:val="21"/>
                <w:highlight w:val="none"/>
              </w:rPr>
              <w:t>，到达时间</w:t>
            </w:r>
            <w:r>
              <w:rPr>
                <w:rFonts w:cs="Times New Roman"/>
                <w:kern w:val="0"/>
                <w:sz w:val="21"/>
                <w:szCs w:val="21"/>
                <w:highlight w:val="none"/>
                <w:u w:val="single"/>
              </w:rPr>
              <w:t>/</w:t>
            </w:r>
            <w:r>
              <w:rPr>
                <w:rFonts w:cs="Times New Roman"/>
                <w:kern w:val="0"/>
                <w:sz w:val="21"/>
                <w:szCs w:val="21"/>
                <w:highlight w:val="none"/>
              </w:rPr>
              <w:t>d</w:t>
            </w:r>
          </w:p>
        </w:tc>
      </w:tr>
      <w:tr w14:paraId="5A45F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3" w:type="dxa"/>
            <w:gridSpan w:val="2"/>
            <w:vAlign w:val="center"/>
          </w:tcPr>
          <w:p w14:paraId="6B57C0E6">
            <w:pPr>
              <w:adjustRightInd w:val="0"/>
              <w:snapToGrid w:val="0"/>
              <w:spacing w:line="240" w:lineRule="auto"/>
              <w:ind w:firstLine="0" w:firstLineChars="0"/>
              <w:jc w:val="center"/>
              <w:rPr>
                <w:rFonts w:cs="Times New Roman"/>
                <w:sz w:val="21"/>
                <w:szCs w:val="21"/>
                <w:highlight w:val="none"/>
              </w:rPr>
            </w:pPr>
            <w:r>
              <w:rPr>
                <w:rFonts w:cs="Times New Roman"/>
                <w:sz w:val="21"/>
                <w:szCs w:val="21"/>
                <w:highlight w:val="none"/>
              </w:rPr>
              <w:t>重点风险防范措施</w:t>
            </w:r>
          </w:p>
        </w:tc>
        <w:tc>
          <w:tcPr>
            <w:tcW w:w="7416" w:type="dxa"/>
            <w:gridSpan w:val="8"/>
            <w:vAlign w:val="center"/>
          </w:tcPr>
          <w:p w14:paraId="0E47A23C">
            <w:pPr>
              <w:adjustRightInd w:val="0"/>
              <w:snapToGrid w:val="0"/>
              <w:spacing w:line="240" w:lineRule="auto"/>
              <w:ind w:firstLine="420"/>
              <w:jc w:val="left"/>
              <w:rPr>
                <w:rFonts w:cs="Times New Roman"/>
                <w:sz w:val="21"/>
                <w:szCs w:val="21"/>
                <w:highlight w:val="none"/>
              </w:rPr>
            </w:pPr>
            <w:r>
              <w:rPr>
                <w:rFonts w:cs="Times New Roman"/>
                <w:sz w:val="21"/>
                <w:szCs w:val="21"/>
                <w:highlight w:val="none"/>
              </w:rPr>
              <w:t>（1）大气环境风险防控措施</w:t>
            </w:r>
          </w:p>
          <w:p w14:paraId="1F2BC5DE">
            <w:pPr>
              <w:adjustRightInd w:val="0"/>
              <w:snapToGrid w:val="0"/>
              <w:spacing w:line="240" w:lineRule="auto"/>
              <w:ind w:firstLine="420" w:firstLineChars="200"/>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便于计量和快速切断，在合成脱碳尾气、未变换净化气、WRT甲烷气、回用水、富甲烷气</w:t>
            </w:r>
            <w:r>
              <w:rPr>
                <w:rFonts w:hint="eastAsia" w:cs="Times New Roman"/>
                <w:sz w:val="21"/>
                <w:szCs w:val="21"/>
                <w:highlight w:val="none"/>
                <w:lang w:val="en-US" w:eastAsia="zh-CN"/>
              </w:rPr>
              <w:t>等</w:t>
            </w:r>
            <w:r>
              <w:rPr>
                <w:rFonts w:hint="eastAsia" w:ascii="Times New Roman" w:hAnsi="Times New Roman" w:eastAsia="宋体" w:cs="Times New Roman"/>
                <w:sz w:val="21"/>
                <w:szCs w:val="21"/>
                <w:highlight w:val="none"/>
                <w:lang w:val="en-US" w:eastAsia="zh-CN"/>
              </w:rPr>
              <w:t>管道上设置快速切断阀，WRT甲烷气和污水2管线设置压力调节阀组和流量计，其</w:t>
            </w:r>
            <w:r>
              <w:rPr>
                <w:rFonts w:hint="eastAsia" w:cs="Times New Roman"/>
                <w:sz w:val="21"/>
                <w:szCs w:val="21"/>
                <w:highlight w:val="none"/>
                <w:lang w:val="en-US" w:eastAsia="zh-CN"/>
              </w:rPr>
              <w:t>他</w:t>
            </w:r>
            <w:r>
              <w:rPr>
                <w:rFonts w:hint="eastAsia" w:ascii="Times New Roman" w:hAnsi="Times New Roman" w:eastAsia="宋体" w:cs="Times New Roman"/>
                <w:sz w:val="21"/>
                <w:szCs w:val="21"/>
                <w:highlight w:val="none"/>
                <w:lang w:val="en-US" w:eastAsia="zh-CN"/>
              </w:rPr>
              <w:t>工艺和公用工程管道仅设置流量计用于计量结算，管线末端设置手动切断阀组。在物料输出端和接收端设置中控系统和紧急切断阀，阀门和仪表的控制信号接入伊泰化工公司DCS系统。</w:t>
            </w:r>
          </w:p>
          <w:p w14:paraId="3E400A66">
            <w:pPr>
              <w:adjustRightInd w:val="0"/>
              <w:snapToGrid w:val="0"/>
              <w:spacing w:line="240" w:lineRule="auto"/>
              <w:ind w:firstLine="420"/>
              <w:jc w:val="left"/>
              <w:rPr>
                <w:rFonts w:cs="Times New Roman"/>
                <w:sz w:val="21"/>
                <w:szCs w:val="21"/>
                <w:highlight w:val="none"/>
              </w:rPr>
            </w:pPr>
            <w:r>
              <w:rPr>
                <w:rFonts w:cs="Times New Roman"/>
                <w:sz w:val="21"/>
                <w:szCs w:val="21"/>
                <w:highlight w:val="none"/>
              </w:rPr>
              <w:t>（2）事故废水风险防控措施</w:t>
            </w:r>
          </w:p>
          <w:p w14:paraId="1126802F">
            <w:pPr>
              <w:adjustRightInd w:val="0"/>
              <w:snapToGrid w:val="0"/>
              <w:spacing w:line="240" w:lineRule="auto"/>
              <w:ind w:firstLine="420" w:firstLineChars="200"/>
              <w:rPr>
                <w:rFonts w:hint="eastAsia" w:ascii="Times New Roman" w:hAnsi="Times New Roman" w:eastAsia="宋体" w:cs="Times New Roman"/>
                <w:sz w:val="21"/>
                <w:szCs w:val="21"/>
                <w:highlight w:val="none"/>
                <w:lang w:eastAsia="zh-CN"/>
              </w:rPr>
            </w:pPr>
            <w:r>
              <w:rPr>
                <w:rFonts w:hint="eastAsia" w:ascii="Times New Roman" w:hAnsi="Times New Roman" w:eastAsia="宋体" w:cs="Times New Roman"/>
                <w:sz w:val="21"/>
                <w:szCs w:val="21"/>
                <w:highlight w:val="none"/>
                <w:lang w:val="en-US" w:eastAsia="zh-CN"/>
              </w:rPr>
              <w:t>本项目依托</w:t>
            </w:r>
            <w:r>
              <w:rPr>
                <w:rFonts w:hint="eastAsia" w:ascii="Times New Roman" w:hAnsi="Times New Roman" w:eastAsia="宋体" w:cs="Times New Roman"/>
                <w:sz w:val="21"/>
                <w:szCs w:val="21"/>
                <w:highlight w:val="none"/>
              </w:rPr>
              <w:t>内蒙古伊泰化工有限责任公司120万吨/年精细化学品示范项目已经建立</w:t>
            </w:r>
            <w:r>
              <w:rPr>
                <w:rFonts w:hint="eastAsia" w:ascii="Times New Roman" w:hAnsi="Times New Roman" w:eastAsia="宋体" w:cs="Times New Roman"/>
                <w:sz w:val="21"/>
                <w:szCs w:val="21"/>
                <w:highlight w:val="none"/>
                <w:lang w:eastAsia="zh-CN"/>
              </w:rPr>
              <w:t>的</w:t>
            </w:r>
            <w:r>
              <w:rPr>
                <w:rFonts w:hint="eastAsia" w:cs="Times New Roman"/>
                <w:sz w:val="21"/>
                <w:szCs w:val="21"/>
                <w:highlight w:val="none"/>
                <w:lang w:eastAsia="zh-CN"/>
              </w:rPr>
              <w:t>“</w:t>
            </w:r>
            <w:r>
              <w:rPr>
                <w:rFonts w:hint="default" w:ascii="Times New Roman" w:hAnsi="Times New Roman" w:eastAsia="宋体" w:cs="Times New Roman"/>
                <w:sz w:val="21"/>
                <w:szCs w:val="21"/>
                <w:highlight w:val="none"/>
              </w:rPr>
              <w:t>单元——厂区——工业园区</w:t>
            </w:r>
            <w:r>
              <w:rPr>
                <w:rFonts w:hint="eastAsia" w:cs="Times New Roman"/>
                <w:sz w:val="21"/>
                <w:szCs w:val="21"/>
                <w:highlight w:val="none"/>
                <w:lang w:eastAsia="zh-CN"/>
              </w:rPr>
              <w:t>”</w:t>
            </w:r>
            <w:r>
              <w:rPr>
                <w:rFonts w:hint="default" w:ascii="Times New Roman" w:hAnsi="Times New Roman" w:eastAsia="宋体" w:cs="Times New Roman"/>
                <w:sz w:val="21"/>
                <w:szCs w:val="21"/>
                <w:highlight w:val="none"/>
              </w:rPr>
              <w:t>的环境风险防控体系</w:t>
            </w:r>
            <w:r>
              <w:rPr>
                <w:rFonts w:hint="eastAsia" w:cs="Times New Roman"/>
                <w:sz w:val="21"/>
                <w:szCs w:val="21"/>
                <w:highlight w:val="none"/>
                <w:lang w:eastAsia="zh-CN"/>
              </w:rPr>
              <w:t>：</w:t>
            </w:r>
          </w:p>
          <w:p w14:paraId="4613FB0C">
            <w:pPr>
              <w:adjustRightInd w:val="0"/>
              <w:snapToGrid w:val="0"/>
              <w:spacing w:line="240" w:lineRule="auto"/>
              <w:ind w:firstLine="420" w:firstLineChars="200"/>
              <w:rPr>
                <w:rFonts w:hint="eastAsia"/>
                <w:sz w:val="21"/>
                <w:szCs w:val="21"/>
                <w:highlight w:val="none"/>
                <w:lang w:eastAsia="zh-CN"/>
              </w:rPr>
            </w:pPr>
            <w:r>
              <w:rPr>
                <w:sz w:val="21"/>
                <w:szCs w:val="21"/>
                <w:highlight w:val="none"/>
              </w:rPr>
              <w:t>一级预防控制</w:t>
            </w:r>
            <w:r>
              <w:rPr>
                <w:rFonts w:hint="eastAsia"/>
                <w:sz w:val="21"/>
                <w:szCs w:val="21"/>
                <w:highlight w:val="none"/>
                <w:lang w:eastAsia="zh-CN"/>
              </w:rPr>
              <w:t>体系</w:t>
            </w:r>
            <w:r>
              <w:rPr>
                <w:sz w:val="21"/>
                <w:szCs w:val="21"/>
                <w:highlight w:val="none"/>
              </w:rPr>
              <w:t>：在装置、罐区周围建设围堰、围堤以及罐区、装置区内建设的初期雨水收集池作为一级预防与控制体系，防止</w:t>
            </w:r>
            <w:r>
              <w:rPr>
                <w:rFonts w:hint="eastAsia"/>
                <w:sz w:val="21"/>
                <w:szCs w:val="21"/>
                <w:highlight w:val="none"/>
                <w:lang w:eastAsia="zh-CN"/>
              </w:rPr>
              <w:t>因</w:t>
            </w:r>
            <w:r>
              <w:rPr>
                <w:sz w:val="21"/>
                <w:szCs w:val="21"/>
                <w:highlight w:val="none"/>
              </w:rPr>
              <w:t>雨污染和轻微事故泄漏造成的环境污染。装置围堰</w:t>
            </w:r>
            <w:r>
              <w:rPr>
                <w:rFonts w:hint="eastAsia"/>
                <w:sz w:val="21"/>
                <w:szCs w:val="21"/>
                <w:highlight w:val="none"/>
                <w:lang w:eastAsia="zh-CN"/>
              </w:rPr>
              <w:t>深度</w:t>
            </w:r>
            <w:r>
              <w:rPr>
                <w:sz w:val="21"/>
                <w:szCs w:val="21"/>
                <w:highlight w:val="none"/>
              </w:rPr>
              <w:t>不低于150mm</w:t>
            </w:r>
            <w:r>
              <w:rPr>
                <w:rFonts w:hint="eastAsia"/>
                <w:sz w:val="21"/>
                <w:szCs w:val="21"/>
                <w:highlight w:val="none"/>
                <w:lang w:eastAsia="zh-CN"/>
              </w:rPr>
              <w:t>。</w:t>
            </w:r>
          </w:p>
          <w:p w14:paraId="491BB551">
            <w:pPr>
              <w:adjustRightInd w:val="0"/>
              <w:snapToGrid w:val="0"/>
              <w:spacing w:line="240" w:lineRule="auto"/>
              <w:ind w:firstLine="420" w:firstLineChars="200"/>
              <w:rPr>
                <w:sz w:val="21"/>
                <w:szCs w:val="21"/>
                <w:highlight w:val="none"/>
              </w:rPr>
            </w:pPr>
            <w:r>
              <w:rPr>
                <w:sz w:val="21"/>
                <w:szCs w:val="21"/>
                <w:highlight w:val="none"/>
              </w:rPr>
              <w:t>二级预防控制</w:t>
            </w:r>
            <w:r>
              <w:rPr>
                <w:rFonts w:hint="eastAsia"/>
                <w:sz w:val="21"/>
                <w:szCs w:val="21"/>
                <w:highlight w:val="none"/>
                <w:lang w:eastAsia="zh-CN"/>
              </w:rPr>
              <w:t>体系</w:t>
            </w:r>
            <w:r>
              <w:rPr>
                <w:sz w:val="21"/>
                <w:szCs w:val="21"/>
                <w:highlight w:val="none"/>
              </w:rPr>
              <w:t>：1座30000m</w:t>
            </w:r>
            <w:r>
              <w:rPr>
                <w:sz w:val="21"/>
                <w:szCs w:val="21"/>
                <w:highlight w:val="none"/>
                <w:vertAlign w:val="superscript"/>
              </w:rPr>
              <w:t>3</w:t>
            </w:r>
            <w:r>
              <w:rPr>
                <w:sz w:val="21"/>
                <w:szCs w:val="21"/>
                <w:highlight w:val="none"/>
              </w:rPr>
              <w:t>的消防事故水收集池，作为二级</w:t>
            </w:r>
            <w:r>
              <w:rPr>
                <w:rFonts w:hint="eastAsia"/>
                <w:sz w:val="21"/>
                <w:szCs w:val="21"/>
                <w:highlight w:val="none"/>
                <w:lang w:eastAsia="zh-CN"/>
              </w:rPr>
              <w:t>预防</w:t>
            </w:r>
            <w:r>
              <w:rPr>
                <w:sz w:val="21"/>
                <w:szCs w:val="21"/>
                <w:highlight w:val="none"/>
              </w:rPr>
              <w:t>控制体系。</w:t>
            </w:r>
          </w:p>
          <w:p w14:paraId="0904D246">
            <w:pPr>
              <w:adjustRightInd w:val="0"/>
              <w:snapToGrid w:val="0"/>
              <w:spacing w:line="240" w:lineRule="auto"/>
              <w:ind w:firstLine="420" w:firstLineChars="200"/>
              <w:rPr>
                <w:rFonts w:hint="default" w:ascii="Times New Roman" w:hAnsi="Times New Roman" w:eastAsia="宋体" w:cs="Times New Roman"/>
                <w:sz w:val="21"/>
                <w:szCs w:val="21"/>
                <w:highlight w:val="none"/>
              </w:rPr>
            </w:pPr>
            <w:r>
              <w:rPr>
                <w:sz w:val="21"/>
                <w:szCs w:val="21"/>
                <w:highlight w:val="none"/>
              </w:rPr>
              <w:t>三级预防控制</w:t>
            </w:r>
            <w:r>
              <w:rPr>
                <w:rFonts w:hint="eastAsia"/>
                <w:sz w:val="21"/>
                <w:szCs w:val="21"/>
                <w:highlight w:val="none"/>
                <w:lang w:eastAsia="zh-CN"/>
              </w:rPr>
              <w:t>体系</w:t>
            </w:r>
            <w:r>
              <w:rPr>
                <w:sz w:val="21"/>
                <w:szCs w:val="21"/>
                <w:highlight w:val="none"/>
              </w:rPr>
              <w:t>：</w:t>
            </w:r>
            <w:r>
              <w:rPr>
                <w:rFonts w:hint="eastAsia" w:ascii="Times New Roman" w:hAnsi="Times New Roman" w:eastAsia="宋体" w:cs="Times New Roman"/>
                <w:sz w:val="21"/>
                <w:szCs w:val="21"/>
                <w:highlight w:val="none"/>
              </w:rPr>
              <w:t>独贵塔拉产业园（南区）</w:t>
            </w:r>
            <w:r>
              <w:rPr>
                <w:rFonts w:hint="eastAsia" w:cs="Times New Roman"/>
                <w:sz w:val="21"/>
                <w:szCs w:val="21"/>
                <w:highlight w:val="none"/>
                <w:lang w:eastAsia="zh-CN"/>
              </w:rPr>
              <w:t>目前没有</w:t>
            </w:r>
            <w:r>
              <w:rPr>
                <w:rFonts w:hint="eastAsia" w:ascii="Times New Roman" w:hAnsi="Times New Roman" w:eastAsia="宋体" w:cs="Times New Roman"/>
                <w:sz w:val="21"/>
                <w:szCs w:val="21"/>
                <w:highlight w:val="none"/>
              </w:rPr>
              <w:t>大型事故应急水池，现有</w:t>
            </w:r>
            <w:r>
              <w:rPr>
                <w:rFonts w:hint="eastAsia" w:cs="Times New Roman"/>
                <w:sz w:val="21"/>
                <w:szCs w:val="21"/>
                <w:highlight w:val="none"/>
                <w:lang w:eastAsia="zh-CN"/>
              </w:rPr>
              <w:t>的</w:t>
            </w:r>
            <w:r>
              <w:rPr>
                <w:rFonts w:hint="eastAsia" w:ascii="Times New Roman" w:hAnsi="Times New Roman" w:eastAsia="宋体" w:cs="Times New Roman"/>
                <w:sz w:val="21"/>
                <w:szCs w:val="21"/>
                <w:highlight w:val="none"/>
              </w:rPr>
              <w:t>事故应急水池主要</w:t>
            </w:r>
            <w:r>
              <w:rPr>
                <w:rFonts w:hint="eastAsia" w:cs="Times New Roman"/>
                <w:sz w:val="21"/>
                <w:szCs w:val="21"/>
                <w:highlight w:val="none"/>
                <w:lang w:eastAsia="zh-CN"/>
              </w:rPr>
              <w:t>是</w:t>
            </w:r>
            <w:r>
              <w:rPr>
                <w:rFonts w:hint="eastAsia" w:ascii="Times New Roman" w:hAnsi="Times New Roman" w:eastAsia="宋体" w:cs="Times New Roman"/>
                <w:sz w:val="21"/>
                <w:szCs w:val="21"/>
                <w:highlight w:val="none"/>
              </w:rPr>
              <w:t>企业自建</w:t>
            </w:r>
            <w:r>
              <w:rPr>
                <w:rFonts w:hint="eastAsia" w:cs="Times New Roman"/>
                <w:sz w:val="21"/>
                <w:szCs w:val="21"/>
                <w:highlight w:val="none"/>
                <w:lang w:eastAsia="zh-CN"/>
              </w:rPr>
              <w:t>的</w:t>
            </w:r>
            <w:r>
              <w:rPr>
                <w:rFonts w:hint="eastAsia" w:ascii="Times New Roman" w:hAnsi="Times New Roman" w:eastAsia="宋体" w:cs="Times New Roman"/>
                <w:sz w:val="21"/>
                <w:szCs w:val="21"/>
                <w:highlight w:val="none"/>
              </w:rPr>
              <w:t>；</w:t>
            </w:r>
            <w:r>
              <w:rPr>
                <w:rFonts w:hint="eastAsia" w:cs="Times New Roman"/>
                <w:sz w:val="21"/>
                <w:szCs w:val="21"/>
                <w:highlight w:val="none"/>
                <w:lang w:val="en-US" w:eastAsia="zh-CN"/>
              </w:rPr>
              <w:t>规划</w:t>
            </w:r>
            <w:r>
              <w:rPr>
                <w:rFonts w:hint="eastAsia" w:ascii="Times New Roman" w:hAnsi="Times New Roman" w:eastAsia="宋体" w:cs="Times New Roman"/>
                <w:sz w:val="21"/>
                <w:szCs w:val="21"/>
                <w:highlight w:val="none"/>
                <w:lang w:val="en-US" w:eastAsia="zh-CN"/>
              </w:rPr>
              <w:t>拟在</w:t>
            </w:r>
            <w:r>
              <w:rPr>
                <w:rFonts w:hint="eastAsia" w:ascii="Times New Roman" w:hAnsi="Times New Roman" w:eastAsia="宋体" w:cs="Times New Roman"/>
                <w:sz w:val="21"/>
                <w:szCs w:val="21"/>
                <w:highlight w:val="none"/>
              </w:rPr>
              <w:t>独贵塔拉产业园（南区）规划北侧新建一座容积2.5万m</w:t>
            </w:r>
            <w:r>
              <w:rPr>
                <w:rFonts w:hint="eastAsia" w:ascii="Times New Roman" w:hAnsi="Times New Roman" w:eastAsia="宋体" w:cs="Times New Roman"/>
                <w:sz w:val="21"/>
                <w:szCs w:val="21"/>
                <w:highlight w:val="none"/>
                <w:vertAlign w:val="superscript"/>
              </w:rPr>
              <w:t>3</w:t>
            </w:r>
            <w:r>
              <w:rPr>
                <w:rFonts w:hint="eastAsia" w:ascii="Times New Roman" w:hAnsi="Times New Roman" w:eastAsia="宋体" w:cs="Times New Roman"/>
                <w:sz w:val="21"/>
                <w:szCs w:val="21"/>
                <w:highlight w:val="none"/>
              </w:rPr>
              <w:t>的事故水池，用于收集独贵塔拉产业园（南区）各企业的事故水</w:t>
            </w:r>
            <w:r>
              <w:rPr>
                <w:rFonts w:hint="default" w:ascii="Times New Roman" w:hAnsi="Times New Roman" w:eastAsia="宋体" w:cs="Times New Roman"/>
                <w:sz w:val="21"/>
                <w:szCs w:val="21"/>
                <w:highlight w:val="none"/>
              </w:rPr>
              <w:t>以满足事故状态下收集泄漏物料、污染消防水和污染雨水的需要</w:t>
            </w:r>
            <w:r>
              <w:rPr>
                <w:rFonts w:hint="eastAsia" w:ascii="Times New Roman" w:hAnsi="Times New Roman" w:eastAsia="宋体" w:cs="Times New Roman"/>
                <w:sz w:val="21"/>
                <w:szCs w:val="21"/>
                <w:highlight w:val="none"/>
                <w:lang w:eastAsia="zh-CN"/>
              </w:rPr>
              <w:t>。</w:t>
            </w:r>
            <w:r>
              <w:rPr>
                <w:rFonts w:ascii="Times New Roman" w:hAnsi="Times New Roman" w:eastAsia="宋体" w:cs="Times New Roman"/>
                <w:sz w:val="21"/>
                <w:szCs w:val="21"/>
                <w:highlight w:val="none"/>
              </w:rPr>
              <w:t>园区事故水池未建设前，园区级事故废水防控措施依托内蒙古伊泰化工有限责任公司应急事故水池（容积30000m</w:t>
            </w:r>
            <w:r>
              <w:rPr>
                <w:rFonts w:ascii="Times New Roman" w:hAnsi="Times New Roman" w:eastAsia="宋体" w:cs="Times New Roman"/>
                <w:sz w:val="21"/>
                <w:szCs w:val="21"/>
                <w:highlight w:val="none"/>
                <w:vertAlign w:val="superscript"/>
              </w:rPr>
              <w:t>3</w:t>
            </w:r>
            <w:r>
              <w:rPr>
                <w:rFonts w:ascii="Times New Roman" w:hAnsi="Times New Roman" w:eastAsia="宋体" w:cs="Times New Roman"/>
                <w:sz w:val="21"/>
                <w:szCs w:val="21"/>
                <w:highlight w:val="none"/>
              </w:rPr>
              <w:t>），可确保消防事故废水不进入外环境</w:t>
            </w:r>
            <w:r>
              <w:rPr>
                <w:rFonts w:hint="default" w:ascii="Times New Roman" w:hAnsi="Times New Roman" w:eastAsia="宋体" w:cs="Times New Roman"/>
                <w:sz w:val="21"/>
                <w:szCs w:val="21"/>
                <w:highlight w:val="none"/>
              </w:rPr>
              <w:t>。</w:t>
            </w:r>
          </w:p>
          <w:p w14:paraId="77C2E48F">
            <w:pPr>
              <w:adjustRightInd w:val="0"/>
              <w:snapToGrid w:val="0"/>
              <w:spacing w:line="240" w:lineRule="auto"/>
              <w:ind w:firstLine="420"/>
              <w:jc w:val="left"/>
              <w:rPr>
                <w:rFonts w:cs="Times New Roman"/>
                <w:sz w:val="21"/>
                <w:szCs w:val="21"/>
                <w:highlight w:val="none"/>
              </w:rPr>
            </w:pPr>
            <w:r>
              <w:rPr>
                <w:rFonts w:cs="Times New Roman"/>
                <w:sz w:val="21"/>
                <w:szCs w:val="21"/>
                <w:highlight w:val="none"/>
              </w:rPr>
              <w:t>（3）地下水风险防控措施</w:t>
            </w:r>
          </w:p>
          <w:p w14:paraId="7F2CF095">
            <w:pPr>
              <w:adjustRightInd w:val="0"/>
              <w:snapToGrid w:val="0"/>
              <w:spacing w:line="240" w:lineRule="auto"/>
              <w:ind w:firstLine="420"/>
              <w:jc w:val="left"/>
              <w:rPr>
                <w:rFonts w:cs="Times New Roman"/>
                <w:sz w:val="21"/>
                <w:szCs w:val="21"/>
                <w:highlight w:val="none"/>
              </w:rPr>
            </w:pPr>
            <w:r>
              <w:rPr>
                <w:rFonts w:cs="Times New Roman"/>
                <w:sz w:val="21"/>
                <w:szCs w:val="21"/>
                <w:highlight w:val="none"/>
              </w:rPr>
              <w:t>本项目采取了源头控制、末端控制、污染监控、应急响应等地下水风险防范措施。</w:t>
            </w:r>
          </w:p>
          <w:p w14:paraId="7FD4531D">
            <w:pPr>
              <w:adjustRightInd w:val="0"/>
              <w:snapToGrid w:val="0"/>
              <w:spacing w:line="240" w:lineRule="auto"/>
              <w:ind w:firstLine="420"/>
              <w:jc w:val="left"/>
              <w:rPr>
                <w:rFonts w:cs="Times New Roman"/>
                <w:sz w:val="21"/>
                <w:szCs w:val="21"/>
                <w:highlight w:val="none"/>
              </w:rPr>
            </w:pPr>
            <w:r>
              <w:rPr>
                <w:rFonts w:cs="Times New Roman"/>
                <w:sz w:val="21"/>
                <w:szCs w:val="21"/>
                <w:highlight w:val="none"/>
              </w:rPr>
              <w:t>（4）突发环境事件应急预案</w:t>
            </w:r>
          </w:p>
          <w:p w14:paraId="76A3523F">
            <w:pPr>
              <w:adjustRightInd w:val="0"/>
              <w:snapToGrid w:val="0"/>
              <w:ind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将本管道纳入</w:t>
            </w:r>
            <w:r>
              <w:rPr>
                <w:rFonts w:hint="default" w:ascii="Times New Roman" w:hAnsi="Times New Roman" w:cs="Times New Roman"/>
                <w:sz w:val="21"/>
                <w:szCs w:val="21"/>
                <w:highlight w:val="none"/>
                <w:lang w:val="en-US" w:eastAsia="zh-CN"/>
              </w:rPr>
              <w:t>内蒙古伊泰化工有限责任公司</w:t>
            </w:r>
            <w:r>
              <w:rPr>
                <w:rFonts w:hint="default" w:ascii="Times New Roman" w:hAnsi="Times New Roman" w:cs="Times New Roman"/>
                <w:sz w:val="21"/>
                <w:szCs w:val="21"/>
                <w:highlight w:val="none"/>
              </w:rPr>
              <w:t>编制的环境应急预案，</w:t>
            </w:r>
            <w:r>
              <w:rPr>
                <w:rFonts w:hint="eastAsia" w:ascii="Times New Roman" w:hAnsi="Times New Roman" w:cs="Times New Roman"/>
                <w:sz w:val="21"/>
                <w:szCs w:val="21"/>
                <w:highlight w:val="none"/>
                <w:lang w:val="en-US" w:eastAsia="zh-CN"/>
              </w:rPr>
              <w:t>定期</w:t>
            </w:r>
            <w:r>
              <w:rPr>
                <w:rFonts w:hint="default" w:ascii="Times New Roman" w:hAnsi="Times New Roman" w:cs="Times New Roman"/>
                <w:sz w:val="21"/>
                <w:szCs w:val="21"/>
                <w:highlight w:val="none"/>
              </w:rPr>
              <w:t>开展应急演练；</w:t>
            </w:r>
          </w:p>
          <w:p w14:paraId="33AB90CD">
            <w:pPr>
              <w:adjustRightInd w:val="0"/>
              <w:snapToGrid w:val="0"/>
              <w:spacing w:line="240" w:lineRule="auto"/>
              <w:ind w:firstLine="420"/>
              <w:jc w:val="left"/>
              <w:rPr>
                <w:rFonts w:hint="eastAsia" w:ascii="Times New Roman" w:hAnsi="Times New Roman" w:eastAsia="宋体" w:cs="Times New Roman"/>
                <w:sz w:val="21"/>
                <w:szCs w:val="21"/>
                <w:highlight w:val="none"/>
                <w:lang w:eastAsia="zh-CN"/>
              </w:rPr>
            </w:pPr>
            <w:r>
              <w:rPr>
                <w:rFonts w:hint="default" w:ascii="Times New Roman" w:hAnsi="Times New Roman" w:cs="Times New Roman"/>
                <w:sz w:val="21"/>
                <w:szCs w:val="21"/>
                <w:highlight w:val="none"/>
              </w:rPr>
              <w:t>加强与周边企业联防联控</w:t>
            </w:r>
            <w:r>
              <w:rPr>
                <w:rFonts w:hint="eastAsia" w:cs="Times New Roman"/>
                <w:sz w:val="21"/>
                <w:szCs w:val="21"/>
                <w:highlight w:val="none"/>
                <w:lang w:eastAsia="zh-CN"/>
              </w:rPr>
              <w:t>。</w:t>
            </w:r>
          </w:p>
          <w:p w14:paraId="0D7EBAD2">
            <w:pPr>
              <w:adjustRightInd w:val="0"/>
              <w:snapToGrid w:val="0"/>
              <w:spacing w:line="240" w:lineRule="auto"/>
              <w:ind w:firstLine="420"/>
              <w:jc w:val="left"/>
              <w:rPr>
                <w:rFonts w:cs="Times New Roman"/>
                <w:sz w:val="21"/>
                <w:szCs w:val="21"/>
                <w:highlight w:val="none"/>
              </w:rPr>
            </w:pPr>
            <w:r>
              <w:rPr>
                <w:rFonts w:cs="Times New Roman"/>
                <w:sz w:val="21"/>
                <w:szCs w:val="21"/>
                <w:highlight w:val="none"/>
              </w:rPr>
              <w:t>环境应急预案应与园区、地方相关预案相衔接环境应急预案。</w:t>
            </w:r>
          </w:p>
        </w:tc>
      </w:tr>
      <w:tr w14:paraId="355B1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3" w:type="dxa"/>
            <w:gridSpan w:val="2"/>
            <w:vAlign w:val="center"/>
          </w:tcPr>
          <w:p w14:paraId="42AB98AC">
            <w:pPr>
              <w:adjustRightInd w:val="0"/>
              <w:snapToGrid w:val="0"/>
              <w:spacing w:line="240" w:lineRule="auto"/>
              <w:ind w:firstLine="0" w:firstLineChars="0"/>
              <w:jc w:val="center"/>
              <w:rPr>
                <w:rFonts w:cs="Times New Roman"/>
                <w:sz w:val="21"/>
                <w:szCs w:val="21"/>
                <w:highlight w:val="none"/>
              </w:rPr>
            </w:pPr>
            <w:r>
              <w:rPr>
                <w:rFonts w:cs="Times New Roman"/>
                <w:kern w:val="0"/>
                <w:sz w:val="21"/>
                <w:szCs w:val="21"/>
                <w:highlight w:val="none"/>
              </w:rPr>
              <w:t>评价结论与建议</w:t>
            </w:r>
          </w:p>
        </w:tc>
        <w:tc>
          <w:tcPr>
            <w:tcW w:w="7416" w:type="dxa"/>
            <w:gridSpan w:val="8"/>
            <w:vAlign w:val="center"/>
          </w:tcPr>
          <w:p w14:paraId="3DE6D26F">
            <w:pPr>
              <w:adjustRightInd w:val="0"/>
              <w:snapToGrid w:val="0"/>
              <w:spacing w:line="240" w:lineRule="auto"/>
              <w:ind w:firstLine="420"/>
              <w:jc w:val="left"/>
              <w:rPr>
                <w:rFonts w:cs="Times New Roman"/>
                <w:sz w:val="21"/>
                <w:szCs w:val="21"/>
                <w:highlight w:val="none"/>
              </w:rPr>
            </w:pPr>
            <w:r>
              <w:rPr>
                <w:rFonts w:cs="Times New Roman"/>
                <w:sz w:val="21"/>
                <w:szCs w:val="21"/>
                <w:highlight w:val="none"/>
              </w:rPr>
              <w:t>风险评价结果表明，在落实各项环保措施和本评价所列出的各项环境风险防范措施、有效的应急预案，加强风险管理的条件下，本项目的环境风险可防控。</w:t>
            </w:r>
          </w:p>
        </w:tc>
      </w:tr>
      <w:tr w14:paraId="2EA66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959" w:type="dxa"/>
            <w:gridSpan w:val="10"/>
            <w:vAlign w:val="center"/>
          </w:tcPr>
          <w:p w14:paraId="2D8F345B">
            <w:pPr>
              <w:adjustRightInd w:val="0"/>
              <w:snapToGrid w:val="0"/>
              <w:spacing w:line="240" w:lineRule="auto"/>
              <w:ind w:firstLine="0" w:firstLineChars="0"/>
              <w:jc w:val="center"/>
              <w:rPr>
                <w:rFonts w:cs="Times New Roman"/>
                <w:sz w:val="21"/>
                <w:szCs w:val="21"/>
                <w:highlight w:val="none"/>
              </w:rPr>
            </w:pPr>
            <w:r>
              <w:rPr>
                <w:rFonts w:cs="Times New Roman"/>
                <w:sz w:val="21"/>
                <w:szCs w:val="21"/>
                <w:highlight w:val="none"/>
              </w:rPr>
              <w:t>注：</w:t>
            </w:r>
            <w:r>
              <w:rPr>
                <w:rFonts w:hint="eastAsia" w:cs="Times New Roman"/>
                <w:sz w:val="21"/>
                <w:szCs w:val="21"/>
                <w:highlight w:val="none"/>
                <w:lang w:eastAsia="zh-CN"/>
              </w:rPr>
              <w:t>“</w:t>
            </w:r>
            <w:r>
              <w:rPr>
                <w:rFonts w:hint="eastAsia" w:cs="Times New Roman"/>
                <w:kern w:val="0"/>
                <w:sz w:val="21"/>
                <w:szCs w:val="21"/>
                <w:highlight w:val="none"/>
                <w:lang w:eastAsia="zh-CN"/>
              </w:rPr>
              <w:t>□</w:t>
            </w:r>
            <w:r>
              <w:rPr>
                <w:rFonts w:hint="eastAsia" w:cs="Times New Roman"/>
                <w:sz w:val="21"/>
                <w:szCs w:val="21"/>
                <w:highlight w:val="none"/>
                <w:lang w:eastAsia="zh-CN"/>
              </w:rPr>
              <w:t>”</w:t>
            </w:r>
            <w:r>
              <w:rPr>
                <w:rFonts w:cs="Times New Roman"/>
                <w:sz w:val="21"/>
                <w:szCs w:val="21"/>
                <w:highlight w:val="none"/>
              </w:rPr>
              <w:t>为勾选项，</w:t>
            </w:r>
            <w:r>
              <w:rPr>
                <w:rFonts w:hint="eastAsia" w:cs="Times New Roman"/>
                <w:sz w:val="21"/>
                <w:szCs w:val="21"/>
                <w:highlight w:val="none"/>
                <w:lang w:eastAsia="zh-CN"/>
              </w:rPr>
              <w:t>“</w:t>
            </w:r>
            <w:r>
              <w:rPr>
                <w:rFonts w:hint="eastAsia" w:cs="Times New Roman"/>
                <w:kern w:val="0"/>
                <w:sz w:val="21"/>
                <w:szCs w:val="21"/>
                <w:highlight w:val="none"/>
                <w:lang w:eastAsia="zh-CN"/>
              </w:rPr>
              <w:t>☑</w:t>
            </w:r>
            <w:r>
              <w:rPr>
                <w:rFonts w:hint="eastAsia" w:cs="Times New Roman"/>
                <w:sz w:val="21"/>
                <w:szCs w:val="21"/>
                <w:highlight w:val="none"/>
                <w:lang w:eastAsia="zh-CN"/>
              </w:rPr>
              <w:t>”</w:t>
            </w:r>
            <w:r>
              <w:rPr>
                <w:rFonts w:cs="Times New Roman"/>
                <w:sz w:val="21"/>
                <w:szCs w:val="21"/>
                <w:highlight w:val="none"/>
              </w:rPr>
              <w:t>为填写项。</w:t>
            </w:r>
          </w:p>
        </w:tc>
      </w:tr>
    </w:tbl>
    <w:p w14:paraId="3C643748">
      <w:pPr>
        <w:keepNext/>
        <w:keepLines/>
        <w:spacing w:before="240" w:beforeLines="100" w:line="360" w:lineRule="auto"/>
        <w:outlineLvl w:val="0"/>
        <w:rPr>
          <w:rFonts w:hint="eastAsia" w:ascii="Times New Roman" w:hAnsi="Times New Roman" w:eastAsia="宋体" w:cs="Times New Roman"/>
          <w:b/>
          <w:bCs/>
          <w:kern w:val="44"/>
          <w:sz w:val="32"/>
          <w:szCs w:val="32"/>
          <w:highlight w:val="none"/>
          <w:lang w:val="en-US" w:eastAsia="zh-CN"/>
        </w:rPr>
        <w:sectPr>
          <w:pgSz w:w="11906" w:h="16838"/>
          <w:pgMar w:top="1701" w:right="1701" w:bottom="1701" w:left="1701" w:header="851" w:footer="1077" w:gutter="0"/>
          <w:pgNumType w:fmt="decimal"/>
          <w:cols w:space="720" w:num="1"/>
          <w:docGrid w:linePitch="312" w:charSpace="0"/>
        </w:sectPr>
      </w:pPr>
    </w:p>
    <w:p w14:paraId="350DEBDD">
      <w:pPr>
        <w:autoSpaceDE w:val="0"/>
        <w:autoSpaceDN w:val="0"/>
        <w:adjustRightInd w:val="0"/>
        <w:spacing w:line="240" w:lineRule="atLeast"/>
        <w:jc w:val="both"/>
        <w:rPr>
          <w:rFonts w:hint="default"/>
          <w:b/>
          <w:bCs/>
          <w:szCs w:val="21"/>
          <w:highlight w:val="none"/>
          <w:lang w:val="en-US" w:eastAsia="zh-CN"/>
        </w:rPr>
      </w:pPr>
    </w:p>
    <w:sectPr>
      <w:pgSz w:w="16838" w:h="11906" w:orient="landscape"/>
      <w:pgMar w:top="1800" w:right="1440" w:bottom="180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CID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auto"/>
    <w:pitch w:val="default"/>
    <w:sig w:usb0="E10022FF" w:usb1="C000E47F" w:usb2="00000029" w:usb3="00000000" w:csb0="200001DF" w:csb1="20000000"/>
  </w:font>
  <w:font w:name="微软雅黑">
    <w:panose1 w:val="020B0503020204020204"/>
    <w:charset w:val="86"/>
    <w:family w:val="auto"/>
    <w:pitch w:val="default"/>
    <w:sig w:usb0="80000287" w:usb1="280F3C52" w:usb2="00000016" w:usb3="00000000" w:csb0="0004001F" w:csb1="00000000"/>
  </w:font>
  <w:font w:name="afanti_latex_font">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AE3E2">
    <w:pPr>
      <w:pStyle w:val="14"/>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D6FC4">
    <w:pPr>
      <w:pStyle w:val="14"/>
      <w:tabs>
        <w:tab w:val="center" w:pos="4252"/>
        <w:tab w:val="clear" w:pos="4153"/>
      </w:tabs>
      <w:ind w:right="360"/>
      <w:jc w:val="left"/>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235725">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9235725">
                    <w:pPr>
                      <w:pStyle w:val="14"/>
                    </w:pPr>
                    <w:r>
                      <w:fldChar w:fldCharType="begin"/>
                    </w:r>
                    <w:r>
                      <w:instrText xml:space="preserve"> PAGE  \* MERGEFORMAT </w:instrText>
                    </w:r>
                    <w:r>
                      <w:fldChar w:fldCharType="separate"/>
                    </w:r>
                    <w:r>
                      <w:t>1</w:t>
                    </w:r>
                    <w:r>
                      <w:fldChar w:fldCharType="end"/>
                    </w:r>
                  </w:p>
                </w:txbxContent>
              </v:textbox>
            </v:shape>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037D8E8">
                          <w:pPr>
                            <w:pStyle w:val="14"/>
                          </w:pPr>
                        </w:p>
                        <w:p w14:paraId="34181C91"/>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4037D8E8">
                    <w:pPr>
                      <w:pStyle w:val="14"/>
                    </w:pPr>
                  </w:p>
                  <w:p w14:paraId="34181C91"/>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B583C">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0859AB"/>
    <w:multiLevelType w:val="multilevel"/>
    <w:tmpl w:val="250859AB"/>
    <w:lvl w:ilvl="0" w:tentative="0">
      <w:start w:val="1"/>
      <w:numFmt w:val="decimal"/>
      <w:suff w:val="space"/>
      <w:lvlText w:val="%1"/>
      <w:lvlJc w:val="left"/>
      <w:pPr>
        <w:ind w:left="0" w:firstLine="0"/>
      </w:pPr>
      <w:rPr>
        <w:rFonts w:hint="eastAsia"/>
      </w:rPr>
    </w:lvl>
    <w:lvl w:ilvl="1" w:tentative="0">
      <w:start w:val="1"/>
      <w:numFmt w:val="decimal"/>
      <w:suff w:val="space"/>
      <w:lvlText w:val="%1.%2"/>
      <w:lvlJc w:val="left"/>
      <w:pPr>
        <w:ind w:left="0" w:firstLine="0"/>
      </w:pPr>
      <w:rPr>
        <w:rFonts w:hint="eastAsia"/>
      </w:rPr>
    </w:lvl>
    <w:lvl w:ilvl="2" w:tentative="0">
      <w:start w:val="1"/>
      <w:numFmt w:val="decimal"/>
      <w:pStyle w:val="43"/>
      <w:suff w:val="space"/>
      <w:lvlText w:val="%1.%2.%3"/>
      <w:lvlJc w:val="left"/>
      <w:pPr>
        <w:ind w:left="0" w:firstLine="0"/>
      </w:pPr>
      <w:rPr>
        <w:rFonts w:hint="eastAsia"/>
      </w:rPr>
    </w:lvl>
    <w:lvl w:ilvl="3" w:tentative="0">
      <w:start w:val="1"/>
      <w:numFmt w:val="decimal"/>
      <w:suff w:val="space"/>
      <w:lvlText w:val="%1.%2.%3.%4"/>
      <w:lvlJc w:val="left"/>
      <w:pPr>
        <w:ind w:left="2552" w:hanging="2552"/>
      </w:pPr>
      <w:rPr>
        <w:rFonts w:hint="eastAsia"/>
      </w:rPr>
    </w:lvl>
    <w:lvl w:ilvl="4" w:tentative="0">
      <w:start w:val="1"/>
      <w:numFmt w:val="decimal"/>
      <w:suff w:val="space"/>
      <w:lvlText w:val="(%5)"/>
      <w:lvlJc w:val="left"/>
      <w:pPr>
        <w:ind w:left="0" w:firstLine="482"/>
      </w:pPr>
      <w:rPr>
        <w:rFonts w:hint="eastAsia" w:ascii="宋体" w:hAnsi="宋体" w:eastAsia="宋体"/>
      </w:rPr>
    </w:lvl>
    <w:lvl w:ilvl="5" w:tentative="0">
      <w:start w:val="1"/>
      <w:numFmt w:val="decimalEnclosedCircle"/>
      <w:suff w:val="space"/>
      <w:lvlText w:val="%6"/>
      <w:lvlJc w:val="left"/>
      <w:pPr>
        <w:ind w:left="0" w:firstLine="482"/>
      </w:pPr>
      <w:rPr>
        <w:rFonts w:hint="default"/>
      </w:rPr>
    </w:lvl>
    <w:lvl w:ilvl="6" w:tentative="0">
      <w:start w:val="1"/>
      <w:numFmt w:val="upperLetter"/>
      <w:suff w:val="space"/>
      <w:lvlText w:val="%7."/>
      <w:lvlJc w:val="left"/>
      <w:pPr>
        <w:ind w:left="0" w:firstLine="482"/>
      </w:pPr>
      <w:rPr>
        <w:rFonts w:hint="eastAsia"/>
      </w:rPr>
    </w:lvl>
    <w:lvl w:ilvl="7" w:tentative="0">
      <w:start w:val="1"/>
      <w:numFmt w:val="decimal"/>
      <w:lvlText w:val="表3.7-%8"/>
      <w:lvlJc w:val="left"/>
      <w:pPr>
        <w:ind w:left="0" w:firstLine="0"/>
      </w:pPr>
      <w:rPr>
        <w:rFonts w:hint="eastAsia"/>
      </w:rPr>
    </w:lvl>
    <w:lvl w:ilvl="8" w:tentative="0">
      <w:start w:val="1"/>
      <w:numFmt w:val="decimal"/>
      <w:lvlRestart w:val="2"/>
      <w:suff w:val="space"/>
      <w:lvlText w:val="图 %1.%2-%9"/>
      <w:lvlJc w:val="center"/>
      <w:pPr>
        <w:ind w:left="0" w:firstLine="0"/>
      </w:pPr>
      <w:rPr>
        <w:rFonts w:hint="eastAsia"/>
      </w:rPr>
    </w:lvl>
  </w:abstractNum>
  <w:abstractNum w:abstractNumId="1">
    <w:nsid w:val="3942647E"/>
    <w:multiLevelType w:val="multilevel"/>
    <w:tmpl w:val="3942647E"/>
    <w:lvl w:ilvl="0" w:tentative="0">
      <w:start w:val="7"/>
      <w:numFmt w:val="decimal"/>
      <w:suff w:val="space"/>
      <w:lvlText w:val="%1"/>
      <w:lvlJc w:val="left"/>
      <w:pPr>
        <w:ind w:left="0" w:firstLine="0"/>
      </w:pPr>
      <w:rPr>
        <w:rFonts w:hint="eastAsia"/>
      </w:rPr>
    </w:lvl>
    <w:lvl w:ilvl="1" w:tentative="0">
      <w:start w:val="1"/>
      <w:numFmt w:val="decimal"/>
      <w:suff w:val="space"/>
      <w:lvlText w:val="%1.%2"/>
      <w:lvlJc w:val="left"/>
      <w:pPr>
        <w:ind w:left="0" w:firstLine="0"/>
      </w:pPr>
      <w:rPr>
        <w:rFonts w:hint="eastAsia"/>
      </w:rPr>
    </w:lvl>
    <w:lvl w:ilvl="2" w:tentative="0">
      <w:start w:val="1"/>
      <w:numFmt w:val="decimal"/>
      <w:suff w:val="space"/>
      <w:lvlText w:val="%1.%2.%3"/>
      <w:lvlJc w:val="left"/>
      <w:pPr>
        <w:ind w:left="0" w:firstLine="0"/>
      </w:pPr>
      <w:rPr>
        <w:rFonts w:hint="eastAsia"/>
      </w:rPr>
    </w:lvl>
    <w:lvl w:ilvl="3" w:tentative="0">
      <w:start w:val="1"/>
      <w:numFmt w:val="decimal"/>
      <w:suff w:val="space"/>
      <w:lvlText w:val="%1.%2.%3.%4"/>
      <w:lvlJc w:val="left"/>
      <w:pPr>
        <w:ind w:left="5528" w:firstLine="0"/>
      </w:pPr>
      <w:rPr>
        <w:rFonts w:hint="eastAsia"/>
      </w:rPr>
    </w:lvl>
    <w:lvl w:ilvl="4" w:tentative="0">
      <w:start w:val="1"/>
      <w:numFmt w:val="decimal"/>
      <w:suff w:val="space"/>
      <w:lvlText w:val="(%5)"/>
      <w:lvlJc w:val="left"/>
      <w:pPr>
        <w:ind w:left="0" w:firstLine="482"/>
      </w:pPr>
      <w:rPr>
        <w:rFonts w:hint="eastAsia" w:ascii="宋体" w:hAnsi="宋体" w:eastAsia="宋体"/>
      </w:rPr>
    </w:lvl>
    <w:lvl w:ilvl="5" w:tentative="0">
      <w:start w:val="1"/>
      <w:numFmt w:val="decimalEnclosedCircle"/>
      <w:suff w:val="space"/>
      <w:lvlText w:val="%6"/>
      <w:lvlJc w:val="left"/>
      <w:pPr>
        <w:ind w:left="0" w:firstLine="482"/>
      </w:pPr>
      <w:rPr>
        <w:rFonts w:hint="default"/>
      </w:rPr>
    </w:lvl>
    <w:lvl w:ilvl="6" w:tentative="0">
      <w:start w:val="1"/>
      <w:numFmt w:val="upperLetter"/>
      <w:suff w:val="space"/>
      <w:lvlText w:val="%7."/>
      <w:lvlJc w:val="left"/>
      <w:pPr>
        <w:ind w:left="0" w:firstLine="482"/>
      </w:pPr>
      <w:rPr>
        <w:rFonts w:hint="eastAsia"/>
      </w:rPr>
    </w:lvl>
    <w:lvl w:ilvl="7" w:tentative="0">
      <w:start w:val="1"/>
      <w:numFmt w:val="decimal"/>
      <w:lvlRestart w:val="3"/>
      <w:suff w:val="space"/>
      <w:lvlText w:val="表 %1.%2.%3-%8"/>
      <w:lvlJc w:val="left"/>
      <w:pPr>
        <w:ind w:left="0" w:firstLine="0"/>
      </w:pPr>
      <w:rPr>
        <w:rFonts w:hint="eastAsia"/>
      </w:rPr>
    </w:lvl>
    <w:lvl w:ilvl="8" w:tentative="0">
      <w:start w:val="1"/>
      <w:numFmt w:val="decimal"/>
      <w:lvlRestart w:val="2"/>
      <w:pStyle w:val="57"/>
      <w:suff w:val="space"/>
      <w:lvlText w:val="图 %1.%2-%9"/>
      <w:lvlJc w:val="center"/>
      <w:pPr>
        <w:ind w:left="0" w:firstLine="0"/>
      </w:pPr>
      <w:rPr>
        <w:rFonts w:hint="eastAsia"/>
      </w:rPr>
    </w:lvl>
  </w:abstractNum>
  <w:abstractNum w:abstractNumId="2">
    <w:nsid w:val="49E199E8"/>
    <w:multiLevelType w:val="singleLevel"/>
    <w:tmpl w:val="49E199E8"/>
    <w:lvl w:ilvl="0" w:tentative="0">
      <w:start w:val="4"/>
      <w:numFmt w:val="decimal"/>
      <w:suff w:val="nothing"/>
      <w:lvlText w:val="（%1）"/>
      <w:lvlJc w:val="left"/>
      <w:pPr>
        <w:ind w:left="-60"/>
      </w:p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马马虎虎">
    <w15:presenceInfo w15:providerId="WPS Office" w15:userId="39736700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307DC8"/>
    <w:rsid w:val="004D3D85"/>
    <w:rsid w:val="00F9257D"/>
    <w:rsid w:val="00FA00A3"/>
    <w:rsid w:val="01541EA9"/>
    <w:rsid w:val="01714809"/>
    <w:rsid w:val="01761E20"/>
    <w:rsid w:val="018D45D0"/>
    <w:rsid w:val="02056D00"/>
    <w:rsid w:val="02467A44"/>
    <w:rsid w:val="02750329"/>
    <w:rsid w:val="03325EA5"/>
    <w:rsid w:val="03327FC8"/>
    <w:rsid w:val="03872911"/>
    <w:rsid w:val="0421708F"/>
    <w:rsid w:val="0523406D"/>
    <w:rsid w:val="055B4B6A"/>
    <w:rsid w:val="06283BF8"/>
    <w:rsid w:val="064A6E08"/>
    <w:rsid w:val="065B15E4"/>
    <w:rsid w:val="067A1543"/>
    <w:rsid w:val="06D01FD2"/>
    <w:rsid w:val="06FA704F"/>
    <w:rsid w:val="073065CD"/>
    <w:rsid w:val="07AD5E6F"/>
    <w:rsid w:val="093F51ED"/>
    <w:rsid w:val="0A382368"/>
    <w:rsid w:val="0A41007B"/>
    <w:rsid w:val="0A5D1A5F"/>
    <w:rsid w:val="0AD665CC"/>
    <w:rsid w:val="0B5F3925"/>
    <w:rsid w:val="0C3703FE"/>
    <w:rsid w:val="0CE83FFD"/>
    <w:rsid w:val="0CF14A50"/>
    <w:rsid w:val="0D0E5602"/>
    <w:rsid w:val="0D2210AE"/>
    <w:rsid w:val="0D382819"/>
    <w:rsid w:val="0DAC2F7A"/>
    <w:rsid w:val="0DB241E0"/>
    <w:rsid w:val="0EB43DAF"/>
    <w:rsid w:val="0EC0292C"/>
    <w:rsid w:val="0F0F7410"/>
    <w:rsid w:val="0F781459"/>
    <w:rsid w:val="102E649D"/>
    <w:rsid w:val="105552F6"/>
    <w:rsid w:val="107C0AD5"/>
    <w:rsid w:val="11213093"/>
    <w:rsid w:val="11744B2C"/>
    <w:rsid w:val="11E46932"/>
    <w:rsid w:val="11F51BF8"/>
    <w:rsid w:val="121216F1"/>
    <w:rsid w:val="12217B86"/>
    <w:rsid w:val="128B14A3"/>
    <w:rsid w:val="12961F0E"/>
    <w:rsid w:val="131C20FB"/>
    <w:rsid w:val="1326261C"/>
    <w:rsid w:val="13707A8F"/>
    <w:rsid w:val="13785584"/>
    <w:rsid w:val="138F7206"/>
    <w:rsid w:val="14284EC7"/>
    <w:rsid w:val="14C33176"/>
    <w:rsid w:val="155344FA"/>
    <w:rsid w:val="1562210B"/>
    <w:rsid w:val="15767E12"/>
    <w:rsid w:val="15893307"/>
    <w:rsid w:val="171B2A97"/>
    <w:rsid w:val="17226932"/>
    <w:rsid w:val="175A48A8"/>
    <w:rsid w:val="18001FEB"/>
    <w:rsid w:val="182A0E16"/>
    <w:rsid w:val="183F2B14"/>
    <w:rsid w:val="18724D4D"/>
    <w:rsid w:val="18CD1D2C"/>
    <w:rsid w:val="18DA17E7"/>
    <w:rsid w:val="19037FE5"/>
    <w:rsid w:val="19371A3D"/>
    <w:rsid w:val="19897784"/>
    <w:rsid w:val="1A0A53A3"/>
    <w:rsid w:val="1A104BCE"/>
    <w:rsid w:val="1ACE4623"/>
    <w:rsid w:val="1AFC5E2A"/>
    <w:rsid w:val="1B0B4F2F"/>
    <w:rsid w:val="1B776F9B"/>
    <w:rsid w:val="1BAC498C"/>
    <w:rsid w:val="1BCE6CA0"/>
    <w:rsid w:val="1C2135DF"/>
    <w:rsid w:val="1C2E5379"/>
    <w:rsid w:val="1C550B58"/>
    <w:rsid w:val="1D4F1A4B"/>
    <w:rsid w:val="1D6019E1"/>
    <w:rsid w:val="1D7B2840"/>
    <w:rsid w:val="1E397B0B"/>
    <w:rsid w:val="1E957931"/>
    <w:rsid w:val="1EBF4331"/>
    <w:rsid w:val="1ED85A70"/>
    <w:rsid w:val="1F615A66"/>
    <w:rsid w:val="1F7E00E0"/>
    <w:rsid w:val="1FB63E9D"/>
    <w:rsid w:val="2033075E"/>
    <w:rsid w:val="20465B47"/>
    <w:rsid w:val="20480747"/>
    <w:rsid w:val="20615FBF"/>
    <w:rsid w:val="210A7618"/>
    <w:rsid w:val="2190618E"/>
    <w:rsid w:val="221E379A"/>
    <w:rsid w:val="225B2C40"/>
    <w:rsid w:val="22EE24C7"/>
    <w:rsid w:val="231132FF"/>
    <w:rsid w:val="245931AF"/>
    <w:rsid w:val="24AB32DF"/>
    <w:rsid w:val="24CD76F9"/>
    <w:rsid w:val="25661A5B"/>
    <w:rsid w:val="259F45C7"/>
    <w:rsid w:val="25CC57EC"/>
    <w:rsid w:val="26997893"/>
    <w:rsid w:val="26AB606A"/>
    <w:rsid w:val="26E10B6B"/>
    <w:rsid w:val="26E64D9A"/>
    <w:rsid w:val="26EA4592"/>
    <w:rsid w:val="26F47310"/>
    <w:rsid w:val="27541A0C"/>
    <w:rsid w:val="275E48B9"/>
    <w:rsid w:val="276B56D3"/>
    <w:rsid w:val="27AC35F6"/>
    <w:rsid w:val="27C77A0E"/>
    <w:rsid w:val="28DF040E"/>
    <w:rsid w:val="28F33BD2"/>
    <w:rsid w:val="292813A2"/>
    <w:rsid w:val="294855A0"/>
    <w:rsid w:val="29EF0088"/>
    <w:rsid w:val="29F924A3"/>
    <w:rsid w:val="2A481CFC"/>
    <w:rsid w:val="2A60320F"/>
    <w:rsid w:val="2B192609"/>
    <w:rsid w:val="2B3D7387"/>
    <w:rsid w:val="2BB313F7"/>
    <w:rsid w:val="2C416A03"/>
    <w:rsid w:val="2D560DCD"/>
    <w:rsid w:val="2D6055AE"/>
    <w:rsid w:val="2D614E83"/>
    <w:rsid w:val="2E2B11B7"/>
    <w:rsid w:val="2E8D23D3"/>
    <w:rsid w:val="2EAB2859"/>
    <w:rsid w:val="2F6F3887"/>
    <w:rsid w:val="2FA06136"/>
    <w:rsid w:val="2FCF1C77"/>
    <w:rsid w:val="30D81B41"/>
    <w:rsid w:val="31185880"/>
    <w:rsid w:val="311A47D0"/>
    <w:rsid w:val="3140120B"/>
    <w:rsid w:val="31644F41"/>
    <w:rsid w:val="32290665"/>
    <w:rsid w:val="322F2A2C"/>
    <w:rsid w:val="32306EF4"/>
    <w:rsid w:val="32430CC6"/>
    <w:rsid w:val="329A1673"/>
    <w:rsid w:val="33025D97"/>
    <w:rsid w:val="330D1C1D"/>
    <w:rsid w:val="330E785B"/>
    <w:rsid w:val="339A2E9C"/>
    <w:rsid w:val="33EC194A"/>
    <w:rsid w:val="34E013AF"/>
    <w:rsid w:val="3590319C"/>
    <w:rsid w:val="35926521"/>
    <w:rsid w:val="35AD6EB7"/>
    <w:rsid w:val="35BD5FA7"/>
    <w:rsid w:val="36985DB9"/>
    <w:rsid w:val="36DD37CC"/>
    <w:rsid w:val="37187253"/>
    <w:rsid w:val="374101FF"/>
    <w:rsid w:val="376D0FF4"/>
    <w:rsid w:val="37B81B43"/>
    <w:rsid w:val="37EA1649"/>
    <w:rsid w:val="383B71A3"/>
    <w:rsid w:val="385F1ECE"/>
    <w:rsid w:val="386436F9"/>
    <w:rsid w:val="387463B2"/>
    <w:rsid w:val="389D76B7"/>
    <w:rsid w:val="38AC16A8"/>
    <w:rsid w:val="39182437"/>
    <w:rsid w:val="397523E2"/>
    <w:rsid w:val="39893797"/>
    <w:rsid w:val="39B12CEE"/>
    <w:rsid w:val="3B8701AA"/>
    <w:rsid w:val="3B9823B7"/>
    <w:rsid w:val="3BB865B6"/>
    <w:rsid w:val="3BD72192"/>
    <w:rsid w:val="3C0161AE"/>
    <w:rsid w:val="3CCA530D"/>
    <w:rsid w:val="3D100A5B"/>
    <w:rsid w:val="3D492A34"/>
    <w:rsid w:val="3D6469F5"/>
    <w:rsid w:val="3D910776"/>
    <w:rsid w:val="3DEA0921"/>
    <w:rsid w:val="3E3076D3"/>
    <w:rsid w:val="3E3F4D6C"/>
    <w:rsid w:val="3F7A2500"/>
    <w:rsid w:val="4020429C"/>
    <w:rsid w:val="40891CE5"/>
    <w:rsid w:val="410B117F"/>
    <w:rsid w:val="410D73A4"/>
    <w:rsid w:val="411978E8"/>
    <w:rsid w:val="411E510D"/>
    <w:rsid w:val="411F649E"/>
    <w:rsid w:val="41360D0A"/>
    <w:rsid w:val="41434B73"/>
    <w:rsid w:val="417129CD"/>
    <w:rsid w:val="41782980"/>
    <w:rsid w:val="41952E6F"/>
    <w:rsid w:val="41ED7D93"/>
    <w:rsid w:val="422C1AAB"/>
    <w:rsid w:val="42424E2B"/>
    <w:rsid w:val="429A07C3"/>
    <w:rsid w:val="43266FE5"/>
    <w:rsid w:val="438D20D6"/>
    <w:rsid w:val="43A0005B"/>
    <w:rsid w:val="43F32881"/>
    <w:rsid w:val="44280029"/>
    <w:rsid w:val="442F6EC9"/>
    <w:rsid w:val="445175A7"/>
    <w:rsid w:val="44D3620E"/>
    <w:rsid w:val="44E0528D"/>
    <w:rsid w:val="45102FBE"/>
    <w:rsid w:val="45333199"/>
    <w:rsid w:val="454C337D"/>
    <w:rsid w:val="456D0411"/>
    <w:rsid w:val="45892025"/>
    <w:rsid w:val="45954E7D"/>
    <w:rsid w:val="46516B48"/>
    <w:rsid w:val="479735E1"/>
    <w:rsid w:val="47B95B8F"/>
    <w:rsid w:val="47F92430"/>
    <w:rsid w:val="49380D36"/>
    <w:rsid w:val="49425710"/>
    <w:rsid w:val="49AA45A3"/>
    <w:rsid w:val="49F95DE8"/>
    <w:rsid w:val="4A000DB0"/>
    <w:rsid w:val="4A2B43F6"/>
    <w:rsid w:val="4A842CA2"/>
    <w:rsid w:val="4A897A9B"/>
    <w:rsid w:val="4AED0DD6"/>
    <w:rsid w:val="4B3A0D95"/>
    <w:rsid w:val="4C2D08FA"/>
    <w:rsid w:val="4CD945DE"/>
    <w:rsid w:val="4CFC0355"/>
    <w:rsid w:val="4D0F600E"/>
    <w:rsid w:val="4D166F4D"/>
    <w:rsid w:val="4D553C64"/>
    <w:rsid w:val="4D8B1D7C"/>
    <w:rsid w:val="4DDD48CE"/>
    <w:rsid w:val="4DE4148C"/>
    <w:rsid w:val="4E102281"/>
    <w:rsid w:val="4E50267E"/>
    <w:rsid w:val="4E5959D6"/>
    <w:rsid w:val="4E7B594C"/>
    <w:rsid w:val="4EDD6607"/>
    <w:rsid w:val="4F1D22FA"/>
    <w:rsid w:val="4F6351A5"/>
    <w:rsid w:val="4F74239C"/>
    <w:rsid w:val="4FD14381"/>
    <w:rsid w:val="4FF21C3E"/>
    <w:rsid w:val="50024AD7"/>
    <w:rsid w:val="5013223F"/>
    <w:rsid w:val="50307DC8"/>
    <w:rsid w:val="50546455"/>
    <w:rsid w:val="50633C92"/>
    <w:rsid w:val="507B7E86"/>
    <w:rsid w:val="51594984"/>
    <w:rsid w:val="51FB0B52"/>
    <w:rsid w:val="52A2665D"/>
    <w:rsid w:val="52D90E94"/>
    <w:rsid w:val="53514ECE"/>
    <w:rsid w:val="53963229"/>
    <w:rsid w:val="53A40EB9"/>
    <w:rsid w:val="53B10062"/>
    <w:rsid w:val="53B768FB"/>
    <w:rsid w:val="53FA5565"/>
    <w:rsid w:val="5429409D"/>
    <w:rsid w:val="54BC0A6D"/>
    <w:rsid w:val="54BC58AE"/>
    <w:rsid w:val="54F35C71"/>
    <w:rsid w:val="55067F3A"/>
    <w:rsid w:val="550F6DEF"/>
    <w:rsid w:val="556D1D67"/>
    <w:rsid w:val="557B0BC6"/>
    <w:rsid w:val="55A47054"/>
    <w:rsid w:val="55CE0A58"/>
    <w:rsid w:val="56334D5F"/>
    <w:rsid w:val="56C02A96"/>
    <w:rsid w:val="56D244CD"/>
    <w:rsid w:val="56FD3A23"/>
    <w:rsid w:val="57A31A70"/>
    <w:rsid w:val="57D63BF4"/>
    <w:rsid w:val="58445001"/>
    <w:rsid w:val="59E06FAB"/>
    <w:rsid w:val="5A1455BF"/>
    <w:rsid w:val="5A5F25C6"/>
    <w:rsid w:val="5A971D60"/>
    <w:rsid w:val="5B1809F6"/>
    <w:rsid w:val="5B5611F4"/>
    <w:rsid w:val="5B997ADB"/>
    <w:rsid w:val="5BA830B6"/>
    <w:rsid w:val="5BE70AC5"/>
    <w:rsid w:val="5BEC60DC"/>
    <w:rsid w:val="5C030588"/>
    <w:rsid w:val="5C3A6E47"/>
    <w:rsid w:val="5C5454B7"/>
    <w:rsid w:val="5C74325C"/>
    <w:rsid w:val="5C87358A"/>
    <w:rsid w:val="5C902F0B"/>
    <w:rsid w:val="5CC826A5"/>
    <w:rsid w:val="5CDE4657"/>
    <w:rsid w:val="5D0D455B"/>
    <w:rsid w:val="5D35760E"/>
    <w:rsid w:val="5D3B0BC5"/>
    <w:rsid w:val="5D5E0FF9"/>
    <w:rsid w:val="5D6677C8"/>
    <w:rsid w:val="5D753EA2"/>
    <w:rsid w:val="5DA56542"/>
    <w:rsid w:val="5DB60FC4"/>
    <w:rsid w:val="5E2F0501"/>
    <w:rsid w:val="5E4D7439"/>
    <w:rsid w:val="5ED13367"/>
    <w:rsid w:val="5F0B6879"/>
    <w:rsid w:val="5FFE462F"/>
    <w:rsid w:val="6014175D"/>
    <w:rsid w:val="60EF54A6"/>
    <w:rsid w:val="612F04AF"/>
    <w:rsid w:val="613F0A5C"/>
    <w:rsid w:val="616E1341"/>
    <w:rsid w:val="61C15971"/>
    <w:rsid w:val="61DB0FD1"/>
    <w:rsid w:val="61EB1FBD"/>
    <w:rsid w:val="62467BC8"/>
    <w:rsid w:val="62607EB3"/>
    <w:rsid w:val="627806C9"/>
    <w:rsid w:val="62DF0D43"/>
    <w:rsid w:val="63B7451C"/>
    <w:rsid w:val="63DA0F0F"/>
    <w:rsid w:val="64177A6E"/>
    <w:rsid w:val="64597590"/>
    <w:rsid w:val="64882719"/>
    <w:rsid w:val="648D6455"/>
    <w:rsid w:val="64953A17"/>
    <w:rsid w:val="65162E9F"/>
    <w:rsid w:val="659214C0"/>
    <w:rsid w:val="65E93A96"/>
    <w:rsid w:val="6602250D"/>
    <w:rsid w:val="66540B05"/>
    <w:rsid w:val="665F174A"/>
    <w:rsid w:val="667D7425"/>
    <w:rsid w:val="66DE114D"/>
    <w:rsid w:val="66F916AD"/>
    <w:rsid w:val="670818F0"/>
    <w:rsid w:val="6784366C"/>
    <w:rsid w:val="67AA29A7"/>
    <w:rsid w:val="67CD29F0"/>
    <w:rsid w:val="67D00572"/>
    <w:rsid w:val="67D621EA"/>
    <w:rsid w:val="6834222E"/>
    <w:rsid w:val="68450A5C"/>
    <w:rsid w:val="68590B5B"/>
    <w:rsid w:val="68BE5D5E"/>
    <w:rsid w:val="69CE58AE"/>
    <w:rsid w:val="6A1F6BD7"/>
    <w:rsid w:val="6A3F1672"/>
    <w:rsid w:val="6A5F61F1"/>
    <w:rsid w:val="6ADC0A54"/>
    <w:rsid w:val="6ADF6E0B"/>
    <w:rsid w:val="6AFB2324"/>
    <w:rsid w:val="6B607F4C"/>
    <w:rsid w:val="6B623CC4"/>
    <w:rsid w:val="6B68554D"/>
    <w:rsid w:val="6BA20565"/>
    <w:rsid w:val="6CE150BD"/>
    <w:rsid w:val="6CFA617E"/>
    <w:rsid w:val="6D372F2F"/>
    <w:rsid w:val="6D3E42BD"/>
    <w:rsid w:val="6D5570B2"/>
    <w:rsid w:val="6DB10E69"/>
    <w:rsid w:val="6DCF24D4"/>
    <w:rsid w:val="6E105C5A"/>
    <w:rsid w:val="6EE46784"/>
    <w:rsid w:val="6F0B01CF"/>
    <w:rsid w:val="6F20529B"/>
    <w:rsid w:val="6F936635"/>
    <w:rsid w:val="6FC0545D"/>
    <w:rsid w:val="6FD809F9"/>
    <w:rsid w:val="6FFE2F96"/>
    <w:rsid w:val="70022257"/>
    <w:rsid w:val="704B561C"/>
    <w:rsid w:val="707D334E"/>
    <w:rsid w:val="707D6EAA"/>
    <w:rsid w:val="717C1858"/>
    <w:rsid w:val="724D25BE"/>
    <w:rsid w:val="72534739"/>
    <w:rsid w:val="72684572"/>
    <w:rsid w:val="727B38BE"/>
    <w:rsid w:val="72EC5D52"/>
    <w:rsid w:val="730A3BF2"/>
    <w:rsid w:val="731735E6"/>
    <w:rsid w:val="732112BE"/>
    <w:rsid w:val="73ED2599"/>
    <w:rsid w:val="74BC0805"/>
    <w:rsid w:val="751A116C"/>
    <w:rsid w:val="75630D65"/>
    <w:rsid w:val="75D16032"/>
    <w:rsid w:val="768F7938"/>
    <w:rsid w:val="76D025F8"/>
    <w:rsid w:val="772A20D0"/>
    <w:rsid w:val="778925D9"/>
    <w:rsid w:val="77955421"/>
    <w:rsid w:val="77B6743E"/>
    <w:rsid w:val="77EB6DF0"/>
    <w:rsid w:val="78D37FAF"/>
    <w:rsid w:val="78EB6156"/>
    <w:rsid w:val="79007C5F"/>
    <w:rsid w:val="79BE0C60"/>
    <w:rsid w:val="79BF6786"/>
    <w:rsid w:val="79D14874"/>
    <w:rsid w:val="79F77CCE"/>
    <w:rsid w:val="7A45309D"/>
    <w:rsid w:val="7AB759D6"/>
    <w:rsid w:val="7ADB75EF"/>
    <w:rsid w:val="7AEA7832"/>
    <w:rsid w:val="7B2965AD"/>
    <w:rsid w:val="7B354CC2"/>
    <w:rsid w:val="7B9003DA"/>
    <w:rsid w:val="7C266648"/>
    <w:rsid w:val="7C490589"/>
    <w:rsid w:val="7CE61B8E"/>
    <w:rsid w:val="7CF404F4"/>
    <w:rsid w:val="7D7B0C16"/>
    <w:rsid w:val="7D834802"/>
    <w:rsid w:val="7DAF33A2"/>
    <w:rsid w:val="7DE62533"/>
    <w:rsid w:val="7DF01530"/>
    <w:rsid w:val="7E1233AB"/>
    <w:rsid w:val="7E8B30DA"/>
    <w:rsid w:val="7E955D07"/>
    <w:rsid w:val="7E9957F7"/>
    <w:rsid w:val="7EA2139C"/>
    <w:rsid w:val="7F4964B1"/>
    <w:rsid w:val="7F651B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wordWrap w:val="0"/>
      <w:spacing w:beforeLines="0" w:afterLines="0" w:line="360" w:lineRule="auto"/>
      <w:outlineLvl w:val="0"/>
    </w:pPr>
    <w:rPr>
      <w:rFonts w:ascii="Arial" w:hAnsi="Arial" w:eastAsia="黑体" w:cs="Times New Roman"/>
      <w:b/>
      <w:snapToGrid w:val="0"/>
      <w:color w:val="000000"/>
      <w:kern w:val="44"/>
      <w:sz w:val="32"/>
      <w:szCs w:val="21"/>
    </w:rPr>
  </w:style>
  <w:style w:type="paragraph" w:styleId="3">
    <w:name w:val="heading 2"/>
    <w:basedOn w:val="1"/>
    <w:next w:val="1"/>
    <w:semiHidden/>
    <w:unhideWhenUsed/>
    <w:qFormat/>
    <w:uiPriority w:val="0"/>
    <w:pPr>
      <w:keepNext/>
      <w:keepLines/>
      <w:spacing w:line="360" w:lineRule="auto"/>
      <w:outlineLvl w:val="1"/>
    </w:pPr>
    <w:rPr>
      <w:rFonts w:ascii="Times New Roman" w:hAnsi="Times New Roman" w:eastAsia="宋体" w:cs="Times New Roman"/>
      <w:b/>
      <w:bCs/>
      <w:sz w:val="30"/>
      <w:szCs w:val="28"/>
    </w:rPr>
  </w:style>
  <w:style w:type="paragraph" w:styleId="4">
    <w:name w:val="heading 3"/>
    <w:basedOn w:val="3"/>
    <w:next w:val="1"/>
    <w:semiHidden/>
    <w:unhideWhenUsed/>
    <w:qFormat/>
    <w:uiPriority w:val="0"/>
    <w:pPr>
      <w:keepNext/>
      <w:keepLines/>
      <w:wordWrap w:val="0"/>
      <w:spacing w:beforeLines="0" w:beforeAutospacing="0" w:afterLines="0" w:afterAutospacing="0" w:line="360" w:lineRule="auto"/>
      <w:outlineLvl w:val="2"/>
    </w:pPr>
    <w:rPr>
      <w:rFonts w:ascii="Arial" w:hAnsi="Arial" w:eastAsia="黑体" w:cs="Times New Roman"/>
      <w:snapToGrid w:val="0"/>
      <w:color w:val="000000"/>
      <w:kern w:val="0"/>
      <w:sz w:val="28"/>
      <w:szCs w:val="21"/>
      <w:lang w:eastAsia="en-US"/>
    </w:rPr>
  </w:style>
  <w:style w:type="paragraph" w:styleId="5">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eastAsia="宋体" w:cs="Times New Roman"/>
      <w:sz w:val="24"/>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6">
    <w:name w:val="Normal Indent"/>
    <w:basedOn w:val="1"/>
    <w:next w:val="7"/>
    <w:qFormat/>
    <w:uiPriority w:val="0"/>
    <w:pPr>
      <w:ind w:firstLine="420" w:firstLineChars="200"/>
    </w:pPr>
  </w:style>
  <w:style w:type="paragraph" w:styleId="7">
    <w:name w:val="Body Text First Indent 2"/>
    <w:basedOn w:val="8"/>
    <w:next w:val="1"/>
    <w:qFormat/>
    <w:uiPriority w:val="99"/>
    <w:pPr>
      <w:ind w:firstLine="420" w:firstLineChars="200"/>
    </w:pPr>
    <w:rPr>
      <w:kern w:val="2"/>
      <w:sz w:val="21"/>
      <w:szCs w:val="24"/>
    </w:rPr>
  </w:style>
  <w:style w:type="paragraph" w:styleId="8">
    <w:name w:val="Body Text Indent"/>
    <w:basedOn w:val="1"/>
    <w:next w:val="1"/>
    <w:semiHidden/>
    <w:qFormat/>
    <w:uiPriority w:val="0"/>
    <w:pPr>
      <w:spacing w:after="120"/>
      <w:ind w:left="420" w:leftChars="200"/>
    </w:pPr>
  </w:style>
  <w:style w:type="paragraph" w:styleId="9">
    <w:name w:val="caption"/>
    <w:basedOn w:val="1"/>
    <w:next w:val="1"/>
    <w:unhideWhenUsed/>
    <w:qFormat/>
    <w:uiPriority w:val="0"/>
    <w:rPr>
      <w:rFonts w:eastAsia="黑体" w:asciiTheme="majorHAnsi" w:hAnsiTheme="majorHAnsi" w:cstheme="majorBidi"/>
      <w:sz w:val="20"/>
      <w:szCs w:val="20"/>
    </w:rPr>
  </w:style>
  <w:style w:type="paragraph" w:styleId="10">
    <w:name w:val="annotation text"/>
    <w:basedOn w:val="1"/>
    <w:qFormat/>
    <w:uiPriority w:val="0"/>
    <w:pPr>
      <w:jc w:val="left"/>
    </w:pPr>
  </w:style>
  <w:style w:type="paragraph" w:styleId="11">
    <w:name w:val="Body Text"/>
    <w:basedOn w:val="1"/>
    <w:qFormat/>
    <w:uiPriority w:val="0"/>
    <w:pPr>
      <w:wordWrap w:val="0"/>
    </w:pPr>
    <w:rPr>
      <w:rFonts w:ascii="仿宋" w:hAnsi="仿宋" w:eastAsia="宋体" w:cs="仿宋"/>
      <w:kern w:val="2"/>
      <w:sz w:val="24"/>
      <w:szCs w:val="31"/>
      <w:lang w:eastAsia="en-US"/>
    </w:rPr>
  </w:style>
  <w:style w:type="paragraph" w:styleId="12">
    <w:name w:val="Plain Text"/>
    <w:basedOn w:val="1"/>
    <w:qFormat/>
    <w:uiPriority w:val="0"/>
    <w:rPr>
      <w:rFonts w:ascii="宋体" w:hAnsi="Courier New" w:cs="Courier New"/>
      <w:szCs w:val="21"/>
    </w:rPr>
  </w:style>
  <w:style w:type="paragraph" w:styleId="13">
    <w:name w:val="Body Text Indent 2"/>
    <w:basedOn w:val="1"/>
    <w:next w:val="1"/>
    <w:qFormat/>
    <w:uiPriority w:val="99"/>
    <w:pPr>
      <w:spacing w:after="120" w:line="480" w:lineRule="auto"/>
      <w:ind w:left="420" w:leftChars="200"/>
    </w:pPr>
    <w:rPr>
      <w:lang w:val="zh-CN"/>
    </w:rPr>
  </w:style>
  <w:style w:type="paragraph" w:styleId="14">
    <w:name w:val="footer"/>
    <w:basedOn w:val="1"/>
    <w:qFormat/>
    <w:uiPriority w:val="0"/>
    <w:pPr>
      <w:tabs>
        <w:tab w:val="center" w:pos="4153"/>
        <w:tab w:val="right" w:pos="8306"/>
      </w:tabs>
      <w:snapToGrid w:val="0"/>
      <w:jc w:val="left"/>
    </w:pPr>
    <w:rPr>
      <w:sz w:val="18"/>
      <w:szCs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List"/>
    <w:basedOn w:val="1"/>
    <w:unhideWhenUsed/>
    <w:qFormat/>
    <w:uiPriority w:val="99"/>
    <w:pPr>
      <w:ind w:left="200" w:hanging="200" w:hangingChars="200"/>
    </w:pPr>
  </w:style>
  <w:style w:type="paragraph" w:styleId="1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8">
    <w:name w:val="Normal (Web)"/>
    <w:basedOn w:val="1"/>
    <w:qFormat/>
    <w:uiPriority w:val="0"/>
    <w:pPr>
      <w:widowControl/>
      <w:spacing w:before="100" w:beforeAutospacing="1" w:after="100" w:afterAutospacing="1"/>
      <w:jc w:val="left"/>
    </w:pPr>
    <w:rPr>
      <w:rFonts w:ascii="宋体" w:hAnsi="宋体"/>
      <w:kern w:val="0"/>
      <w:sz w:val="24"/>
    </w:rPr>
  </w:style>
  <w:style w:type="table" w:styleId="20">
    <w:name w:val="Table Grid"/>
    <w:basedOn w:val="19"/>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Emphasis"/>
    <w:basedOn w:val="21"/>
    <w:qFormat/>
    <w:uiPriority w:val="0"/>
    <w:rPr>
      <w:i/>
    </w:rPr>
  </w:style>
  <w:style w:type="character" w:styleId="24">
    <w:name w:val="Hyperlink"/>
    <w:basedOn w:val="21"/>
    <w:qFormat/>
    <w:uiPriority w:val="0"/>
    <w:rPr>
      <w:color w:val="0000FF"/>
      <w:u w:val="single"/>
    </w:rPr>
  </w:style>
  <w:style w:type="character" w:styleId="25">
    <w:name w:val="annotation reference"/>
    <w:qFormat/>
    <w:uiPriority w:val="0"/>
    <w:rPr>
      <w:sz w:val="21"/>
    </w:rPr>
  </w:style>
  <w:style w:type="paragraph" w:customStyle="1" w:styleId="26">
    <w:name w:val="标题3x"/>
    <w:basedOn w:val="1"/>
    <w:qFormat/>
    <w:uiPriority w:val="0"/>
    <w:pPr>
      <w:keepLines/>
      <w:autoSpaceDE/>
      <w:autoSpaceDN/>
      <w:adjustRightInd/>
      <w:spacing w:before="0" w:after="0" w:line="360" w:lineRule="auto"/>
    </w:pPr>
    <w:rPr>
      <w:rFonts w:ascii="Times New Roman" w:hAnsi="Times New Roman" w:eastAsia="宋体" w:cs="Times New Roman"/>
      <w:color w:val="auto"/>
      <w:sz w:val="28"/>
      <w:highlight w:val="none"/>
    </w:rPr>
  </w:style>
  <w:style w:type="paragraph" w:customStyle="1" w:styleId="27">
    <w:name w:val="Table Text"/>
    <w:basedOn w:val="1"/>
    <w:semiHidden/>
    <w:qFormat/>
    <w:uiPriority w:val="0"/>
    <w:rPr>
      <w:rFonts w:ascii="宋体" w:hAnsi="宋体" w:eastAsia="宋体" w:cs="宋体"/>
      <w:sz w:val="24"/>
      <w:szCs w:val="24"/>
      <w:lang w:val="en-US" w:eastAsia="en-US" w:bidi="ar-SA"/>
    </w:rPr>
  </w:style>
  <w:style w:type="paragraph" w:customStyle="1" w:styleId="2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9">
    <w:name w:val="本文图表标题"/>
    <w:basedOn w:val="1"/>
    <w:qFormat/>
    <w:uiPriority w:val="0"/>
    <w:pPr>
      <w:spacing w:before="50" w:beforeLines="50" w:after="50" w:afterLines="50"/>
      <w:jc w:val="center"/>
    </w:pPr>
    <w:rPr>
      <w:b/>
      <w:szCs w:val="24"/>
    </w:rPr>
  </w:style>
  <w:style w:type="paragraph" w:customStyle="1" w:styleId="30">
    <w:name w:val="本文正文"/>
    <w:basedOn w:val="1"/>
    <w:qFormat/>
    <w:uiPriority w:val="0"/>
    <w:pPr>
      <w:spacing w:line="360" w:lineRule="auto"/>
      <w:ind w:firstLine="200" w:firstLineChars="200"/>
    </w:pPr>
    <w:rPr>
      <w:kern w:val="0"/>
      <w:sz w:val="24"/>
    </w:rPr>
  </w:style>
  <w:style w:type="paragraph" w:customStyle="1" w:styleId="31">
    <w:name w:val="正文样式1"/>
    <w:basedOn w:val="12"/>
    <w:qFormat/>
    <w:uiPriority w:val="0"/>
    <w:pPr>
      <w:spacing w:line="360" w:lineRule="auto"/>
      <w:ind w:firstLine="480"/>
    </w:pPr>
    <w:rPr>
      <w:rFonts w:cs="Times New Roman"/>
      <w:kern w:val="0"/>
      <w:sz w:val="28"/>
      <w:szCs w:val="20"/>
    </w:rPr>
  </w:style>
  <w:style w:type="character" w:customStyle="1" w:styleId="32">
    <w:name w:val="文章正文 Char Char"/>
    <w:qFormat/>
    <w:uiPriority w:val="0"/>
    <w:rPr>
      <w:rFonts w:ascii="Times New Roman" w:hAnsi="Times New Roman" w:eastAsia="宋体"/>
      <w:sz w:val="24"/>
    </w:rPr>
  </w:style>
  <w:style w:type="paragraph" w:customStyle="1" w:styleId="33">
    <w:name w:val="环评正文"/>
    <w:basedOn w:val="1"/>
    <w:qFormat/>
    <w:uiPriority w:val="0"/>
    <w:rPr>
      <w:rFonts w:cs="Courier New"/>
      <w:snapToGrid w:val="0"/>
      <w:szCs w:val="20"/>
    </w:rPr>
  </w:style>
  <w:style w:type="paragraph" w:customStyle="1" w:styleId="34">
    <w:name w:val="表头"/>
    <w:basedOn w:val="16"/>
    <w:qFormat/>
    <w:uiPriority w:val="0"/>
    <w:pPr>
      <w:spacing w:line="240" w:lineRule="auto"/>
      <w:ind w:firstLine="0" w:firstLineChars="0"/>
      <w:jc w:val="center"/>
    </w:pPr>
    <w:rPr>
      <w:b/>
      <w:color w:val="000000" w:themeColor="text1"/>
      <w:sz w:val="21"/>
      <w14:textFill>
        <w14:solidFill>
          <w14:schemeClr w14:val="tx1"/>
        </w14:solidFill>
      </w14:textFill>
    </w:rPr>
  </w:style>
  <w:style w:type="paragraph" w:customStyle="1" w:styleId="35">
    <w:name w:val="[1]正文"/>
    <w:basedOn w:val="1"/>
    <w:autoRedefine/>
    <w:qFormat/>
    <w:uiPriority w:val="0"/>
    <w:rPr>
      <w:szCs w:val="24"/>
      <w:lang w:val="zh-CN"/>
    </w:rPr>
  </w:style>
  <w:style w:type="paragraph" w:customStyle="1" w:styleId="36">
    <w:name w:val="1-1 正文－WHHK"/>
    <w:basedOn w:val="1"/>
    <w:qFormat/>
    <w:uiPriority w:val="0"/>
    <w:pPr>
      <w:overflowPunct w:val="0"/>
      <w:ind w:left="8" w:leftChars="8" w:right="8" w:rightChars="8"/>
    </w:pPr>
    <w:rPr>
      <w:color w:val="000000"/>
      <w:szCs w:val="28"/>
      <w:lang w:bidi="en-US"/>
    </w:rPr>
  </w:style>
  <w:style w:type="paragraph" w:customStyle="1" w:styleId="37">
    <w:name w:val="表头2"/>
    <w:basedOn w:val="35"/>
    <w:qFormat/>
    <w:uiPriority w:val="0"/>
    <w:pPr>
      <w:spacing w:line="240" w:lineRule="auto"/>
      <w:ind w:firstLine="0" w:firstLineChars="0"/>
      <w:jc w:val="center"/>
    </w:pPr>
    <w:rPr>
      <w:rFonts w:eastAsia="Times New Roman"/>
      <w:b/>
    </w:rPr>
  </w:style>
  <w:style w:type="paragraph" w:customStyle="1" w:styleId="38">
    <w:name w:val="表格内容1"/>
    <w:basedOn w:val="35"/>
    <w:qFormat/>
    <w:uiPriority w:val="0"/>
    <w:pPr>
      <w:spacing w:line="240" w:lineRule="auto"/>
      <w:ind w:firstLine="0" w:firstLineChars="0"/>
      <w:jc w:val="center"/>
    </w:pPr>
    <w:rPr>
      <w:rFonts w:cs="Times New Roman"/>
      <w:color w:val="000000"/>
      <w:sz w:val="21"/>
      <w:szCs w:val="21"/>
    </w:rPr>
  </w:style>
  <w:style w:type="paragraph" w:customStyle="1" w:styleId="39">
    <w:name w:val="1-2 正文无缩进-WHHK"/>
    <w:basedOn w:val="1"/>
    <w:qFormat/>
    <w:uiPriority w:val="0"/>
    <w:pPr>
      <w:ind w:left="48" w:leftChars="8" w:right="48" w:rightChars="8" w:firstLine="0" w:firstLineChars="0"/>
    </w:pPr>
    <w:rPr>
      <w:rFonts w:cs="Arial"/>
      <w:lang w:val="sq-AL" w:bidi="en-US"/>
    </w:rPr>
  </w:style>
  <w:style w:type="paragraph" w:customStyle="1" w:styleId="40">
    <w:name w:val="楷体三号"/>
    <w:basedOn w:val="1"/>
    <w:qFormat/>
    <w:uiPriority w:val="0"/>
    <w:pPr>
      <w:shd w:val="clear" w:color="auto" w:fill="FFFFFF"/>
      <w:spacing w:line="300" w:lineRule="auto"/>
      <w:outlineLvl w:val="1"/>
    </w:pPr>
    <w:rPr>
      <w:rFonts w:ascii="楷体_GB2312" w:hAnsi="宋体" w:eastAsia="楷体_GB2312"/>
      <w:b/>
      <w:sz w:val="32"/>
      <w:szCs w:val="28"/>
    </w:rPr>
  </w:style>
  <w:style w:type="paragraph" w:customStyle="1" w:styleId="41">
    <w:name w:val="表格内容"/>
    <w:basedOn w:val="1"/>
    <w:qFormat/>
    <w:uiPriority w:val="0"/>
    <w:pPr>
      <w:spacing w:line="240" w:lineRule="auto"/>
      <w:ind w:firstLine="0" w:firstLineChars="0"/>
      <w:jc w:val="center"/>
    </w:pPr>
    <w:rPr>
      <w:kern w:val="0"/>
      <w:sz w:val="20"/>
    </w:rPr>
  </w:style>
  <w:style w:type="table" w:customStyle="1" w:styleId="42">
    <w:name w:val="Table Normal"/>
    <w:basedOn w:val="19"/>
    <w:unhideWhenUsed/>
    <w:qFormat/>
    <w:uiPriority w:val="0"/>
    <w:tblPr>
      <w:tblCellMar>
        <w:top w:w="0" w:type="dxa"/>
        <w:left w:w="0" w:type="dxa"/>
        <w:bottom w:w="0" w:type="dxa"/>
        <w:right w:w="0" w:type="dxa"/>
      </w:tblCellMar>
    </w:tblPr>
  </w:style>
  <w:style w:type="paragraph" w:customStyle="1" w:styleId="43">
    <w:name w:val="3环评报告三级标题"/>
    <w:basedOn w:val="4"/>
    <w:next w:val="1"/>
    <w:qFormat/>
    <w:uiPriority w:val="0"/>
    <w:pPr>
      <w:numPr>
        <w:ilvl w:val="2"/>
        <w:numId w:val="1"/>
      </w:numPr>
      <w:adjustRightInd w:val="0"/>
      <w:snapToGrid w:val="0"/>
      <w:spacing w:before="120" w:after="120" w:line="360" w:lineRule="auto"/>
      <w:ind w:firstLineChars="0"/>
    </w:pPr>
    <w:rPr>
      <w:sz w:val="28"/>
    </w:rPr>
  </w:style>
  <w:style w:type="paragraph" w:styleId="44">
    <w:name w:val="List Paragraph"/>
    <w:basedOn w:val="1"/>
    <w:qFormat/>
    <w:uiPriority w:val="0"/>
    <w:pPr>
      <w:ind w:firstLine="420"/>
    </w:pPr>
  </w:style>
  <w:style w:type="paragraph" w:customStyle="1" w:styleId="45">
    <w:name w:val="0正文"/>
    <w:qFormat/>
    <w:uiPriority w:val="0"/>
    <w:pPr>
      <w:widowControl w:val="0"/>
      <w:spacing w:line="360" w:lineRule="auto"/>
      <w:ind w:firstLine="720" w:firstLineChars="200"/>
    </w:pPr>
    <w:rPr>
      <w:rFonts w:ascii="Times New Roman" w:hAnsi="Times New Roman" w:eastAsia="宋体" w:cs="Times New Roman"/>
      <w:kern w:val="0"/>
      <w:sz w:val="24"/>
      <w:szCs w:val="22"/>
      <w:lang w:val="en-US" w:eastAsia="zh-CN" w:bidi="ar-SA"/>
    </w:rPr>
  </w:style>
  <w:style w:type="character" w:customStyle="1" w:styleId="46">
    <w:name w:val="font21"/>
    <w:basedOn w:val="21"/>
    <w:qFormat/>
    <w:uiPriority w:val="0"/>
    <w:rPr>
      <w:rFonts w:hint="default" w:ascii="Times New Roman" w:hAnsi="Times New Roman" w:cs="Times New Roman"/>
      <w:color w:val="000000"/>
      <w:sz w:val="21"/>
      <w:szCs w:val="21"/>
      <w:u w:val="none"/>
    </w:rPr>
  </w:style>
  <w:style w:type="paragraph" w:customStyle="1" w:styleId="47">
    <w:name w:val="xl26"/>
    <w:basedOn w:val="1"/>
    <w:qFormat/>
    <w:uiPriority w:val="0"/>
    <w:pPr>
      <w:widowControl/>
      <w:pBdr>
        <w:bottom w:val="single" w:color="auto" w:sz="4" w:space="0"/>
        <w:right w:val="single" w:color="auto" w:sz="4" w:space="0"/>
      </w:pBdr>
      <w:adjustRightInd/>
      <w:snapToGrid/>
      <w:spacing w:before="100" w:after="100"/>
      <w:ind w:firstLine="720" w:firstLineChars="200"/>
      <w:jc w:val="center"/>
      <w:textAlignment w:val="top"/>
    </w:pPr>
    <w:rPr>
      <w:rFonts w:ascii="宋体" w:hAnsi="宋体"/>
      <w:kern w:val="0"/>
      <w:szCs w:val="20"/>
    </w:rPr>
  </w:style>
  <w:style w:type="paragraph" w:customStyle="1" w:styleId="48">
    <w:name w:val="样式 正文1 + 首行缩进:  2 字符"/>
    <w:basedOn w:val="1"/>
    <w:qFormat/>
    <w:uiPriority w:val="0"/>
    <w:pPr>
      <w:keepNext/>
      <w:spacing w:line="360" w:lineRule="auto"/>
      <w:ind w:firstLine="200" w:firstLineChars="200"/>
    </w:pPr>
    <w:rPr>
      <w:rFonts w:ascii="Calibri" w:hAnsi="Calibri" w:cs="宋体"/>
      <w:sz w:val="24"/>
      <w:szCs w:val="20"/>
    </w:rPr>
  </w:style>
  <w:style w:type="paragraph" w:customStyle="1" w:styleId="49">
    <w:name w:val="p0"/>
    <w:basedOn w:val="1"/>
    <w:qFormat/>
    <w:uiPriority w:val="0"/>
    <w:pPr>
      <w:widowControl/>
    </w:pPr>
    <w:rPr>
      <w:kern w:val="0"/>
      <w:szCs w:val="21"/>
    </w:rPr>
  </w:style>
  <w:style w:type="paragraph" w:customStyle="1" w:styleId="50">
    <w:name w:val="Table Paragraph"/>
    <w:basedOn w:val="1"/>
    <w:qFormat/>
    <w:uiPriority w:val="1"/>
    <w:pPr>
      <w:jc w:val="center"/>
    </w:pPr>
    <w:rPr>
      <w:rFonts w:ascii="宋体" w:hAnsi="宋体" w:eastAsia="宋体" w:cs="宋体"/>
      <w:lang w:val="zh-CN" w:eastAsia="zh-CN" w:bidi="zh-CN"/>
    </w:rPr>
  </w:style>
  <w:style w:type="paragraph" w:customStyle="1" w:styleId="51">
    <w:name w:val="0表格格式"/>
    <w:basedOn w:val="1"/>
    <w:qFormat/>
    <w:uiPriority w:val="0"/>
    <w:pPr>
      <w:jc w:val="center"/>
    </w:pPr>
    <w:rPr>
      <w:rFonts w:ascii="Times New Roman" w:hAnsi="Times New Roman" w:cs="Times New Roman"/>
      <w:szCs w:val="21"/>
    </w:rPr>
  </w:style>
  <w:style w:type="character" w:customStyle="1" w:styleId="52">
    <w:name w:val="font41"/>
    <w:basedOn w:val="21"/>
    <w:qFormat/>
    <w:uiPriority w:val="0"/>
    <w:rPr>
      <w:rFonts w:hint="default" w:ascii="Times New Roman" w:hAnsi="Times New Roman" w:cs="Times New Roman"/>
      <w:color w:val="000000"/>
      <w:sz w:val="20"/>
      <w:szCs w:val="20"/>
      <w:u w:val="none"/>
    </w:rPr>
  </w:style>
  <w:style w:type="character" w:customStyle="1" w:styleId="53">
    <w:name w:val="font71"/>
    <w:basedOn w:val="21"/>
    <w:qFormat/>
    <w:uiPriority w:val="0"/>
    <w:rPr>
      <w:rFonts w:hint="default" w:ascii="Times New Roman" w:hAnsi="Times New Roman" w:cs="Times New Roman"/>
      <w:color w:val="000000"/>
      <w:sz w:val="20"/>
      <w:szCs w:val="20"/>
      <w:u w:val="none"/>
      <w:vertAlign w:val="subscript"/>
    </w:rPr>
  </w:style>
  <w:style w:type="character" w:customStyle="1" w:styleId="54">
    <w:name w:val="font11"/>
    <w:basedOn w:val="21"/>
    <w:qFormat/>
    <w:uiPriority w:val="0"/>
    <w:rPr>
      <w:rFonts w:hint="eastAsia" w:ascii="宋体" w:hAnsi="宋体" w:eastAsia="宋体" w:cs="宋体"/>
      <w:color w:val="000000"/>
      <w:sz w:val="20"/>
      <w:szCs w:val="20"/>
      <w:u w:val="none"/>
    </w:rPr>
  </w:style>
  <w:style w:type="character" w:customStyle="1" w:styleId="55">
    <w:name w:val="font31"/>
    <w:basedOn w:val="21"/>
    <w:qFormat/>
    <w:uiPriority w:val="0"/>
    <w:rPr>
      <w:rFonts w:hint="default" w:ascii="Times New Roman" w:hAnsi="Times New Roman" w:cs="Times New Roman"/>
      <w:color w:val="000000"/>
      <w:sz w:val="20"/>
      <w:szCs w:val="20"/>
      <w:u w:val="none"/>
    </w:rPr>
  </w:style>
  <w:style w:type="paragraph" w:customStyle="1" w:styleId="56">
    <w:name w:val="02表格文字-环评报告"/>
    <w:basedOn w:val="1"/>
    <w:qFormat/>
    <w:uiPriority w:val="0"/>
    <w:pPr>
      <w:adjustRightInd w:val="0"/>
      <w:snapToGrid w:val="0"/>
      <w:spacing w:line="240" w:lineRule="auto"/>
      <w:ind w:firstLine="0" w:firstLineChars="0"/>
      <w:jc w:val="center"/>
    </w:pPr>
    <w:rPr>
      <w:sz w:val="21"/>
      <w:szCs w:val="21"/>
    </w:rPr>
  </w:style>
  <w:style w:type="paragraph" w:customStyle="1" w:styleId="57">
    <w:name w:val="9环评报告图"/>
    <w:basedOn w:val="1"/>
    <w:next w:val="1"/>
    <w:autoRedefine/>
    <w:qFormat/>
    <w:uiPriority w:val="0"/>
    <w:pPr>
      <w:numPr>
        <w:ilvl w:val="8"/>
        <w:numId w:val="2"/>
      </w:numPr>
      <w:adjustRightInd w:val="0"/>
      <w:snapToGrid w:val="0"/>
      <w:ind w:firstLineChars="0"/>
      <w:jc w:val="center"/>
      <w:outlineLvl w:val="8"/>
    </w:pPr>
  </w:style>
  <w:style w:type="table" w:customStyle="1" w:styleId="58">
    <w:name w:val="环评报告表格样式1"/>
    <w:basedOn w:val="19"/>
    <w:qFormat/>
    <w:uiPriority w:val="99"/>
    <w:pPr>
      <w:jc w:val="center"/>
    </w:pPr>
    <w:rPr>
      <w:sz w:val="21"/>
    </w:rPr>
    <w:tblPr>
      <w:jc w:val="center"/>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
    <w:trPr>
      <w:jc w:val="center"/>
    </w:trPr>
    <w:tcPr>
      <w:vAlign w:val="center"/>
    </w:tc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6" Type="http://schemas.microsoft.com/office/2011/relationships/people" Target="people.xml"/><Relationship Id="rId35" Type="http://schemas.openxmlformats.org/officeDocument/2006/relationships/fontTable" Target="fontTable.xml"/><Relationship Id="rId34" Type="http://schemas.openxmlformats.org/officeDocument/2006/relationships/customXml" Target="../customXml/item2.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24.png"/><Relationship Id="rId30" Type="http://schemas.openxmlformats.org/officeDocument/2006/relationships/image" Target="media/image23.jpeg"/><Relationship Id="rId3" Type="http://schemas.openxmlformats.org/officeDocument/2006/relationships/header" Target="header1.xml"/><Relationship Id="rId29" Type="http://schemas.openxmlformats.org/officeDocument/2006/relationships/image" Target="media/image22.wmf"/><Relationship Id="rId28" Type="http://schemas.openxmlformats.org/officeDocument/2006/relationships/image" Target="media/image21.wmf"/><Relationship Id="rId27" Type="http://schemas.openxmlformats.org/officeDocument/2006/relationships/image" Target="media/image20.wmf"/><Relationship Id="rId26" Type="http://schemas.openxmlformats.org/officeDocument/2006/relationships/image" Target="media/image19.wmf"/><Relationship Id="rId25" Type="http://schemas.openxmlformats.org/officeDocument/2006/relationships/image" Target="media/image18.wmf"/><Relationship Id="rId24" Type="http://schemas.openxmlformats.org/officeDocument/2006/relationships/image" Target="media/image17.wmf"/><Relationship Id="rId23" Type="http://schemas.openxmlformats.org/officeDocument/2006/relationships/image" Target="media/image16.wmf"/><Relationship Id="rId22" Type="http://schemas.openxmlformats.org/officeDocument/2006/relationships/image" Target="media/image15.png"/><Relationship Id="rId21" Type="http://schemas.openxmlformats.org/officeDocument/2006/relationships/image" Target="media/image14.jpeg"/><Relationship Id="rId20" Type="http://schemas.openxmlformats.org/officeDocument/2006/relationships/image" Target="media/image13.jpeg"/><Relationship Id="rId2" Type="http://schemas.openxmlformats.org/officeDocument/2006/relationships/settings" Target="settings.xml"/><Relationship Id="rId19" Type="http://schemas.openxmlformats.org/officeDocument/2006/relationships/image" Target="media/image12.jpe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emf"/><Relationship Id="rId14" Type="http://schemas.openxmlformats.org/officeDocument/2006/relationships/oleObject" Target="embeddings/oleObject1.bin"/><Relationship Id="rId13" Type="http://schemas.openxmlformats.org/officeDocument/2006/relationships/image" Target="media/image7.pn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8e790ce0-df5a-43b6-854e-9baf037e9b60</errorID>
      <errorWord>，</errorWord>
      <group>L1_Format</group>
      <groupName>格式问题</groupName>
      <ability>L2_HalfPunc</ability>
      <abilityName>全半角检查</abilityName>
      <candidateList>
        <item>,</item>
      </candidateList>
      <explain>文本全半角错误。</explain>
      <paraID>3D93E67A</paraID>
      <start>13</start>
      <end>14</end>
      <status>unmodified</status>
      <modifiedWord/>
      <trackRevisions>false</trackRevisions>
    </reviewItem>
    <reviewItem>
      <errorID>08b171d0-4689-41b0-919b-2000b4b08d01</errorID>
      <errorWord>，</errorWord>
      <group>L1_Format</group>
      <groupName>格式问题</groupName>
      <ability>L2_HalfPunc</ability>
      <abilityName>全半角检查</abilityName>
      <candidateList>
        <item>,</item>
      </candidateList>
      <explain>文本全半角错误。</explain>
      <paraID>5FDFC2EB</paraID>
      <start>13</start>
      <end>14</end>
      <status>unmodified</status>
      <modifiedWord/>
      <trackRevisions>false</trackRevisions>
    </reviewItem>
    <reviewItem>
      <errorID>0f5a3c55-b09e-44a1-8645-607f3470ea55</errorID>
      <errorWord>，</errorWord>
      <group>L1_Format</group>
      <groupName>格式问题</groupName>
      <ability>L2_HalfPunc</ability>
      <abilityName>全半角检查</abilityName>
      <candidateList>
        <item>,</item>
      </candidateList>
      <explain>文本全半角错误。</explain>
      <paraID>76DA05C6</paraID>
      <start>13</start>
      <end>14</end>
      <status>unmodified</status>
      <modifiedWord/>
      <trackRevisions>false</trackRevisions>
    </reviewItem>
    <reviewItem>
      <errorID>6536505f-68eb-441f-bf8c-c4cf083246e7</errorID>
      <errorWord>，</errorWord>
      <group>L1_Format</group>
      <groupName>格式问题</groupName>
      <ability>L2_HalfPunc</ability>
      <abilityName>全半角检查</abilityName>
      <candidateList>
        <item>,</item>
      </candidateList>
      <explain>文本全半角错误。</explain>
      <paraID> FF2005F</paraID>
      <start>13</start>
      <end>14</end>
      <status>unmodified</status>
      <modifiedWord/>
      <trackRevisions>false</trackRevisions>
    </reviewItem>
    <reviewItem>
      <errorID>93d326db-f29f-46e2-b3c3-07164b545238</errorID>
      <errorWord>，</errorWord>
      <group>L1_Format</group>
      <groupName>格式问题</groupName>
      <ability>L2_HalfPunc</ability>
      <abilityName>全半角检查</abilityName>
      <candidateList>
        <item>,</item>
      </candidateList>
      <explain>文本全半角错误。</explain>
      <paraID>5B931DA1</paraID>
      <start>13</start>
      <end>14</end>
      <status>unmodified</status>
      <modifiedWord/>
      <trackRevisions>false</trackRevisions>
    </reviewItem>
    <reviewItem>
      <errorID>7e690d9c-89eb-4fa1-93f6-36eb379e0fba</errorID>
      <errorWord>，</errorWord>
      <group>L1_Format</group>
      <groupName>格式问题</groupName>
      <ability>L2_HalfPunc</ability>
      <abilityName>全半角检查</abilityName>
      <candidateList>
        <item>,</item>
      </candidateList>
      <explain>文本全半角错误。</explain>
      <paraID> 476F400</paraID>
      <start>13</start>
      <end>14</end>
      <status>unmodified</status>
      <modifiedWord/>
      <trackRevisions>false</trackRevisions>
    </reviewItem>
    <reviewItem>
      <errorID>9428ecfb-4e55-4084-ac54-362a4df986c4</errorID>
      <errorWord>，</errorWord>
      <group>L1_Format</group>
      <groupName>格式问题</groupName>
      <ability>L2_HalfPunc</ability>
      <abilityName>全半角检查</abilityName>
      <candidateList>
        <item>,</item>
      </candidateList>
      <explain>文本全半角错误。</explain>
      <paraID>4C39CE7A</paraID>
      <start>13</start>
      <end>14</end>
      <status>unmodified</status>
      <modifiedWord/>
      <trackRevisions>false</trackRevisions>
    </reviewItem>
    <reviewItem>
      <errorID>1ff04125-4eec-4e70-8d14-ea1ec2299921</errorID>
      <errorWord>，</errorWord>
      <group>L1_Format</group>
      <groupName>格式问题</groupName>
      <ability>L2_HalfPunc</ability>
      <abilityName>全半角检查</abilityName>
      <candidateList>
        <item>,</item>
      </candidateList>
      <explain>文本全半角错误。</explain>
      <paraID> 420072F</paraID>
      <start>13</start>
      <end>14</end>
      <status>unmodified</status>
      <modifiedWord/>
      <trackRevisions>false</trackRevisions>
    </reviewItem>
    <reviewItem>
      <errorID>75bbe185-d304-4518-8e5a-f8d4abb29aa6</errorID>
      <errorWord>，</errorWord>
      <group>L1_Format</group>
      <groupName>格式问题</groupName>
      <ability>L2_HalfPunc</ability>
      <abilityName>全半角检查</abilityName>
      <candidateList>
        <item>,</item>
      </candidateList>
      <explain>文本全半角错误。</explain>
      <paraID>48BD5A7F</paraID>
      <start>13</start>
      <end>14</end>
      <status>unmodified</status>
      <modifiedWord/>
      <trackRevisions>false</trackRevisions>
    </reviewItem>
    <reviewItem>
      <errorID>e298ee2c-f355-40f6-898d-80eeafbe8b62</errorID>
      <errorWord>，</errorWord>
      <group>L1_Format</group>
      <groupName>格式问题</groupName>
      <ability>L2_HalfPunc</ability>
      <abilityName>全半角检查</abilityName>
      <candidateList>
        <item>,</item>
      </candidateList>
      <explain>文本全半角错误。</explain>
      <paraID> 6B359AE</paraID>
      <start>13</start>
      <end>14</end>
      <status>unmodified</status>
      <modifiedWord/>
      <trackRevisions>false</trackRevisions>
    </reviewItem>
    <reviewItem>
      <errorID>79215dc2-623d-4f12-a19a-36442062469f</errorID>
      <errorWord>，</errorWord>
      <group>L1_Format</group>
      <groupName>格式问题</groupName>
      <ability>L2_HalfPunc</ability>
      <abilityName>全半角检查</abilityName>
      <candidateList>
        <item>,</item>
      </candidateList>
      <explain>文本全半角错误。</explain>
      <paraID>550B2128</paraID>
      <start>13</start>
      <end>14</end>
      <status>unmodified</status>
      <modifiedWord/>
      <trackRevisions>false</trackRevisions>
    </reviewItem>
    <reviewItem>
      <errorID>925708d5-c8a6-41bd-a998-1323f2630208</errorID>
      <errorWord>，</errorWord>
      <group>L1_Format</group>
      <groupName>格式问题</groupName>
      <ability>L2_HalfPunc</ability>
      <abilityName>全半角检查</abilityName>
      <candidateList>
        <item>,</item>
      </candidateList>
      <explain>文本全半角错误。</explain>
      <paraID>1850A18D</paraID>
      <start>13</start>
      <end>14</end>
      <status>unmodified</status>
      <modifiedWord/>
      <trackRevisions>false</trackRevisions>
    </reviewItem>
    <reviewItem>
      <errorID>a0188f4f-97a7-4a2b-bfc9-c0a72c6f47b6</errorID>
      <errorWord>，</errorWord>
      <group>L1_Format</group>
      <groupName>格式问题</groupName>
      <ability>L2_HalfPunc</ability>
      <abilityName>全半角检查</abilityName>
      <candidateList>
        <item>,</item>
      </candidateList>
      <explain>文本全半角错误。</explain>
      <paraID>5D77A31A</paraID>
      <start>13</start>
      <end>14</end>
      <status>unmodified</status>
      <modifiedWord/>
      <trackRevisions>false</trackRevisions>
    </reviewItem>
    <reviewItem>
      <errorID>7dcc319c-b989-4f66-b0b0-e619896fa884</errorID>
      <errorWord>，</errorWord>
      <group>L1_Format</group>
      <groupName>格式问题</groupName>
      <ability>L2_HalfPunc</ability>
      <abilityName>全半角检查</abilityName>
      <candidateList>
        <item>,</item>
      </candidateList>
      <explain>文本全半角错误。</explain>
      <paraID>23019825</paraID>
      <start>13</start>
      <end>14</end>
      <status>unmodified</status>
      <modifiedWord/>
      <trackRevisions>false</trackRevisions>
    </reviewItem>
    <reviewItem>
      <errorID>1f120d55-a4f3-49cb-9413-4b4be0bd0e59</errorID>
      <errorWord>，</errorWord>
      <group>L1_Format</group>
      <groupName>格式问题</groupName>
      <ability>L2_HalfPunc</ability>
      <abilityName>全半角检查</abilityName>
      <candidateList>
        <item>,</item>
      </candidateList>
      <explain>文本全半角错误。</explain>
      <paraID>586E6E96</paraID>
      <start>13</start>
      <end>14</end>
      <status>unmodified</status>
      <modifiedWord/>
      <trackRevisions>false</trackRevisions>
    </reviewItem>
    <reviewItem>
      <errorID>1e51f0d7-3b29-4007-8d83-20ec2d1b7a8e</errorID>
      <errorWord>，</errorWord>
      <group>L1_Format</group>
      <groupName>格式问题</groupName>
      <ability>L2_HalfPunc</ability>
      <abilityName>全半角检查</abilityName>
      <candidateList>
        <item>,</item>
      </candidateList>
      <explain>文本全半角错误。</explain>
      <paraID>2393F401</paraID>
      <start>13</start>
      <end>14</end>
      <status>unmodified</status>
      <modifiedWord/>
      <trackRevisions>false</trackRevisions>
    </reviewItem>
    <reviewItem>
      <errorID>33b5bba1-1033-46f7-a8c8-e23fef3f5303</errorID>
      <errorWord>，</errorWord>
      <group>L1_Format</group>
      <groupName>格式问题</groupName>
      <ability>L2_HalfPunc</ability>
      <abilityName>全半角检查</abilityName>
      <candidateList>
        <item>,</item>
      </candidateList>
      <explain>文本全半角错误。</explain>
      <paraID>5B3D0747</paraID>
      <start>13</start>
      <end>14</end>
      <status>unmodified</status>
      <modifiedWord/>
      <trackRevisions>false</trackRevisions>
    </reviewItem>
    <reviewItem>
      <errorID>f51cdc4b-0ebf-4c5d-b091-ae55d9175974</errorID>
      <errorWord>，</errorWord>
      <group>L1_Format</group>
      <groupName>格式问题</groupName>
      <ability>L2_HalfPunc</ability>
      <abilityName>全半角检查</abilityName>
      <candidateList>
        <item>,</item>
      </candidateList>
      <explain>文本全半角错误。</explain>
      <paraID>22413B3C</paraID>
      <start>13</start>
      <end>14</end>
      <status>unmodified</status>
      <modifiedWord/>
      <trackRevisions>false</trackRevisions>
    </reviewItem>
    <reviewItem>
      <errorID>dda99baf-ed86-4c15-b878-ebcdf51275e3</errorID>
      <errorWord>，</errorWord>
      <group>L1_Format</group>
      <groupName>格式问题</groupName>
      <ability>L2_HalfPunc</ability>
      <abilityName>全半角检查</abilityName>
      <candidateList>
        <item>,</item>
      </candidateList>
      <explain>文本全半角错误。</explain>
      <paraID>776F2BE3</paraID>
      <start>13</start>
      <end>14</end>
      <status>unmodified</status>
      <modifiedWord/>
      <trackRevisions>false</trackRevisions>
    </reviewItem>
    <reviewItem>
      <errorID>68f77f5c-9fbf-490e-96e3-79dbbcb0fd89</errorID>
      <errorWord>，</errorWord>
      <group>L1_Format</group>
      <groupName>格式问题</groupName>
      <ability>L2_HalfPunc</ability>
      <abilityName>全半角检查</abilityName>
      <candidateList>
        <item>,</item>
      </candidateList>
      <explain>文本全半角错误。</explain>
      <paraID>200706AF</paraID>
      <start>13</start>
      <end>14</end>
      <status>unmodified</status>
      <modifiedWord/>
      <trackRevisions>false</trackRevisions>
    </reviewItem>
    <reviewItem>
      <errorID>d5b48f83-d716-4ed2-ac32-5fd2c81a3601</errorID>
      <errorWord>，</errorWord>
      <group>L1_Format</group>
      <groupName>格式问题</groupName>
      <ability>L2_HalfPunc</ability>
      <abilityName>全半角检查</abilityName>
      <candidateList>
        <item>,</item>
      </candidateList>
      <explain>文本全半角错误。</explain>
      <paraID>4A9ED988</paraID>
      <start>13</start>
      <end>14</end>
      <status>unmodified</status>
      <modifiedWord/>
      <trackRevisions>false</trackRevisions>
    </reviewItem>
    <reviewItem>
      <errorID>340afa2b-9a8e-4198-b423-b68e6e7d0b9e</errorID>
      <errorWord>，</errorWord>
      <group>L1_Format</group>
      <groupName>格式问题</groupName>
      <ability>L2_HalfPunc</ability>
      <abilityName>全半角检查</abilityName>
      <candidateList>
        <item>,</item>
      </candidateList>
      <explain>文本全半角错误。</explain>
      <paraID>783E4C93</paraID>
      <start>13</start>
      <end>14</end>
      <status>unmodified</status>
      <modifiedWord/>
      <trackRevisions>false</trackRevisions>
    </reviewItem>
    <reviewItem>
      <errorID>92aa52a8-c6f5-46ad-9cec-fb97758c2c19</errorID>
      <errorWord>，</errorWord>
      <group>L1_Format</group>
      <groupName>格式问题</groupName>
      <ability>L2_HalfPunc</ability>
      <abilityName>全半角检查</abilityName>
      <candidateList>
        <item>,</item>
      </candidateList>
      <explain>文本全半角错误。</explain>
      <paraID>58C8DF79</paraID>
      <start>13</start>
      <end>14</end>
      <status>unmodified</status>
      <modifiedWord/>
      <trackRevisions>false</trackRevisions>
    </reviewItem>
    <reviewItem>
      <errorID>117595be-8755-437c-9e1a-d0330edcec66</errorID>
      <errorWord>，</errorWord>
      <group>L1_Format</group>
      <groupName>格式问题</groupName>
      <ability>L2_HalfPunc</ability>
      <abilityName>全半角检查</abilityName>
      <candidateList>
        <item>,</item>
      </candidateList>
      <explain>文本全半角错误。</explain>
      <paraID>4A6A25D8</paraID>
      <start>13</start>
      <end>14</end>
      <status>unmodified</status>
      <modifiedWord/>
      <trackRevisions>false</trackRevisions>
    </reviewItem>
    <reviewItem>
      <errorID>b8a8d1c4-8222-4adc-9c7f-7075451ee8d6</errorID>
      <errorWord>，</errorWord>
      <group>L1_Format</group>
      <groupName>格式问题</groupName>
      <ability>L2_HalfPunc</ability>
      <abilityName>全半角检查</abilityName>
      <candidateList>
        <item>,</item>
      </candidateList>
      <explain>文本全半角错误。</explain>
      <paraID>1B7BF895</paraID>
      <start>13</start>
      <end>14</end>
      <status>unmodified</status>
      <modifiedWord/>
      <trackRevisions>false</trackRevisions>
    </reviewItem>
    <reviewItem>
      <errorID>d8db8027-cd7f-4721-bed5-be690cbb4d0f</errorID>
      <errorWord>，</errorWord>
      <group>L1_Format</group>
      <groupName>格式问题</groupName>
      <ability>L2_HalfPunc</ability>
      <abilityName>全半角检查</abilityName>
      <candidateList>
        <item>,</item>
      </candidateList>
      <explain>文本全半角错误。</explain>
      <paraID>38B8EE6E</paraID>
      <start>13</start>
      <end>14</end>
      <status>unmodified</status>
      <modifiedWord/>
      <trackRevisions>false</trackRevisions>
    </reviewItem>
    <reviewItem>
      <errorID>7a606cf9-2acb-4ff4-9294-54c2d829831b</errorID>
      <errorWord>，</errorWord>
      <group>L1_Format</group>
      <groupName>格式问题</groupName>
      <ability>L2_HalfPunc</ability>
      <abilityName>全半角检查</abilityName>
      <candidateList>
        <item>,</item>
      </candidateList>
      <explain>文本全半角错误。</explain>
      <paraID>6DB0DDB5</paraID>
      <start>13</start>
      <end>14</end>
      <status>unmodified</status>
      <modifiedWord/>
      <trackRevisions>false</trackRevisions>
    </reviewItem>
    <reviewItem>
      <errorID>7e03d338-2754-4439-8f94-430b29476d2d</errorID>
      <errorWord>，</errorWord>
      <group>L1_Format</group>
      <groupName>格式问题</groupName>
      <ability>L2_HalfPunc</ability>
      <abilityName>全半角检查</abilityName>
      <candidateList>
        <item>,</item>
      </candidateList>
      <explain>文本全半角错误。</explain>
      <paraID>7C38040A</paraID>
      <start>13</start>
      <end>14</end>
      <status>unmodified</status>
      <modifiedWord/>
      <trackRevisions>false</trackRevisions>
    </reviewItem>
    <reviewItem>
      <errorID>d1c97b38-817e-4e4c-b332-f3c7669c3c46</errorID>
      <errorWord>，</errorWord>
      <group>L1_Format</group>
      <groupName>格式问题</groupName>
      <ability>L2_HalfPunc</ability>
      <abilityName>全半角检查</abilityName>
      <candidateList>
        <item>,</item>
      </candidateList>
      <explain>文本全半角错误。</explain>
      <paraID>3E8F9F44</paraID>
      <start>13</start>
      <end>14</end>
      <status>unmodified</status>
      <modifiedWord/>
      <trackRevisions>false</trackRevisions>
    </reviewItem>
    <reviewItem>
      <errorID>ed5459d4-36db-4dba-ae2a-3679ead1ff37</errorID>
      <errorWord>，</errorWord>
      <group>L1_Format</group>
      <groupName>格式问题</groupName>
      <ability>L2_HalfPunc</ability>
      <abilityName>全半角检查</abilityName>
      <candidateList>
        <item>,</item>
      </candidateList>
      <explain>文本全半角错误。</explain>
      <paraID>3EE66453</paraID>
      <start>13</start>
      <end>14</end>
      <status>unmodified</status>
      <modifiedWord/>
      <trackRevisions>false</trackRevisions>
    </reviewItem>
    <reviewItem>
      <errorID>0cffafe3-bb9f-43e5-82ae-ab76954fec78</errorID>
      <errorWord>，</errorWord>
      <group>L1_Format</group>
      <groupName>格式问题</groupName>
      <ability>L2_HalfPunc</ability>
      <abilityName>全半角检查</abilityName>
      <candidateList>
        <item>,</item>
      </candidateList>
      <explain>文本全半角错误。</explain>
      <paraID>  56D7B4</paraID>
      <start>13</start>
      <end>14</end>
      <status>unmodified</status>
      <modifiedWord/>
      <trackRevisions>false</trackRevisions>
    </reviewItem>
    <reviewItem>
      <errorID>052ccf5c-c89c-42e6-ae4a-e83ba49b96d0</errorID>
      <errorWord>，</errorWord>
      <group>L1_Format</group>
      <groupName>格式问题</groupName>
      <ability>L2_HalfPunc</ability>
      <abilityName>全半角检查</abilityName>
      <candidateList>
        <item>,</item>
      </candidateList>
      <explain>文本全半角错误。</explain>
      <paraID>7957851B</paraID>
      <start>13</start>
      <end>14</end>
      <status>unmodified</status>
      <modifiedWord/>
      <trackRevisions>false</trackRevisions>
    </reviewItem>
    <reviewItem>
      <errorID>5c8981ea-12f8-40a4-af54-c0ec33256b46</errorID>
      <errorWord>，</errorWord>
      <group>L1_Format</group>
      <groupName>格式问题</groupName>
      <ability>L2_HalfPunc</ability>
      <abilityName>全半角检查</abilityName>
      <candidateList>
        <item>,</item>
      </candidateList>
      <explain>文本全半角错误。</explain>
      <paraID>155FDD65</paraID>
      <start>13</start>
      <end>14</end>
      <status>unmodified</status>
      <modifiedWord/>
      <trackRevisions>false</trackRevisions>
    </reviewItem>
    <reviewItem>
      <errorID>c09492c9-ff6b-4e68-9f11-3d953538bbce</errorID>
      <errorWord>，</errorWord>
      <group>L1_Format</group>
      <groupName>格式问题</groupName>
      <ability>L2_HalfPunc</ability>
      <abilityName>全半角检查</abilityName>
      <candidateList>
        <item>,</item>
      </candidateList>
      <explain>文本全半角错误。</explain>
      <paraID>3258B9AA</paraID>
      <start>13</start>
      <end>14</end>
      <status>unmodified</status>
      <modifiedWord/>
      <trackRevisions>false</trackRevisions>
    </reviewItem>
    <reviewItem>
      <errorID>4a83b820-2635-433a-9cad-804843128766</errorID>
      <errorWord>，</errorWord>
      <group>L1_Format</group>
      <groupName>格式问题</groupName>
      <ability>L2_HalfPunc</ability>
      <abilityName>全半角检查</abilityName>
      <candidateList>
        <item>,</item>
      </candidateList>
      <explain>文本全半角错误。</explain>
      <paraID>13416557</paraID>
      <start>13</start>
      <end>14</end>
      <status>unmodified</status>
      <modifiedWord/>
      <trackRevisions>false</trackRevisions>
    </reviewItem>
    <reviewItem>
      <errorID>253ed948-1c49-4313-8761-7759a0c4f50e</errorID>
      <errorWord>，</errorWord>
      <group>L1_Format</group>
      <groupName>格式问题</groupName>
      <ability>L2_HalfPunc</ability>
      <abilityName>全半角检查</abilityName>
      <candidateList>
        <item>,</item>
      </candidateList>
      <explain>文本全半角错误。</explain>
      <paraID>1F29F2DD</paraID>
      <start>13</start>
      <end>14</end>
      <status>unmodified</status>
      <modifiedWord/>
      <trackRevisions>false</trackRevisions>
    </reviewItem>
    <reviewItem>
      <errorID>c45e6cc3-74d7-4472-af6a-f4a351a3cf08</errorID>
      <errorWord>，</errorWord>
      <group>L1_Format</group>
      <groupName>格式问题</groupName>
      <ability>L2_HalfPunc</ability>
      <abilityName>全半角检查</abilityName>
      <candidateList>
        <item>,</item>
      </candidateList>
      <explain>文本全半角错误。</explain>
      <paraID> D645BA5</paraID>
      <start>13</start>
      <end>14</end>
      <status>unmodified</status>
      <modifiedWord/>
      <trackRevisions>false</trackRevisions>
    </reviewItem>
    <reviewItem>
      <errorID>da7fa8e6-c6b6-4299-b92e-ea503f70e4ff</errorID>
      <errorWord>，</errorWord>
      <group>L1_Format</group>
      <groupName>格式问题</groupName>
      <ability>L2_HalfPunc</ability>
      <abilityName>全半角检查</abilityName>
      <candidateList>
        <item>,</item>
      </candidateList>
      <explain>文本全半角错误。</explain>
      <paraID> 77F4E0D</paraID>
      <start>13</start>
      <end>14</end>
      <status>unmodified</status>
      <modifiedWord/>
      <trackRevisions>false</trackRevisions>
    </reviewItem>
    <reviewItem>
      <errorID>cd8f0214-a6ff-4070-9d58-73fba68e995f</errorID>
      <errorWord>，</errorWord>
      <group>L1_Format</group>
      <groupName>格式问题</groupName>
      <ability>L2_HalfPunc</ability>
      <abilityName>全半角检查</abilityName>
      <candidateList>
        <item>,</item>
      </candidateList>
      <explain>文本全半角错误。</explain>
      <paraID>2D45E1A2</paraID>
      <start>13</start>
      <end>14</end>
      <status>unmodified</status>
      <modifiedWord/>
      <trackRevisions>false</trackRevisions>
    </reviewItem>
    <reviewItem>
      <errorID>743a5cd4-9efc-41d2-86fb-442169400676</errorID>
      <errorWord>，</errorWord>
      <group>L1_Format</group>
      <groupName>格式问题</groupName>
      <ability>L2_HalfPunc</ability>
      <abilityName>全半角检查</abilityName>
      <candidateList>
        <item>,</item>
      </candidateList>
      <explain>文本全半角错误。</explain>
      <paraID>4AF73BF9</paraID>
      <start>13</start>
      <end>14</end>
      <status>unmodified</status>
      <modifiedWord/>
      <trackRevisions>false</trackRevisions>
    </reviewItem>
    <reviewItem>
      <errorID>ca3525b8-a0fa-4297-b7c5-0da31cf0ffdb</errorID>
      <errorWord>，</errorWord>
      <group>L1_Format</group>
      <groupName>格式问题</groupName>
      <ability>L2_HalfPunc</ability>
      <abilityName>全半角检查</abilityName>
      <candidateList>
        <item>,</item>
      </candidateList>
      <explain>文本全半角错误。</explain>
      <paraID>1E06E256</paraID>
      <start>13</start>
      <end>14</end>
      <status>unmodified</status>
      <modifiedWord/>
      <trackRevisions>false</trackRevisions>
    </reviewItem>
    <reviewItem>
      <errorID>b1300803-f14e-44ec-b7e1-771d00947aac</errorID>
      <errorWord>，</errorWord>
      <group>L1_Format</group>
      <groupName>格式问题</groupName>
      <ability>L2_HalfPunc</ability>
      <abilityName>全半角检查</abilityName>
      <candidateList>
        <item>,</item>
      </candidateList>
      <explain>文本全半角错误。</explain>
      <paraID>2B07A6EA</paraID>
      <start>13</start>
      <end>14</end>
      <status>unmodified</status>
      <modifiedWord/>
      <trackRevisions>false</trackRevisions>
    </reviewItem>
    <reviewItem>
      <errorID>bfe48220-aba3-45fa-b19c-dafbb09af34d</errorID>
      <errorWord>，</errorWord>
      <group>L1_Format</group>
      <groupName>格式问题</groupName>
      <ability>L2_HalfPunc</ability>
      <abilityName>全半角检查</abilityName>
      <candidateList>
        <item>,</item>
      </candidateList>
      <explain>文本全半角错误。</explain>
      <paraID>5453A301</paraID>
      <start>13</start>
      <end>14</end>
      <status>unmodified</status>
      <modifiedWord/>
      <trackRevisions>false</trackRevisions>
    </reviewItem>
    <reviewItem>
      <errorID>6725949c-e314-4d93-a7a9-23c5fe388eae</errorID>
      <errorWord>，</errorWord>
      <group>L1_Format</group>
      <groupName>格式问题</groupName>
      <ability>L2_HalfPunc</ability>
      <abilityName>全半角检查</abilityName>
      <candidateList>
        <item>,</item>
      </candidateList>
      <explain>文本全半角错误。</explain>
      <paraID>6819E4F9</paraID>
      <start>13</start>
      <end>14</end>
      <status>unmodified</status>
      <modifiedWord/>
      <trackRevisions>false</trackRevisions>
    </reviewItem>
    <reviewItem>
      <errorID>cf0c0901-6858-4e87-9535-eaddb0cc6fd9</errorID>
      <errorWord>，</errorWord>
      <group>L1_Format</group>
      <groupName>格式问题</groupName>
      <ability>L2_HalfPunc</ability>
      <abilityName>全半角检查</abilityName>
      <candidateList>
        <item>,</item>
      </candidateList>
      <explain>文本全半角错误。</explain>
      <paraID>1B0D8D58</paraID>
      <start>13</start>
      <end>14</end>
      <status>unmodified</status>
      <modifiedWord/>
      <trackRevisions>false</trackRevisions>
    </reviewItem>
    <reviewItem>
      <errorID>dcc96816-f17c-4639-a419-056177b9b394</errorID>
      <errorWord>，</errorWord>
      <group>L1_Format</group>
      <groupName>格式问题</groupName>
      <ability>L2_HalfPunc</ability>
      <abilityName>全半角检查</abilityName>
      <candidateList>
        <item>,</item>
      </candidateList>
      <explain>文本全半角错误。</explain>
      <paraID> B48EDBA</paraID>
      <start>13</start>
      <end>14</end>
      <status>unmodified</status>
      <modifiedWord/>
      <trackRevisions>false</trackRevisions>
    </reviewItem>
    <reviewItem>
      <errorID>8cc95177-e024-4f67-b147-d4b0470530ae</errorID>
      <errorWord>《内蒙古鄂尔多斯杭锦经济开发区总体规划》（2021—2035年）</errorWord>
      <group>L1_Knowledge</group>
      <groupName>知识性问题</groupName>
      <ability>L2_Knowledge</ability>
      <abilityName>其他知识</abilityName>
      <candidateList>
        <item>《内蒙古鄂尔多斯杭锦经济开发区总体规划（2021—2035年）》</item>
      </candidateList>
      <explain>疑似政策文件、法律法规名称等书写不规范，请注意检查。</explain>
      <paraID>74494834</paraID>
      <start>75</start>
      <end>107</end>
      <status>unmodified</status>
      <modifiedWord/>
      <trackRevisions>false</trackRevisions>
    </reviewItem>
    <reviewItem>
      <errorID>d9f624c8-a514-4c8a-b471-fc288db74f91</errorID>
      <errorWord>并要</errorWord>
      <group>L1_Word</group>
      <groupName>字词问题</groupName>
      <ability>L2_Typo</ability>
      <abilityName>字词错误</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25743380</paraID>
      <start>64</start>
      <end>66</end>
      <status>unmodified</status>
      <modifiedWord/>
      <trackRevisions>false</trackRevisions>
    </reviewItem>
    <reviewItem>
      <errorID>fe01411e-c6d1-4814-8901-4d1b0eccb4f2</errorID>
      <errorWord>-</errorWord>
      <group>L1_Format</group>
      <groupName>格式问题</groupName>
      <ability>L2_HalfPunc</ability>
      <abilityName>全半角检查</abilityName>
      <candidateList>
        <item>－</item>
      </candidateList>
      <explain>文本全半角错误。</explain>
      <paraID>63389534</paraID>
      <start>11</start>
      <end>12</end>
      <status>unmodified</status>
      <modifiedWord/>
      <trackRevisions>false</trackRevisions>
    </reviewItem>
    <reviewItem>
      <errorID>18f57488-b407-47fd-9eab-d154004c20a2</errorID>
      <errorWord>-</errorWord>
      <group>L1_Format</group>
      <groupName>格式问题</groupName>
      <ability>L2_HalfPunc</ability>
      <abilityName>全半角检查</abilityName>
      <candidateList>
        <item>－</item>
      </candidateList>
      <explain>文本全半角错误。</explain>
      <paraID> 8958BC0</paraID>
      <start>24</start>
      <end>25</end>
      <status>unmodified</status>
      <modifiedWord/>
      <trackRevisions>false</trackRevisions>
    </reviewItem>
    <reviewItem>
      <errorID>7dc59c83-2ad2-4269-b90a-02bfe076a925</errorID>
      <errorWord>并且</errorWord>
      <group>L1_Word</group>
      <groupName>字词问题</groupName>
      <ability>L2_Typo</ability>
      <abilityName>字词错误</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 30F2F6B</paraID>
      <start>16</start>
      <end>18</end>
      <status>unmodified</status>
      <modifiedWord/>
      <trackRevisions>false</trackRevisions>
    </reviewItem>
    <reviewItem>
      <errorID>5db75e7e-66d7-459a-8a19-b51de5f200c3</errorID>
      <errorWord>，</errorWord>
      <group>L1_Format</group>
      <groupName>格式问题</groupName>
      <ability>L2_HalfPunc</ability>
      <abilityName>全半角检查</abilityName>
      <candidateList>
        <item>,</item>
      </candidateList>
      <explain>文本全半角错误。</explain>
      <paraID>5BC43FC1</paraID>
      <start>13</start>
      <end>14</end>
      <status>unmodified</status>
      <modifiedWord/>
      <trackRevisions>false</trackRevisions>
    </reviewItem>
    <reviewItem>
      <errorID>f5cddaba-5832-4040-a33d-fd020b346598</errorID>
      <errorWord>，</errorWord>
      <group>L1_Format</group>
      <groupName>格式问题</groupName>
      <ability>L2_HalfPunc</ability>
      <abilityName>全半角检查</abilityName>
      <candidateList>
        <item>,</item>
      </candidateList>
      <explain>文本全半角错误。</explain>
      <paraID>37C0AC45</paraID>
      <start>13</start>
      <end>14</end>
      <status>unmodified</status>
      <modifiedWord/>
      <trackRevisions>false</trackRevisions>
    </reviewItem>
    <reviewItem>
      <errorID>84bb6173-aae4-43ad-a59f-dac1f95c6561</errorID>
      <errorWord>变换</errorWord>
      <group>L1_Word</group>
      <groupName>字词问题</groupName>
      <ability>L2_Typo</ability>
      <abilityName>字词错误</abilityName>
      <candidateList>
        <item>更换</item>
      </candidateList>
      <explain>〈动〉变换；替换：～位置｜～衣裳｜～值班人员｜展览馆里的展品不断～。</explain>
      <paraID>3E206CB3</paraID>
      <start>1</start>
      <end>3</end>
      <status>unmodified</status>
      <modifiedWord/>
      <trackRevisions>false</trackRevisions>
    </reviewItem>
    <reviewItem>
      <errorID>4ff1ecb5-07f6-4b75-8614-c271d9edfb6f</errorID>
      <errorWord>，</errorWord>
      <group>L1_Format</group>
      <groupName>格式问题</groupName>
      <ability>L2_HalfPunc</ability>
      <abilityName>全半角检查</abilityName>
      <candidateList>
        <item>,</item>
      </candidateList>
      <explain>文本全半角错误。</explain>
      <paraID>31CB4E4A</paraID>
      <start>13</start>
      <end>14</end>
      <status>unmodified</status>
      <modifiedWord/>
      <trackRevisions>false</trackRevisions>
    </reviewItem>
    <reviewItem>
      <errorID>b644067b-786f-4598-b9b4-6dc2ebacaeb5</errorID>
      <errorWord>，</errorWord>
      <group>L1_Format</group>
      <groupName>格式问题</groupName>
      <ability>L2_HalfPunc</ability>
      <abilityName>全半角检查</abilityName>
      <candidateList>
        <item>,</item>
      </candidateList>
      <explain>文本全半角错误。</explain>
      <paraID>52A63299</paraID>
      <start>13</start>
      <end>14</end>
      <status>unmodified</status>
      <modifiedWord/>
      <trackRevisions>false</trackRevisions>
    </reviewItem>
    <reviewItem>
      <errorID>ffb8f3a7-11cd-4d27-b303-5cc082a94f66</errorID>
      <errorWord>，</errorWord>
      <group>L1_Format</group>
      <groupName>格式问题</groupName>
      <ability>L2_HalfPunc</ability>
      <abilityName>全半角检查</abilityName>
      <candidateList>
        <item>,</item>
      </candidateList>
      <explain>文本全半角错误。</explain>
      <paraID>553AD38B</paraID>
      <start>13</start>
      <end>14</end>
      <status>unmodified</status>
      <modifiedWord/>
      <trackRevisions>false</trackRevisions>
    </reviewItem>
    <reviewItem>
      <errorID>46933e1d-49a1-47a3-8651-7e44a0238207</errorID>
      <errorWord>，</errorWord>
      <group>L1_Format</group>
      <groupName>格式问题</groupName>
      <ability>L2_HalfPunc</ability>
      <abilityName>全半角检查</abilityName>
      <candidateList>
        <item>,</item>
      </candidateList>
      <explain>文本全半角错误。</explain>
      <paraID>284CBADA</paraID>
      <start>13</start>
      <end>14</end>
      <status>unmodified</status>
      <modifiedWord/>
      <trackRevisions>false</trackRevisions>
    </reviewItem>
    <reviewItem>
      <errorID>50e89aff-6b3f-4b8c-8bae-d9358cfb3ecb</errorID>
      <errorWord>，</errorWord>
      <group>L1_Format</group>
      <groupName>格式问题</groupName>
      <ability>L2_HalfPunc</ability>
      <abilityName>全半角检查</abilityName>
      <candidateList>
        <item>,</item>
      </candidateList>
      <explain>文本全半角错误。</explain>
      <paraID>3DE97447</paraID>
      <start>13</start>
      <end>14</end>
      <status>unmodified</status>
      <modifiedWord/>
      <trackRevisions>false</trackRevisions>
    </reviewItem>
    <reviewItem>
      <errorID>645b7318-283d-4e61-9fc2-f6050b23320e</errorID>
      <errorWord>，</errorWord>
      <group>L1_Format</group>
      <groupName>格式问题</groupName>
      <ability>L2_HalfPunc</ability>
      <abilityName>全半角检查</abilityName>
      <candidateList>
        <item>,</item>
      </candidateList>
      <explain>文本全半角错误。</explain>
      <paraID>783B6172</paraID>
      <start>13</start>
      <end>14</end>
      <status>unmodified</status>
      <modifiedWord/>
      <trackRevisions>false</trackRevisions>
    </reviewItem>
    <reviewItem>
      <errorID>baa466f7-f4ee-4c3b-b9f3-808b11496262</errorID>
      <errorWord>，</errorWord>
      <group>L1_Format</group>
      <groupName>格式问题</groupName>
      <ability>L2_HalfPunc</ability>
      <abilityName>全半角检查</abilityName>
      <candidateList>
        <item>,</item>
      </candidateList>
      <explain>文本全半角错误。</explain>
      <paraID>5DB54390</paraID>
      <start>13</start>
      <end>14</end>
      <status>unmodified</status>
      <modifiedWord/>
      <trackRevisions>false</trackRevisions>
    </reviewItem>
    <reviewItem>
      <errorID>e9d9eee1-5229-4cba-bfbe-39204277d4e6</errorID>
      <errorWord>，</errorWord>
      <group>L1_Format</group>
      <groupName>格式问题</groupName>
      <ability>L2_HalfPunc</ability>
      <abilityName>全半角检查</abilityName>
      <candidateList>
        <item>,</item>
      </candidateList>
      <explain>文本全半角错误。</explain>
      <paraID>7B259749</paraID>
      <start>13</start>
      <end>14</end>
      <status>unmodified</status>
      <modifiedWord/>
      <trackRevisions>false</trackRevisions>
    </reviewItem>
    <reviewItem>
      <errorID>ec4aeb1c-61e9-4fc8-b3c1-31f2a47e0491</errorID>
      <errorWord>，</errorWord>
      <group>L1_Format</group>
      <groupName>格式问题</groupName>
      <ability>L2_HalfPunc</ability>
      <abilityName>全半角检查</abilityName>
      <candidateList>
        <item>,</item>
      </candidateList>
      <explain>文本全半角错误。</explain>
      <paraID>50BFEEF7</paraID>
      <start>13</start>
      <end>14</end>
      <status>unmodified</status>
      <modifiedWord/>
      <trackRevisions>false</trackRevisions>
    </reviewItem>
    <reviewItem>
      <errorID>a6273cf8-9a46-48f3-927b-f214943605f6</errorID>
      <errorWord>，</errorWord>
      <group>L1_Format</group>
      <groupName>格式问题</groupName>
      <ability>L2_HalfPunc</ability>
      <abilityName>全半角检查</abilityName>
      <candidateList>
        <item>,</item>
      </candidateList>
      <explain>文本全半角错误。</explain>
      <paraID>510EA60B</paraID>
      <start>13</start>
      <end>14</end>
      <status>unmodified</status>
      <modifiedWord/>
      <trackRevisions>false</trackRevisions>
    </reviewItem>
    <reviewItem>
      <errorID>90aaf968-5cd6-418c-9fda-726eaa469435</errorID>
      <errorWord>，</errorWord>
      <group>L1_Format</group>
      <groupName>格式问题</groupName>
      <ability>L2_HalfPunc</ability>
      <abilityName>全半角检查</abilityName>
      <candidateList>
        <item>,</item>
      </candidateList>
      <explain>文本全半角错误。</explain>
      <paraID>3872CD2B</paraID>
      <start>13</start>
      <end>14</end>
      <status>unmodified</status>
      <modifiedWord/>
      <trackRevisions>false</trackRevisions>
    </reviewItem>
    <reviewItem>
      <errorID>9994473b-d114-435a-a911-b4aefeb0ee7c</errorID>
      <errorWord>，</errorWord>
      <group>L1_Format</group>
      <groupName>格式问题</groupName>
      <ability>L2_HalfPunc</ability>
      <abilityName>全半角检查</abilityName>
      <candidateList>
        <item>,</item>
      </candidateList>
      <explain>文本全半角错误。</explain>
      <paraID> 79DF788</paraID>
      <start>13</start>
      <end>14</end>
      <status>unmodified</status>
      <modifiedWord/>
      <trackRevisions>false</trackRevisions>
    </reviewItem>
    <reviewItem>
      <errorID>77598080-6178-4e3b-8a2d-b15da2fc44b3</errorID>
      <errorWord>，</errorWord>
      <group>L1_Format</group>
      <groupName>格式问题</groupName>
      <ability>L2_HalfPunc</ability>
      <abilityName>全半角检查</abilityName>
      <candidateList>
        <item>,</item>
      </candidateList>
      <explain>文本全半角错误。</explain>
      <paraID>3E01A333</paraID>
      <start>13</start>
      <end>14</end>
      <status>unmodified</status>
      <modifiedWord/>
      <trackRevisions>false</trackRevisions>
    </reviewItem>
    <reviewItem>
      <errorID>3746973d-e928-4cda-80a2-d77f0441239b</errorID>
      <errorWord>，</errorWord>
      <group>L1_Format</group>
      <groupName>格式问题</groupName>
      <ability>L2_HalfPunc</ability>
      <abilityName>全半角检查</abilityName>
      <candidateList>
        <item>,</item>
      </candidateList>
      <explain>文本全半角错误。</explain>
      <paraID> 30EE326</paraID>
      <start>13</start>
      <end>14</end>
      <status>unmodified</status>
      <modifiedWord/>
      <trackRevisions>false</trackRevisions>
    </reviewItem>
    <reviewItem>
      <errorID>c011f255-11e8-46e6-9f03-118dce391c3f</errorID>
      <errorWord>，</errorWord>
      <group>L1_Format</group>
      <groupName>格式问题</groupName>
      <ability>L2_HalfPunc</ability>
      <abilityName>全半角检查</abilityName>
      <candidateList>
        <item>,</item>
      </candidateList>
      <explain>文本全半角错误。</explain>
      <paraID>5F18F023</paraID>
      <start>13</start>
      <end>14</end>
      <status>unmodified</status>
      <modifiedWord/>
      <trackRevisions>false</trackRevisions>
    </reviewItem>
    <reviewItem>
      <errorID>4f9057ad-20b2-432b-9f59-1e66d634fae0</errorID>
      <errorWord>，</errorWord>
      <group>L1_Format</group>
      <groupName>格式问题</groupName>
      <ability>L2_HalfPunc</ability>
      <abilityName>全半角检查</abilityName>
      <candidateList>
        <item>,</item>
      </candidateList>
      <explain>文本全半角错误。</explain>
      <paraID> 3EB1DE3</paraID>
      <start>13</start>
      <end>14</end>
      <status>unmodified</status>
      <modifiedWord/>
      <trackRevisions>false</trackRevisions>
    </reviewItem>
    <reviewItem>
      <errorID>712774f2-41e7-4bbc-a166-e07194b20790</errorID>
      <errorWord>，</errorWord>
      <group>L1_Format</group>
      <groupName>格式问题</groupName>
      <ability>L2_HalfPunc</ability>
      <abilityName>全半角检查</abilityName>
      <candidateList>
        <item>,</item>
      </candidateList>
      <explain>文本全半角错误。</explain>
      <paraID>4EA43B44</paraID>
      <start>13</start>
      <end>14</end>
      <status>unmodified</status>
      <modifiedWord/>
      <trackRevisions>false</trackRevisions>
    </reviewItem>
    <reviewItem>
      <errorID>d8b601c3-e39d-4c4b-aa72-68301faaf218</errorID>
      <errorWord>，</errorWord>
      <group>L1_Format</group>
      <groupName>格式问题</groupName>
      <ability>L2_HalfPunc</ability>
      <abilityName>全半角检查</abilityName>
      <candidateList>
        <item>,</item>
      </candidateList>
      <explain>文本全半角错误。</explain>
      <paraID>24F42933</paraID>
      <start>13</start>
      <end>14</end>
      <status>unmodified</status>
      <modifiedWord/>
      <trackRevisions>false</trackRevisions>
    </reviewItem>
    <reviewItem>
      <errorID>b96d89b8-1b76-4997-93d4-3d313650c110</errorID>
      <errorWord>，</errorWord>
      <group>L1_Format</group>
      <groupName>格式问题</groupName>
      <ability>L2_HalfPunc</ability>
      <abilityName>全半角检查</abilityName>
      <candidateList>
        <item>,</item>
      </candidateList>
      <explain>文本全半角错误。</explain>
      <paraID>241FD151</paraID>
      <start>13</start>
      <end>14</end>
      <status>unmodified</status>
      <modifiedWord/>
      <trackRevisions>false</trackRevisions>
    </reviewItem>
    <reviewItem>
      <errorID>77f1027c-8abb-49ac-aeee-c5721307921c</errorID>
      <errorWord>，</errorWord>
      <group>L1_Format</group>
      <groupName>格式问题</groupName>
      <ability>L2_HalfPunc</ability>
      <abilityName>全半角检查</abilityName>
      <candidateList>
        <item>,</item>
      </candidateList>
      <explain>文本全半角错误。</explain>
      <paraID>769F0839</paraID>
      <start>13</start>
      <end>14</end>
      <status>unmodified</status>
      <modifiedWord/>
      <trackRevisions>false</trackRevisions>
    </reviewItem>
    <reviewItem>
      <errorID>f2ada72b-b49b-420d-bbf8-9f4a21c38c69</errorID>
      <errorWord>，</errorWord>
      <group>L1_Format</group>
      <groupName>格式问题</groupName>
      <ability>L2_HalfPunc</ability>
      <abilityName>全半角检查</abilityName>
      <candidateList>
        <item>,</item>
      </candidateList>
      <explain>文本全半角错误。</explain>
      <paraID>6ACDADD7</paraID>
      <start>13</start>
      <end>14</end>
      <status>unmodified</status>
      <modifiedWord/>
      <trackRevisions>false</trackRevisions>
    </reviewItem>
    <reviewItem>
      <errorID>f7f2a456-9d88-437b-962b-4e37e461ad1f</errorID>
      <errorWord>，</errorWord>
      <group>L1_Format</group>
      <groupName>格式问题</groupName>
      <ability>L2_HalfPunc</ability>
      <abilityName>全半角检查</abilityName>
      <candidateList>
        <item>,</item>
      </candidateList>
      <explain>文本全半角错误。</explain>
      <paraID>1E3CEA7C</paraID>
      <start>13</start>
      <end>14</end>
      <status>unmodified</status>
      <modifiedWord/>
      <trackRevisions>false</trackRevisions>
    </reviewItem>
    <reviewItem>
      <errorID>4979e410-1007-4ec7-abb5-5cbf0c9475d4</errorID>
      <errorWord>，</errorWord>
      <group>L1_Format</group>
      <groupName>格式问题</groupName>
      <ability>L2_HalfPunc</ability>
      <abilityName>全半角检查</abilityName>
      <candidateList>
        <item>,</item>
      </candidateList>
      <explain>文本全半角错误。</explain>
      <paraID>2026FF93</paraID>
      <start>13</start>
      <end>14</end>
      <status>unmodified</status>
      <modifiedWord/>
      <trackRevisions>false</trackRevisions>
    </reviewItem>
    <reviewItem>
      <errorID>8b42581b-2975-421d-80c6-0aa9739f0fee</errorID>
      <errorWord>，</errorWord>
      <group>L1_Format</group>
      <groupName>格式问题</groupName>
      <ability>L2_HalfPunc</ability>
      <abilityName>全半角检查</abilityName>
      <candidateList>
        <item>,</item>
      </candidateList>
      <explain>文本全半角错误。</explain>
      <paraID>3DE44CBD</paraID>
      <start>13</start>
      <end>14</end>
      <status>unmodified</status>
      <modifiedWord/>
      <trackRevisions>false</trackRevisions>
    </reviewItem>
    <reviewItem>
      <errorID>efb1e58b-19fe-46bf-9b31-8827bfbdaea5</errorID>
      <errorWord>，</errorWord>
      <group>L1_Format</group>
      <groupName>格式问题</groupName>
      <ability>L2_HalfPunc</ability>
      <abilityName>全半角检查</abilityName>
      <candidateList>
        <item>,</item>
      </candidateList>
      <explain>文本全半角错误。</explain>
      <paraID>43CA7BAC</paraID>
      <start>13</start>
      <end>14</end>
      <status>unmodified</status>
      <modifiedWord/>
      <trackRevisions>false</trackRevisions>
    </reviewItem>
    <reviewItem>
      <errorID>6a1a3b42-6f63-46ba-9386-21c2745650a6</errorID>
      <errorWord>，</errorWord>
      <group>L1_Format</group>
      <groupName>格式问题</groupName>
      <ability>L2_HalfPunc</ability>
      <abilityName>全半角检查</abilityName>
      <candidateList>
        <item>,</item>
      </candidateList>
      <explain>文本全半角错误。</explain>
      <paraID>43E8806A</paraID>
      <start>13</start>
      <end>14</end>
      <status>unmodified</status>
      <modifiedWord/>
      <trackRevisions>false</trackRevisions>
    </reviewItem>
    <reviewItem>
      <errorID>b6fcb2e8-e2c0-4edc-b651-6ea69b0261d2</errorID>
      <errorWord>，</errorWord>
      <group>L1_Format</group>
      <groupName>格式问题</groupName>
      <ability>L2_HalfPunc</ability>
      <abilityName>全半角检查</abilityName>
      <candidateList>
        <item>,</item>
      </candidateList>
      <explain>文本全半角错误。</explain>
      <paraID>41F46F64</paraID>
      <start>13</start>
      <end>14</end>
      <status>unmodified</status>
      <modifiedWord/>
      <trackRevisions>false</trackRevisions>
    </reviewItem>
    <reviewItem>
      <errorID>5423b050-6365-4931-a655-7e8a659733ee</errorID>
      <errorWord>，</errorWord>
      <group>L1_Format</group>
      <groupName>格式问题</groupName>
      <ability>L2_HalfPunc</ability>
      <abilityName>全半角检查</abilityName>
      <candidateList>
        <item>,</item>
      </candidateList>
      <explain>文本全半角错误。</explain>
      <paraID>6EF8E33D</paraID>
      <start>13</start>
      <end>14</end>
      <status>unmodified</status>
      <modifiedWord/>
      <trackRevisions>false</trackRevisions>
    </reviewItem>
    <reviewItem>
      <errorID>0b582585-0267-440b-b0f5-4ed8bcf65078</errorID>
      <errorWord>，</errorWord>
      <group>L1_Format</group>
      <groupName>格式问题</groupName>
      <ability>L2_HalfPunc</ability>
      <abilityName>全半角检查</abilityName>
      <candidateList>
        <item>,</item>
      </candidateList>
      <explain>文本全半角错误。</explain>
      <paraID> A17DFE8</paraID>
      <start>13</start>
      <end>14</end>
      <status>unmodified</status>
      <modifiedWord/>
      <trackRevisions>false</trackRevisions>
    </reviewItem>
    <reviewItem>
      <errorID>0af355d5-d780-4356-ab2d-19fdec42b625</errorID>
      <errorWord>，</errorWord>
      <group>L1_Format</group>
      <groupName>格式问题</groupName>
      <ability>L2_HalfPunc</ability>
      <abilityName>全半角检查</abilityName>
      <candidateList>
        <item>,</item>
      </candidateList>
      <explain>文本全半角错误。</explain>
      <paraID>2E109DC0</paraID>
      <start>13</start>
      <end>14</end>
      <status>unmodified</status>
      <modifiedWord/>
      <trackRevisions>false</trackRevisions>
    </reviewItem>
    <reviewItem>
      <errorID>d51dd549-50d5-4b56-a4dc-57b3aa0bcba1</errorID>
      <errorWord>，</errorWord>
      <group>L1_Format</group>
      <groupName>格式问题</groupName>
      <ability>L2_HalfPunc</ability>
      <abilityName>全半角检查</abilityName>
      <candidateList>
        <item>,</item>
      </candidateList>
      <explain>文本全半角错误。</explain>
      <paraID>7C53A72C</paraID>
      <start>13</start>
      <end>14</end>
      <status>unmodified</status>
      <modifiedWord/>
      <trackRevisions>false</trackRevisions>
    </reviewItem>
    <reviewItem>
      <errorID>83c74007-8fc9-48ca-8df0-301bfccaaa9e</errorID>
      <errorWord>，</errorWord>
      <group>L1_Format</group>
      <groupName>格式问题</groupName>
      <ability>L2_HalfPunc</ability>
      <abilityName>全半角检查</abilityName>
      <candidateList>
        <item>,</item>
      </candidateList>
      <explain>文本全半角错误。</explain>
      <paraID>4619AFAC</paraID>
      <start>13</start>
      <end>14</end>
      <status>unmodified</status>
      <modifiedWord/>
      <trackRevisions>false</trackRevisions>
    </reviewItem>
    <reviewItem>
      <errorID>5af2a220-8ad4-4f16-83c7-31cd8ccdcfc4</errorID>
      <errorWord>，</errorWord>
      <group>L1_Format</group>
      <groupName>格式问题</groupName>
      <ability>L2_HalfPunc</ability>
      <abilityName>全半角检查</abilityName>
      <candidateList>
        <item>,</item>
      </candidateList>
      <explain>文本全半角错误。</explain>
      <paraID>42853C3D</paraID>
      <start>13</start>
      <end>14</end>
      <status>unmodified</status>
      <modifiedWord/>
      <trackRevisions>false</trackRevisions>
    </reviewItem>
    <reviewItem>
      <errorID>5a94bbf4-3e64-4fc7-b67b-a87878a0b25b</errorID>
      <errorWord>，</errorWord>
      <group>L1_Format</group>
      <groupName>格式问题</groupName>
      <ability>L2_HalfPunc</ability>
      <abilityName>全半角检查</abilityName>
      <candidateList>
        <item>,</item>
      </candidateList>
      <explain>文本全半角错误。</explain>
      <paraID>4792DF40</paraID>
      <start>13</start>
      <end>14</end>
      <status>unmodified</status>
      <modifiedWord/>
      <trackRevisions>false</trackRevisions>
    </reviewItem>
    <reviewItem>
      <errorID>fad3a313-b381-45e5-b672-f2ead2ab941c</errorID>
      <errorWord>，</errorWord>
      <group>L1_Format</group>
      <groupName>格式问题</groupName>
      <ability>L2_HalfPunc</ability>
      <abilityName>全半角检查</abilityName>
      <candidateList>
        <item>,</item>
      </candidateList>
      <explain>文本全半角错误。</explain>
      <paraID>3D73C60D</paraID>
      <start>13</start>
      <end>14</end>
      <status>unmodified</status>
      <modifiedWord/>
      <trackRevisions>false</trackRevisions>
    </reviewItem>
    <reviewItem>
      <errorID>b28550aa-6cd3-4a2f-a088-564568e265e9</errorID>
      <errorWord>，</errorWord>
      <group>L1_Format</group>
      <groupName>格式问题</groupName>
      <ability>L2_HalfPunc</ability>
      <abilityName>全半角检查</abilityName>
      <candidateList>
        <item>,</item>
      </candidateList>
      <explain>文本全半角错误。</explain>
      <paraID>453F0500</paraID>
      <start>13</start>
      <end>14</end>
      <status>unmodified</status>
      <modifiedWord/>
      <trackRevisions>false</trackRevisions>
    </reviewItem>
    <reviewItem>
      <errorID>ad63e1d5-0f1a-418f-886c-3397a453d17e</errorID>
      <errorWord>，</errorWord>
      <group>L1_Format</group>
      <groupName>格式问题</groupName>
      <ability>L2_HalfPunc</ability>
      <abilityName>全半角检查</abilityName>
      <candidateList>
        <item>,</item>
      </candidateList>
      <explain>文本全半角错误。</explain>
      <paraID>440E97C9</paraID>
      <start>13</start>
      <end>14</end>
      <status>unmodified</status>
      <modifiedWord/>
      <trackRevisions>false</trackRevisions>
    </reviewItem>
    <reviewItem>
      <errorID>69c4400b-d5e3-4981-9fa5-ccaf0bfd24f4</errorID>
      <errorWord>，</errorWord>
      <group>L1_Format</group>
      <groupName>格式问题</groupName>
      <ability>L2_HalfPunc</ability>
      <abilityName>全半角检查</abilityName>
      <candidateList>
        <item>,</item>
      </candidateList>
      <explain>文本全半角错误。</explain>
      <paraID>78543E77</paraID>
      <start>13</start>
      <end>14</end>
      <status>unmodified</status>
      <modifiedWord/>
      <trackRevisions>false</trackRevisions>
    </reviewItem>
    <reviewItem>
      <errorID>a2133714-60e4-4b5a-bda9-cde3a45398e4</errorID>
      <errorWord>，</errorWord>
      <group>L1_Format</group>
      <groupName>格式问题</groupName>
      <ability>L2_HalfPunc</ability>
      <abilityName>全半角检查</abilityName>
      <candidateList>
        <item>,</item>
      </candidateList>
      <explain>文本全半角错误。</explain>
      <paraID>541D7D84</paraID>
      <start>13</start>
      <end>14</end>
      <status>unmodified</status>
      <modifiedWord/>
      <trackRevisions>false</trackRevisions>
    </reviewItem>
    <reviewItem>
      <errorID>4ecc44e1-96ea-45ee-bd8b-fc6247bf10b4</errorID>
      <errorWord>，</errorWord>
      <group>L1_Format</group>
      <groupName>格式问题</groupName>
      <ability>L2_HalfPunc</ability>
      <abilityName>全半角检查</abilityName>
      <candidateList>
        <item>,</item>
      </candidateList>
      <explain>文本全半角错误。</explain>
      <paraID>25CA5C94</paraID>
      <start>13</start>
      <end>14</end>
      <status>unmodified</status>
      <modifiedWord/>
      <trackRevisions>false</trackRevisions>
    </reviewItem>
    <reviewItem>
      <errorID>04d3ddeb-350e-46c4-a9df-b9a1068ec4d7</errorID>
      <errorWord>，</errorWord>
      <group>L1_Format</group>
      <groupName>格式问题</groupName>
      <ability>L2_HalfPunc</ability>
      <abilityName>全半角检查</abilityName>
      <candidateList>
        <item>,</item>
      </candidateList>
      <explain>文本全半角错误。</explain>
      <paraID>7F359343</paraID>
      <start>13</start>
      <end>14</end>
      <status>unmodified</status>
      <modifiedWord/>
      <trackRevisions>false</trackRevisions>
    </reviewItem>
    <reviewItem>
      <errorID>03d1d255-f392-466f-bef8-d08415dcecfa</errorID>
      <errorWord>，</errorWord>
      <group>L1_Format</group>
      <groupName>格式问题</groupName>
      <ability>L2_HalfPunc</ability>
      <abilityName>全半角检查</abilityName>
      <candidateList>
        <item>,</item>
      </candidateList>
      <explain>文本全半角错误。</explain>
      <paraID>2BBD64EE</paraID>
      <start>13</start>
      <end>14</end>
      <status>unmodified</status>
      <modifiedWord/>
      <trackRevisions>false</trackRevisions>
    </reviewItem>
    <reviewItem>
      <errorID>352baafb-0413-436b-a17b-45d834b703ec</errorID>
      <errorWord>，</errorWord>
      <group>L1_Format</group>
      <groupName>格式问题</groupName>
      <ability>L2_HalfPunc</ability>
      <abilityName>全半角检查</abilityName>
      <candidateList>
        <item>,</item>
      </candidateList>
      <explain>文本全半角错误。</explain>
      <paraID>66DDBBA5</paraID>
      <start>13</start>
      <end>14</end>
      <status>unmodified</status>
      <modifiedWord/>
      <trackRevisions>false</trackRevisions>
    </reviewItem>
    <reviewItem>
      <errorID>e0d945b4-3d20-4402-be3f-9695a87d3136</errorID>
      <errorWord>，</errorWord>
      <group>L1_Format</group>
      <groupName>格式问题</groupName>
      <ability>L2_HalfPunc</ability>
      <abilityName>全半角检查</abilityName>
      <candidateList>
        <item>,</item>
      </candidateList>
      <explain>文本全半角错误。</explain>
      <paraID>5136965F</paraID>
      <start>13</start>
      <end>14</end>
      <status>unmodified</status>
      <modifiedWord/>
      <trackRevisions>false</trackRevisions>
    </reviewItem>
    <reviewItem>
      <errorID>f31797fd-c6c7-472b-802a-81e0c02da686</errorID>
      <errorWord>-</errorWord>
      <group>L1_Format</group>
      <groupName>格式问题</groupName>
      <ability>L2_HalfPunc</ability>
      <abilityName>全半角检查</abilityName>
      <candidateList>
        <item>－</item>
      </candidateList>
      <explain>文本全半角错误。</explain>
      <paraID>7E5BAC07</paraID>
      <start>17</start>
      <end>18</end>
      <status>unmodified</status>
      <modifiedWord/>
      <trackRevisions>false</trackRevisions>
    </reviewItem>
    <reviewItem>
      <errorID>3f2a5386-197d-4c22-ae33-652247762feb</errorID>
      <errorWord>-</errorWord>
      <group>L1_Format</group>
      <groupName>格式问题</groupName>
      <ability>L2_HalfPunc</ability>
      <abilityName>全半角检查</abilityName>
      <candidateList>
        <item>－</item>
      </candidateList>
      <explain>文本全半角错误。</explain>
      <paraID>5427F9A9</paraID>
      <start>118</start>
      <end>119</end>
      <status>unmodified</status>
      <modifiedWord/>
      <trackRevisions>false</trackRevisions>
    </reviewItem>
    <reviewItem>
      <errorID>bc54fa7e-bfe5-4a95-add6-86053138b9ea</errorID>
      <errorWord>变换</errorWord>
      <group>L1_Word</group>
      <groupName>字词问题</groupName>
      <ability>L2_Typo</ability>
      <abilityName>字词错误</abilityName>
      <candidateList>
        <item>更换</item>
      </candidateList>
      <explain>〈动〉变换；替换：～位置｜～衣裳｜～值班人员｜展览馆里的展品不断～。</explain>
      <paraID> 99EF2D1</paraID>
      <start>1</start>
      <end>3</end>
      <status>unmodified</status>
      <modifiedWord/>
      <trackRevisions>false</trackRevisions>
    </reviewItem>
    <reviewItem>
      <errorID>c0f6eff6-aae2-41b8-9928-e41c5ae7e692</errorID>
      <errorWord>（</errorWord>
      <group>L1_Format</group>
      <groupName>格式问题</groupName>
      <ability>L2_HalfPunc</ability>
      <abilityName>全半角检查</abilityName>
      <candidateList>
        <item>(</item>
      </candidateList>
      <explain>文本全半角错误。</explain>
      <paraID>6F988F12</paraID>
      <start>1</start>
      <end>2</end>
      <status>unmodified</status>
      <modifiedWord/>
      <trackRevisions>false</trackRevisions>
    </reviewItem>
    <reviewItem>
      <errorID>23c8ac58-0fc2-40d2-bce1-9bb9a0870171</errorID>
      <errorWord>）</errorWord>
      <group>L1_Format</group>
      <groupName>格式问题</groupName>
      <ability>L2_HalfPunc</ability>
      <abilityName>全半角检查</abilityName>
      <candidateList>
        <item>)</item>
      </candidateList>
      <explain>文本全半角错误。</explain>
      <paraID>6F988F12</paraID>
      <start>5</start>
      <end>6</end>
      <status>unmodified</status>
      <modifiedWord/>
      <trackRevisions>false</trackRevisions>
    </reviewItem>
    <reviewItem>
      <errorID>229530f0-5a80-41c9-9638-bea89eee47db</errorID>
      <errorWord>水来</errorWord>
      <group>L1_Word</group>
      <groupName>字词问题</groupName>
      <ability>L2_Typo</ability>
      <abilityName>字词错误</abilityName>
      <candidateList>
        <item>水</item>
      </candidateList>
      <explain/>
      <paraID>567B46DB</paraID>
      <start>60</start>
      <end>62</end>
      <status>unmodified</status>
      <modifiedWord/>
      <trackRevisions>false</trackRevisions>
    </reviewItem>
    <reviewItem>
      <errorID>404e0de9-9018-4afc-82aa-7ce00b604571</errorID>
      <errorWord>水回</errorWord>
      <group>L1_Word</group>
      <groupName>字词问题</groupName>
      <ability>L2_Typo</ability>
      <abilityName>字词错误</abilityName>
      <candidateList>
        <item>水</item>
      </candidateList>
      <explain/>
      <paraID>567B46DB</paraID>
      <start>121</start>
      <end>123</end>
      <status>unmodified</status>
      <modifiedWord/>
      <trackRevisions>false</trackRevisions>
    </reviewItem>
    <reviewItem>
      <errorID>1c88b633-2519-400e-8a3f-bcf28da0c959</errorID>
      <errorWord>65%-75%</errorWord>
      <group>L1_Knowledge</group>
      <groupName>知识性问题</groupName>
      <ability>L2_Knowledge</ability>
      <abilityName>其他知识</abilityName>
      <candidateList>
        <item>65%—75%</item>
      </candidateList>
      <explain>1. “65%-75%”中的单位“%”仅出现在后一个数字上，容易引起歧义；根据《现代汉语标点符号数字用法规范手册》，数字表示范围两边需要使用统一的格式。2. 根据标点国标 4.13 中的规则，数字、时间或地域连接符应使用（视觉上更长的）“—”或“～”。</explain>
      <paraID>246512FD</paraID>
      <start>0</start>
      <end>7</end>
      <status>unmodified</status>
      <modifiedWord/>
      <trackRevisions>false</trackRevisions>
    </reviewItem>
    <reviewItem>
      <errorID>b9999b2d-973b-4657-a509-5dfc94d43138</errorID>
      <errorWord>24%-34%</errorWord>
      <group>L1_Knowledge</group>
      <groupName>知识性问题</groupName>
      <ability>L2_Knowledge</ability>
      <abilityName>其他知识</abilityName>
      <candidateList>
        <item>24%—34%</item>
      </candidateList>
      <explain>1. “24%-34%”中的单位“%”仅出现在后一个数字上，容易引起歧义；根据《现代汉语标点符号数字用法规范手册》，数字表示范围两边需要使用统一的格式。2. 根据标点国标 4.13 中的规则，数字、时间或地域连接符应使用（视觉上更长的）“—”或“～”。</explain>
      <paraID>38CD6E82</paraID>
      <start>0</start>
      <end>7</end>
      <status>unmodified</status>
      <modifiedWord/>
      <trackRevisions>false</trackRevisions>
    </reviewItem>
    <reviewItem>
      <errorID>75e4d115-b818-4d1d-b914-932ae8cb0883</errorID>
      <errorWord>（</errorWord>
      <group>L1_Format</group>
      <groupName>格式问题</groupName>
      <ability>L2_HalfPunc</ability>
      <abilityName>全半角检查</abilityName>
      <candidateList>
        <item>(</item>
      </candidateList>
      <explain>文本全半角错误。</explain>
      <paraID>2DF04CA2</paraID>
      <start>2</start>
      <end>3</end>
      <status>unmodified</status>
      <modifiedWord/>
      <trackRevisions>false</trackRevisions>
    </reviewItem>
    <reviewItem>
      <errorID>76051418-708e-496c-b321-fa3e13b8cfaf</errorID>
      <errorWord>）</errorWord>
      <group>L1_Format</group>
      <groupName>格式问题</groupName>
      <ability>L2_HalfPunc</ability>
      <abilityName>全半角检查</abilityName>
      <candidateList>
        <item>)</item>
      </candidateList>
      <explain>文本全半角错误。</explain>
      <paraID>2DF04CA2</paraID>
      <start>4</start>
      <end>5</end>
      <status>unmodified</status>
      <modifiedWord/>
      <trackRevisions>false</trackRevisions>
    </reviewItem>
    <reviewItem>
      <errorID>b22e5e1c-30e6-4113-8ec9-0229e36e5734</errorID>
      <errorWord>＜</errorWord>
      <group>L1_Format</group>
      <groupName>格式问题</groupName>
      <ability>L2_HalfPunc</ability>
      <abilityName>全半角检查</abilityName>
      <candidateList>
        <item>&lt;</item>
      </candidateList>
      <explain>文本全半角错误。</explain>
      <paraID>5CF08E76</paraID>
      <start>0</start>
      <end>1</end>
      <status>unmodified</status>
      <modifiedWord/>
      <trackRevisions>false</trackRevisions>
    </reviewItem>
    <reviewItem>
      <errorID>6bf3bb0b-9930-4e7f-8f42-e28005faeed9</errorID>
      <errorWord>（</errorWord>
      <group>L1_Format</group>
      <groupName>格式问题</groupName>
      <ability>L2_HalfPunc</ability>
      <abilityName>全半角检查</abilityName>
      <candidateList>
        <item>(</item>
      </candidateList>
      <explain>文本全半角错误。</explain>
      <paraID>38E91DD8</paraID>
      <start>2</start>
      <end>3</end>
      <status>unmodified</status>
      <modifiedWord/>
      <trackRevisions>false</trackRevisions>
    </reviewItem>
    <reviewItem>
      <errorID>479d7c68-7fa1-4d97-bf64-27b44766ec18</errorID>
      <errorWord>）</errorWord>
      <group>L1_Format</group>
      <groupName>格式问题</groupName>
      <ability>L2_HalfPunc</ability>
      <abilityName>全半角检查</abilityName>
      <candidateList>
        <item>)</item>
      </candidateList>
      <explain>文本全半角错误。</explain>
      <paraID>38E91DD8</paraID>
      <start>4</start>
      <end>5</end>
      <status>unmodified</status>
      <modifiedWord/>
      <trackRevisions>false</trackRevisions>
    </reviewItem>
    <reviewItem>
      <errorID>9ed5cf79-bf0b-4528-aa11-503091dae6ad</errorID>
      <errorWord>（</errorWord>
      <group>L1_Format</group>
      <groupName>格式问题</groupName>
      <ability>L2_HalfPunc</ability>
      <abilityName>全半角检查</abilityName>
      <candidateList>
        <item>(</item>
      </candidateList>
      <explain>文本全半角错误。</explain>
      <paraID>35D4CAAC</paraID>
      <start>2</start>
      <end>3</end>
      <status>unmodified</status>
      <modifiedWord/>
      <trackRevisions>false</trackRevisions>
    </reviewItem>
    <reviewItem>
      <errorID>4b4297af-a66c-4dd7-a924-1cac7e1d67c0</errorID>
      <errorWord>）</errorWord>
      <group>L1_Format</group>
      <groupName>格式问题</groupName>
      <ability>L2_HalfPunc</ability>
      <abilityName>全半角检查</abilityName>
      <candidateList>
        <item>)</item>
      </candidateList>
      <explain>文本全半角错误。</explain>
      <paraID>35D4CAAC</paraID>
      <start>4</start>
      <end>5</end>
      <status>unmodified</status>
      <modifiedWord/>
      <trackRevisions>false</trackRevisions>
    </reviewItem>
    <reviewItem>
      <errorID>c2367ec6-9f95-4580-bcf0-0c51e282949e</errorID>
      <errorWord>（</errorWord>
      <group>L1_Format</group>
      <groupName>格式问题</groupName>
      <ability>L2_HalfPunc</ability>
      <abilityName>全半角检查</abilityName>
      <candidateList>
        <item>(</item>
      </candidateList>
      <explain>文本全半角错误。</explain>
      <paraID>3176CE61</paraID>
      <start>3</start>
      <end>4</end>
      <status>unmodified</status>
      <modifiedWord/>
      <trackRevisions>false</trackRevisions>
    </reviewItem>
    <reviewItem>
      <errorID>c5e9b7e3-675c-4d3c-84da-040789bf84cb</errorID>
      <errorWord>）</errorWord>
      <group>L1_Format</group>
      <groupName>格式问题</groupName>
      <ability>L2_HalfPunc</ability>
      <abilityName>全半角检查</abilityName>
      <candidateList>
        <item>)</item>
      </candidateList>
      <explain>文本全半角错误。</explain>
      <paraID>3176CE61</paraID>
      <start>5</start>
      <end>6</end>
      <status>unmodified</status>
      <modifiedWord/>
      <trackRevisions>false</trackRevisions>
    </reviewItem>
    <reviewItem>
      <errorID>93486a50-7877-4352-8294-35af66c05693</errorID>
      <errorWord>（</errorWord>
      <group>L1_Format</group>
      <groupName>格式问题</groupName>
      <ability>L2_HalfPunc</ability>
      <abilityName>全半角检查</abilityName>
      <candidateList>
        <item>(</item>
      </candidateList>
      <explain>文本全半角错误。</explain>
      <paraID> A94F69C</paraID>
      <start>3</start>
      <end>4</end>
      <status>unmodified</status>
      <modifiedWord/>
      <trackRevisions>false</trackRevisions>
    </reviewItem>
    <reviewItem>
      <errorID>29296ab8-3a56-409d-8a14-862ea49f7285</errorID>
      <errorWord>）</errorWord>
      <group>L1_Format</group>
      <groupName>格式问题</groupName>
      <ability>L2_HalfPunc</ability>
      <abilityName>全半角检查</abilityName>
      <candidateList>
        <item>)</item>
      </candidateList>
      <explain>文本全半角错误。</explain>
      <paraID> A94F69C</paraID>
      <start>5</start>
      <end>6</end>
      <status>unmodified</status>
      <modifiedWord/>
      <trackRevisions>false</trackRevisions>
    </reviewItem>
    <reviewItem>
      <errorID>99e1700d-6b05-4dab-8052-ce083276cb12</errorID>
      <errorWord>（</errorWord>
      <group>L1_Format</group>
      <groupName>格式问题</groupName>
      <ability>L2_HalfPunc</ability>
      <abilityName>全半角检查</abilityName>
      <candidateList>
        <item>(</item>
      </candidateList>
      <explain>文本全半角错误。</explain>
      <paraID>25976023</paraID>
      <start>3</start>
      <end>4</end>
      <status>unmodified</status>
      <modifiedWord/>
      <trackRevisions>false</trackRevisions>
    </reviewItem>
    <reviewItem>
      <errorID>cbbdebc1-9d20-4190-8c9a-36e3cc5e7ad2</errorID>
      <errorWord>）</errorWord>
      <group>L1_Format</group>
      <groupName>格式问题</groupName>
      <ability>L2_HalfPunc</ability>
      <abilityName>全半角检查</abilityName>
      <candidateList>
        <item>)</item>
      </candidateList>
      <explain>文本全半角错误。</explain>
      <paraID>25976023</paraID>
      <start>5</start>
      <end>6</end>
      <status>unmodified</status>
      <modifiedWord/>
      <trackRevisions>false</trackRevisions>
    </reviewItem>
    <reviewItem>
      <errorID>a71bd118-f46c-4ec8-a14d-7eb2a1e8181c</errorID>
      <errorWord>真空尾气</errorWord>
      <group>L1_Knowledge</group>
      <groupName>知识性问题</groupName>
      <ability>L2_Term</ability>
      <abilityName>专业术语</abilityName>
      <candidateList>
        <item>真空除气</item>
      </candidateList>
      <explain/>
      <paraID>7682B949</paraID>
      <start>0</start>
      <end>4</end>
      <status>unmodified</status>
      <modifiedWord/>
      <trackRevisions>false</trackRevisions>
    </reviewItem>
    <reviewItem>
      <errorID>93a8de2b-42a0-47cf-945b-2f30d0179399</errorID>
      <errorWord>用水管网</errorWord>
      <group>L1_Knowledge</group>
      <groupName>知识性问题</groupName>
      <ability>L2_Term</ability>
      <abilityName>专业术语</abilityName>
      <candidateList>
        <item>污水管网</item>
      </candidateList>
      <explain/>
      <paraID>530003B3</paraID>
      <start>15</start>
      <end>19</end>
      <status>unmodified</status>
      <modifiedWord/>
      <trackRevisions>false</trackRevisions>
    </reviewItem>
    <reviewItem>
      <errorID>279ad513-b9a5-47e8-8eb0-2695e8c65e16</errorID>
      <errorWord>尾气管道</errorWord>
      <group>L1_Knowledge</group>
      <groupName>知识性问题</groupName>
      <ability>L2_Term</ability>
      <abilityName>专业术语</abilityName>
      <candidateList>
        <item>输气管道</item>
      </candidateList>
      <explain/>
      <paraID>2D838E39</paraID>
      <start>10</start>
      <end>14</end>
      <status>unmodified</status>
      <modifiedWord/>
      <trackRevisions>false</trackRevisions>
    </reviewItem>
    <reviewItem>
      <errorID>bfc57261-f1c2-43de-89bc-6d9a703a9fb2</errorID>
      <errorWord>无须</errorWord>
      <group>L1_Word</group>
      <groupName>字词问题</groupName>
      <ability>L2_Typo</ability>
      <abilityName>字词错误</abilityName>
      <candidateList>
        <item>无需</item>
      </candidateList>
      <explain>同“无须”。</explain>
      <paraID> A4AED34</paraID>
      <start>17</start>
      <end>19</end>
      <status>unmodified</status>
      <modifiedWord/>
      <trackRevisions>false</trackRevisions>
    </reviewItem>
    <reviewItem>
      <errorID>ff3e3991-6a01-488f-95e2-88f2562bfc27</errorID>
      <errorWord>运到</errorWord>
      <group>L1_Word</group>
      <groupName>字词问题</groupName>
      <ability>L2_Typo</ability>
      <abilityName>字词错误</abilityName>
      <candidateList>
        <item>运至</item>
      </candidateList>
      <explain/>
      <paraID>7AD8449B</paraID>
      <start>18</start>
      <end>20</end>
      <status>unmodified</status>
      <modifiedWord/>
      <trackRevisions>false</trackRevisions>
    </reviewItem>
    <reviewItem>
      <errorID>9f8b2697-1cc8-4148-82f3-1f92e754c4c1</errorID>
      <errorWord>系统中</errorWord>
      <group>L1_Word</group>
      <groupName>字词问题</groupName>
      <ability>L2_Typo</ability>
      <abilityName>字词错误</abilityName>
      <candidateList>
        <item>系统</item>
      </candidateList>
      <explain>❶〈名〉同类事物按一定的关系组成的整体：～化｜组织～｜灌溉～。❷〈形〉有条理的；有系统的：～学习｜～研究｜资料不够。</explain>
      <paraID>493598D9</paraID>
      <start>17</start>
      <end>20</end>
      <status>unmodified</status>
      <modifiedWord/>
      <trackRevisions>false</trackRevisions>
    </reviewItem>
    <reviewItem>
      <errorID>d471bd94-56a0-4416-a546-9c5bcadcd1ca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2795835</paraID>
      <start>17</start>
      <end>18</end>
      <status>unmodified</status>
      <modifiedWord/>
      <trackRevisions>false</trackRevisions>
    </reviewItem>
    <reviewItem>
      <errorID>88ecf5bd-462f-483c-a08b-d1dcf4486478</errorID>
      <errorWord>-</errorWord>
      <group>L1_Format</group>
      <groupName>格式问题</groupName>
      <ability>L2_HalfPunc</ability>
      <abilityName>全半角检查</abilityName>
      <candidateList>
        <item>－</item>
      </candidateList>
      <explain>文本全半角错误。</explain>
      <paraID>17DA3861</paraID>
      <start>49</start>
      <end>50</end>
      <status>unmodified</status>
      <modifiedWord/>
      <trackRevisions>false</trackRevisions>
    </reviewItem>
    <reviewItem>
      <errorID>183be067-d6c9-44f0-9af2-0a7be0f05847</errorID>
      <errorWord>告</errorWord>
      <group>L1_Word</group>
      <groupName>字词问题</groupName>
      <ability>L2_Typo</ability>
      <abilityName>字词错误</abilityName>
      <candidateList>
        <item>告和</item>
      </candidateList>
      <explain/>
      <paraID> CFEE712</paraID>
      <start>11</start>
      <end>12</end>
      <status>unmodified</status>
      <modifiedWord/>
      <trackRevisions>false</trackRevisions>
    </reviewItem>
    <reviewItem>
      <errorID>2d8d6ca9-b080-4cd9-b73b-fc8136867ef0</errorID>
      <errorWord>》（试行）</errorWord>
      <group>L1_Word</group>
      <groupName>字词问题</groupName>
      <ability>L2_Typo</ability>
      <abilityName>字词错误</abilityName>
      <candidateList>
        <item>（试行）》</item>
      </candidateList>
      <explain/>
      <paraID>43B990C4</paraID>
      <start>180</start>
      <end>185</end>
      <status>unmodified</status>
      <modifiedWord/>
      <trackRevisions>false</trackRevisions>
    </reviewItem>
    <reviewItem>
      <errorID>7229bfae-9397-438a-bb1a-84d80b8b2847</errorID>
      <errorWord>》（试行）</errorWord>
      <group>L1_Word</group>
      <groupName>字词问题</groupName>
      <ability>L2_Typo</ability>
      <abilityName>字词错误</abilityName>
      <candidateList>
        <item>（试行）》</item>
      </candidateList>
      <explain/>
      <paraID>2991BC36</paraID>
      <start>27</start>
      <end>32</end>
      <status>unmodified</status>
      <modifiedWord/>
      <trackRevisions>false</trackRevisions>
    </reviewItem>
    <reviewItem>
      <errorID>557313a3-662d-4204-8ed9-8184c26c12b1</errorID>
      <errorWord>》（试行）</errorWord>
      <group>L1_Word</group>
      <groupName>字词问题</groupName>
      <ability>L2_Typo</ability>
      <abilityName>字词错误</abilityName>
      <candidateList>
        <item>（试行）》</item>
      </candidateList>
      <explain/>
      <paraID>2991BC36</paraID>
      <start>115</start>
      <end>120</end>
      <status>unmodified</status>
      <modifiedWord/>
      <trackRevisions>false</trackRevisions>
    </reviewItem>
    <reviewItem>
      <errorID>17189bc7-a0bb-4693-9de0-0dcc0382692f</errorID>
      <errorWord>》</errorWord>
      <group>L1_Word</group>
      <groupName>字词问题</groupName>
      <ability>L2_Typo</ability>
      <abilityName>字词错误</abilityName>
      <candidateList>
        <item>》和</item>
      </candidateList>
      <explain/>
      <paraID>6C8C9E64</paraID>
      <start>53</start>
      <end>54</end>
      <status>unmodified</status>
      <modifiedWord/>
      <trackRevisions>false</trackRevisions>
    </reviewItem>
    <reviewItem>
      <errorID>8b8153ab-4d69-4bcd-a0fe-3f0fec4a4ff9</errorID>
      <errorWord>渣蜡</errorWord>
      <group>L1_Word</group>
      <groupName>字词问题</groupName>
      <ability>L2_Typo</ability>
      <abilityName>字词错误</abilityName>
      <candidateList>
        <item>蜡渣</item>
      </candidateList>
      <explain/>
      <paraID> 3999973</paraID>
      <start>161</start>
      <end>163</end>
      <status>unmodified</status>
      <modifiedWord/>
      <trackRevisions>false</trackRevisions>
    </reviewItem>
    <reviewItem>
      <errorID>04db245c-0646-45fe-bd2b-43aaa0e01571</errorID>
      <errorWord>-</errorWord>
      <group>L1_Format</group>
      <groupName>格式问题</groupName>
      <ability>L2_HalfPunc</ability>
      <abilityName>全半角检查</abilityName>
      <candidateList>
        <item>－</item>
      </candidateList>
      <explain>文本全半角错误。</explain>
      <paraID>3275D242</paraID>
      <start>4</start>
      <end>5</end>
      <status>unmodified</status>
      <modifiedWord/>
      <trackRevisions>false</trackRevisions>
    </reviewItem>
    <reviewItem>
      <errorID>58ca08c2-5893-42e4-8e9b-9d5ba8538936</errorID>
      <errorWord>-</errorWord>
      <group>L1_Format</group>
      <groupName>格式问题</groupName>
      <ability>L2_HalfPunc</ability>
      <abilityName>全半角检查</abilityName>
      <candidateList>
        <item>－</item>
      </candidateList>
      <explain>文本全半角错误。</explain>
      <paraID>11FEEC1B</paraID>
      <start>42</start>
      <end>43</end>
      <status>unmodified</status>
      <modifiedWord/>
      <trackRevisions>false</trackRevisions>
    </reviewItem>
    <reviewItem>
      <errorID>b34b1147-4595-4284-90e4-432bcbe7d2f9</errorID>
      <errorWord>＜</errorWord>
      <group>L1_Format</group>
      <groupName>格式问题</groupName>
      <ability>L2_HalfPunc</ability>
      <abilityName>全半角检查</abilityName>
      <candidateList>
        <item>&lt;</item>
      </candidateList>
      <explain>文本全半角错误。</explain>
      <paraID>6946F862</paraID>
      <start>0</start>
      <end>1</end>
      <status>unmodified</status>
      <modifiedWord/>
      <trackRevisions>false</trackRevisions>
    </reviewItem>
    <reviewItem>
      <errorID>9d61f970-06ff-4f0c-a294-83120c4f72e8</errorID>
      <errorWord>。</errorWord>
      <group>L1_Format</group>
      <groupName>格式问题</groupName>
      <ability>L2_HalfPunc</ability>
      <abilityName>全半角检查</abilityName>
      <candidateList>
        <item>.</item>
      </candidateList>
      <explain>文本全半角错误。</explain>
      <paraID>3660D605</paraID>
      <start>8</start>
      <end>9</end>
      <status>unmodified</status>
      <modifiedWord/>
      <trackRevisions>false</trackRevisions>
    </reviewItem>
    <reviewItem>
      <errorID>f6c696a4-5d19-4bdb-a1c7-3a332729355c</errorID>
      <errorWord>；</errorWord>
      <group>L1_Word</group>
      <groupName>字词问题</groupName>
      <ability>L2_Typo</ability>
      <abilityName>字词错误</abilityName>
      <candidateList>
        <item>；本</item>
      </candidateList>
      <explain/>
      <paraID>4CA42C68</paraID>
      <start>72</start>
      <end>73</end>
      <status>unmodified</status>
      <modifiedWord/>
      <trackRevisions>false</trackRevisions>
    </reviewItem>
    <reviewItem>
      <errorID>9e398fa4-c60e-4d2a-ab05-eebbc99c7754</errorID>
      <errorWord>职工</errorWord>
      <group>L1_Word</group>
      <groupName>字词问题</groupName>
      <ability>L2_Typo</ability>
      <abilityName>字词错误</abilityName>
      <candidateList>
        <item>施工</item>
      </candidateList>
      <explain>存在发音相近字词的误用。</explain>
      <paraID>4F685631</paraID>
      <start>19</start>
      <end>21</end>
      <status>unmodified</status>
      <modifiedWord/>
      <trackRevisions>false</trackRevisions>
    </reviewItem>
    <reviewItem>
      <errorID>1c18b7c4-d5fb-45a6-997b-9c7d51f0462c</errorID>
      <errorWord>撒水</errorWord>
      <group>L1_Word</group>
      <groupName>字词问题</groupName>
      <ability>L2_Typo</ability>
      <abilityName>字词错误</abilityName>
      <candidateList>
        <item>洒水</item>
      </candidateList>
      <explain/>
      <paraID>3C982DE9</paraID>
      <start>179</start>
      <end>181</end>
      <status>unmodified</status>
      <modifiedWord/>
      <trackRevisions>false</trackRevisions>
    </reviewItem>
    <reviewItem>
      <errorID>f037982d-0c2e-49fc-99ae-e47684b58532</errorID>
      <errorWord>现场只</errorWord>
      <group>L1_Word</group>
      <groupName>字词问题</groupName>
      <ability>L2_Typo</ability>
      <abilityName>字词错误</abilityName>
      <candidateList>
        <item>现场</item>
      </candidateList>
      <explain/>
      <paraID>546083FD</paraID>
      <start>16</start>
      <end>19</end>
      <status>unmodified</status>
      <modifiedWord/>
      <trackRevisions>false</trackRevisions>
    </reviewItem>
    <reviewItem>
      <errorID>5e137061-31ea-4615-beb6-9d4b841838b1</errorID>
      <errorWord>-</errorWord>
      <group>L1_Format</group>
      <groupName>格式问题</groupName>
      <ability>L2_HalfPunc</ability>
      <abilityName>全半角检查</abilityName>
      <candidateList>
        <item>－</item>
      </candidateList>
      <explain>文本全半角错误。</explain>
      <paraID>3B4FA0F4</paraID>
      <start>2</start>
      <end>3</end>
      <status>unmodified</status>
      <modifiedWord/>
      <trackRevisions>false</trackRevisions>
    </reviewItem>
    <reviewItem>
      <errorID>e9d33b4c-8017-44af-beaf-2317690e9008</errorID>
      <errorWord>-</errorWord>
      <group>L1_Format</group>
      <groupName>格式问题</groupName>
      <ability>L2_HalfPunc</ability>
      <abilityName>全半角检查</abilityName>
      <candidateList>
        <item>－</item>
      </candidateList>
      <explain>文本全半角错误。</explain>
      <paraID>31105EAB</paraID>
      <start>3</start>
      <end>4</end>
      <status>unmodified</status>
      <modifiedWord/>
      <trackRevisions>false</trackRevisions>
    </reviewItem>
    <reviewItem>
      <errorID>dfa088ff-1573-4552-bcaf-b01d7c8cffe0</errorID>
      <errorWord>：</errorWord>
      <group>L1_Format</group>
      <groupName>格式问题</groupName>
      <ability>L2_HalfPunc</ability>
      <abilityName>全半角检查</abilityName>
      <candidateList>
        <item>:</item>
      </candidateList>
      <explain>文本全半角错误。</explain>
      <paraID>3753C065</paraID>
      <start>68</start>
      <end>69</end>
      <status>unmodified</status>
      <modifiedWord/>
      <trackRevisions>false</trackRevisions>
    </reviewItem>
    <reviewItem>
      <errorID>3bc39c88-7531-4613-bded-5bca015f01b6</errorID>
      <errorWord>：</errorWord>
      <group>L1_Format</group>
      <groupName>格式问题</groupName>
      <ability>L2_HalfPunc</ability>
      <abilityName>全半角检查</abilityName>
      <candidateList>
        <item>:</item>
      </candidateList>
      <explain>文本全半角错误。</explain>
      <paraID>3753C065</paraID>
      <start>76</start>
      <end>77</end>
      <status>unmodified</status>
      <modifiedWord/>
      <trackRevisions>false</trackRevisions>
    </reviewItem>
    <reviewItem>
      <errorID>c4bcf061-2a80-42c0-acc1-6342a87a4495</errorID>
      <errorWord>良好地</errorWord>
      <group>L1_Word</group>
      <groupName>字词问题</groupName>
      <ability>L2_Typo</ability>
      <abilityName>字词错误</abilityName>
      <candidateList>
        <item>良好</item>
      </candidateList>
      <explain/>
      <paraID>225D9B16</paraID>
      <start>65</start>
      <end>68</end>
      <status>unmodified</status>
      <modifiedWord/>
      <trackRevisions>false</trackRevisions>
    </reviewItem>
    <reviewItem>
      <errorID>5bc98820-5cb3-494f-950a-6fe244ca180e</errorID>
      <errorWord>源源</errorWord>
      <group>L1_Word</group>
      <groupName>字词问题</groupName>
      <ability>L2_Typo</ability>
      <abilityName>字词错误</abilityName>
      <candidateList>
        <item>源</item>
      </candidateList>
      <explain/>
      <paraID>5DFA4BBD</paraID>
      <start>1</start>
      <end>3</end>
      <status>unmodified</status>
      <modifiedWord/>
      <trackRevisions>false</trackRevisions>
    </reviewItem>
    <reviewItem>
      <errorID>81276704-2884-45bc-bf91-c3e698d75745</errorID>
      <errorWord>(</errorWord>
      <group>L1_Format</group>
      <groupName>格式问题</groupName>
      <ability>L2_HalfPunc</ability>
      <abilityName>全半角检查</abilityName>
      <candidateList>
        <item>（</item>
      </candidateList>
      <explain>文本全半角错误。</explain>
      <paraID>5E9075A7</paraID>
      <start>5</start>
      <end>6</end>
      <status>unmodified</status>
      <modifiedWord/>
      <trackRevisions>false</trackRevisions>
    </reviewItem>
    <reviewItem>
      <errorID>b4ce6b21-1aff-483b-84b2-4e2a830c09aa</errorID>
      <errorWord>)</errorWord>
      <group>L1_Format</group>
      <groupName>格式问题</groupName>
      <ability>L2_HalfPunc</ability>
      <abilityName>全半角检查</abilityName>
      <candidateList>
        <item>）</item>
      </candidateList>
      <explain>文本全半角错误。</explain>
      <paraID>5E9075A7</paraID>
      <start>7</start>
      <end>8</end>
      <status>unmodified</status>
      <modifiedWord/>
      <trackRevisions>false</trackRevisions>
    </reviewItem>
    <reviewItem>
      <errorID>f53bddf1-8c40-4f41-88db-47ec1574928a</errorID>
      <errorWord>小</errorWord>
      <group>L1_Word</group>
      <groupName>字词问题</groupName>
      <ability>L2_Typo</ability>
      <abilityName>字词错误</abilityName>
      <candidateList>
        <item>少</item>
      </candidateList>
      <explain>存在字形相近字词的误用。</explain>
      <paraID>57E09A4D</paraID>
      <start>12</start>
      <end>13</end>
      <status>unmodified</status>
      <modifiedWord/>
      <trackRevisions>false</trackRevisions>
    </reviewItem>
    <reviewItem>
      <errorID>313a5196-f40b-4a6b-845d-b0511401ab77</errorID>
      <errorWord>：</errorWord>
      <group>L1_Format</group>
      <groupName>格式问题</groupName>
      <ability>L2_HalfPunc</ability>
      <abilityName>全半角检查</abilityName>
      <candidateList>
        <item>:</item>
      </candidateList>
      <explain>文本全半角错误。</explain>
      <paraID>2D12A7A0</paraID>
      <start>26</start>
      <end>27</end>
      <status>unmodified</status>
      <modifiedWord/>
      <trackRevisions>false</trackRevisions>
    </reviewItem>
    <reviewItem>
      <errorID>8ccbcb98-5e95-4475-b0d4-e2da57e22c4e</errorID>
      <errorWord>：</errorWord>
      <group>L1_Format</group>
      <groupName>格式问题</groupName>
      <ability>L2_HalfPunc</ability>
      <abilityName>全半角检查</abilityName>
      <candidateList>
        <item>:</item>
      </candidateList>
      <explain>文本全半角错误。</explain>
      <paraID>2D12A7A0</paraID>
      <start>32</start>
      <end>33</end>
      <status>unmodified</status>
      <modifiedWord/>
      <trackRevisions>false</trackRevisions>
    </reviewItem>
    <reviewItem>
      <errorID>027f60fe-3a6e-43a7-b1c9-081e33aa8cc7</errorID>
      <errorWord>-</errorWord>
      <group>L1_Format</group>
      <groupName>格式问题</groupName>
      <ability>L2_HalfPunc</ability>
      <abilityName>全半角检查</abilityName>
      <candidateList>
        <item>－</item>
      </candidateList>
      <explain>文本全半角错误。</explain>
      <paraID>2D12A7A0</paraID>
      <start>43</start>
      <end>44</end>
      <status>unmodified</status>
      <modifiedWord/>
      <trackRevisions>false</trackRevisions>
    </reviewItem>
    <reviewItem>
      <errorID>1fb643ba-cd3b-4de8-9ce9-4793aac9b25d</errorID>
      <errorWord>消音器</errorWord>
      <group>L1_Word</group>
      <groupName>字词问题</groupName>
      <ability>L2_Typo</ability>
      <abilityName>字词错误</abilityName>
      <candidateList>
        <item>消声器</item>
      </candidateList>
      <explain/>
      <paraID>3CBD9CF4</paraID>
      <start>57</start>
      <end>60</end>
      <status>unmodified</status>
      <modifiedWord/>
      <trackRevisions>false</trackRevisions>
    </reviewItem>
    <reviewItem>
      <errorID>94875c35-0b15-42e3-a892-4987eb4ef2f9</errorID>
      <errorWord>吸音</errorWord>
      <group>L1_Word</group>
      <groupName>字词问题</groupName>
      <ability>L2_Typo</ability>
      <abilityName>字词错误</abilityName>
      <candidateList>
        <item>吸声</item>
      </candidateList>
      <explain/>
      <paraID>11B96E7B</paraID>
      <start>78</start>
      <end>80</end>
      <status>unmodified</status>
      <modifiedWord/>
      <trackRevisions>false</trackRevisions>
    </reviewItem>
    <reviewItem>
      <errorID>129b79d3-0394-46fe-ab5b-25be7dbba3db</errorID>
      <errorWord>鸣哨</errorWord>
      <group>L1_Word</group>
      <groupName>字词问题</groupName>
      <ability>L2_Typo</ability>
      <abilityName>字词错误</abilityName>
      <candidateList>
        <item>鸣笛</item>
      </candidateList>
      <explain/>
      <paraID>145271A9</paraID>
      <start>12</start>
      <end>14</end>
      <status>unmodified</status>
      <modifiedWord/>
      <trackRevisions>false</trackRevisions>
    </reviewItem>
    <reviewItem>
      <errorID>bc2a8770-b8a6-4e6c-88de-000cf1580ac5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673E301</paraID>
      <start>108</start>
      <end>109</end>
      <status>unmodified</status>
      <modifiedWord/>
      <trackRevisions>false</trackRevisions>
    </reviewItem>
    <reviewItem>
      <errorID>99c36ac7-e2ff-499a-9c6a-8eb69220a293</errorID>
      <errorWord>（</errorWord>
      <group>L1_Format</group>
      <groupName>格式问题</groupName>
      <ability>L2_HalfPunc</ability>
      <abilityName>全半角检查</abilityName>
      <candidateList>
        <item>(</item>
      </candidateList>
      <explain>文本全半角错误。</explain>
      <paraID>7022FD55</paraID>
      <start>3</start>
      <end>4</end>
      <status>unmodified</status>
      <modifiedWord/>
      <trackRevisions>false</trackRevisions>
    </reviewItem>
    <reviewItem>
      <errorID>48f7563a-3ed2-4c0d-aff5-20d0f173169d</errorID>
      <errorWord>）</errorWord>
      <group>L1_Format</group>
      <groupName>格式问题</groupName>
      <ability>L2_HalfPunc</ability>
      <abilityName>全半角检查</abilityName>
      <candidateList>
        <item>)</item>
      </candidateList>
      <explain>文本全半角错误。</explain>
      <paraID>7022FD55</paraID>
      <start>5</start>
      <end>6</end>
      <status>unmodified</status>
      <modifiedWord/>
      <trackRevisions>false</trackRevisions>
    </reviewItem>
    <reviewItem>
      <errorID>c70b6e56-7f30-4129-8f4a-ba88206ff41f</errorID>
      <errorWord>，</errorWord>
      <group>L1_Word</group>
      <groupName>字词问题</groupName>
      <ability>L2_Typo</ability>
      <abilityName>字词错误</abilityName>
      <candidateList>
        <item>，对</item>
      </candidateList>
      <explain/>
      <paraID> C3F2B15</paraID>
      <start>80</start>
      <end>81</end>
      <status>unmodified</status>
      <modifiedWord/>
      <trackRevisions>false</trackRevisions>
    </reviewItem>
    <reviewItem>
      <errorID>57e548c7-8727-4f2a-a287-b30ece895356</errorID>
      <errorWord>并且</errorWord>
      <group>L1_Word</group>
      <groupName>字词问题</groupName>
      <ability>L2_Typo</ability>
      <abilityName>字词错误</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696948D5</paraID>
      <start>122</start>
      <end>124</end>
      <status>unmodified</status>
      <modifiedWord/>
      <trackRevisions>false</trackRevisions>
    </reviewItem>
    <reviewItem>
      <errorID>2a688be8-42f5-4ec0-a55e-493c47e97390</errorID>
      <errorWord>物质</errorWord>
      <group>L1_Word</group>
      <groupName>字词问题</groupName>
      <ability>L2_Typo</ability>
      <abilityName>字词错误</abilityName>
      <candidateList>
        <item>物资</item>
      </candidateList>
      <explain/>
      <paraID>328ADCC9</paraID>
      <start>45</start>
      <end>47</end>
      <status>unmodified</status>
      <modifiedWord/>
      <trackRevisions>false</trackRevisions>
    </reviewItem>
    <reviewItem>
      <errorID>b4674a88-1d31-4bbf-839a-4110ffe1ffa5</errorID>
      <errorWord>存在</errorWord>
      <group>L1_Word</group>
      <groupName>字词问题</groupName>
      <ability>L2_Typo</ability>
      <abilityName>字词错误</abilityName>
      <candidateList>
        <item>存放</item>
      </candidateList>
      <explain/>
      <paraID>2541DDCA</paraID>
      <start>123</start>
      <end>125</end>
      <status>unmodified</status>
      <modifiedWord/>
      <trackRevisions>false</trackRevisions>
    </reviewItem>
    <reviewItem>
      <errorID>3a8094fb-dd56-41a6-9817-a214cec8113b</errorID>
      <errorWord>:</errorWord>
      <group>L1_Format</group>
      <groupName>格式问题</groupName>
      <ability>L2_HalfPunc</ability>
      <abilityName>全半角检查</abilityName>
      <candidateList>
        <item>：</item>
      </candidateList>
      <explain>文本全半角错误。</explain>
      <paraID>24C69AE1</paraID>
      <start>65</start>
      <end>66</end>
      <status>unmodified</status>
      <modifiedWord/>
      <trackRevisions>false</trackRevisions>
    </reviewItem>
    <reviewItem>
      <errorID>bdb7869d-3584-4271-aaa6-a7c3e8211ccf</errorID>
      <errorWord>，...，</errorWord>
      <group>L1_Punc</group>
      <groupName>标点问题</groupName>
      <ability>L2_Punc</ability>
      <abilityName>标点符号检查</abilityName>
      <candidateList>
        <item>，</item>
      </candidateList>
      <explain/>
      <paraID> F496AB8</paraID>
      <start>8</start>
      <end>13</end>
      <status>unmodified</status>
      <modifiedWord/>
      <trackRevisions>false</trackRevisions>
    </reviewItem>
    <reviewItem>
      <errorID>1f598236-8a72-4a46-879f-da0fc1459630</errorID>
      <errorWord>，...，</errorWord>
      <group>L1_Punc</group>
      <groupName>标点问题</groupName>
      <ability>L2_Punc</ability>
      <abilityName>标点符号检查</abilityName>
      <candidateList>
        <item>，</item>
      </candidateList>
      <explain/>
      <paraID>541E417D</paraID>
      <start>5</start>
      <end>10</end>
      <status>unmodified</status>
      <modifiedWord/>
      <trackRevisions>false</trackRevisions>
    </reviewItem>
    <reviewItem>
      <errorID>4ac9faf8-d34b-4b0b-890d-6a685b76efbd</errorID>
      <errorWord>（</errorWord>
      <group>L1_Format</group>
      <groupName>格式问题</groupName>
      <ability>L2_HalfPunc</ability>
      <abilityName>全半角检查</abilityName>
      <candidateList>
        <item>(</item>
      </candidateList>
      <explain>文本全半角错误。</explain>
      <paraID>7B1C2325</paraID>
      <start>3</start>
      <end>4</end>
      <status>unmodified</status>
      <modifiedWord/>
      <trackRevisions>false</trackRevisions>
    </reviewItem>
    <reviewItem>
      <errorID>039c7198-3ca4-4c6f-9470-7a4da1ede1a6</errorID>
      <errorWord>）</errorWord>
      <group>L1_Format</group>
      <groupName>格式问题</groupName>
      <ability>L2_HalfPunc</ability>
      <abilityName>全半角检查</abilityName>
      <candidateList>
        <item>)</item>
      </candidateList>
      <explain>文本全半角错误。</explain>
      <paraID>7B1C2325</paraID>
      <start>5</start>
      <end>6</end>
      <status>unmodified</status>
      <modifiedWord/>
      <trackRevisions>false</trackRevisions>
    </reviewItem>
    <reviewItem>
      <errorID>7665e907-077d-45e9-93a2-2c62a9d2c81a</errorID>
      <errorWord>（</errorWord>
      <group>L1_Format</group>
      <groupName>格式问题</groupName>
      <ability>L2_HalfPunc</ability>
      <abilityName>全半角检查</abilityName>
      <candidateList>
        <item>(</item>
      </candidateList>
      <explain>文本全半角错误。</explain>
      <paraID>47DC24DE</paraID>
      <start>3</start>
      <end>4</end>
      <status>unmodified</status>
      <modifiedWord/>
      <trackRevisions>false</trackRevisions>
    </reviewItem>
    <reviewItem>
      <errorID>ddc9e61a-f364-405e-bdca-5f6d30665568</errorID>
      <errorWord>）</errorWord>
      <group>L1_Format</group>
      <groupName>格式问题</groupName>
      <ability>L2_HalfPunc</ability>
      <abilityName>全半角检查</abilityName>
      <candidateList>
        <item>)</item>
      </candidateList>
      <explain>文本全半角错误。</explain>
      <paraID>47DC24DE</paraID>
      <start>5</start>
      <end>6</end>
      <status>unmodified</status>
      <modifiedWord/>
      <trackRevisions>false</trackRevisions>
    </reviewItem>
    <reviewItem>
      <errorID>0dc0535f-b5ad-4537-8ab1-0c2c747a50dc</errorID>
      <errorWord>真空尾气</errorWord>
      <group>L1_Knowledge</group>
      <groupName>知识性问题</groupName>
      <ability>L2_Term</ability>
      <abilityName>专业术语</abilityName>
      <candidateList>
        <item>真空除气</item>
      </candidateList>
      <explain/>
      <paraID>752B8176</paraID>
      <start>0</start>
      <end>4</end>
      <status>unmodified</status>
      <modifiedWord/>
      <trackRevisions>false</trackRevisions>
    </reviewItem>
    <reviewItem>
      <errorID>329bfd39-f412-4817-93b5-b07b5ea50373</errorID>
      <errorWord>物质数量</errorWord>
      <group>L1_Knowledge</group>
      <groupName>知识性问题</groupName>
      <ability>L2_Term</ability>
      <abilityName>专业术语</abilityName>
      <candidateList>
        <item>物质的量</item>
      </candidateList>
      <explain/>
      <paraID>7EE72942</paraID>
      <start>14</start>
      <end>18</end>
      <status>unmodified</status>
      <modifiedWord/>
      <trackRevisions>false</trackRevisions>
    </reviewItem>
    <reviewItem>
      <errorID>cf3a2bd3-f1a1-4d8b-9072-06851c84b59b</errorID>
      <errorWord>变换</errorWord>
      <group>L1_Word</group>
      <groupName>字词问题</groupName>
      <ability>L2_Typo</ability>
      <abilityName>字词错误</abilityName>
      <candidateList>
        <item>更换</item>
      </candidateList>
      <explain>〈动〉变换；替换：～位置｜～衣裳｜～值班人员｜展览馆里的展品不断～。</explain>
      <paraID>135DCFB3</paraID>
      <start>1</start>
      <end>3</end>
      <status>unmodified</status>
      <modifiedWord/>
      <trackRevisions>false</trackRevisions>
    </reviewItem>
    <reviewItem>
      <errorID>12d42e7b-c582-4a3d-94d7-6617cffa98da</errorID>
      <errorWord>羞明</errorWord>
      <group>L1_Knowledge</group>
      <groupName>知识性问题</groupName>
      <ability>L2_Term</ability>
      <abilityName>专业术语</abilityName>
      <candidateList>
        <item>畏光</item>
      </candidateList>
      <explain>医学名词[羞明]为不规范表述或旧称，其规范书面表述为[畏光]。</explain>
      <paraID> F8A6F7E</paraID>
      <start>40</start>
      <end>42</end>
      <status>unmodified</status>
      <modifiedWord/>
      <trackRevisions>false</trackRevisions>
    </reviewItem>
    <reviewItem>
      <errorID>c27f2ed1-7661-4be6-a126-77cf8a770b26</errorID>
      <errorWord>等和</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 F8A6F7E</paraID>
      <start>59</start>
      <end>61</end>
      <status>unmodified</status>
      <modifiedWord/>
      <trackRevisions>false</trackRevisions>
    </reviewItem>
    <reviewItem>
      <errorID>d1b180c2-0fa4-4de6-9a07-7d1e727bd987</errorID>
      <errorWord>植物神经</errorWord>
      <group>L1_Knowledge</group>
      <groupName>知识性问题</groupName>
      <ability>L2_Term</ability>
      <abilityName>专业术语</abilityName>
      <candidateList>
        <item>自主神经</item>
      </candidateList>
      <explain>医学名词[植物神经]为不规范表述或旧称，其规范书面表述为[自主神经]。</explain>
      <paraID> F8A6F7E</paraID>
      <start>336</start>
      <end>340</end>
      <status>unmodified</status>
      <modifiedWord/>
      <trackRevisions>false</trackRevisions>
    </reviewItem>
    <reviewItem>
      <errorID>817657e6-ff8d-48e2-ae4e-a9c93ea9c6e1</errorID>
      <errorWord>~</errorWord>
      <group>L1_Format</group>
      <groupName>格式问题</groupName>
      <ability>L2_HalfPunc</ability>
      <abilityName>全半角检查</abilityName>
      <candidateList>
        <item>～</item>
      </candidateList>
      <explain>文本全半角错误。</explain>
      <paraID>2E16F4A2</paraID>
      <start>22</start>
      <end>23</end>
      <status>unmodified</status>
      <modifiedWord/>
      <trackRevisions>false</trackRevisions>
    </reviewItem>
    <reviewItem>
      <errorID>766a1445-12c4-41a7-bc89-3e1b0d104122</errorID>
      <errorWord>（</errorWord>
      <group>L1_Format</group>
      <groupName>格式问题</groupName>
      <ability>L2_HalfPunc</ability>
      <abilityName>全半角检查</abilityName>
      <candidateList>
        <item>(</item>
      </candidateList>
      <explain>文本全半角错误。</explain>
      <paraID>404F3B62</paraID>
      <start>6</start>
      <end>7</end>
      <status>unmodified</status>
      <modifiedWord/>
      <trackRevisions>false</trackRevisions>
    </reviewItem>
    <reviewItem>
      <errorID>22bd06b2-ef24-41e7-82a9-c810675fa097</errorID>
      <errorWord>）</errorWord>
      <group>L1_Format</group>
      <groupName>格式问题</groupName>
      <ability>L2_HalfPunc</ability>
      <abilityName>全半角检查</abilityName>
      <candidateList>
        <item>)</item>
      </candidateList>
      <explain>文本全半角错误。</explain>
      <paraID>404F3B62</paraID>
      <start>12</start>
      <end>13</end>
      <status>unmodified</status>
      <modifiedWord/>
      <trackRevisions>false</trackRevisions>
    </reviewItem>
    <reviewItem>
      <errorID>63ec0cc4-ab30-438e-b2a8-9e8f481585e3</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647EDF14</paraID>
      <start>44</start>
      <end>47</end>
      <status>unmodified</status>
      <modifiedWord/>
      <trackRevisions>false</trackRevisions>
    </reviewItem>
    <reviewItem>
      <errorID>5bbb200f-4e53-43ee-9c9a-47292aa19edf</errorID>
      <errorWord>大脑皮层</errorWord>
      <group>L1_Word</group>
      <groupName>字词问题</groupName>
      <ability>L2_Typo</ability>
      <abilityName>字词错误</abilityName>
      <candidateList>
        <item>大脑皮质</item>
      </candidateList>
      <explain/>
      <paraID>647EDF14</paraID>
      <start>49</start>
      <end>53</end>
      <status>unmodified</status>
      <modifiedWord/>
      <trackRevisions>false</trackRevisions>
    </reviewItem>
    <reviewItem>
      <errorID>9979378e-fee6-4d49-ab16-19886cf81aaf</errorID>
      <errorWord>~</errorWord>
      <group>L1_Format</group>
      <groupName>格式问题</groupName>
      <ability>L2_HalfPunc</ability>
      <abilityName>全半角检查</abilityName>
      <candidateList>
        <item>～</item>
      </candidateList>
      <explain>文本全半角错误。</explain>
      <paraID>699D3CB8</paraID>
      <start>10</start>
      <end>11</end>
      <status>unmodified</status>
      <modifiedWord/>
      <trackRevisions>false</trackRevisions>
    </reviewItem>
    <reviewItem>
      <errorID>0113aaf1-7a79-4a6f-94bc-41794f803e66</errorID>
      <errorWord>~</errorWord>
      <group>L1_Format</group>
      <groupName>格式问题</groupName>
      <ability>L2_HalfPunc</ability>
      <abilityName>全半角检查</abilityName>
      <candidateList>
        <item>～</item>
      </candidateList>
      <explain>文本全半角错误。</explain>
      <paraID>699D3CB8</paraID>
      <start>37</start>
      <end>38</end>
      <status>unmodified</status>
      <modifiedWord/>
      <trackRevisions>false</trackRevisions>
    </reviewItem>
    <reviewItem>
      <errorID>759f52b9-f2b0-410c-957d-15b52a046d12</errorID>
      <errorWord>~</errorWord>
      <group>L1_Format</group>
      <groupName>格式问题</groupName>
      <ability>L2_HalfPunc</ability>
      <abilityName>全半角检查</abilityName>
      <candidateList>
        <item>～</item>
      </candidateList>
      <explain>文本全半角错误。</explain>
      <paraID>657AE214</paraID>
      <start>212</start>
      <end>213</end>
      <status>unmodified</status>
      <modifiedWord/>
      <trackRevisions>false</trackRevisions>
    </reviewItem>
    <reviewItem>
      <errorID>a6421830-fcc9-4c6b-bc72-4edd734deba5</errorID>
      <errorWord>25%~30%</errorWord>
      <group>L1_Knowledge</group>
      <groupName>知识性问题</groupName>
      <ability>L2_Knowledge</ability>
      <abilityName>其他知识</abilityName>
      <candidateList>
        <item>25%～30%</item>
      </candidateList>
      <explain>1. “25%~30%”中的单位“%”仅出现在后一个数字上，容易引起歧义；根据《现代汉语标点符号数字用法规范手册》，数字表示范围两边需要使用统一的格式。2. 根据标点国标 4.13 中的规则，数字、时间或地域连接符应使用（视觉上更长的）“—”或“～”。</explain>
      <paraID>5131E7DC</paraID>
      <start>42</start>
      <end>49</end>
      <status>unmodified</status>
      <modifiedWord/>
      <trackRevisions>false</trackRevisions>
    </reviewItem>
    <reviewItem>
      <errorID>70fc4e9e-f844-49ec-a75e-17c260f59a94</errorID>
      <errorWord>或废物处理</errorWord>
      <group>L1_Knowledge</group>
      <groupName>知识性问题</groupName>
      <ability>L2_Term</ability>
      <abilityName>专业术语</abilityName>
      <candidateList>
        <item>核废物处理</item>
      </candidateList>
      <explain/>
      <paraID>3A185A2E</paraID>
      <start>163</start>
      <end>168</end>
      <status>unmodified</status>
      <modifiedWord/>
      <trackRevisions>false</trackRevisions>
    </reviewItem>
    <reviewItem>
      <errorID>168055bb-c4ec-490a-93bb-12f4fb61543d</errorID>
      <errorWord>（</errorWord>
      <group>L1_Format</group>
      <groupName>格式问题</groupName>
      <ability>L2_HalfPunc</ability>
      <abilityName>全半角检查</abilityName>
      <candidateList>
        <item>(</item>
      </candidateList>
      <explain>文本全半角错误。</explain>
      <paraID> BCD4CAD</paraID>
      <start>4</start>
      <end>5</end>
      <status>unmodified</status>
      <modifiedWord/>
      <trackRevisions>false</trackRevisions>
    </reviewItem>
    <reviewItem>
      <errorID>b0f35f81-8b60-4e39-b50f-11f3be28a27d</errorID>
      <errorWord>）</errorWord>
      <group>L1_Format</group>
      <groupName>格式问题</groupName>
      <ability>L2_HalfPunc</ability>
      <abilityName>全半角检查</abilityName>
      <candidateList>
        <item>)</item>
      </candidateList>
      <explain>文本全半角错误。</explain>
      <paraID> BCD4CAD</paraID>
      <start>8</start>
      <end>9</end>
      <status>unmodified</status>
      <modifiedWord/>
      <trackRevisions>false</trackRevisions>
    </reviewItem>
    <reviewItem>
      <errorID>76f6cd40-32ec-4cfa-8039-0a189e2926cc</errorID>
      <errorWord>：</errorWord>
      <group>L1_Format</group>
      <groupName>格式问题</groupName>
      <ability>L2_HalfPunc</ability>
      <abilityName>全半角检查</abilityName>
      <candidateList>
        <item>:</item>
      </candidateList>
      <explain>文本全半角错误。</explain>
      <paraID>234639AC</paraID>
      <start>4</start>
      <end>5</end>
      <status>unmodified</status>
      <modifiedWord/>
      <trackRevisions>false</trackRevisions>
    </reviewItem>
    <reviewItem>
      <errorID>4ab6c018-a8f1-4a4f-b8e2-a0009ac505d2</errorID>
      <errorWord>：</errorWord>
      <group>L1_Format</group>
      <groupName>格式问题</groupName>
      <ability>L2_HalfPunc</ability>
      <abilityName>全半角检查</abilityName>
      <candidateList>
        <item>:</item>
      </candidateList>
      <explain>文本全半角错误。</explain>
      <paraID>234639AC</paraID>
      <start>42</start>
      <end>43</end>
      <status>unmodified</status>
      <modifiedWord/>
      <trackRevisions>false</trackRevisions>
    </reviewItem>
    <reviewItem>
      <errorID>cbc0ecc8-9849-4b24-aff6-0fe1e9a6cc53</errorID>
      <errorWord>曝晒</errorWord>
      <group>L1_Word</group>
      <groupName>字词问题</groupName>
      <ability>L2_Typo</ability>
      <abilityName>字词错误</abilityName>
      <candidateList>
        <item>暴晒</item>
      </candidateList>
      <explain>〈动〉在强烈的阳光下久晒：烈日～｜洗好的丝绸衣服不宜～。</explain>
      <paraID>65E1EEB6</paraID>
      <start>114</start>
      <end>116</end>
      <status>unmodified</status>
      <modifiedWord/>
      <trackRevisions>false</trackRevisions>
    </reviewItem>
    <reviewItem>
      <errorID>79b8e4c8-c593-43e3-9b3b-eadeccaf07af</errorID>
      <errorWord>（</errorWord>
      <group>L1_Format</group>
      <groupName>格式问题</groupName>
      <ability>L2_HalfPunc</ability>
      <abilityName>全半角检查</abilityName>
      <candidateList>
        <item>(</item>
      </candidateList>
      <explain>文本全半角错误。</explain>
      <paraID>6794FE62</paraID>
      <start>15</start>
      <end>16</end>
      <status>unmodified</status>
      <modifiedWord/>
      <trackRevisions>false</trackRevisions>
    </reviewItem>
    <reviewItem>
      <errorID>582457f7-22da-4482-b3eb-f4ecc335380b</errorID>
      <errorWord>）</errorWord>
      <group>L1_Format</group>
      <groupName>格式问题</groupName>
      <ability>L2_HalfPunc</ability>
      <abilityName>全半角检查</abilityName>
      <candidateList>
        <item>)</item>
      </candidateList>
      <explain>文本全半角错误。</explain>
      <paraID>6794FE62</paraID>
      <start>22</start>
      <end>23</end>
      <status>unmodified</status>
      <modifiedWord/>
      <trackRevisions>false</trackRevisions>
    </reviewItem>
    <reviewItem>
      <errorID>a544a1f0-a523-49e2-82f1-3aa89d25ab9d</errorID>
      <errorWord>;</errorWord>
      <group>L1_Format</group>
      <groupName>格式问题</groupName>
      <ability>L2_HalfPunc</ability>
      <abilityName>全半角检查</abilityName>
      <candidateList>
        <item>；</item>
      </candidateList>
      <explain>文本全半角错误。</explain>
      <paraID>6794FE62</paraID>
      <start>23</start>
      <end>24</end>
      <status>unmodified</status>
      <modifiedWord/>
      <trackRevisions>false</trackRevisions>
    </reviewItem>
    <reviewItem>
      <errorID>b3ee4468-2cd3-4013-bdfc-2e5bf25ab16f</errorID>
      <errorWord>-</errorWord>
      <group>L1_Format</group>
      <groupName>格式问题</groupName>
      <ability>L2_HalfPunc</ability>
      <abilityName>全半角检查</abilityName>
      <candidateList>
        <item>－</item>
      </candidateList>
      <explain>文本全半角错误。</explain>
      <paraID>65FEA46F</paraID>
      <start>18</start>
      <end>19</end>
      <status>unmodified</status>
      <modifiedWord/>
      <trackRevisions>false</trackRevisions>
    </reviewItem>
    <reviewItem>
      <errorID>6c754dfe-ddf3-4393-bd07-bd67b5ca8567</errorID>
      <errorWord>-</errorWord>
      <group>L1_Format</group>
      <groupName>格式问题</groupName>
      <ability>L2_HalfPunc</ability>
      <abilityName>全半角检查</abilityName>
      <candidateList>
        <item>－</item>
      </candidateList>
      <explain>文本全半角错误。</explain>
      <paraID>65FEA46F</paraID>
      <start>59</start>
      <end>60</end>
      <status>unmodified</status>
      <modifiedWord/>
      <trackRevisions>false</trackRevisions>
    </reviewItem>
    <reviewItem>
      <errorID>68cfa0a9-0d1d-4643-9125-8464446674ab</errorID>
      <errorWord>紫绀</errorWord>
      <group>L1_Knowledge</group>
      <groupName>知识性问题</groupName>
      <ability>L2_Term</ability>
      <abilityName>专业术语</abilityName>
      <candidateList>
        <item>发绀</item>
      </candidateList>
      <explain>医学名词[紫绀]为不规范表述或旧称，其规范书面表述为[发绀]。</explain>
      <paraID>51849B9B</paraID>
      <start>104</start>
      <end>106</end>
      <status>unmodified</status>
      <modifiedWord/>
      <trackRevisions>false</trackRevisions>
    </reviewItem>
    <reviewItem>
      <errorID>e3645cfa-8670-4604-b405-ef4fea3a9280</errorID>
      <errorWord>粉红色泡沫痰</errorWord>
      <group>L1_Knowledge</group>
      <groupName>知识性问题</groupName>
      <ability>L2_Term</ability>
      <abilityName>专业术语</abilityName>
      <candidateList>
        <item>粉红色泡沫样痰</item>
      </candidateList>
      <explain>医学名词[粉红色泡沫痰]为不规范表述或旧称，其规范书面表述为[粉红色泡沫样痰]。</explain>
      <paraID>51849B9B</paraID>
      <start>158</start>
      <end>164</end>
      <status>unmodified</status>
      <modifiedWord/>
      <trackRevisions>false</trackRevisions>
    </reviewItem>
    <reviewItem>
      <errorID>c1b114d5-11d2-4b4c-9019-c25478e4a407</errorID>
      <errorWord>~</errorWord>
      <group>L1_Format</group>
      <groupName>格式问题</groupName>
      <ability>L2_HalfPunc</ability>
      <abilityName>全半角检查</abilityName>
      <candidateList>
        <item>～</item>
      </candidateList>
      <explain>文本全半角错误。</explain>
      <paraID>1EF22C93</paraID>
      <start>22</start>
      <end>23</end>
      <status>unmodified</status>
      <modifiedWord/>
      <trackRevisions>false</trackRevisions>
    </reviewItem>
    <reviewItem>
      <errorID>1f5919d5-300e-4824-a7f7-3e07490ccf79</errorID>
      <errorWord>逸出</errorWord>
      <group>L1_Word</group>
      <groupName>字词问题</groupName>
      <ability>L2_Typo</ability>
      <abilityName>字词错误</abilityName>
      <candidateList>
        <item>溢出</item>
      </candidateList>
      <explain>存在发音相同字词的误用。</explain>
      <paraID>252EEE53</paraID>
      <start>187</start>
      <end>189</end>
      <status>unmodified</status>
      <modifiedWord/>
      <trackRevisions>false</trackRevisions>
    </reviewItem>
    <reviewItem>
      <errorID>54f3b8cb-5e73-4e54-801f-8e2cdb9eb2f5</errorID>
      <errorWord>；</errorWord>
      <group>L1_Format</group>
      <groupName>格式问题</groupName>
      <ability>L2_HalfPunc</ability>
      <abilityName>全半角检查</abilityName>
      <candidateList>
        <item>;</item>
      </candidateList>
      <explain>文本全半角错误。</explain>
      <paraID>6816C66F</paraID>
      <start>14</start>
      <end>15</end>
      <status>unmodified</status>
      <modifiedWord/>
      <trackRevisions>false</trackRevisions>
    </reviewItem>
    <reviewItem>
      <errorID>c606e0d4-7979-4c6b-bb31-c8ff6722bb36</errorID>
      <errorWord>（</errorWord>
      <group>L1_Format</group>
      <groupName>格式问题</groupName>
      <ability>L2_HalfPunc</ability>
      <abilityName>全半角检查</abilityName>
      <candidateList>
        <item>(</item>
      </candidateList>
      <explain>文本全半角错误。</explain>
      <paraID>51D0F6E6</paraID>
      <start>3</start>
      <end>4</end>
      <status>unmodified</status>
      <modifiedWord/>
      <trackRevisions>false</trackRevisions>
    </reviewItem>
    <reviewItem>
      <errorID>7724867e-645b-4fb0-bca0-0e8d39fa7360</errorID>
      <errorWord>）</errorWord>
      <group>L1_Format</group>
      <groupName>格式问题</groupName>
      <ability>L2_HalfPunc</ability>
      <abilityName>全半角检查</abilityName>
      <candidateList>
        <item>)</item>
      </candidateList>
      <explain>文本全半角错误。</explain>
      <paraID>51D0F6E6</paraID>
      <start>8</start>
      <end>9</end>
      <status>unmodified</status>
      <modifiedWord/>
      <trackRevisions>false</trackRevisions>
    </reviewItem>
    <reviewItem>
      <errorID>ea1f12ea-580d-4a39-ab07-2ac8fb87d6b1</errorID>
      <errorWord>（</errorWord>
      <group>L1_Format</group>
      <groupName>格式问题</groupName>
      <ability>L2_HalfPunc</ability>
      <abilityName>全半角检查</abilityName>
      <candidateList>
        <item>(</item>
      </candidateList>
      <explain>文本全半角错误。</explain>
      <paraID>315239FB</paraID>
      <start>6</start>
      <end>7</end>
      <status>unmodified</status>
      <modifiedWord/>
      <trackRevisions>false</trackRevisions>
    </reviewItem>
    <reviewItem>
      <errorID>02c5d425-49de-4cae-b966-fcd1a7bab670</errorID>
      <errorWord>）</errorWord>
      <group>L1_Format</group>
      <groupName>格式问题</groupName>
      <ability>L2_HalfPunc</ability>
      <abilityName>全半角检查</abilityName>
      <candidateList>
        <item>)</item>
      </candidateList>
      <explain>文本全半角错误。</explain>
      <paraID>315239FB</paraID>
      <start>11</start>
      <end>12</end>
      <status>unmodified</status>
      <modifiedWord/>
      <trackRevisions>false</trackRevisions>
    </reviewItem>
    <reviewItem>
      <errorID>3dbbdb40-1003-4178-a53d-172f4b6189a2</errorID>
      <errorWord>（</errorWord>
      <group>L1_Format</group>
      <groupName>格式问题</groupName>
      <ability>L2_HalfPunc</ability>
      <abilityName>全半角检查</abilityName>
      <candidateList>
        <item>(</item>
      </candidateList>
      <explain>文本全半角错误。</explain>
      <paraID>5443301E</paraID>
      <start>3</start>
      <end>4</end>
      <status>unmodified</status>
      <modifiedWord/>
      <trackRevisions>false</trackRevisions>
    </reviewItem>
    <reviewItem>
      <errorID>41c75fdc-1732-475c-aa9d-caf60b9a7bdf</errorID>
      <errorWord>）</errorWord>
      <group>L1_Format</group>
      <groupName>格式问题</groupName>
      <ability>L2_HalfPunc</ability>
      <abilityName>全半角检查</abilityName>
      <candidateList>
        <item>)</item>
      </candidateList>
      <explain>文本全半角错误。</explain>
      <paraID>5443301E</paraID>
      <start>6</start>
      <end>7</end>
      <status>unmodified</status>
      <modifiedWord/>
      <trackRevisions>false</trackRevisions>
    </reviewItem>
    <reviewItem>
      <errorID>f31c4921-8f6e-43b2-b0ae-630cee6247e0</errorID>
      <errorWord>~</errorWord>
      <group>L1_Format</group>
      <groupName>格式问题</groupName>
      <ability>L2_HalfPunc</ability>
      <abilityName>全半角检查</abilityName>
      <candidateList>
        <item>～</item>
      </candidateList>
      <explain>文本全半角错误。</explain>
      <paraID>7A98DF46</paraID>
      <start>25</start>
      <end>26</end>
      <status>unmodified</status>
      <modifiedWord/>
      <trackRevisions>false</trackRevisions>
    </reviewItem>
    <reviewItem>
      <errorID>e8e9b906-8685-4f79-a441-4839f7b7385f</errorID>
      <errorWord>~</errorWord>
      <group>L1_Format</group>
      <groupName>格式问题</groupName>
      <ability>L2_HalfPunc</ability>
      <abilityName>全半角检查</abilityName>
      <candidateList>
        <item>～</item>
      </candidateList>
      <explain>文本全半角错误。</explain>
      <paraID>638C3D4C</paraID>
      <start>49</start>
      <end>50</end>
      <status>unmodified</status>
      <modifiedWord/>
      <trackRevisions>false</trackRevisions>
    </reviewItem>
    <reviewItem>
      <errorID>f695b536-239c-4eee-b0d1-e2a5690a9099</errorID>
      <errorWord>曝晒</errorWord>
      <group>L1_Word</group>
      <groupName>字词问题</groupName>
      <ability>L2_Typo</ability>
      <abilityName>字词错误</abilityName>
      <candidateList>
        <item>暴晒</item>
      </candidateList>
      <explain>〈动〉在强烈的阳光下久晒：烈日～｜洗好的丝绸衣服不宜～。</explain>
      <paraID>65F213CF</paraID>
      <start>213</start>
      <end>215</end>
      <status>unmodified</status>
      <modifiedWord/>
      <trackRevisions>false</trackRevisions>
    </reviewItem>
    <reviewItem>
      <errorID>c081412a-f3ae-4466-998a-631199d13738</errorID>
      <errorWord>（</errorWord>
      <group>L1_Format</group>
      <groupName>格式问题</groupName>
      <ability>L2_HalfPunc</ability>
      <abilityName>全半角检查</abilityName>
      <candidateList>
        <item>(</item>
      </candidateList>
      <explain>文本全半角错误。</explain>
      <paraID>549B84A6</paraID>
      <start>5</start>
      <end>6</end>
      <status>unmodified</status>
      <modifiedWord/>
      <trackRevisions>false</trackRevisions>
    </reviewItem>
    <reviewItem>
      <errorID>a8ec70bf-ce58-40b4-ba01-b29f81b44d79</errorID>
      <errorWord>）</errorWord>
      <group>L1_Format</group>
      <groupName>格式问题</groupName>
      <ability>L2_HalfPunc</ability>
      <abilityName>全半角检查</abilityName>
      <candidateList>
        <item>)</item>
      </candidateList>
      <explain>文本全半角错误。</explain>
      <paraID>549B84A6</paraID>
      <start>9</start>
      <end>10</end>
      <status>unmodified</status>
      <modifiedWord/>
      <trackRevisions>false</trackRevisions>
    </reviewItem>
    <reviewItem>
      <errorID>69de43e6-e6af-48d6-8ec4-70d0932f4f78</errorID>
      <errorWord>：</errorWord>
      <group>L1_Format</group>
      <groupName>格式问题</groupName>
      <ability>L2_HalfPunc</ability>
      <abilityName>全半角检查</abilityName>
      <candidateList>
        <item>:</item>
      </candidateList>
      <explain>文本全半角错误。</explain>
      <paraID>1ECF7F89</paraID>
      <start>4</start>
      <end>5</end>
      <status>unmodified</status>
      <modifiedWord/>
      <trackRevisions>false</trackRevisions>
    </reviewItem>
    <reviewItem>
      <errorID>c2f2f852-1d9c-4bee-b7fc-29348d7cb7c0</errorID>
      <errorWord>：</errorWord>
      <group>L1_Format</group>
      <groupName>格式问题</groupName>
      <ability>L2_HalfPunc</ability>
      <abilityName>全半角检查</abilityName>
      <candidateList>
        <item>:</item>
      </candidateList>
      <explain>文本全半角错误。</explain>
      <paraID>1ECF7F89</paraID>
      <start>42</start>
      <end>43</end>
      <status>unmodified</status>
      <modifiedWord/>
      <trackRevisions>false</trackRevisions>
    </reviewItem>
    <reviewItem>
      <errorID>42059898-8575-4bba-bb89-64e6ee8d28ca</errorID>
      <errorWord>混浊</errorWord>
      <group>L1_Word</group>
      <groupName>字词问题</groupName>
      <ability>L2_Typo</ability>
      <abilityName>字词错误</abilityName>
      <candidateList>
        <item>浑浊</item>
      </candidateList>
      <explain/>
      <paraID>43938DF2</paraID>
      <start>123</start>
      <end>125</end>
      <status>unmodified</status>
      <modifiedWord/>
      <trackRevisions>false</trackRevisions>
    </reviewItem>
    <reviewItem>
      <errorID>a646203c-dd7f-4d91-b987-8e9b37811d47</errorID>
      <errorWord>排气管等</errorWord>
      <group>L1_Knowledge</group>
      <groupName>知识性问题</groupName>
      <ability>L2_Term</ability>
      <abilityName>专业术语</abilityName>
      <candidateList>
        <item>排气管线</item>
      </candidateList>
      <explain/>
      <paraID>66680B24</paraID>
      <start>494</start>
      <end>498</end>
      <status>unmodified</status>
      <modifiedWord/>
      <trackRevisions>false</trackRevisions>
    </reviewItem>
    <reviewItem>
      <errorID>c90b95a2-173c-4687-8adf-7f024cf04ba0</errorID>
      <errorWord>.：</errorWord>
      <group>L1_Punc</group>
      <groupName>标点问题</groupName>
      <ability>L2_Punc</ability>
      <abilityName>标点符号检查</abilityName>
      <candidateList>
        <item>.</item>
      </candidateList>
      <explain/>
      <paraID>4EC3BEF7</paraID>
      <start>6</start>
      <end>8</end>
      <status>unmodified</status>
      <modifiedWord/>
      <trackRevisions>false</trackRevisions>
    </reviewItem>
    <reviewItem>
      <errorID>c3b97179-9275-48a5-9220-4ac4ea795fce</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6D6B78B2</paraID>
      <start>64</start>
      <end>67</end>
      <status>unmodified</status>
      <modifiedWord/>
      <trackRevisions>false</trackRevisions>
    </reviewItem>
    <reviewItem>
      <errorID>edb9fbb3-183a-45f2-a5ce-b87d071d9f96</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6D6B78B2</paraID>
      <start>75</start>
      <end>78</end>
      <status>unmodified</status>
      <modifiedWord/>
      <trackRevisions>false</trackRevisions>
    </reviewItem>
    <reviewItem>
      <errorID>f4c9e4c7-fdfe-4ae3-880d-83c223f30a1c</errorID>
      <errorWord>植物神经</errorWord>
      <group>L1_Knowledge</group>
      <groupName>知识性问题</groupName>
      <ability>L2_Term</ability>
      <abilityName>专业术语</abilityName>
      <candidateList>
        <item>自主神经</item>
      </candidateList>
      <explain>医学名词[植物神经]为不规范表述或旧称，其规范书面表述为[自主神经]。</explain>
      <paraID>6D6B78B2</paraID>
      <start>189</start>
      <end>193</end>
      <status>unmodified</status>
      <modifiedWord/>
      <trackRevisions>false</trackRevisions>
    </reviewItem>
    <reviewItem>
      <errorID>0a4bb3d5-e286-4f91-b2dd-2de015ecce0c</errorID>
      <errorWord>（</errorWord>
      <group>L1_Format</group>
      <groupName>格式问题</groupName>
      <ability>L2_HalfPunc</ability>
      <abilityName>全半角检查</abilityName>
      <candidateList>
        <item>(</item>
      </candidateList>
      <explain>文本全半角错误。</explain>
      <paraID>5E48D4AB</paraID>
      <start>4</start>
      <end>5</end>
      <status>unmodified</status>
      <modifiedWord/>
      <trackRevisions>false</trackRevisions>
    </reviewItem>
    <reviewItem>
      <errorID>c0e207c3-f5fe-4238-ab7d-03035f8fe667</errorID>
      <errorWord>）</errorWord>
      <group>L1_Format</group>
      <groupName>格式问题</groupName>
      <ability>L2_HalfPunc</ability>
      <abilityName>全半角检查</abilityName>
      <candidateList>
        <item>)</item>
      </candidateList>
      <explain>文本全半角错误。</explain>
      <paraID>5E48D4AB</paraID>
      <start>8</start>
      <end>9</end>
      <status>unmodified</status>
      <modifiedWord/>
      <trackRevisions>false</trackRevisions>
    </reviewItem>
    <reviewItem>
      <errorID>aadcb334-c032-4321-92a4-aefc5a3bab19</errorID>
      <errorWord>：</errorWord>
      <group>L1_Format</group>
      <groupName>格式问题</groupName>
      <ability>L2_HalfPunc</ability>
      <abilityName>全半角检查</abilityName>
      <candidateList>
        <item>:</item>
      </candidateList>
      <explain>文本全半角错误。</explain>
      <paraID>212DE6B5</paraID>
      <start>14</start>
      <end>15</end>
      <status>unmodified</status>
      <modifiedWord/>
      <trackRevisions>false</trackRevisions>
    </reviewItem>
    <reviewItem>
      <errorID>eda3261c-e48e-468a-9beb-267e89f0562f</errorID>
      <errorWord>：</errorWord>
      <group>L1_Format</group>
      <groupName>格式问题</groupName>
      <ability>L2_HalfPunc</ability>
      <abilityName>全半角检查</abilityName>
      <candidateList>
        <item>:</item>
      </candidateList>
      <explain>文本全半角错误。</explain>
      <paraID>212DE6B5</paraID>
      <start>43</start>
      <end>44</end>
      <status>unmodified</status>
      <modifiedWord/>
      <trackRevisions>false</trackRevisions>
    </reviewItem>
    <reviewItem>
      <errorID>619615e5-f64f-42f3-8d08-35dc775c3309</errorID>
      <errorWord>水泡</errorWord>
      <group>L1_Word</group>
      <groupName>字词问题</groupName>
      <ability>L2_Typo</ability>
      <abilityName>字词错误</abilityName>
      <candidateList>
        <item>水疱</item>
      </candidateList>
      <explain>存在发音相同字词的误用。</explain>
      <paraID>633AF935</paraID>
      <start>50</start>
      <end>52</end>
      <status>unmodified</status>
      <modifiedWord/>
      <trackRevisions>false</trackRevisions>
    </reviewItem>
    <reviewItem>
      <errorID>b3c663b1-a561-40b8-b37e-816e1b5e075f</errorID>
      <errorWord>：）</errorWord>
      <group>L1_Punc</group>
      <groupName>标点问题</groupName>
      <ability>L2_Punc</ability>
      <abilityName>标点符号检查</abilityName>
      <candidateList>
        <item>）</item>
      </candidateList>
      <explain/>
      <paraID>3C68CD7D</paraID>
      <start>6</start>
      <end>8</end>
      <status>unmodified</status>
      <modifiedWord/>
      <trackRevisions>false</trackRevisions>
    </reviewItem>
    <reviewItem>
      <errorID>d1b197f7-3e8e-4dfd-ad1d-d2cf4ef3faa4</errorID>
      <errorWord>：）</errorWord>
      <group>L1_Punc</group>
      <groupName>标点问题</groupName>
      <ability>L2_Punc</ability>
      <abilityName>标点符号检查</abilityName>
      <candidateList>
        <item>）</item>
      </candidateList>
      <explain/>
      <paraID> 24AD2BB</paraID>
      <start>6</start>
      <end>8</end>
      <status>unmodified</status>
      <modifiedWord/>
      <trackRevisions>false</trackRevisions>
    </reviewItem>
    <reviewItem>
      <errorID>d607b0eb-c7fb-4a48-abe2-aee404ac38eb</errorID>
      <errorWord>-</errorWord>
      <group>L1_Format</group>
      <groupName>格式问题</groupName>
      <ability>L2_HalfPunc</ability>
      <abilityName>全半角检查</abilityName>
      <candidateList>
        <item>－</item>
      </candidateList>
      <explain>文本全半角错误。</explain>
      <paraID>1E15B346</paraID>
      <start>14</start>
      <end>15</end>
      <status>unmodified</status>
      <modifiedWord/>
      <trackRevisions>false</trackRevisions>
    </reviewItem>
    <reviewItem>
      <errorID>7adfafc9-4177-4959-982d-32c4317e3eda</errorID>
      <errorWord>-</errorWord>
      <group>L1_Format</group>
      <groupName>格式问题</groupName>
      <ability>L2_HalfPunc</ability>
      <abilityName>全半角检查</abilityName>
      <candidateList>
        <item>－</item>
      </candidateList>
      <explain>文本全半角错误。</explain>
      <paraID>561F3B1B</paraID>
      <start>4</start>
      <end>5</end>
      <status>unmodified</status>
      <modifiedWord/>
      <trackRevisions>false</trackRevisions>
    </reviewItem>
    <reviewItem>
      <errorID>53d9eb6e-38c2-4b8c-a669-4e69550a42a6</errorID>
      <errorWord>（</errorWord>
      <group>L1_Format</group>
      <groupName>格式问题</groupName>
      <ability>L2_HalfPunc</ability>
      <abilityName>全半角检查</abilityName>
      <candidateList>
        <item>(</item>
      </candidateList>
      <explain>文本全半角错误。</explain>
      <paraID>65B2BA9E</paraID>
      <start>4</start>
      <end>5</end>
      <status>unmodified</status>
      <modifiedWord/>
      <trackRevisions>false</trackRevisions>
    </reviewItem>
    <reviewItem>
      <errorID>e8be542d-5302-4a66-89bd-1ba2ae27b3af</errorID>
      <errorWord>）</errorWord>
      <group>L1_Format</group>
      <groupName>格式问题</groupName>
      <ability>L2_HalfPunc</ability>
      <abilityName>全半角检查</abilityName>
      <candidateList>
        <item>)</item>
      </candidateList>
      <explain>文本全半角错误。</explain>
      <paraID>65B2BA9E</paraID>
      <start>10</start>
      <end>11</end>
      <status>unmodified</status>
      <modifiedWord/>
      <trackRevisions>false</trackRevisions>
    </reviewItem>
    <reviewItem>
      <errorID>1ba93f7c-0718-4145-a697-a9dc2d2b6415</errorID>
      <errorWord>：</errorWord>
      <group>L1_Format</group>
      <groupName>格式问题</groupName>
      <ability>L2_HalfPunc</ability>
      <abilityName>全半角检查</abilityName>
      <candidateList>
        <item>:</item>
      </candidateList>
      <explain>文本全半角错误。</explain>
      <paraID>1CEAFC7B</paraID>
      <start>4</start>
      <end>5</end>
      <status>unmodified</status>
      <modifiedWord/>
      <trackRevisions>false</trackRevisions>
    </reviewItem>
    <reviewItem>
      <errorID>72e0eb86-eb7b-442d-a963-67f589884588</errorID>
      <errorWord>：</errorWord>
      <group>L1_Format</group>
      <groupName>格式问题</groupName>
      <ability>L2_HalfPunc</ability>
      <abilityName>全半角检查</abilityName>
      <candidateList>
        <item>:</item>
      </candidateList>
      <explain>文本全半角错误。</explain>
      <paraID>1CEAFC7B</paraID>
      <start>42</start>
      <end>43</end>
      <status>unmodified</status>
      <modifiedWord/>
      <trackRevisions>false</trackRevisions>
    </reviewItem>
    <reviewItem>
      <errorID>24a5c349-555c-4c2c-9aca-f11ee5264c55</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61C4A4D5</paraID>
      <start>27</start>
      <end>30</end>
      <status>unmodified</status>
      <modifiedWord/>
      <trackRevisions>false</trackRevisions>
    </reviewItem>
    <reviewItem>
      <errorID>37bb3c66-4e11-4459-b2a2-d59873c8a4cf</errorID>
      <errorWord>（</errorWord>
      <group>L1_Format</group>
      <groupName>格式问题</groupName>
      <ability>L2_HalfPunc</ability>
      <abilityName>全半角检查</abilityName>
      <candidateList>
        <item>(</item>
      </candidateList>
      <explain>文本全半角错误。</explain>
      <paraID>286C9241</paraID>
      <start>5</start>
      <end>6</end>
      <status>unmodified</status>
      <modifiedWord/>
      <trackRevisions>false</trackRevisions>
    </reviewItem>
    <reviewItem>
      <errorID>045bdf2f-cd83-4861-91ad-12e02d66ed1f</errorID>
      <errorWord>）</errorWord>
      <group>L1_Format</group>
      <groupName>格式问题</groupName>
      <ability>L2_HalfPunc</ability>
      <abilityName>全半角检查</abilityName>
      <candidateList>
        <item>)</item>
      </candidateList>
      <explain>文本全半角错误。</explain>
      <paraID>286C9241</paraID>
      <start>9</start>
      <end>10</end>
      <status>unmodified</status>
      <modifiedWord/>
      <trackRevisions>false</trackRevisions>
    </reviewItem>
    <reviewItem>
      <errorID>a14e6e43-4b44-4438-9067-1c7d9b91e4dc</errorID>
      <errorWord>：</errorWord>
      <group>L1_Format</group>
      <groupName>格式问题</groupName>
      <ability>L2_HalfPunc</ability>
      <abilityName>全半角检查</abilityName>
      <candidateList>
        <item>:</item>
      </candidateList>
      <explain>文本全半角错误。</explain>
      <paraID> E374039</paraID>
      <start>4</start>
      <end>5</end>
      <status>unmodified</status>
      <modifiedWord/>
      <trackRevisions>false</trackRevisions>
    </reviewItem>
    <reviewItem>
      <errorID>efbe8fc5-ee26-440b-8771-c9da11920623</errorID>
      <errorWord>：</errorWord>
      <group>L1_Format</group>
      <groupName>格式问题</groupName>
      <ability>L2_HalfPunc</ability>
      <abilityName>全半角检查</abilityName>
      <candidateList>
        <item>:</item>
      </candidateList>
      <explain>文本全半角错误。</explain>
      <paraID> E374039</paraID>
      <start>26</start>
      <end>27</end>
      <status>unmodified</status>
      <modifiedWord/>
      <trackRevisions>false</trackRevisions>
    </reviewItem>
    <reviewItem>
      <errorID>fe906585-5bde-4121-963f-6895186c5138</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508FFED9</paraID>
      <start>14</start>
      <end>17</end>
      <status>unmodified</status>
      <modifiedWord/>
      <trackRevisions>false</trackRevisions>
    </reviewItem>
    <reviewItem>
      <errorID>5d38de7e-dfb9-4eb7-8119-9b33895a6d10</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508FFED9</paraID>
      <start>88</start>
      <end>91</end>
      <status>unmodified</status>
      <modifiedWord/>
      <trackRevisions>false</trackRevisions>
    </reviewItem>
    <reviewItem>
      <errorID>3db6e631-01ac-487b-8aa2-24f0edfed0e4</errorID>
      <errorWord>微量</errorWord>
      <group>L1_Word</group>
      <groupName>字词问题</groupName>
      <ability>L2_Typo</ability>
      <abilityName>字词错误</abilityName>
      <candidateList>
        <item>微粒</item>
      </candidateList>
      <explain/>
      <paraID>3523650A</paraID>
      <start>11</start>
      <end>13</end>
      <status>unmodified</status>
      <modifiedWord/>
      <trackRevisions>false</trackRevisions>
    </reviewItem>
    <reviewItem>
      <errorID>f1f9408c-3b31-49da-87cd-25a7338dc219</errorID>
      <errorWord>（</errorWord>
      <group>L1_Format</group>
      <groupName>格式问题</groupName>
      <ability>L2_HalfPunc</ability>
      <abilityName>全半角检查</abilityName>
      <candidateList>
        <item>(</item>
      </candidateList>
      <explain>文本全半角错误。</explain>
      <paraID>3F2BF0F2</paraID>
      <start>4</start>
      <end>5</end>
      <status>unmodified</status>
      <modifiedWord/>
      <trackRevisions>false</trackRevisions>
    </reviewItem>
    <reviewItem>
      <errorID>47db70b9-b8cc-4af4-bb87-c0802081ba44</errorID>
      <errorWord>）</errorWord>
      <group>L1_Format</group>
      <groupName>格式问题</groupName>
      <ability>L2_HalfPunc</ability>
      <abilityName>全半角检查</abilityName>
      <candidateList>
        <item>)</item>
      </candidateList>
      <explain>文本全半角错误。</explain>
      <paraID>3F2BF0F2</paraID>
      <start>7</start>
      <end>8</end>
      <status>unmodified</status>
      <modifiedWord/>
      <trackRevisions>false</trackRevisions>
    </reviewItem>
    <reviewItem>
      <errorID>bc9f6305-18aa-49fd-a22a-071109fc3ae0</errorID>
      <errorWord>（</errorWord>
      <group>L1_Format</group>
      <groupName>格式问题</groupName>
      <ability>L2_HalfPunc</ability>
      <abilityName>全半角检查</abilityName>
      <candidateList>
        <item>(</item>
      </candidateList>
      <explain>文本全半角错误。</explain>
      <paraID>693F4EED</paraID>
      <start>4</start>
      <end>5</end>
      <status>unmodified</status>
      <modifiedWord/>
      <trackRevisions>false</trackRevisions>
    </reviewItem>
    <reviewItem>
      <errorID>735135c2-bc19-4d98-a25b-f493a1430953</errorID>
      <errorWord>）</errorWord>
      <group>L1_Format</group>
      <groupName>格式问题</groupName>
      <ability>L2_HalfPunc</ability>
      <abilityName>全半角检查</abilityName>
      <candidateList>
        <item>)</item>
      </candidateList>
      <explain>文本全半角错误。</explain>
      <paraID>693F4EED</paraID>
      <start>8</start>
      <end>9</end>
      <status>unmodified</status>
      <modifiedWord/>
      <trackRevisions>false</trackRevisions>
    </reviewItem>
    <reviewItem>
      <errorID>7ba1f7f2-7cd7-463b-a2e6-ae336143574a</errorID>
      <errorWord>（</errorWord>
      <group>L1_Format</group>
      <groupName>格式问题</groupName>
      <ability>L2_HalfPunc</ability>
      <abilityName>全半角检查</abilityName>
      <candidateList>
        <item>(</item>
      </candidateList>
      <explain>文本全半角错误。</explain>
      <paraID>10A4CF56</paraID>
      <start>5</start>
      <end>6</end>
      <status>unmodified</status>
      <modifiedWord/>
      <trackRevisions>false</trackRevisions>
    </reviewItem>
    <reviewItem>
      <errorID>f2a8c80a-9ccd-43b2-b836-1c4e65ab5b66</errorID>
      <errorWord>）</errorWord>
      <group>L1_Format</group>
      <groupName>格式问题</groupName>
      <ability>L2_HalfPunc</ability>
      <abilityName>全半角检查</abilityName>
      <candidateList>
        <item>)</item>
      </candidateList>
      <explain>文本全半角错误。</explain>
      <paraID>10A4CF56</paraID>
      <start>9</start>
      <end>10</end>
      <status>unmodified</status>
      <modifiedWord/>
      <trackRevisions>false</trackRevisions>
    </reviewItem>
    <reviewItem>
      <errorID>2f8e1634-d39b-42b6-add8-14a83936aacb</errorID>
      <errorWord>可能易</errorWord>
      <group>L1_Word</group>
      <groupName>字词问题</groupName>
      <ability>L2_Typo</ability>
      <abilityName>字词错误</abilityName>
      <candidateList>
        <item>可能</item>
      </candidateList>
      <explain/>
      <paraID>77C38E52</paraID>
      <start>3</start>
      <end>6</end>
      <status>unmodified</status>
      <modifiedWord/>
      <trackRevisions>false</trackRevisions>
    </reviewItem>
    <reviewItem>
      <errorID>cc982f22-b965-411b-b216-9e11feb74115</errorID>
      <errorWord>（</errorWord>
      <group>L1_Format</group>
      <groupName>格式问题</groupName>
      <ability>L2_HalfPunc</ability>
      <abilityName>全半角检查</abilityName>
      <candidateList>
        <item>(</item>
      </candidateList>
      <explain>文本全半角错误。</explain>
      <paraID>2C988CDF</paraID>
      <start>1</start>
      <end>2</end>
      <status>unmodified</status>
      <modifiedWord/>
      <trackRevisions>false</trackRevisions>
    </reviewItem>
    <reviewItem>
      <errorID>5734c54a-8112-47fc-9609-df4ebb83b470</errorID>
      <errorWord>）</errorWord>
      <group>L1_Format</group>
      <groupName>格式问题</groupName>
      <ability>L2_HalfPunc</ability>
      <abilityName>全半角检查</abilityName>
      <candidateList>
        <item>)</item>
      </candidateList>
      <explain>文本全半角错误。</explain>
      <paraID>2C988CDF</paraID>
      <start>5</start>
      <end>6</end>
      <status>unmodified</status>
      <modifiedWord/>
      <trackRevisions>false</trackRevisions>
    </reviewItem>
    <reviewItem>
      <errorID>ad302da0-e9b3-4de7-9599-48b8576d4810</errorID>
      <errorWord>（</errorWord>
      <group>L1_Format</group>
      <groupName>格式问题</groupName>
      <ability>L2_HalfPunc</ability>
      <abilityName>全半角检查</abilityName>
      <candidateList>
        <item>(</item>
      </candidateList>
      <explain>文本全半角错误。</explain>
      <paraID>50233BDA</paraID>
      <start>3</start>
      <end>4</end>
      <status>unmodified</status>
      <modifiedWord/>
      <trackRevisions>false</trackRevisions>
    </reviewItem>
    <reviewItem>
      <errorID>4743dd8c-a7c8-4a6c-be62-c132139072dd</errorID>
      <errorWord>）</errorWord>
      <group>L1_Format</group>
      <groupName>格式问题</groupName>
      <ability>L2_HalfPunc</ability>
      <abilityName>全半角检查</abilityName>
      <candidateList>
        <item>)</item>
      </candidateList>
      <explain>文本全半角错误。</explain>
      <paraID>50233BDA</paraID>
      <start>5</start>
      <end>6</end>
      <status>unmodified</status>
      <modifiedWord/>
      <trackRevisions>false</trackRevisions>
    </reviewItem>
    <reviewItem>
      <errorID>c9ae5a88-9217-4356-9f93-0017f7069595</errorID>
      <errorWord>（</errorWord>
      <group>L1_Format</group>
      <groupName>格式问题</groupName>
      <ability>L2_HalfPunc</ability>
      <abilityName>全半角检查</abilityName>
      <candidateList>
        <item>(</item>
      </candidateList>
      <explain>文本全半角错误。</explain>
      <paraID>1622F213</paraID>
      <start>3</start>
      <end>4</end>
      <status>unmodified</status>
      <modifiedWord/>
      <trackRevisions>false</trackRevisions>
    </reviewItem>
    <reviewItem>
      <errorID>e9ebb4b7-b8b8-4379-ac30-20ea756cd69f</errorID>
      <errorWord>）</errorWord>
      <group>L1_Format</group>
      <groupName>格式问题</groupName>
      <ability>L2_HalfPunc</ability>
      <abilityName>全半角检查</abilityName>
      <candidateList>
        <item>)</item>
      </candidateList>
      <explain>文本全半角错误。</explain>
      <paraID>1622F213</paraID>
      <start>5</start>
      <end>6</end>
      <status>unmodified</status>
      <modifiedWord/>
      <trackRevisions>false</trackRevisions>
    </reviewItem>
    <reviewItem>
      <errorID>e178edfc-ec6b-4624-9eed-425cf198ac57</errorID>
      <errorWord>真空尾气</errorWord>
      <group>L1_Knowledge</group>
      <groupName>知识性问题</groupName>
      <ability>L2_Term</ability>
      <abilityName>专业术语</abilityName>
      <candidateList>
        <item>真空除气</item>
      </candidateList>
      <explain/>
      <paraID>1058832B</paraID>
      <start>0</start>
      <end>4</end>
      <status>unmodified</status>
      <modifiedWord/>
      <trackRevisions>false</trackRevisions>
    </reviewItem>
    <reviewItem>
      <errorID>731d5758-6d84-494a-9a2b-258f73cb666b</errorID>
      <errorWord>~</errorWord>
      <group>L1_Format</group>
      <groupName>格式问题</groupName>
      <ability>L2_HalfPunc</ability>
      <abilityName>全半角检查</abilityName>
      <candidateList>
        <item>～</item>
      </candidateList>
      <explain>文本全半角错误。</explain>
      <paraID>518C1459</paraID>
      <start>125</start>
      <end>126</end>
      <status>unmodified</status>
      <modifiedWord/>
      <trackRevisions>false</trackRevisions>
    </reviewItem>
    <reviewItem>
      <errorID>00ebadc2-6065-4403-9471-86f3188d840a</errorID>
      <errorWord>/，</errorWord>
      <group>L1_Punc</group>
      <groupName>标点问题</groupName>
      <ability>L2_Punc</ability>
      <abilityName>标点符号检查</abilityName>
      <candidateList>
        <item>/</item>
      </candidateList>
      <explain/>
      <paraID>139CCDB1</paraID>
      <start>8</start>
      <end>10</end>
      <status>unmodified</status>
      <modifiedWord/>
      <trackRevisions>false</trackRevisions>
    </reviewItem>
    <reviewItem>
      <errorID>f2293e0d-02c3-47a7-be13-58cf347322f6</errorID>
      <errorWord>/，</errorWord>
      <group>L1_Punc</group>
      <groupName>标点问题</groupName>
      <ability>L2_Punc</ability>
      <abilityName>标点符号检查</abilityName>
      <candidateList>
        <item>/</item>
      </candidateList>
      <explain/>
      <paraID>64679226</paraID>
      <start>8</start>
      <end>10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e6adb56-942b-49f9-b2b0-e6c2f0ed8179}">
  <ds:schemaRefs/>
</ds:datastoreItem>
</file>

<file path=docProps/app.xml><?xml version="1.0" encoding="utf-8"?>
<Properties xmlns="http://schemas.openxmlformats.org/officeDocument/2006/extended-properties" xmlns:vt="http://schemas.openxmlformats.org/officeDocument/2006/docPropsVTypes">
  <Template>Normal.dotm</Template>
  <Pages>131</Pages>
  <Words>137</Words>
  <Characters>164</Characters>
  <Lines>0</Lines>
  <Paragraphs>0</Paragraphs>
  <TotalTime>131</TotalTime>
  <ScaleCrop>false</ScaleCrop>
  <LinksUpToDate>false</LinksUpToDate>
  <CharactersWithSpaces>164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2025-10-28T02:02:00Z</dcterms:created>
  <dc:creator>马马虎虎</dc:creator>
  <cp:lastModifiedBy>唯有你</cp:lastModifiedBy>
  <cp:lastPrinted>2025-12-02T01:22:00Z</cp:lastPrinted>
  <dcterms:modified xsi:type="dcterms:W3CDTF">2025-12-24T08:21:33Z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B178E464FE874ED8899D23D05A3A1064_13</vt:lpwstr>
  </property>
  <property fmtid="{D5CDD505-2E9C-101B-9397-08002B2CF9AE}" pid="4" name="KSOTemplateDocerSaveRecord">
    <vt:lpwstr>eyJoZGlkIjoiM2M1MzQ5YjJjYTY4ZmZjN2I1YmFhNzM4MjFjYTdlY2IiLCJ1c2VySWQiOiI2MDEyMTE3NDEifQ==</vt:lpwstr>
  </property>
</Properties>
</file>