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6DD95">
      <w:pPr>
        <w:rPr>
          <w:sz w:val="36"/>
          <w:szCs w:val="36"/>
        </w:rPr>
      </w:pPr>
      <w:bookmarkStart w:id="0" w:name="_Hlk57883707"/>
    </w:p>
    <w:p w14:paraId="318F6CC7">
      <w:pPr>
        <w:rPr>
          <w:sz w:val="36"/>
          <w:szCs w:val="36"/>
        </w:rPr>
      </w:pPr>
    </w:p>
    <w:p w14:paraId="664CEB5A">
      <w:pPr>
        <w:rPr>
          <w:sz w:val="36"/>
          <w:szCs w:val="36"/>
        </w:rPr>
      </w:pPr>
    </w:p>
    <w:p w14:paraId="2FEDCC77">
      <w:pPr>
        <w:rPr>
          <w:sz w:val="36"/>
          <w:szCs w:val="36"/>
        </w:rPr>
      </w:pPr>
    </w:p>
    <w:bookmarkEnd w:id="0"/>
    <w:p w14:paraId="50C9B2DE">
      <w:pPr>
        <w:pStyle w:val="773"/>
        <w:outlineLvl w:val="9"/>
        <w:rPr>
          <w:spacing w:val="-20"/>
        </w:rPr>
      </w:pPr>
      <w:r>
        <w:rPr>
          <w:rFonts w:hint="eastAsia"/>
          <w:spacing w:val="-20"/>
        </w:rPr>
        <w:t>建设项目生态环境影响报告表</w:t>
      </w:r>
    </w:p>
    <w:p w14:paraId="64DFCCFB">
      <w:pPr>
        <w:adjustRightInd w:val="0"/>
        <w:snapToGrid w:val="0"/>
        <w:spacing w:before="192" w:beforeLines="80"/>
        <w:jc w:val="center"/>
        <w:rPr>
          <w:bCs/>
          <w:sz w:val="48"/>
          <w:szCs w:val="48"/>
        </w:rPr>
      </w:pPr>
      <w:r>
        <w:rPr>
          <w:bCs/>
          <w:sz w:val="48"/>
          <w:szCs w:val="48"/>
        </w:rPr>
        <w:t>（生态影响类）</w:t>
      </w:r>
    </w:p>
    <w:p w14:paraId="78C7AD52">
      <w:pPr>
        <w:adjustRightInd w:val="0"/>
        <w:snapToGrid w:val="0"/>
        <w:spacing w:line="288" w:lineRule="auto"/>
        <w:jc w:val="center"/>
        <w:rPr>
          <w:kern w:val="44"/>
          <w:sz w:val="44"/>
          <w:szCs w:val="44"/>
        </w:rPr>
      </w:pPr>
      <w:bookmarkStart w:id="1" w:name="_Hlk57883728"/>
    </w:p>
    <w:p w14:paraId="1F511176">
      <w:pPr>
        <w:adjustRightInd w:val="0"/>
        <w:snapToGrid w:val="0"/>
        <w:spacing w:line="288" w:lineRule="auto"/>
        <w:jc w:val="center"/>
        <w:rPr>
          <w:kern w:val="44"/>
          <w:sz w:val="44"/>
          <w:szCs w:val="44"/>
        </w:rPr>
      </w:pPr>
    </w:p>
    <w:p w14:paraId="04179A49">
      <w:pPr>
        <w:adjustRightInd w:val="0"/>
        <w:snapToGrid w:val="0"/>
        <w:spacing w:line="288" w:lineRule="auto"/>
        <w:jc w:val="center"/>
        <w:rPr>
          <w:kern w:val="44"/>
          <w:sz w:val="44"/>
          <w:szCs w:val="44"/>
        </w:rPr>
      </w:pPr>
    </w:p>
    <w:p w14:paraId="1886A1C3">
      <w:pPr>
        <w:adjustRightInd w:val="0"/>
        <w:snapToGrid w:val="0"/>
        <w:spacing w:line="288" w:lineRule="auto"/>
        <w:jc w:val="center"/>
        <w:rPr>
          <w:kern w:val="44"/>
          <w:sz w:val="44"/>
          <w:szCs w:val="44"/>
        </w:rPr>
      </w:pPr>
    </w:p>
    <w:p w14:paraId="7FF87500">
      <w:pPr>
        <w:adjustRightInd w:val="0"/>
        <w:snapToGrid w:val="0"/>
        <w:spacing w:line="288" w:lineRule="auto"/>
        <w:jc w:val="center"/>
        <w:rPr>
          <w:kern w:val="44"/>
          <w:sz w:val="44"/>
          <w:szCs w:val="44"/>
        </w:rPr>
      </w:pPr>
    </w:p>
    <w:p w14:paraId="79AD85EB">
      <w:pPr>
        <w:jc w:val="center"/>
        <w:rPr>
          <w:sz w:val="52"/>
          <w:szCs w:val="52"/>
        </w:rPr>
      </w:pPr>
    </w:p>
    <w:p w14:paraId="10F79191">
      <w:pPr>
        <w:ind w:firstLine="1040"/>
        <w:rPr>
          <w:sz w:val="44"/>
          <w:szCs w:val="44"/>
        </w:rPr>
      </w:pPr>
    </w:p>
    <w:p w14:paraId="049831A2">
      <w:pPr>
        <w:ind w:firstLine="1040"/>
        <w:rPr>
          <w:sz w:val="44"/>
          <w:szCs w:val="44"/>
        </w:rPr>
      </w:pPr>
    </w:p>
    <w:p w14:paraId="5DB4D20A">
      <w:pPr>
        <w:ind w:firstLine="1040"/>
        <w:rPr>
          <w:sz w:val="44"/>
          <w:szCs w:val="44"/>
        </w:rPr>
      </w:pPr>
    </w:p>
    <w:p w14:paraId="7CEAC0B1">
      <w:pPr>
        <w:ind w:firstLine="1040"/>
        <w:rPr>
          <w:sz w:val="44"/>
          <w:szCs w:val="44"/>
        </w:rPr>
      </w:pPr>
    </w:p>
    <w:bookmarkEnd w:id="1"/>
    <w:p w14:paraId="54EF3831">
      <w:pPr>
        <w:adjustRightInd w:val="0"/>
        <w:snapToGrid w:val="0"/>
        <w:spacing w:line="288" w:lineRule="auto"/>
        <w:ind w:left="1800" w:hanging="1800" w:hangingChars="500"/>
        <w:rPr>
          <w:rFonts w:hint="eastAsia" w:ascii="方正仿宋_GB2312" w:hAnsi="方正仿宋_GB2312" w:eastAsia="方正仿宋_GB2312" w:cs="方正仿宋_GB2312"/>
          <w:sz w:val="36"/>
          <w:szCs w:val="36"/>
          <w:u w:val="single"/>
        </w:rPr>
      </w:pPr>
      <w:r>
        <w:rPr>
          <w:rFonts w:hint="eastAsia" w:ascii="方正仿宋_GB2312" w:hAnsi="方正仿宋_GB2312" w:eastAsia="方正仿宋_GB2312" w:cs="方正仿宋_GB2312"/>
          <w:sz w:val="36"/>
          <w:szCs w:val="36"/>
        </w:rPr>
        <w:t>项目名称：</w:t>
      </w:r>
      <w:r>
        <w:rPr>
          <w:rFonts w:hint="eastAsia" w:ascii="方正仿宋_GB2312" w:hAnsi="方正仿宋_GB2312" w:eastAsia="方正仿宋_GB2312" w:cs="方正仿宋_GB2312"/>
          <w:sz w:val="36"/>
          <w:szCs w:val="36"/>
          <w:u w:val="single"/>
        </w:rPr>
        <w:t xml:space="preserve">   </w:t>
      </w:r>
      <w:r>
        <w:rPr>
          <w:rFonts w:hint="eastAsia" w:ascii="仿宋" w:hAnsi="仿宋" w:eastAsia="仿宋" w:cs="宋体"/>
          <w:sz w:val="36"/>
          <w:szCs w:val="36"/>
          <w:u w:val="single"/>
        </w:rPr>
        <w:t>伊泰</w:t>
      </w:r>
      <w:r>
        <w:rPr>
          <w:rFonts w:hint="eastAsia" w:ascii="仿宋" w:hAnsi="仿宋" w:eastAsia="仿宋" w:cs="___WRD_EMBED_SUB_46"/>
          <w:sz w:val="36"/>
          <w:szCs w:val="36"/>
          <w:u w:val="single"/>
        </w:rPr>
        <w:t>化工下游</w:t>
      </w:r>
      <w:r>
        <w:rPr>
          <w:rFonts w:hint="eastAsia" w:ascii="仿宋" w:hAnsi="仿宋" w:eastAsia="仿宋" w:cs="宋体"/>
          <w:sz w:val="36"/>
          <w:szCs w:val="36"/>
          <w:u w:val="single"/>
        </w:rPr>
        <w:t>物</w:t>
      </w:r>
      <w:r>
        <w:rPr>
          <w:rFonts w:hint="eastAsia" w:ascii="仿宋" w:hAnsi="仿宋" w:eastAsia="仿宋" w:cs="___WRD_EMBED_SUB_46"/>
          <w:sz w:val="36"/>
          <w:szCs w:val="36"/>
          <w:u w:val="single"/>
        </w:rPr>
        <w:t>料输送管</w:t>
      </w:r>
      <w:r>
        <w:rPr>
          <w:rFonts w:hint="eastAsia" w:ascii="仿宋" w:hAnsi="仿宋" w:eastAsia="仿宋" w:cs="宋体"/>
          <w:sz w:val="36"/>
          <w:szCs w:val="36"/>
          <w:u w:val="single"/>
        </w:rPr>
        <w:t>线技改</w:t>
      </w:r>
      <w:r>
        <w:rPr>
          <w:rFonts w:hint="eastAsia" w:ascii="仿宋" w:hAnsi="仿宋" w:eastAsia="仿宋" w:cs="___WRD_EMBED_SUB_46"/>
          <w:sz w:val="36"/>
          <w:szCs w:val="36"/>
          <w:u w:val="single"/>
        </w:rPr>
        <w:t xml:space="preserve">项目   </w:t>
      </w:r>
    </w:p>
    <w:p w14:paraId="784B8D3C">
      <w:pPr>
        <w:adjustRightInd w:val="0"/>
        <w:snapToGrid w:val="0"/>
        <w:spacing w:line="288" w:lineRule="auto"/>
        <w:ind w:left="1800" w:hanging="1800" w:hangingChars="500"/>
        <w:rPr>
          <w:rFonts w:hint="eastAsia" w:ascii="方正仿宋_GB2312" w:hAnsi="方正仿宋_GB2312" w:eastAsia="方正仿宋_GB2312" w:cs="方正仿宋_GB2312"/>
          <w:sz w:val="36"/>
          <w:szCs w:val="36"/>
          <w:u w:val="single"/>
        </w:rPr>
      </w:pPr>
      <w:r>
        <w:rPr>
          <w:rFonts w:hint="eastAsia" w:ascii="方正仿宋_GB2312" w:hAnsi="方正仿宋_GB2312" w:eastAsia="方正仿宋_GB2312" w:cs="方正仿宋_GB2312"/>
          <w:sz w:val="36"/>
          <w:szCs w:val="36"/>
        </w:rPr>
        <w:t>建设单位（盖章）：</w:t>
      </w:r>
      <w:r>
        <w:rPr>
          <w:rFonts w:hint="eastAsia" w:ascii="方正仿宋_GB2312" w:hAnsi="方正仿宋_GB2312" w:eastAsia="方正仿宋_GB2312" w:cs="方正仿宋_GB2312"/>
          <w:sz w:val="36"/>
          <w:szCs w:val="36"/>
          <w:u w:val="single"/>
        </w:rPr>
        <w:t xml:space="preserve">  </w:t>
      </w:r>
      <w:r>
        <w:rPr>
          <w:rFonts w:hint="eastAsia" w:ascii="仿宋" w:hAnsi="仿宋" w:eastAsia="仿宋" w:cs="宋体"/>
          <w:sz w:val="36"/>
          <w:szCs w:val="36"/>
          <w:u w:val="single"/>
        </w:rPr>
        <w:t>内蒙古伊泰</w:t>
      </w:r>
      <w:r>
        <w:rPr>
          <w:rFonts w:hint="eastAsia" w:ascii="仿宋" w:hAnsi="仿宋" w:eastAsia="仿宋" w:cs="___WRD_EMBED_SUB_46"/>
          <w:sz w:val="36"/>
          <w:szCs w:val="36"/>
          <w:u w:val="single"/>
        </w:rPr>
        <w:t>化工有限责任公司</w:t>
      </w:r>
      <w:r>
        <w:rPr>
          <w:rFonts w:hint="eastAsia" w:ascii="方正仿宋_GB2312" w:hAnsi="方正仿宋_GB2312" w:eastAsia="方正仿宋_GB2312" w:cs="方正仿宋_GB2312"/>
          <w:sz w:val="36"/>
          <w:szCs w:val="36"/>
          <w:u w:val="single"/>
        </w:rPr>
        <w:t xml:space="preserve">  </w:t>
      </w:r>
    </w:p>
    <w:p w14:paraId="0576240C">
      <w:pPr>
        <w:adjustRightInd w:val="0"/>
        <w:snapToGrid w:val="0"/>
        <w:spacing w:line="288" w:lineRule="auto"/>
        <w:rPr>
          <w:rFonts w:hint="eastAsia" w:ascii="方正仿宋_GB2312" w:hAnsi="方正仿宋_GB2312" w:eastAsia="方正仿宋_GB2312" w:cs="方正仿宋_GB2312"/>
          <w:sz w:val="36"/>
          <w:szCs w:val="36"/>
          <w:u w:val="single"/>
        </w:rPr>
      </w:pPr>
      <w:r>
        <w:rPr>
          <w:rFonts w:hint="eastAsia" w:ascii="方正仿宋_GB2312" w:hAnsi="方正仿宋_GB2312" w:eastAsia="方正仿宋_GB2312" w:cs="方正仿宋_GB2312"/>
          <w:sz w:val="36"/>
          <w:szCs w:val="36"/>
        </w:rPr>
        <w:t>编制日期：</w:t>
      </w:r>
      <w:r>
        <w:rPr>
          <w:rFonts w:hint="eastAsia" w:ascii="方正仿宋_GB2312" w:hAnsi="方正仿宋_GB2312" w:eastAsia="方正仿宋_GB2312" w:cs="方正仿宋_GB2312"/>
          <w:sz w:val="36"/>
          <w:szCs w:val="36"/>
          <w:u w:val="single"/>
        </w:rPr>
        <w:t xml:space="preserve">            二〇二六年</w:t>
      </w:r>
      <w:r>
        <w:rPr>
          <w:rFonts w:hint="eastAsia" w:ascii="宋体" w:hAnsi="宋体" w:cs="宋体"/>
          <w:sz w:val="36"/>
          <w:szCs w:val="36"/>
          <w:u w:val="single"/>
        </w:rPr>
        <w:t>七</w:t>
      </w:r>
      <w:r>
        <w:rPr>
          <w:rFonts w:hint="eastAsia" w:ascii="方正仿宋_GB2312" w:hAnsi="方正仿宋_GB2312" w:eastAsia="方正仿宋_GB2312" w:cs="方正仿宋_GB2312"/>
          <w:sz w:val="36"/>
          <w:szCs w:val="36"/>
          <w:u w:val="single"/>
        </w:rPr>
        <w:t xml:space="preserve">月            </w:t>
      </w:r>
    </w:p>
    <w:p w14:paraId="20518D8B">
      <w:pPr>
        <w:adjustRightInd w:val="0"/>
        <w:snapToGrid w:val="0"/>
        <w:spacing w:line="288" w:lineRule="auto"/>
        <w:ind w:firstLine="1040"/>
        <w:rPr>
          <w:sz w:val="36"/>
          <w:szCs w:val="36"/>
        </w:rPr>
      </w:pPr>
    </w:p>
    <w:p w14:paraId="73AFD546">
      <w:pPr>
        <w:adjustRightInd w:val="0"/>
        <w:snapToGrid w:val="0"/>
        <w:spacing w:line="288" w:lineRule="auto"/>
        <w:ind w:firstLine="1040"/>
        <w:rPr>
          <w:sz w:val="36"/>
          <w:szCs w:val="36"/>
        </w:rPr>
      </w:pPr>
    </w:p>
    <w:p w14:paraId="3B95DF15">
      <w:pPr>
        <w:pStyle w:val="72"/>
        <w:jc w:val="center"/>
        <w:rPr>
          <w:rFonts w:ascii="Times New Roman" w:hAnsi="Times New Roman"/>
          <w:sz w:val="36"/>
          <w:szCs w:val="36"/>
        </w:rPr>
        <w:sectPr>
          <w:footerReference r:id="rId3" w:type="default"/>
          <w:pgSz w:w="11906" w:h="16838"/>
          <w:pgMar w:top="1701" w:right="1531" w:bottom="1701" w:left="1531" w:header="851" w:footer="1077" w:gutter="0"/>
          <w:cols w:space="720" w:num="1"/>
          <w:docGrid w:linePitch="312" w:charSpace="0"/>
        </w:sectPr>
      </w:pPr>
      <w:r>
        <w:rPr>
          <w:rFonts w:ascii="Times New Roman" w:hAnsi="Times New Roman"/>
          <w:sz w:val="36"/>
          <w:szCs w:val="36"/>
        </w:rPr>
        <w:t>中华人民共和国生态环境部制</w:t>
      </w:r>
      <w:r>
        <w:rPr>
          <w:rFonts w:hint="eastAsia" w:ascii="Times New Roman" w:hAnsi="Times New Roman"/>
          <w:sz w:val="36"/>
          <w:szCs w:val="36"/>
        </w:rPr>
        <w:br w:type="page"/>
      </w:r>
    </w:p>
    <w:p w14:paraId="7F9BFDD2">
      <w:pPr>
        <w:pStyle w:val="72"/>
        <w:jc w:val="center"/>
        <w:outlineLvl w:val="0"/>
        <w:rPr>
          <w:rFonts w:ascii="Times New Roman" w:hAnsi="Times New Roman"/>
          <w:b/>
          <w:bCs/>
          <w:snapToGrid w:val="0"/>
          <w:sz w:val="30"/>
          <w:szCs w:val="30"/>
        </w:rPr>
      </w:pPr>
      <w:r>
        <w:rPr>
          <w:rFonts w:ascii="Times New Roman" w:hAnsi="Times New Roman"/>
          <w:b/>
          <w:bCs/>
          <w:snapToGrid w:val="0"/>
          <w:sz w:val="30"/>
          <w:szCs w:val="30"/>
        </w:rPr>
        <w:t>一、建设项目基本情况</w:t>
      </w:r>
    </w:p>
    <w:tbl>
      <w:tblPr>
        <w:tblStyle w:val="78"/>
        <w:tblW w:w="4992"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04"/>
        <w:gridCol w:w="2379"/>
        <w:gridCol w:w="259"/>
        <w:gridCol w:w="1805"/>
        <w:gridCol w:w="119"/>
        <w:gridCol w:w="2490"/>
      </w:tblGrid>
      <w:tr w14:paraId="12939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1E654F49">
            <w:pPr>
              <w:adjustRightInd w:val="0"/>
              <w:snapToGrid w:val="0"/>
              <w:spacing w:line="440" w:lineRule="exact"/>
              <w:jc w:val="center"/>
              <w:rPr>
                <w:sz w:val="24"/>
              </w:rPr>
            </w:pPr>
            <w:r>
              <w:rPr>
                <w:sz w:val="24"/>
              </w:rPr>
              <w:t>建设项目名称</w:t>
            </w:r>
          </w:p>
        </w:tc>
        <w:tc>
          <w:tcPr>
            <w:tcW w:w="3981" w:type="pct"/>
            <w:gridSpan w:val="5"/>
            <w:vAlign w:val="center"/>
          </w:tcPr>
          <w:p w14:paraId="2F9F6FDF">
            <w:pPr>
              <w:adjustRightInd w:val="0"/>
              <w:snapToGrid w:val="0"/>
              <w:spacing w:line="440" w:lineRule="exact"/>
              <w:jc w:val="center"/>
              <w:rPr>
                <w:sz w:val="24"/>
              </w:rPr>
            </w:pPr>
            <w:r>
              <w:rPr>
                <w:rFonts w:hint="eastAsia"/>
                <w:sz w:val="24"/>
              </w:rPr>
              <w:t>伊泰化工下游物料输送管线技改项目</w:t>
            </w:r>
          </w:p>
        </w:tc>
      </w:tr>
      <w:tr w14:paraId="7D623C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43BC71CA">
            <w:pPr>
              <w:adjustRightInd w:val="0"/>
              <w:snapToGrid w:val="0"/>
              <w:spacing w:line="440" w:lineRule="exact"/>
              <w:jc w:val="center"/>
              <w:rPr>
                <w:sz w:val="24"/>
              </w:rPr>
            </w:pPr>
            <w:r>
              <w:rPr>
                <w:sz w:val="24"/>
              </w:rPr>
              <w:t>项目代码</w:t>
            </w:r>
          </w:p>
        </w:tc>
        <w:tc>
          <w:tcPr>
            <w:tcW w:w="3981" w:type="pct"/>
            <w:gridSpan w:val="5"/>
            <w:vAlign w:val="center"/>
          </w:tcPr>
          <w:p w14:paraId="2F6629E7">
            <w:pPr>
              <w:adjustRightInd w:val="0"/>
              <w:snapToGrid w:val="0"/>
              <w:spacing w:line="440" w:lineRule="exact"/>
              <w:jc w:val="center"/>
              <w:rPr>
                <w:sz w:val="24"/>
              </w:rPr>
            </w:pPr>
            <w:bookmarkStart w:id="2" w:name="OLE_LINK14"/>
            <w:r>
              <w:rPr>
                <w:rFonts w:hint="eastAsia"/>
                <w:sz w:val="24"/>
              </w:rPr>
              <w:t>2606-150625-07-02-</w:t>
            </w:r>
            <w:bookmarkEnd w:id="2"/>
            <w:r>
              <w:rPr>
                <w:rFonts w:hint="eastAsia"/>
                <w:sz w:val="24"/>
              </w:rPr>
              <w:t>886710</w:t>
            </w:r>
          </w:p>
        </w:tc>
      </w:tr>
      <w:tr w14:paraId="556E05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3CB38805">
            <w:pPr>
              <w:adjustRightInd w:val="0"/>
              <w:snapToGrid w:val="0"/>
              <w:spacing w:line="440" w:lineRule="exact"/>
              <w:jc w:val="center"/>
              <w:rPr>
                <w:sz w:val="24"/>
              </w:rPr>
            </w:pPr>
            <w:r>
              <w:rPr>
                <w:sz w:val="24"/>
              </w:rPr>
              <w:t>建设单位联系人</w:t>
            </w:r>
          </w:p>
        </w:tc>
        <w:tc>
          <w:tcPr>
            <w:tcW w:w="1343" w:type="pct"/>
            <w:vAlign w:val="center"/>
          </w:tcPr>
          <w:p w14:paraId="4E75EA94">
            <w:pPr>
              <w:adjustRightInd w:val="0"/>
              <w:snapToGrid w:val="0"/>
              <w:spacing w:line="440" w:lineRule="exact"/>
              <w:jc w:val="center"/>
              <w:rPr>
                <w:sz w:val="24"/>
              </w:rPr>
            </w:pPr>
            <w:r>
              <w:rPr>
                <w:sz w:val="24"/>
              </w:rPr>
              <w:t>王超</w:t>
            </w:r>
          </w:p>
        </w:tc>
        <w:tc>
          <w:tcPr>
            <w:tcW w:w="1232" w:type="pct"/>
            <w:gridSpan w:val="3"/>
            <w:vAlign w:val="center"/>
          </w:tcPr>
          <w:p w14:paraId="1CB5038A">
            <w:pPr>
              <w:adjustRightInd w:val="0"/>
              <w:snapToGrid w:val="0"/>
              <w:spacing w:line="440" w:lineRule="exact"/>
              <w:jc w:val="center"/>
              <w:rPr>
                <w:sz w:val="24"/>
              </w:rPr>
            </w:pPr>
            <w:r>
              <w:rPr>
                <w:sz w:val="24"/>
              </w:rPr>
              <w:t>联系方式</w:t>
            </w:r>
          </w:p>
        </w:tc>
        <w:tc>
          <w:tcPr>
            <w:tcW w:w="1407" w:type="pct"/>
            <w:vAlign w:val="center"/>
          </w:tcPr>
          <w:p w14:paraId="67557B74">
            <w:pPr>
              <w:adjustRightInd w:val="0"/>
              <w:snapToGrid w:val="0"/>
              <w:spacing w:line="440" w:lineRule="exact"/>
              <w:jc w:val="center"/>
              <w:rPr>
                <w:sz w:val="24"/>
              </w:rPr>
            </w:pPr>
            <w:r>
              <w:rPr>
                <w:sz w:val="24"/>
              </w:rPr>
              <w:t>15149466912</w:t>
            </w:r>
          </w:p>
        </w:tc>
      </w:tr>
      <w:tr w14:paraId="5E0282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78D32333">
            <w:pPr>
              <w:adjustRightInd w:val="0"/>
              <w:snapToGrid w:val="0"/>
              <w:spacing w:line="440" w:lineRule="exact"/>
              <w:jc w:val="center"/>
              <w:rPr>
                <w:sz w:val="24"/>
              </w:rPr>
            </w:pPr>
            <w:r>
              <w:rPr>
                <w:sz w:val="24"/>
              </w:rPr>
              <w:t>建设地点</w:t>
            </w:r>
          </w:p>
        </w:tc>
        <w:tc>
          <w:tcPr>
            <w:tcW w:w="3981" w:type="pct"/>
            <w:gridSpan w:val="5"/>
            <w:vAlign w:val="center"/>
          </w:tcPr>
          <w:p w14:paraId="56FA5E5A">
            <w:pPr>
              <w:adjustRightInd w:val="0"/>
              <w:snapToGrid w:val="0"/>
              <w:spacing w:line="440" w:lineRule="exact"/>
              <w:jc w:val="center"/>
              <w:rPr>
                <w:sz w:val="24"/>
              </w:rPr>
            </w:pPr>
            <w:bookmarkStart w:id="3" w:name="OLE_LINK11"/>
            <w:r>
              <w:rPr>
                <w:rFonts w:hint="eastAsia"/>
                <w:sz w:val="24"/>
              </w:rPr>
              <w:t>内蒙古鄂尔多斯杭锦经济开发区独贵塔拉产业园南项目区</w:t>
            </w:r>
            <w:bookmarkEnd w:id="3"/>
            <w:r>
              <w:rPr>
                <w:rFonts w:hint="eastAsia"/>
                <w:sz w:val="24"/>
              </w:rPr>
              <w:t>。</w:t>
            </w:r>
          </w:p>
        </w:tc>
      </w:tr>
      <w:tr w14:paraId="5323B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214ADB9D">
            <w:pPr>
              <w:adjustRightInd w:val="0"/>
              <w:snapToGrid w:val="0"/>
              <w:spacing w:line="440" w:lineRule="exact"/>
              <w:jc w:val="center"/>
              <w:rPr>
                <w:sz w:val="24"/>
              </w:rPr>
            </w:pPr>
            <w:r>
              <w:rPr>
                <w:sz w:val="24"/>
              </w:rPr>
              <w:t>地理坐标</w:t>
            </w:r>
          </w:p>
        </w:tc>
        <w:tc>
          <w:tcPr>
            <w:tcW w:w="3981" w:type="pct"/>
            <w:gridSpan w:val="5"/>
            <w:vAlign w:val="center"/>
          </w:tcPr>
          <w:p w14:paraId="4FD7E921">
            <w:pPr>
              <w:adjustRightInd w:val="0"/>
              <w:snapToGrid w:val="0"/>
              <w:spacing w:line="440" w:lineRule="exact"/>
              <w:rPr>
                <w:sz w:val="24"/>
              </w:rPr>
            </w:pPr>
            <w:r>
              <w:rPr>
                <w:rFonts w:hint="eastAsia"/>
                <w:kern w:val="0"/>
                <w:sz w:val="24"/>
              </w:rPr>
              <w:t>本次评价内容共涉及4条管道（起点位于内蒙古伊泰化工有限责任公司厂区内、终点位于内蒙古伊泰宏城化学有限公司厂区内，起终点横跨两个厂区），其中</w:t>
            </w:r>
            <w:bookmarkStart w:id="4" w:name="OLE_LINK1"/>
            <w:r>
              <w:rPr>
                <w:rFonts w:hint="eastAsia"/>
                <w:kern w:val="0"/>
                <w:sz w:val="24"/>
              </w:rPr>
              <w:t>混合烯烃管道</w:t>
            </w:r>
            <w:bookmarkEnd w:id="4"/>
            <w:r>
              <w:rPr>
                <w:rFonts w:hint="eastAsia"/>
                <w:kern w:val="0"/>
                <w:sz w:val="24"/>
              </w:rPr>
              <w:t>长2.5km，新氢管道长1.4km，烷烃返回料管道长1.2km，排放气管道长0.62km，线路坐标如下：</w:t>
            </w:r>
          </w:p>
          <w:p w14:paraId="291781B0">
            <w:pPr>
              <w:adjustRightInd w:val="0"/>
              <w:snapToGrid w:val="0"/>
              <w:spacing w:line="440" w:lineRule="exact"/>
              <w:rPr>
                <w:sz w:val="24"/>
              </w:rPr>
            </w:pPr>
            <w:r>
              <w:rPr>
                <w:rFonts w:hint="eastAsia" w:ascii="宋体" w:hAnsi="宋体"/>
                <w:sz w:val="24"/>
              </w:rPr>
              <w:t>①</w:t>
            </w:r>
            <w:r>
              <w:rPr>
                <w:rFonts w:hint="eastAsia"/>
                <w:kern w:val="0"/>
                <w:sz w:val="24"/>
              </w:rPr>
              <w:t>混合烯烃管道坐标</w:t>
            </w:r>
          </w:p>
          <w:p w14:paraId="05D70998">
            <w:pPr>
              <w:adjustRightInd w:val="0"/>
              <w:snapToGrid w:val="0"/>
              <w:spacing w:line="440" w:lineRule="exact"/>
              <w:rPr>
                <w:sz w:val="24"/>
              </w:rPr>
            </w:pPr>
            <w:r>
              <w:rPr>
                <w:sz w:val="24"/>
              </w:rPr>
              <w:t>起点：（</w:t>
            </w:r>
            <w:bookmarkStart w:id="5" w:name="OLE_LINK32"/>
            <w:r>
              <w:rPr>
                <w:rFonts w:hint="eastAsia"/>
                <w:sz w:val="24"/>
                <w:u w:val="single"/>
              </w:rPr>
              <w:t>108</w:t>
            </w:r>
            <w:r>
              <w:rPr>
                <w:sz w:val="24"/>
              </w:rPr>
              <w:t>度</w:t>
            </w:r>
            <w:r>
              <w:rPr>
                <w:rFonts w:hint="eastAsia"/>
                <w:sz w:val="24"/>
                <w:u w:val="single"/>
              </w:rPr>
              <w:t>30</w:t>
            </w:r>
            <w:r>
              <w:rPr>
                <w:sz w:val="24"/>
              </w:rPr>
              <w:t>分</w:t>
            </w:r>
            <w:r>
              <w:rPr>
                <w:rFonts w:hint="eastAsia"/>
                <w:sz w:val="24"/>
                <w:u w:val="single"/>
              </w:rPr>
              <w:t>08.037</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43.403</w:t>
            </w:r>
            <w:r>
              <w:rPr>
                <w:sz w:val="24"/>
              </w:rPr>
              <w:t>秒</w:t>
            </w:r>
            <w:bookmarkEnd w:id="5"/>
            <w:r>
              <w:rPr>
                <w:sz w:val="24"/>
              </w:rPr>
              <w:t>）</w:t>
            </w:r>
          </w:p>
          <w:p w14:paraId="2597B8BA">
            <w:pPr>
              <w:adjustRightInd w:val="0"/>
              <w:snapToGrid w:val="0"/>
              <w:spacing w:line="440" w:lineRule="exact"/>
              <w:rPr>
                <w:sz w:val="24"/>
              </w:rPr>
            </w:pPr>
            <w:r>
              <w:rPr>
                <w:rFonts w:hint="eastAsia"/>
                <w:sz w:val="24"/>
              </w:rPr>
              <w:t>拐点1</w:t>
            </w:r>
            <w:r>
              <w:rPr>
                <w:sz w:val="24"/>
              </w:rPr>
              <w:t>：（</w:t>
            </w:r>
            <w:r>
              <w:rPr>
                <w:rFonts w:hint="eastAsia"/>
                <w:sz w:val="24"/>
                <w:u w:val="single"/>
              </w:rPr>
              <w:t>108</w:t>
            </w:r>
            <w:r>
              <w:rPr>
                <w:sz w:val="24"/>
              </w:rPr>
              <w:t>度</w:t>
            </w:r>
            <w:r>
              <w:rPr>
                <w:rFonts w:hint="eastAsia"/>
                <w:sz w:val="24"/>
                <w:u w:val="single"/>
              </w:rPr>
              <w:t>30</w:t>
            </w:r>
            <w:r>
              <w:rPr>
                <w:sz w:val="24"/>
              </w:rPr>
              <w:t>分</w:t>
            </w:r>
            <w:r>
              <w:rPr>
                <w:rFonts w:hint="eastAsia"/>
                <w:sz w:val="24"/>
                <w:u w:val="single"/>
              </w:rPr>
              <w:t>22.762</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53.876</w:t>
            </w:r>
            <w:r>
              <w:rPr>
                <w:sz w:val="24"/>
              </w:rPr>
              <w:t>秒）</w:t>
            </w:r>
          </w:p>
          <w:p w14:paraId="48968D5D">
            <w:pPr>
              <w:adjustRightInd w:val="0"/>
              <w:snapToGrid w:val="0"/>
              <w:spacing w:line="440" w:lineRule="exact"/>
              <w:rPr>
                <w:sz w:val="24"/>
              </w:rPr>
            </w:pPr>
            <w:r>
              <w:rPr>
                <w:rFonts w:hint="eastAsia"/>
                <w:sz w:val="24"/>
              </w:rPr>
              <w:t>拐点2</w:t>
            </w:r>
            <w:r>
              <w:rPr>
                <w:sz w:val="24"/>
              </w:rPr>
              <w:t>：（</w:t>
            </w:r>
            <w:r>
              <w:rPr>
                <w:rFonts w:hint="eastAsia"/>
                <w:sz w:val="24"/>
                <w:u w:val="single"/>
              </w:rPr>
              <w:t>108</w:t>
            </w:r>
            <w:r>
              <w:rPr>
                <w:sz w:val="24"/>
              </w:rPr>
              <w:t>度</w:t>
            </w:r>
            <w:r>
              <w:rPr>
                <w:rFonts w:hint="eastAsia"/>
                <w:sz w:val="24"/>
                <w:u w:val="single"/>
              </w:rPr>
              <w:t>30</w:t>
            </w:r>
            <w:r>
              <w:rPr>
                <w:sz w:val="24"/>
              </w:rPr>
              <w:t>分</w:t>
            </w:r>
            <w:r>
              <w:rPr>
                <w:rFonts w:hint="eastAsia"/>
                <w:sz w:val="24"/>
                <w:u w:val="single"/>
              </w:rPr>
              <w:t>13.169</w:t>
            </w:r>
            <w:r>
              <w:rPr>
                <w:sz w:val="24"/>
              </w:rPr>
              <w:t>秒，</w:t>
            </w:r>
            <w:r>
              <w:rPr>
                <w:rFonts w:hint="eastAsia"/>
                <w:sz w:val="24"/>
                <w:u w:val="single"/>
              </w:rPr>
              <w:t>40</w:t>
            </w:r>
            <w:r>
              <w:rPr>
                <w:sz w:val="24"/>
              </w:rPr>
              <w:t>度</w:t>
            </w:r>
            <w:r>
              <w:rPr>
                <w:rFonts w:hint="eastAsia"/>
                <w:sz w:val="24"/>
                <w:u w:val="single"/>
              </w:rPr>
              <w:t>02</w:t>
            </w:r>
            <w:r>
              <w:rPr>
                <w:sz w:val="24"/>
              </w:rPr>
              <w:t>分</w:t>
            </w:r>
            <w:r>
              <w:rPr>
                <w:rFonts w:hint="eastAsia"/>
                <w:sz w:val="24"/>
                <w:u w:val="single"/>
              </w:rPr>
              <w:t>01.837</w:t>
            </w:r>
            <w:r>
              <w:rPr>
                <w:sz w:val="24"/>
              </w:rPr>
              <w:t>秒）</w:t>
            </w:r>
          </w:p>
          <w:p w14:paraId="52BA01CD">
            <w:pPr>
              <w:adjustRightInd w:val="0"/>
              <w:snapToGrid w:val="0"/>
              <w:spacing w:line="440" w:lineRule="exact"/>
              <w:rPr>
                <w:sz w:val="24"/>
              </w:rPr>
            </w:pPr>
            <w:r>
              <w:rPr>
                <w:rFonts w:hint="eastAsia"/>
                <w:sz w:val="24"/>
              </w:rPr>
              <w:t>拐点3</w:t>
            </w:r>
            <w:r>
              <w:rPr>
                <w:sz w:val="24"/>
              </w:rPr>
              <w:t>：（</w:t>
            </w:r>
            <w:r>
              <w:rPr>
                <w:rFonts w:hint="eastAsia"/>
                <w:sz w:val="24"/>
                <w:u w:val="single"/>
              </w:rPr>
              <w:t>108</w:t>
            </w:r>
            <w:r>
              <w:rPr>
                <w:sz w:val="24"/>
              </w:rPr>
              <w:t>度</w:t>
            </w:r>
            <w:r>
              <w:rPr>
                <w:rFonts w:hint="eastAsia"/>
                <w:sz w:val="24"/>
                <w:u w:val="single"/>
              </w:rPr>
              <w:t>30</w:t>
            </w:r>
            <w:r>
              <w:rPr>
                <w:sz w:val="24"/>
              </w:rPr>
              <w:t>分</w:t>
            </w:r>
            <w:r>
              <w:rPr>
                <w:rFonts w:hint="eastAsia"/>
                <w:sz w:val="24"/>
                <w:u w:val="single"/>
              </w:rPr>
              <w:t>03.313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54.695</w:t>
            </w:r>
            <w:r>
              <w:rPr>
                <w:sz w:val="24"/>
              </w:rPr>
              <w:t>秒）</w:t>
            </w:r>
          </w:p>
          <w:p w14:paraId="44E3E738">
            <w:pPr>
              <w:adjustRightInd w:val="0"/>
              <w:snapToGrid w:val="0"/>
              <w:spacing w:line="440" w:lineRule="exact"/>
              <w:rPr>
                <w:sz w:val="24"/>
              </w:rPr>
            </w:pPr>
            <w:r>
              <w:rPr>
                <w:rFonts w:hint="eastAsia"/>
                <w:sz w:val="24"/>
              </w:rPr>
              <w:t>拐点4</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54.917</w:t>
            </w:r>
            <w:r>
              <w:rPr>
                <w:sz w:val="24"/>
              </w:rPr>
              <w:t>秒，</w:t>
            </w:r>
            <w:r>
              <w:rPr>
                <w:rFonts w:hint="eastAsia"/>
                <w:sz w:val="24"/>
                <w:u w:val="single"/>
              </w:rPr>
              <w:t>40</w:t>
            </w:r>
            <w:r>
              <w:rPr>
                <w:sz w:val="24"/>
              </w:rPr>
              <w:t>度</w:t>
            </w:r>
            <w:r>
              <w:rPr>
                <w:rFonts w:hint="eastAsia"/>
                <w:sz w:val="24"/>
                <w:u w:val="single"/>
              </w:rPr>
              <w:t>02</w:t>
            </w:r>
            <w:r>
              <w:rPr>
                <w:sz w:val="24"/>
              </w:rPr>
              <w:t>分</w:t>
            </w:r>
            <w:r>
              <w:rPr>
                <w:rFonts w:hint="eastAsia"/>
                <w:sz w:val="24"/>
                <w:u w:val="single"/>
              </w:rPr>
              <w:t>01.718</w:t>
            </w:r>
            <w:r>
              <w:rPr>
                <w:sz w:val="24"/>
              </w:rPr>
              <w:t>秒）</w:t>
            </w:r>
          </w:p>
          <w:p w14:paraId="762A2FB3">
            <w:pPr>
              <w:adjustRightInd w:val="0"/>
              <w:snapToGrid w:val="0"/>
              <w:spacing w:line="440" w:lineRule="exact"/>
              <w:rPr>
                <w:sz w:val="24"/>
              </w:rPr>
            </w:pPr>
            <w:r>
              <w:rPr>
                <w:rFonts w:hint="eastAsia"/>
                <w:sz w:val="24"/>
              </w:rPr>
              <w:t>拐点5</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38.478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50.170</w:t>
            </w:r>
            <w:r>
              <w:rPr>
                <w:sz w:val="24"/>
              </w:rPr>
              <w:t>秒）</w:t>
            </w:r>
          </w:p>
          <w:p w14:paraId="4B74D67F">
            <w:pPr>
              <w:adjustRightInd w:val="0"/>
              <w:snapToGrid w:val="0"/>
              <w:spacing w:line="440" w:lineRule="exact"/>
              <w:rPr>
                <w:sz w:val="24"/>
              </w:rPr>
            </w:pPr>
            <w:r>
              <w:rPr>
                <w:rFonts w:hint="eastAsia"/>
                <w:sz w:val="24"/>
              </w:rPr>
              <w:t>拐点6</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38.388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50.246</w:t>
            </w:r>
            <w:r>
              <w:rPr>
                <w:sz w:val="24"/>
              </w:rPr>
              <w:t>秒）</w:t>
            </w:r>
          </w:p>
          <w:p w14:paraId="5C559256">
            <w:pPr>
              <w:adjustRightInd w:val="0"/>
              <w:snapToGrid w:val="0"/>
              <w:spacing w:line="440" w:lineRule="exact"/>
              <w:rPr>
                <w:sz w:val="24"/>
              </w:rPr>
            </w:pPr>
            <w:r>
              <w:rPr>
                <w:rFonts w:hint="eastAsia"/>
                <w:sz w:val="24"/>
              </w:rPr>
              <w:t>拐点7</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32.374</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46.007</w:t>
            </w:r>
            <w:r>
              <w:rPr>
                <w:sz w:val="24"/>
              </w:rPr>
              <w:t>秒）</w:t>
            </w:r>
          </w:p>
          <w:p w14:paraId="59DBE307">
            <w:pPr>
              <w:adjustRightInd w:val="0"/>
              <w:snapToGrid w:val="0"/>
              <w:spacing w:line="440" w:lineRule="exact"/>
              <w:rPr>
                <w:sz w:val="24"/>
              </w:rPr>
            </w:pPr>
            <w:r>
              <w:rPr>
                <w:rFonts w:hint="eastAsia"/>
                <w:sz w:val="24"/>
              </w:rPr>
              <w:t>拐点8</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27.505</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50.089</w:t>
            </w:r>
            <w:r>
              <w:rPr>
                <w:sz w:val="24"/>
              </w:rPr>
              <w:t>秒）</w:t>
            </w:r>
          </w:p>
          <w:p w14:paraId="63A1720F">
            <w:pPr>
              <w:adjustRightInd w:val="0"/>
              <w:snapToGrid w:val="0"/>
              <w:spacing w:line="440" w:lineRule="exact"/>
              <w:rPr>
                <w:sz w:val="24"/>
              </w:rPr>
            </w:pPr>
            <w:r>
              <w:rPr>
                <w:rFonts w:hint="eastAsia"/>
                <w:sz w:val="24"/>
              </w:rPr>
              <w:t>终点：</w:t>
            </w:r>
            <w:r>
              <w:rPr>
                <w:sz w:val="24"/>
              </w:rPr>
              <w:t>（</w:t>
            </w:r>
            <w:r>
              <w:rPr>
                <w:sz w:val="24"/>
                <w:u w:val="single"/>
              </w:rPr>
              <w:t>1</w:t>
            </w:r>
            <w:r>
              <w:rPr>
                <w:rFonts w:hint="eastAsia"/>
                <w:sz w:val="24"/>
                <w:u w:val="single"/>
              </w:rPr>
              <w:t>08</w:t>
            </w:r>
            <w:r>
              <w:rPr>
                <w:sz w:val="24"/>
              </w:rPr>
              <w:t>度</w:t>
            </w:r>
            <w:r>
              <w:rPr>
                <w:rFonts w:hint="eastAsia"/>
                <w:sz w:val="24"/>
                <w:u w:val="single"/>
              </w:rPr>
              <w:t>29</w:t>
            </w:r>
            <w:r>
              <w:rPr>
                <w:sz w:val="24"/>
              </w:rPr>
              <w:t>分</w:t>
            </w:r>
            <w:r>
              <w:rPr>
                <w:rFonts w:hint="eastAsia"/>
                <w:sz w:val="24"/>
                <w:u w:val="single"/>
              </w:rPr>
              <w:t>23.223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47.252</w:t>
            </w:r>
            <w:r>
              <w:rPr>
                <w:sz w:val="24"/>
              </w:rPr>
              <w:t>秒）</w:t>
            </w:r>
          </w:p>
          <w:p w14:paraId="43A1A694">
            <w:pPr>
              <w:adjustRightInd w:val="0"/>
              <w:snapToGrid w:val="0"/>
              <w:spacing w:line="440" w:lineRule="exact"/>
              <w:rPr>
                <w:sz w:val="24"/>
              </w:rPr>
            </w:pPr>
            <w:r>
              <w:rPr>
                <w:rFonts w:hint="eastAsia" w:ascii="宋体" w:hAnsi="宋体"/>
                <w:sz w:val="24"/>
              </w:rPr>
              <w:t>②</w:t>
            </w:r>
            <w:r>
              <w:rPr>
                <w:rFonts w:hint="eastAsia"/>
                <w:sz w:val="24"/>
              </w:rPr>
              <w:t>新氢管道坐标</w:t>
            </w:r>
          </w:p>
          <w:p w14:paraId="2B8062A5">
            <w:pPr>
              <w:adjustRightInd w:val="0"/>
              <w:snapToGrid w:val="0"/>
              <w:spacing w:line="440" w:lineRule="exact"/>
              <w:rPr>
                <w:sz w:val="24"/>
              </w:rPr>
            </w:pPr>
            <w:r>
              <w:rPr>
                <w:sz w:val="24"/>
              </w:rPr>
              <w:t>起点：（</w:t>
            </w:r>
            <w:r>
              <w:rPr>
                <w:rFonts w:hint="eastAsia"/>
                <w:sz w:val="24"/>
                <w:u w:val="single"/>
              </w:rPr>
              <w:t>108</w:t>
            </w:r>
            <w:r>
              <w:rPr>
                <w:sz w:val="24"/>
              </w:rPr>
              <w:t>度</w:t>
            </w:r>
            <w:r>
              <w:rPr>
                <w:rFonts w:hint="eastAsia"/>
                <w:sz w:val="24"/>
                <w:u w:val="single"/>
              </w:rPr>
              <w:t>30</w:t>
            </w:r>
            <w:r>
              <w:rPr>
                <w:sz w:val="24"/>
              </w:rPr>
              <w:t>分</w:t>
            </w:r>
            <w:r>
              <w:rPr>
                <w:rFonts w:hint="eastAsia"/>
                <w:sz w:val="24"/>
                <w:u w:val="single"/>
              </w:rPr>
              <w:t>01.983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53.572</w:t>
            </w:r>
            <w:r>
              <w:rPr>
                <w:sz w:val="24"/>
              </w:rPr>
              <w:t>秒）</w:t>
            </w:r>
          </w:p>
          <w:p w14:paraId="7755167A">
            <w:pPr>
              <w:adjustRightInd w:val="0"/>
              <w:snapToGrid w:val="0"/>
              <w:spacing w:line="440" w:lineRule="exact"/>
              <w:rPr>
                <w:sz w:val="24"/>
              </w:rPr>
            </w:pPr>
            <w:r>
              <w:rPr>
                <w:rFonts w:hint="eastAsia"/>
                <w:sz w:val="24"/>
              </w:rPr>
              <w:t>拐点1</w:t>
            </w:r>
            <w:r>
              <w:rPr>
                <w:sz w:val="24"/>
              </w:rPr>
              <w:t>：（</w:t>
            </w:r>
            <w:r>
              <w:rPr>
                <w:rFonts w:hint="eastAsia"/>
                <w:sz w:val="24"/>
                <w:u w:val="single"/>
              </w:rPr>
              <w:t>108</w:t>
            </w:r>
            <w:r>
              <w:rPr>
                <w:sz w:val="24"/>
              </w:rPr>
              <w:t>度</w:t>
            </w:r>
            <w:r>
              <w:rPr>
                <w:rFonts w:hint="eastAsia"/>
                <w:sz w:val="24"/>
                <w:u w:val="single"/>
              </w:rPr>
              <w:t>30</w:t>
            </w:r>
            <w:r>
              <w:rPr>
                <w:sz w:val="24"/>
              </w:rPr>
              <w:t>分</w:t>
            </w:r>
            <w:r>
              <w:rPr>
                <w:rFonts w:hint="eastAsia"/>
                <w:sz w:val="24"/>
                <w:u w:val="single"/>
              </w:rPr>
              <w:t>03.467</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54.573</w:t>
            </w:r>
            <w:r>
              <w:rPr>
                <w:sz w:val="24"/>
              </w:rPr>
              <w:t>秒）</w:t>
            </w:r>
          </w:p>
          <w:p w14:paraId="164C2B8D">
            <w:pPr>
              <w:adjustRightInd w:val="0"/>
              <w:snapToGrid w:val="0"/>
              <w:spacing w:line="440" w:lineRule="exact"/>
              <w:rPr>
                <w:sz w:val="24"/>
              </w:rPr>
            </w:pPr>
            <w:r>
              <w:rPr>
                <w:rFonts w:hint="eastAsia"/>
                <w:sz w:val="24"/>
              </w:rPr>
              <w:t>拐点2</w:t>
            </w:r>
            <w:r>
              <w:rPr>
                <w:sz w:val="24"/>
              </w:rPr>
              <w:t>：（</w:t>
            </w:r>
            <w:r>
              <w:rPr>
                <w:rFonts w:hint="eastAsia"/>
                <w:sz w:val="24"/>
                <w:u w:val="single"/>
              </w:rPr>
              <w:t>108</w:t>
            </w:r>
            <w:r>
              <w:rPr>
                <w:sz w:val="24"/>
              </w:rPr>
              <w:t>度</w:t>
            </w:r>
            <w:r>
              <w:rPr>
                <w:rFonts w:hint="eastAsia"/>
                <w:sz w:val="24"/>
                <w:u w:val="single"/>
              </w:rPr>
              <w:t>30</w:t>
            </w:r>
            <w:r>
              <w:rPr>
                <w:sz w:val="24"/>
              </w:rPr>
              <w:t>分</w:t>
            </w:r>
            <w:r>
              <w:rPr>
                <w:rFonts w:hint="eastAsia"/>
                <w:sz w:val="24"/>
                <w:u w:val="single"/>
              </w:rPr>
              <w:t>03.313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54.695</w:t>
            </w:r>
            <w:r>
              <w:rPr>
                <w:sz w:val="24"/>
              </w:rPr>
              <w:t>秒）</w:t>
            </w:r>
          </w:p>
          <w:p w14:paraId="032F82FD">
            <w:pPr>
              <w:adjustRightInd w:val="0"/>
              <w:snapToGrid w:val="0"/>
              <w:spacing w:line="440" w:lineRule="exact"/>
              <w:rPr>
                <w:sz w:val="24"/>
              </w:rPr>
            </w:pPr>
            <w:r>
              <w:rPr>
                <w:rFonts w:hint="eastAsia"/>
                <w:sz w:val="24"/>
              </w:rPr>
              <w:t>拐点3</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54.917</w:t>
            </w:r>
            <w:r>
              <w:rPr>
                <w:sz w:val="24"/>
              </w:rPr>
              <w:t>秒，</w:t>
            </w:r>
            <w:r>
              <w:rPr>
                <w:rFonts w:hint="eastAsia"/>
                <w:sz w:val="24"/>
                <w:u w:val="single"/>
              </w:rPr>
              <w:t>40</w:t>
            </w:r>
            <w:r>
              <w:rPr>
                <w:sz w:val="24"/>
              </w:rPr>
              <w:t>度</w:t>
            </w:r>
            <w:r>
              <w:rPr>
                <w:rFonts w:hint="eastAsia"/>
                <w:sz w:val="24"/>
                <w:u w:val="single"/>
              </w:rPr>
              <w:t>02</w:t>
            </w:r>
            <w:r>
              <w:rPr>
                <w:sz w:val="24"/>
              </w:rPr>
              <w:t>分</w:t>
            </w:r>
            <w:r>
              <w:rPr>
                <w:rFonts w:hint="eastAsia"/>
                <w:sz w:val="24"/>
                <w:u w:val="single"/>
              </w:rPr>
              <w:t>01.718</w:t>
            </w:r>
            <w:r>
              <w:rPr>
                <w:sz w:val="24"/>
              </w:rPr>
              <w:t>秒）</w:t>
            </w:r>
          </w:p>
          <w:p w14:paraId="50C0D151">
            <w:pPr>
              <w:adjustRightInd w:val="0"/>
              <w:snapToGrid w:val="0"/>
              <w:spacing w:line="440" w:lineRule="exact"/>
              <w:rPr>
                <w:sz w:val="24"/>
              </w:rPr>
            </w:pPr>
            <w:r>
              <w:rPr>
                <w:rFonts w:hint="eastAsia"/>
                <w:sz w:val="24"/>
              </w:rPr>
              <w:t>拐点4</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38.478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50.170</w:t>
            </w:r>
            <w:r>
              <w:rPr>
                <w:sz w:val="24"/>
              </w:rPr>
              <w:t>秒）</w:t>
            </w:r>
          </w:p>
          <w:p w14:paraId="102AED1E">
            <w:pPr>
              <w:adjustRightInd w:val="0"/>
              <w:snapToGrid w:val="0"/>
              <w:spacing w:line="440" w:lineRule="exact"/>
              <w:rPr>
                <w:sz w:val="24"/>
              </w:rPr>
            </w:pPr>
            <w:r>
              <w:rPr>
                <w:rFonts w:hint="eastAsia"/>
                <w:sz w:val="24"/>
              </w:rPr>
              <w:t>拐点5</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38.388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50.246</w:t>
            </w:r>
            <w:r>
              <w:rPr>
                <w:sz w:val="24"/>
              </w:rPr>
              <w:t>秒）</w:t>
            </w:r>
          </w:p>
          <w:p w14:paraId="59D75676">
            <w:pPr>
              <w:adjustRightInd w:val="0"/>
              <w:snapToGrid w:val="0"/>
              <w:spacing w:line="440" w:lineRule="exact"/>
              <w:rPr>
                <w:sz w:val="24"/>
              </w:rPr>
            </w:pPr>
            <w:r>
              <w:rPr>
                <w:rFonts w:hint="eastAsia"/>
                <w:sz w:val="24"/>
              </w:rPr>
              <w:t>拐点6</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32.374</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46.007</w:t>
            </w:r>
            <w:r>
              <w:rPr>
                <w:sz w:val="24"/>
              </w:rPr>
              <w:t>秒）</w:t>
            </w:r>
          </w:p>
          <w:p w14:paraId="351CE068">
            <w:pPr>
              <w:adjustRightInd w:val="0"/>
              <w:snapToGrid w:val="0"/>
              <w:spacing w:line="440" w:lineRule="exact"/>
              <w:rPr>
                <w:sz w:val="24"/>
              </w:rPr>
            </w:pPr>
            <w:r>
              <w:rPr>
                <w:rFonts w:hint="eastAsia"/>
                <w:sz w:val="24"/>
              </w:rPr>
              <w:t>拐点7</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27.505</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50.089</w:t>
            </w:r>
            <w:r>
              <w:rPr>
                <w:sz w:val="24"/>
              </w:rPr>
              <w:t>秒）</w:t>
            </w:r>
          </w:p>
          <w:p w14:paraId="2FD9D311">
            <w:pPr>
              <w:adjustRightInd w:val="0"/>
              <w:snapToGrid w:val="0"/>
              <w:spacing w:line="440" w:lineRule="exact"/>
              <w:rPr>
                <w:sz w:val="24"/>
              </w:rPr>
            </w:pPr>
            <w:r>
              <w:rPr>
                <w:rFonts w:hint="eastAsia"/>
                <w:sz w:val="24"/>
              </w:rPr>
              <w:t>终点：</w:t>
            </w:r>
            <w:r>
              <w:rPr>
                <w:sz w:val="24"/>
              </w:rPr>
              <w:t>（</w:t>
            </w:r>
            <w:r>
              <w:rPr>
                <w:sz w:val="24"/>
                <w:u w:val="single"/>
              </w:rPr>
              <w:t>1</w:t>
            </w:r>
            <w:r>
              <w:rPr>
                <w:rFonts w:hint="eastAsia"/>
                <w:sz w:val="24"/>
                <w:u w:val="single"/>
              </w:rPr>
              <w:t>08</w:t>
            </w:r>
            <w:r>
              <w:rPr>
                <w:sz w:val="24"/>
              </w:rPr>
              <w:t>度</w:t>
            </w:r>
            <w:r>
              <w:rPr>
                <w:rFonts w:hint="eastAsia"/>
                <w:sz w:val="24"/>
                <w:u w:val="single"/>
              </w:rPr>
              <w:t>29</w:t>
            </w:r>
            <w:r>
              <w:rPr>
                <w:sz w:val="24"/>
              </w:rPr>
              <w:t>分</w:t>
            </w:r>
            <w:r>
              <w:rPr>
                <w:rFonts w:hint="eastAsia"/>
                <w:sz w:val="24"/>
                <w:u w:val="single"/>
              </w:rPr>
              <w:t>23.223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47.252</w:t>
            </w:r>
            <w:r>
              <w:rPr>
                <w:sz w:val="24"/>
              </w:rPr>
              <w:t>秒）</w:t>
            </w:r>
          </w:p>
          <w:p w14:paraId="5283127C">
            <w:pPr>
              <w:adjustRightInd w:val="0"/>
              <w:snapToGrid w:val="0"/>
              <w:spacing w:line="440" w:lineRule="exact"/>
              <w:rPr>
                <w:sz w:val="24"/>
              </w:rPr>
            </w:pPr>
            <w:r>
              <w:rPr>
                <w:rFonts w:hint="eastAsia" w:ascii="宋体" w:hAnsi="宋体"/>
                <w:sz w:val="24"/>
              </w:rPr>
              <w:t>③</w:t>
            </w:r>
            <w:r>
              <w:rPr>
                <w:rFonts w:hint="eastAsia"/>
                <w:kern w:val="0"/>
                <w:sz w:val="24"/>
              </w:rPr>
              <w:t>烷烃返回料管道坐标</w:t>
            </w:r>
          </w:p>
          <w:p w14:paraId="0968FAB0">
            <w:pPr>
              <w:adjustRightInd w:val="0"/>
              <w:snapToGrid w:val="0"/>
              <w:spacing w:line="440" w:lineRule="exact"/>
              <w:rPr>
                <w:sz w:val="24"/>
              </w:rPr>
            </w:pPr>
            <w:bookmarkStart w:id="6" w:name="OLE_LINK2"/>
            <w:r>
              <w:rPr>
                <w:sz w:val="24"/>
              </w:rPr>
              <w:t>起点：（</w:t>
            </w:r>
            <w:r>
              <w:rPr>
                <w:rFonts w:hint="eastAsia"/>
                <w:sz w:val="24"/>
                <w:u w:val="single"/>
              </w:rPr>
              <w:t>108</w:t>
            </w:r>
            <w:r>
              <w:rPr>
                <w:sz w:val="24"/>
              </w:rPr>
              <w:t>度</w:t>
            </w:r>
            <w:r>
              <w:rPr>
                <w:rFonts w:hint="eastAsia"/>
                <w:sz w:val="24"/>
                <w:u w:val="single"/>
              </w:rPr>
              <w:t>29</w:t>
            </w:r>
            <w:r>
              <w:rPr>
                <w:sz w:val="24"/>
              </w:rPr>
              <w:t>分</w:t>
            </w:r>
            <w:r>
              <w:rPr>
                <w:rFonts w:hint="eastAsia"/>
                <w:sz w:val="24"/>
                <w:u w:val="single"/>
              </w:rPr>
              <w:t>56.247</w:t>
            </w:r>
            <w:r>
              <w:rPr>
                <w:sz w:val="24"/>
              </w:rPr>
              <w:t>秒，</w:t>
            </w:r>
            <w:r>
              <w:rPr>
                <w:rFonts w:hint="eastAsia"/>
                <w:sz w:val="24"/>
                <w:u w:val="single"/>
              </w:rPr>
              <w:t>40</w:t>
            </w:r>
            <w:r>
              <w:rPr>
                <w:sz w:val="24"/>
              </w:rPr>
              <w:t>度</w:t>
            </w:r>
            <w:r>
              <w:rPr>
                <w:rFonts w:hint="eastAsia"/>
                <w:sz w:val="24"/>
                <w:u w:val="single"/>
              </w:rPr>
              <w:t>02</w:t>
            </w:r>
            <w:r>
              <w:rPr>
                <w:sz w:val="24"/>
              </w:rPr>
              <w:t>分</w:t>
            </w:r>
            <w:r>
              <w:rPr>
                <w:rFonts w:hint="eastAsia"/>
                <w:sz w:val="24"/>
                <w:u w:val="single"/>
              </w:rPr>
              <w:t>03.779</w:t>
            </w:r>
            <w:r>
              <w:rPr>
                <w:sz w:val="24"/>
              </w:rPr>
              <w:t>秒）</w:t>
            </w:r>
          </w:p>
          <w:p w14:paraId="1B65EB09">
            <w:pPr>
              <w:adjustRightInd w:val="0"/>
              <w:snapToGrid w:val="0"/>
              <w:spacing w:line="440" w:lineRule="exact"/>
              <w:rPr>
                <w:sz w:val="24"/>
              </w:rPr>
            </w:pPr>
            <w:r>
              <w:rPr>
                <w:rFonts w:hint="eastAsia"/>
                <w:sz w:val="24"/>
              </w:rPr>
              <w:t>拐点1</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56.988</w:t>
            </w:r>
            <w:r>
              <w:rPr>
                <w:sz w:val="24"/>
              </w:rPr>
              <w:t>秒，</w:t>
            </w:r>
            <w:r>
              <w:rPr>
                <w:rFonts w:hint="eastAsia"/>
                <w:sz w:val="24"/>
                <w:u w:val="single"/>
              </w:rPr>
              <w:t>40</w:t>
            </w:r>
            <w:r>
              <w:rPr>
                <w:sz w:val="24"/>
              </w:rPr>
              <w:t>度</w:t>
            </w:r>
            <w:r>
              <w:rPr>
                <w:rFonts w:hint="eastAsia"/>
                <w:sz w:val="24"/>
                <w:u w:val="single"/>
              </w:rPr>
              <w:t>02</w:t>
            </w:r>
            <w:r>
              <w:rPr>
                <w:sz w:val="24"/>
              </w:rPr>
              <w:t>分</w:t>
            </w:r>
            <w:r>
              <w:rPr>
                <w:rFonts w:hint="eastAsia"/>
                <w:sz w:val="24"/>
                <w:u w:val="single"/>
              </w:rPr>
              <w:t>03.164</w:t>
            </w:r>
            <w:r>
              <w:rPr>
                <w:sz w:val="24"/>
              </w:rPr>
              <w:t>秒）</w:t>
            </w:r>
          </w:p>
          <w:p w14:paraId="2FF67B7B">
            <w:pPr>
              <w:adjustRightInd w:val="0"/>
              <w:snapToGrid w:val="0"/>
              <w:spacing w:line="440" w:lineRule="exact"/>
              <w:rPr>
                <w:sz w:val="24"/>
              </w:rPr>
            </w:pPr>
            <w:r>
              <w:rPr>
                <w:rFonts w:hint="eastAsia"/>
                <w:sz w:val="24"/>
              </w:rPr>
              <w:t>拐点2</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38.478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50.170</w:t>
            </w:r>
            <w:r>
              <w:rPr>
                <w:sz w:val="24"/>
              </w:rPr>
              <w:t>秒）</w:t>
            </w:r>
          </w:p>
          <w:p w14:paraId="1DEBF4E7">
            <w:pPr>
              <w:adjustRightInd w:val="0"/>
              <w:snapToGrid w:val="0"/>
              <w:spacing w:line="440" w:lineRule="exact"/>
              <w:rPr>
                <w:sz w:val="24"/>
              </w:rPr>
            </w:pPr>
            <w:r>
              <w:rPr>
                <w:rFonts w:hint="eastAsia"/>
                <w:sz w:val="24"/>
              </w:rPr>
              <w:t>拐点3</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38.388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50.246</w:t>
            </w:r>
            <w:r>
              <w:rPr>
                <w:sz w:val="24"/>
              </w:rPr>
              <w:t>秒）</w:t>
            </w:r>
          </w:p>
          <w:p w14:paraId="001F05E2">
            <w:pPr>
              <w:adjustRightInd w:val="0"/>
              <w:snapToGrid w:val="0"/>
              <w:spacing w:line="440" w:lineRule="exact"/>
              <w:rPr>
                <w:sz w:val="24"/>
              </w:rPr>
            </w:pPr>
            <w:r>
              <w:rPr>
                <w:rFonts w:hint="eastAsia"/>
                <w:sz w:val="24"/>
              </w:rPr>
              <w:t>拐点4</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32.374</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46.007</w:t>
            </w:r>
            <w:r>
              <w:rPr>
                <w:sz w:val="24"/>
              </w:rPr>
              <w:t>秒）</w:t>
            </w:r>
          </w:p>
          <w:p w14:paraId="413158E9">
            <w:pPr>
              <w:adjustRightInd w:val="0"/>
              <w:snapToGrid w:val="0"/>
              <w:spacing w:line="440" w:lineRule="exact"/>
              <w:rPr>
                <w:sz w:val="24"/>
              </w:rPr>
            </w:pPr>
            <w:r>
              <w:rPr>
                <w:rFonts w:hint="eastAsia"/>
                <w:sz w:val="24"/>
              </w:rPr>
              <w:t>拐点5</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27.505</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50.089</w:t>
            </w:r>
            <w:r>
              <w:rPr>
                <w:sz w:val="24"/>
              </w:rPr>
              <w:t>秒）</w:t>
            </w:r>
          </w:p>
          <w:p w14:paraId="1D2CCA20">
            <w:pPr>
              <w:adjustRightInd w:val="0"/>
              <w:snapToGrid w:val="0"/>
              <w:spacing w:line="440" w:lineRule="exact"/>
              <w:rPr>
                <w:sz w:val="24"/>
              </w:rPr>
            </w:pPr>
            <w:r>
              <w:rPr>
                <w:rFonts w:hint="eastAsia"/>
                <w:sz w:val="24"/>
              </w:rPr>
              <w:t>终点</w:t>
            </w:r>
            <w:r>
              <w:rPr>
                <w:sz w:val="24"/>
              </w:rPr>
              <w:t>：（</w:t>
            </w:r>
            <w:r>
              <w:rPr>
                <w:sz w:val="24"/>
                <w:u w:val="single"/>
              </w:rPr>
              <w:t>1</w:t>
            </w:r>
            <w:r>
              <w:rPr>
                <w:rFonts w:hint="eastAsia"/>
                <w:sz w:val="24"/>
                <w:u w:val="single"/>
              </w:rPr>
              <w:t>08</w:t>
            </w:r>
            <w:r>
              <w:rPr>
                <w:sz w:val="24"/>
              </w:rPr>
              <w:t>度</w:t>
            </w:r>
            <w:r>
              <w:rPr>
                <w:rFonts w:hint="eastAsia"/>
                <w:sz w:val="24"/>
                <w:u w:val="single"/>
              </w:rPr>
              <w:t>29</w:t>
            </w:r>
            <w:r>
              <w:rPr>
                <w:sz w:val="24"/>
              </w:rPr>
              <w:t>分</w:t>
            </w:r>
            <w:r>
              <w:rPr>
                <w:rFonts w:hint="eastAsia"/>
                <w:sz w:val="24"/>
                <w:u w:val="single"/>
              </w:rPr>
              <w:t>23.223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47.252</w:t>
            </w:r>
            <w:r>
              <w:rPr>
                <w:sz w:val="24"/>
              </w:rPr>
              <w:t>秒）</w:t>
            </w:r>
            <w:bookmarkEnd w:id="6"/>
          </w:p>
          <w:p w14:paraId="5A52E991">
            <w:pPr>
              <w:adjustRightInd w:val="0"/>
              <w:snapToGrid w:val="0"/>
              <w:spacing w:line="440" w:lineRule="exact"/>
              <w:rPr>
                <w:sz w:val="24"/>
              </w:rPr>
            </w:pPr>
            <w:r>
              <w:rPr>
                <w:rFonts w:hint="eastAsia" w:ascii="宋体" w:hAnsi="宋体"/>
                <w:sz w:val="24"/>
              </w:rPr>
              <w:t>④</w:t>
            </w:r>
            <w:r>
              <w:rPr>
                <w:rFonts w:hint="eastAsia"/>
                <w:sz w:val="24"/>
              </w:rPr>
              <w:t>排放气管道坐标</w:t>
            </w:r>
          </w:p>
          <w:p w14:paraId="39D74581">
            <w:pPr>
              <w:adjustRightInd w:val="0"/>
              <w:snapToGrid w:val="0"/>
              <w:spacing w:line="440" w:lineRule="exact"/>
              <w:rPr>
                <w:sz w:val="24"/>
              </w:rPr>
            </w:pPr>
            <w:r>
              <w:rPr>
                <w:sz w:val="24"/>
              </w:rPr>
              <w:t>起点：（</w:t>
            </w:r>
            <w:r>
              <w:rPr>
                <w:rFonts w:hint="eastAsia"/>
                <w:sz w:val="24"/>
                <w:u w:val="single"/>
              </w:rPr>
              <w:t>108</w:t>
            </w:r>
            <w:r>
              <w:rPr>
                <w:sz w:val="24"/>
              </w:rPr>
              <w:t>度</w:t>
            </w:r>
            <w:r>
              <w:rPr>
                <w:rFonts w:hint="eastAsia"/>
                <w:sz w:val="24"/>
                <w:u w:val="single"/>
              </w:rPr>
              <w:t>29</w:t>
            </w:r>
            <w:r>
              <w:rPr>
                <w:sz w:val="24"/>
              </w:rPr>
              <w:t>分</w:t>
            </w:r>
            <w:r>
              <w:rPr>
                <w:rFonts w:hint="eastAsia"/>
                <w:sz w:val="24"/>
                <w:u w:val="single"/>
              </w:rPr>
              <w:t>43.159</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53.825</w:t>
            </w:r>
            <w:r>
              <w:rPr>
                <w:sz w:val="24"/>
              </w:rPr>
              <w:t>秒）</w:t>
            </w:r>
          </w:p>
          <w:p w14:paraId="129239F0">
            <w:pPr>
              <w:adjustRightInd w:val="0"/>
              <w:snapToGrid w:val="0"/>
              <w:spacing w:line="440" w:lineRule="exact"/>
              <w:rPr>
                <w:sz w:val="24"/>
              </w:rPr>
            </w:pPr>
            <w:r>
              <w:rPr>
                <w:rFonts w:hint="eastAsia"/>
                <w:sz w:val="24"/>
              </w:rPr>
              <w:t>拐点1</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43.393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53.626</w:t>
            </w:r>
            <w:r>
              <w:rPr>
                <w:sz w:val="24"/>
              </w:rPr>
              <w:t>秒）</w:t>
            </w:r>
          </w:p>
          <w:p w14:paraId="0EC55806">
            <w:pPr>
              <w:adjustRightInd w:val="0"/>
              <w:snapToGrid w:val="0"/>
              <w:spacing w:line="440" w:lineRule="exact"/>
              <w:rPr>
                <w:sz w:val="24"/>
              </w:rPr>
            </w:pPr>
            <w:r>
              <w:rPr>
                <w:rFonts w:hint="eastAsia"/>
                <w:sz w:val="24"/>
              </w:rPr>
              <w:t>拐点2</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38.478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50.170</w:t>
            </w:r>
            <w:r>
              <w:rPr>
                <w:sz w:val="24"/>
              </w:rPr>
              <w:t>秒）</w:t>
            </w:r>
          </w:p>
          <w:p w14:paraId="43CE9B9F">
            <w:pPr>
              <w:adjustRightInd w:val="0"/>
              <w:snapToGrid w:val="0"/>
              <w:spacing w:line="440" w:lineRule="exact"/>
              <w:rPr>
                <w:sz w:val="24"/>
              </w:rPr>
            </w:pPr>
            <w:r>
              <w:rPr>
                <w:rFonts w:hint="eastAsia"/>
                <w:sz w:val="24"/>
              </w:rPr>
              <w:t>拐点3</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38.388</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50.246</w:t>
            </w:r>
            <w:r>
              <w:rPr>
                <w:sz w:val="24"/>
              </w:rPr>
              <w:t>秒）</w:t>
            </w:r>
          </w:p>
          <w:p w14:paraId="6834FA80">
            <w:pPr>
              <w:adjustRightInd w:val="0"/>
              <w:snapToGrid w:val="0"/>
              <w:spacing w:line="440" w:lineRule="exact"/>
              <w:rPr>
                <w:sz w:val="24"/>
              </w:rPr>
            </w:pPr>
            <w:r>
              <w:rPr>
                <w:rFonts w:hint="eastAsia"/>
                <w:sz w:val="24"/>
              </w:rPr>
              <w:t>拐点4</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32.374</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46.007</w:t>
            </w:r>
            <w:r>
              <w:rPr>
                <w:sz w:val="24"/>
              </w:rPr>
              <w:t>秒）</w:t>
            </w:r>
          </w:p>
          <w:p w14:paraId="537AF53D">
            <w:pPr>
              <w:adjustRightInd w:val="0"/>
              <w:snapToGrid w:val="0"/>
              <w:spacing w:line="440" w:lineRule="exact"/>
              <w:rPr>
                <w:sz w:val="24"/>
              </w:rPr>
            </w:pPr>
            <w:r>
              <w:rPr>
                <w:rFonts w:hint="eastAsia"/>
                <w:sz w:val="24"/>
              </w:rPr>
              <w:t>拐点5</w:t>
            </w:r>
            <w:r>
              <w:rPr>
                <w:sz w:val="24"/>
              </w:rPr>
              <w:t>：（</w:t>
            </w:r>
            <w:r>
              <w:rPr>
                <w:rFonts w:hint="eastAsia"/>
                <w:sz w:val="24"/>
                <w:u w:val="single"/>
              </w:rPr>
              <w:t>108</w:t>
            </w:r>
            <w:r>
              <w:rPr>
                <w:sz w:val="24"/>
              </w:rPr>
              <w:t>度</w:t>
            </w:r>
            <w:r>
              <w:rPr>
                <w:rFonts w:hint="eastAsia"/>
                <w:sz w:val="24"/>
                <w:u w:val="single"/>
              </w:rPr>
              <w:t>29</w:t>
            </w:r>
            <w:r>
              <w:rPr>
                <w:sz w:val="24"/>
              </w:rPr>
              <w:t>分</w:t>
            </w:r>
            <w:r>
              <w:rPr>
                <w:rFonts w:hint="eastAsia"/>
                <w:sz w:val="24"/>
                <w:u w:val="single"/>
              </w:rPr>
              <w:t>27.505</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50.089</w:t>
            </w:r>
            <w:r>
              <w:rPr>
                <w:sz w:val="24"/>
              </w:rPr>
              <w:t>秒）</w:t>
            </w:r>
          </w:p>
          <w:p w14:paraId="2F1EFEDA">
            <w:pPr>
              <w:adjustRightInd w:val="0"/>
              <w:snapToGrid w:val="0"/>
              <w:spacing w:line="440" w:lineRule="exact"/>
              <w:jc w:val="left"/>
              <w:rPr>
                <w:sz w:val="24"/>
              </w:rPr>
            </w:pPr>
            <w:r>
              <w:rPr>
                <w:rFonts w:hint="eastAsia"/>
                <w:sz w:val="24"/>
              </w:rPr>
              <w:t>终点</w:t>
            </w:r>
            <w:r>
              <w:rPr>
                <w:sz w:val="24"/>
              </w:rPr>
              <w:t>：（</w:t>
            </w:r>
            <w:r>
              <w:rPr>
                <w:sz w:val="24"/>
                <w:u w:val="single"/>
              </w:rPr>
              <w:t>1</w:t>
            </w:r>
            <w:r>
              <w:rPr>
                <w:rFonts w:hint="eastAsia"/>
                <w:sz w:val="24"/>
                <w:u w:val="single"/>
              </w:rPr>
              <w:t>08</w:t>
            </w:r>
            <w:r>
              <w:rPr>
                <w:sz w:val="24"/>
              </w:rPr>
              <w:t>度</w:t>
            </w:r>
            <w:r>
              <w:rPr>
                <w:rFonts w:hint="eastAsia"/>
                <w:sz w:val="24"/>
                <w:u w:val="single"/>
              </w:rPr>
              <w:t>29</w:t>
            </w:r>
            <w:r>
              <w:rPr>
                <w:sz w:val="24"/>
              </w:rPr>
              <w:t>分</w:t>
            </w:r>
            <w:r>
              <w:rPr>
                <w:rFonts w:hint="eastAsia"/>
                <w:sz w:val="24"/>
                <w:u w:val="single"/>
              </w:rPr>
              <w:t>23.223</w:t>
            </w:r>
            <w:r>
              <w:rPr>
                <w:sz w:val="24"/>
              </w:rPr>
              <w:t>秒，</w:t>
            </w:r>
            <w:r>
              <w:rPr>
                <w:rFonts w:hint="eastAsia"/>
                <w:sz w:val="24"/>
                <w:u w:val="single"/>
              </w:rPr>
              <w:t>40</w:t>
            </w:r>
            <w:r>
              <w:rPr>
                <w:sz w:val="24"/>
              </w:rPr>
              <w:t>度</w:t>
            </w:r>
            <w:r>
              <w:rPr>
                <w:rFonts w:hint="eastAsia"/>
                <w:sz w:val="24"/>
                <w:u w:val="single"/>
              </w:rPr>
              <w:t>01</w:t>
            </w:r>
            <w:r>
              <w:rPr>
                <w:sz w:val="24"/>
              </w:rPr>
              <w:t>分</w:t>
            </w:r>
            <w:r>
              <w:rPr>
                <w:rFonts w:hint="eastAsia"/>
                <w:sz w:val="24"/>
                <w:u w:val="single"/>
              </w:rPr>
              <w:t>47.252</w:t>
            </w:r>
            <w:r>
              <w:rPr>
                <w:sz w:val="24"/>
              </w:rPr>
              <w:t>秒）</w:t>
            </w:r>
          </w:p>
        </w:tc>
      </w:tr>
      <w:tr w14:paraId="320CBE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1BE0F018">
            <w:pPr>
              <w:adjustRightInd w:val="0"/>
              <w:snapToGrid w:val="0"/>
              <w:spacing w:line="440" w:lineRule="exact"/>
              <w:jc w:val="center"/>
              <w:rPr>
                <w:sz w:val="24"/>
              </w:rPr>
            </w:pPr>
            <w:r>
              <w:rPr>
                <w:sz w:val="24"/>
              </w:rPr>
              <w:t>建设项目</w:t>
            </w:r>
          </w:p>
          <w:p w14:paraId="1F679632">
            <w:pPr>
              <w:adjustRightInd w:val="0"/>
              <w:snapToGrid w:val="0"/>
              <w:spacing w:line="440" w:lineRule="exact"/>
              <w:jc w:val="center"/>
              <w:rPr>
                <w:sz w:val="24"/>
              </w:rPr>
            </w:pPr>
            <w:r>
              <w:rPr>
                <w:sz w:val="24"/>
              </w:rPr>
              <w:t>行业类别</w:t>
            </w:r>
          </w:p>
        </w:tc>
        <w:tc>
          <w:tcPr>
            <w:tcW w:w="1489" w:type="pct"/>
            <w:gridSpan w:val="2"/>
            <w:vAlign w:val="center"/>
          </w:tcPr>
          <w:p w14:paraId="63F9CEF5">
            <w:pPr>
              <w:adjustRightInd w:val="0"/>
              <w:snapToGrid w:val="0"/>
              <w:spacing w:line="440" w:lineRule="exact"/>
              <w:jc w:val="center"/>
              <w:rPr>
                <w:sz w:val="24"/>
              </w:rPr>
            </w:pPr>
            <w:r>
              <w:rPr>
                <w:sz w:val="24"/>
              </w:rPr>
              <w:t>五十二、交通运输业、管道运输</w:t>
            </w:r>
          </w:p>
        </w:tc>
        <w:tc>
          <w:tcPr>
            <w:tcW w:w="1019" w:type="pct"/>
            <w:vAlign w:val="center"/>
          </w:tcPr>
          <w:p w14:paraId="01858232">
            <w:pPr>
              <w:adjustRightInd w:val="0"/>
              <w:snapToGrid w:val="0"/>
              <w:spacing w:line="440" w:lineRule="exact"/>
              <w:jc w:val="center"/>
              <w:rPr>
                <w:sz w:val="24"/>
              </w:rPr>
            </w:pPr>
            <w:r>
              <w:rPr>
                <w:sz w:val="24"/>
              </w:rPr>
              <w:t>用地（用海）面积（m</w:t>
            </w:r>
            <w:r>
              <w:rPr>
                <w:sz w:val="24"/>
                <w:vertAlign w:val="superscript"/>
              </w:rPr>
              <w:t>2</w:t>
            </w:r>
            <w:r>
              <w:rPr>
                <w:sz w:val="24"/>
              </w:rPr>
              <w:t>）/长度（km）</w:t>
            </w:r>
          </w:p>
        </w:tc>
        <w:tc>
          <w:tcPr>
            <w:tcW w:w="1473" w:type="pct"/>
            <w:gridSpan w:val="2"/>
            <w:vAlign w:val="center"/>
          </w:tcPr>
          <w:p w14:paraId="79E06EEF">
            <w:pPr>
              <w:adjustRightInd w:val="0"/>
              <w:snapToGrid w:val="0"/>
              <w:spacing w:line="440" w:lineRule="exact"/>
              <w:jc w:val="center"/>
              <w:rPr>
                <w:sz w:val="24"/>
              </w:rPr>
            </w:pPr>
            <w:r>
              <w:rPr>
                <w:sz w:val="24"/>
              </w:rPr>
              <w:t>不新增</w:t>
            </w:r>
            <w:r>
              <w:rPr>
                <w:rFonts w:hint="eastAsia"/>
                <w:sz w:val="24"/>
              </w:rPr>
              <w:t>永久</w:t>
            </w:r>
            <w:r>
              <w:rPr>
                <w:sz w:val="24"/>
              </w:rPr>
              <w:t>占地</w:t>
            </w:r>
            <w:r>
              <w:rPr>
                <w:rFonts w:hint="eastAsia"/>
                <w:sz w:val="24"/>
              </w:rPr>
              <w:t>，临时占地面积200m</w:t>
            </w:r>
            <w:r>
              <w:rPr>
                <w:rFonts w:hint="eastAsia"/>
                <w:sz w:val="24"/>
                <w:vertAlign w:val="superscript"/>
              </w:rPr>
              <w:t>2</w:t>
            </w:r>
            <w:r>
              <w:rPr>
                <w:sz w:val="24"/>
              </w:rPr>
              <w:t>/</w:t>
            </w:r>
            <w:r>
              <w:rPr>
                <w:rFonts w:hint="eastAsia"/>
                <w:sz w:val="24"/>
              </w:rPr>
              <w:t>管道长度5.72km</w:t>
            </w:r>
          </w:p>
        </w:tc>
      </w:tr>
      <w:tr w14:paraId="15D9E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2DF7635E">
            <w:pPr>
              <w:adjustRightInd w:val="0"/>
              <w:snapToGrid w:val="0"/>
              <w:spacing w:line="440" w:lineRule="exact"/>
              <w:jc w:val="center"/>
              <w:rPr>
                <w:sz w:val="24"/>
              </w:rPr>
            </w:pPr>
            <w:r>
              <w:rPr>
                <w:sz w:val="24"/>
              </w:rPr>
              <w:t>建设性质</w:t>
            </w:r>
          </w:p>
        </w:tc>
        <w:tc>
          <w:tcPr>
            <w:tcW w:w="1489" w:type="pct"/>
            <w:gridSpan w:val="2"/>
            <w:vAlign w:val="center"/>
          </w:tcPr>
          <w:p w14:paraId="06ABEAD0">
            <w:pPr>
              <w:adjustRightInd w:val="0"/>
              <w:snapToGrid w:val="0"/>
              <w:spacing w:line="440" w:lineRule="exact"/>
              <w:jc w:val="left"/>
              <w:rPr>
                <w:sz w:val="24"/>
              </w:rPr>
            </w:pPr>
            <w:r>
              <w:rPr>
                <w:sz w:val="24"/>
              </w:rPr>
              <w:t>■新建（迁建）</w:t>
            </w:r>
          </w:p>
          <w:p w14:paraId="0C5BE2FD">
            <w:pPr>
              <w:adjustRightInd w:val="0"/>
              <w:snapToGrid w:val="0"/>
              <w:spacing w:line="440" w:lineRule="exact"/>
              <w:jc w:val="left"/>
              <w:rPr>
                <w:sz w:val="24"/>
              </w:rPr>
            </w:pPr>
            <w:r>
              <w:rPr>
                <w:sz w:val="24"/>
              </w:rPr>
              <w:t>□改建</w:t>
            </w:r>
          </w:p>
          <w:p w14:paraId="3C1FCAF1">
            <w:pPr>
              <w:adjustRightInd w:val="0"/>
              <w:snapToGrid w:val="0"/>
              <w:spacing w:line="440" w:lineRule="exact"/>
              <w:jc w:val="left"/>
              <w:rPr>
                <w:sz w:val="24"/>
              </w:rPr>
            </w:pPr>
            <w:r>
              <w:rPr>
                <w:sz w:val="24"/>
              </w:rPr>
              <w:t>□扩建</w:t>
            </w:r>
          </w:p>
          <w:p w14:paraId="2AB960E2">
            <w:pPr>
              <w:adjustRightInd w:val="0"/>
              <w:snapToGrid w:val="0"/>
              <w:spacing w:line="440" w:lineRule="exact"/>
              <w:jc w:val="left"/>
              <w:rPr>
                <w:sz w:val="24"/>
              </w:rPr>
            </w:pPr>
            <w:r>
              <w:rPr>
                <w:sz w:val="24"/>
              </w:rPr>
              <w:t>□技术改造</w:t>
            </w:r>
          </w:p>
        </w:tc>
        <w:tc>
          <w:tcPr>
            <w:tcW w:w="1019" w:type="pct"/>
            <w:vAlign w:val="center"/>
          </w:tcPr>
          <w:p w14:paraId="24C69612">
            <w:pPr>
              <w:adjustRightInd w:val="0"/>
              <w:snapToGrid w:val="0"/>
              <w:spacing w:line="440" w:lineRule="exact"/>
              <w:jc w:val="center"/>
              <w:rPr>
                <w:sz w:val="24"/>
              </w:rPr>
            </w:pPr>
            <w:r>
              <w:rPr>
                <w:sz w:val="24"/>
              </w:rPr>
              <w:t>建设项目</w:t>
            </w:r>
          </w:p>
          <w:p w14:paraId="7177ED74">
            <w:pPr>
              <w:adjustRightInd w:val="0"/>
              <w:snapToGrid w:val="0"/>
              <w:spacing w:line="440" w:lineRule="exact"/>
              <w:jc w:val="center"/>
              <w:rPr>
                <w:sz w:val="24"/>
              </w:rPr>
            </w:pPr>
            <w:r>
              <w:rPr>
                <w:sz w:val="24"/>
              </w:rPr>
              <w:t>申报情形</w:t>
            </w:r>
          </w:p>
        </w:tc>
        <w:tc>
          <w:tcPr>
            <w:tcW w:w="1473" w:type="pct"/>
            <w:gridSpan w:val="2"/>
            <w:vAlign w:val="center"/>
          </w:tcPr>
          <w:p w14:paraId="20DD6ED5">
            <w:pPr>
              <w:adjustRightInd w:val="0"/>
              <w:snapToGrid w:val="0"/>
              <w:spacing w:line="440" w:lineRule="exact"/>
              <w:jc w:val="left"/>
              <w:rPr>
                <w:sz w:val="24"/>
              </w:rPr>
            </w:pPr>
            <w:r>
              <w:rPr>
                <w:sz w:val="24"/>
              </w:rPr>
              <w:t>■首次申报项目</w:t>
            </w:r>
          </w:p>
          <w:p w14:paraId="69F1A63C">
            <w:pPr>
              <w:adjustRightInd w:val="0"/>
              <w:snapToGrid w:val="0"/>
              <w:spacing w:line="440" w:lineRule="exact"/>
              <w:rPr>
                <w:spacing w:val="-12"/>
                <w:sz w:val="24"/>
              </w:rPr>
            </w:pPr>
            <w:r>
              <w:rPr>
                <w:spacing w:val="-12"/>
                <w:sz w:val="24"/>
              </w:rPr>
              <w:t>□不予批准后再次申报项目</w:t>
            </w:r>
          </w:p>
          <w:p w14:paraId="76834939">
            <w:pPr>
              <w:adjustRightInd w:val="0"/>
              <w:snapToGrid w:val="0"/>
              <w:spacing w:line="440" w:lineRule="exact"/>
              <w:jc w:val="left"/>
              <w:rPr>
                <w:sz w:val="24"/>
              </w:rPr>
            </w:pPr>
            <w:r>
              <w:rPr>
                <w:sz w:val="24"/>
              </w:rPr>
              <w:t>□超五年重新审核项目</w:t>
            </w:r>
          </w:p>
          <w:p w14:paraId="259D1275">
            <w:pPr>
              <w:adjustRightInd w:val="0"/>
              <w:snapToGrid w:val="0"/>
              <w:spacing w:line="440" w:lineRule="exact"/>
              <w:rPr>
                <w:sz w:val="24"/>
              </w:rPr>
            </w:pPr>
            <w:r>
              <w:rPr>
                <w:sz w:val="24"/>
              </w:rPr>
              <w:t>□重大变动重新报批项目</w:t>
            </w:r>
          </w:p>
        </w:tc>
      </w:tr>
      <w:tr w14:paraId="064BAE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6418FFF7">
            <w:pPr>
              <w:adjustRightInd w:val="0"/>
              <w:snapToGrid w:val="0"/>
              <w:spacing w:line="440" w:lineRule="exact"/>
              <w:rPr>
                <w:spacing w:val="-10"/>
                <w:sz w:val="24"/>
              </w:rPr>
            </w:pPr>
            <w:r>
              <w:rPr>
                <w:spacing w:val="-10"/>
                <w:sz w:val="24"/>
              </w:rPr>
              <w:t>项目审批（核准/备案）部门（选填）</w:t>
            </w:r>
          </w:p>
        </w:tc>
        <w:tc>
          <w:tcPr>
            <w:tcW w:w="1489" w:type="pct"/>
            <w:gridSpan w:val="2"/>
            <w:vAlign w:val="center"/>
          </w:tcPr>
          <w:p w14:paraId="2E20A3F0">
            <w:pPr>
              <w:spacing w:line="440" w:lineRule="exact"/>
              <w:jc w:val="center"/>
              <w:rPr>
                <w:sz w:val="24"/>
              </w:rPr>
            </w:pPr>
            <w:r>
              <w:rPr>
                <w:rFonts w:hint="eastAsia"/>
                <w:sz w:val="24"/>
              </w:rPr>
              <w:t>杭锦旗工信和科技局</w:t>
            </w:r>
          </w:p>
        </w:tc>
        <w:tc>
          <w:tcPr>
            <w:tcW w:w="1019" w:type="pct"/>
            <w:vAlign w:val="center"/>
          </w:tcPr>
          <w:p w14:paraId="353DF5AC">
            <w:pPr>
              <w:adjustRightInd w:val="0"/>
              <w:snapToGrid w:val="0"/>
              <w:spacing w:line="440" w:lineRule="exact"/>
              <w:rPr>
                <w:spacing w:val="-8"/>
                <w:sz w:val="24"/>
              </w:rPr>
            </w:pPr>
            <w:r>
              <w:rPr>
                <w:spacing w:val="-8"/>
                <w:sz w:val="24"/>
              </w:rPr>
              <w:t>项目审批（核准/备案）文号（选填）</w:t>
            </w:r>
          </w:p>
        </w:tc>
        <w:tc>
          <w:tcPr>
            <w:tcW w:w="1473" w:type="pct"/>
            <w:gridSpan w:val="2"/>
            <w:vAlign w:val="center"/>
          </w:tcPr>
          <w:p w14:paraId="250685E7">
            <w:pPr>
              <w:adjustRightInd w:val="0"/>
              <w:snapToGrid w:val="0"/>
              <w:spacing w:line="440" w:lineRule="exact"/>
              <w:jc w:val="center"/>
              <w:rPr>
                <w:sz w:val="24"/>
              </w:rPr>
            </w:pPr>
            <w:r>
              <w:rPr>
                <w:rFonts w:hint="eastAsia"/>
                <w:sz w:val="24"/>
              </w:rPr>
              <w:t>/</w:t>
            </w:r>
          </w:p>
        </w:tc>
      </w:tr>
      <w:tr w14:paraId="135ACC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20651A10">
            <w:pPr>
              <w:adjustRightInd w:val="0"/>
              <w:snapToGrid w:val="0"/>
              <w:spacing w:line="440" w:lineRule="exact"/>
              <w:jc w:val="center"/>
              <w:rPr>
                <w:sz w:val="24"/>
              </w:rPr>
            </w:pPr>
            <w:r>
              <w:rPr>
                <w:sz w:val="24"/>
              </w:rPr>
              <w:t>总投资（万元）</w:t>
            </w:r>
          </w:p>
        </w:tc>
        <w:tc>
          <w:tcPr>
            <w:tcW w:w="1489" w:type="pct"/>
            <w:gridSpan w:val="2"/>
            <w:vAlign w:val="center"/>
          </w:tcPr>
          <w:p w14:paraId="61A59002">
            <w:pPr>
              <w:adjustRightInd w:val="0"/>
              <w:snapToGrid w:val="0"/>
              <w:spacing w:line="440" w:lineRule="exact"/>
              <w:jc w:val="center"/>
              <w:rPr>
                <w:sz w:val="24"/>
              </w:rPr>
            </w:pPr>
            <w:r>
              <w:rPr>
                <w:rFonts w:hint="eastAsia"/>
                <w:kern w:val="0"/>
                <w:sz w:val="24"/>
              </w:rPr>
              <w:t>705.8</w:t>
            </w:r>
          </w:p>
        </w:tc>
        <w:tc>
          <w:tcPr>
            <w:tcW w:w="1019" w:type="pct"/>
            <w:tcMar>
              <w:top w:w="16" w:type="dxa"/>
              <w:left w:w="16" w:type="dxa"/>
              <w:right w:w="16" w:type="dxa"/>
            </w:tcMar>
            <w:vAlign w:val="center"/>
          </w:tcPr>
          <w:p w14:paraId="27927F69">
            <w:pPr>
              <w:adjustRightInd w:val="0"/>
              <w:snapToGrid w:val="0"/>
              <w:spacing w:line="440" w:lineRule="exact"/>
              <w:jc w:val="center"/>
              <w:rPr>
                <w:sz w:val="24"/>
              </w:rPr>
            </w:pPr>
            <w:r>
              <w:rPr>
                <w:sz w:val="24"/>
              </w:rPr>
              <w:t>环保投资</w:t>
            </w:r>
          </w:p>
          <w:p w14:paraId="3A2E9B16">
            <w:pPr>
              <w:adjustRightInd w:val="0"/>
              <w:snapToGrid w:val="0"/>
              <w:spacing w:line="440" w:lineRule="exact"/>
              <w:jc w:val="center"/>
              <w:rPr>
                <w:sz w:val="24"/>
              </w:rPr>
            </w:pPr>
            <w:r>
              <w:rPr>
                <w:sz w:val="24"/>
              </w:rPr>
              <w:t>（万元）</w:t>
            </w:r>
          </w:p>
        </w:tc>
        <w:tc>
          <w:tcPr>
            <w:tcW w:w="1473" w:type="pct"/>
            <w:gridSpan w:val="2"/>
            <w:vAlign w:val="center"/>
          </w:tcPr>
          <w:p w14:paraId="290080D2">
            <w:pPr>
              <w:adjustRightInd w:val="0"/>
              <w:snapToGrid w:val="0"/>
              <w:spacing w:line="440" w:lineRule="exact"/>
              <w:jc w:val="center"/>
              <w:rPr>
                <w:sz w:val="24"/>
              </w:rPr>
            </w:pPr>
            <w:r>
              <w:rPr>
                <w:rFonts w:hint="eastAsia"/>
                <w:sz w:val="24"/>
              </w:rPr>
              <w:t>25</w:t>
            </w:r>
          </w:p>
        </w:tc>
      </w:tr>
      <w:tr w14:paraId="676C9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1D5EB79F">
            <w:pPr>
              <w:adjustRightInd w:val="0"/>
              <w:snapToGrid w:val="0"/>
              <w:spacing w:line="440" w:lineRule="exact"/>
              <w:jc w:val="center"/>
              <w:rPr>
                <w:sz w:val="24"/>
              </w:rPr>
            </w:pPr>
            <w:r>
              <w:rPr>
                <w:sz w:val="24"/>
              </w:rPr>
              <w:t>环保投资占比（%）</w:t>
            </w:r>
          </w:p>
        </w:tc>
        <w:tc>
          <w:tcPr>
            <w:tcW w:w="1489" w:type="pct"/>
            <w:gridSpan w:val="2"/>
            <w:vAlign w:val="center"/>
          </w:tcPr>
          <w:p w14:paraId="55B70C34">
            <w:pPr>
              <w:adjustRightInd w:val="0"/>
              <w:snapToGrid w:val="0"/>
              <w:spacing w:line="440" w:lineRule="exact"/>
              <w:jc w:val="center"/>
              <w:rPr>
                <w:sz w:val="24"/>
              </w:rPr>
            </w:pPr>
            <w:r>
              <w:rPr>
                <w:rFonts w:hint="eastAsia"/>
                <w:sz w:val="24"/>
              </w:rPr>
              <w:t>3.54</w:t>
            </w:r>
          </w:p>
        </w:tc>
        <w:tc>
          <w:tcPr>
            <w:tcW w:w="1019" w:type="pct"/>
            <w:tcMar>
              <w:top w:w="16" w:type="dxa"/>
              <w:left w:w="16" w:type="dxa"/>
              <w:right w:w="16" w:type="dxa"/>
            </w:tcMar>
            <w:vAlign w:val="center"/>
          </w:tcPr>
          <w:p w14:paraId="6A5BFEA1">
            <w:pPr>
              <w:adjustRightInd w:val="0"/>
              <w:snapToGrid w:val="0"/>
              <w:spacing w:line="440" w:lineRule="exact"/>
              <w:jc w:val="center"/>
              <w:rPr>
                <w:sz w:val="24"/>
              </w:rPr>
            </w:pPr>
            <w:r>
              <w:rPr>
                <w:sz w:val="24"/>
              </w:rPr>
              <w:t>施工工期</w:t>
            </w:r>
          </w:p>
        </w:tc>
        <w:tc>
          <w:tcPr>
            <w:tcW w:w="1473" w:type="pct"/>
            <w:gridSpan w:val="2"/>
            <w:vAlign w:val="center"/>
          </w:tcPr>
          <w:p w14:paraId="66445B39">
            <w:pPr>
              <w:adjustRightInd w:val="0"/>
              <w:snapToGrid w:val="0"/>
              <w:spacing w:line="440" w:lineRule="exact"/>
              <w:jc w:val="center"/>
              <w:rPr>
                <w:sz w:val="24"/>
              </w:rPr>
            </w:pPr>
            <w:r>
              <w:rPr>
                <w:rFonts w:hint="eastAsia"/>
                <w:sz w:val="24"/>
              </w:rPr>
              <w:t>3.5</w:t>
            </w:r>
            <w:r>
              <w:rPr>
                <w:sz w:val="24"/>
              </w:rPr>
              <w:t>个月</w:t>
            </w:r>
          </w:p>
        </w:tc>
      </w:tr>
      <w:tr w14:paraId="3E490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4C539193">
            <w:pPr>
              <w:adjustRightInd w:val="0"/>
              <w:snapToGrid w:val="0"/>
              <w:spacing w:line="440" w:lineRule="exact"/>
              <w:jc w:val="center"/>
              <w:rPr>
                <w:sz w:val="24"/>
              </w:rPr>
            </w:pPr>
            <w:r>
              <w:rPr>
                <w:sz w:val="24"/>
              </w:rPr>
              <w:t>是否开工建设</w:t>
            </w:r>
          </w:p>
        </w:tc>
        <w:tc>
          <w:tcPr>
            <w:tcW w:w="3981" w:type="pct"/>
            <w:gridSpan w:val="5"/>
            <w:vAlign w:val="center"/>
          </w:tcPr>
          <w:p w14:paraId="3D049609">
            <w:pPr>
              <w:adjustRightInd w:val="0"/>
              <w:snapToGrid w:val="0"/>
              <w:spacing w:line="440" w:lineRule="exact"/>
              <w:ind w:firstLine="105"/>
              <w:jc w:val="left"/>
              <w:rPr>
                <w:sz w:val="24"/>
              </w:rPr>
            </w:pPr>
            <w:r>
              <w:rPr>
                <w:sz w:val="24"/>
              </w:rPr>
              <w:t>■否</w:t>
            </w:r>
          </w:p>
          <w:p w14:paraId="73FCA4BE">
            <w:pPr>
              <w:adjustRightInd w:val="0"/>
              <w:snapToGrid w:val="0"/>
              <w:spacing w:line="440" w:lineRule="exact"/>
              <w:ind w:firstLine="92"/>
              <w:jc w:val="left"/>
              <w:rPr>
                <w:sz w:val="24"/>
              </w:rPr>
            </w:pPr>
            <w:r>
              <w:rPr>
                <w:sz w:val="24"/>
              </w:rPr>
              <w:t>□是：</w:t>
            </w:r>
            <w:r>
              <w:rPr>
                <w:sz w:val="24"/>
                <w:u w:val="single"/>
              </w:rPr>
              <w:t xml:space="preserve">                </w:t>
            </w:r>
          </w:p>
        </w:tc>
      </w:tr>
      <w:tr w14:paraId="26C7AC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127F07FA">
            <w:pPr>
              <w:autoSpaceDE w:val="0"/>
              <w:autoSpaceDN w:val="0"/>
              <w:adjustRightInd w:val="0"/>
              <w:snapToGrid w:val="0"/>
              <w:spacing w:line="440" w:lineRule="exact"/>
              <w:jc w:val="center"/>
              <w:rPr>
                <w:kern w:val="0"/>
                <w:sz w:val="24"/>
              </w:rPr>
            </w:pPr>
            <w:r>
              <w:rPr>
                <w:kern w:val="0"/>
                <w:sz w:val="24"/>
              </w:rPr>
              <w:t>专项评价设置情况</w:t>
            </w:r>
          </w:p>
        </w:tc>
        <w:tc>
          <w:tcPr>
            <w:tcW w:w="3981" w:type="pct"/>
            <w:gridSpan w:val="5"/>
            <w:tcMar>
              <w:top w:w="16" w:type="dxa"/>
              <w:left w:w="16" w:type="dxa"/>
              <w:right w:w="16" w:type="dxa"/>
            </w:tcMar>
            <w:vAlign w:val="center"/>
          </w:tcPr>
          <w:p w14:paraId="2E61BF90">
            <w:pPr>
              <w:adjustRightInd w:val="0"/>
              <w:snapToGrid w:val="0"/>
              <w:spacing w:line="440" w:lineRule="exact"/>
              <w:jc w:val="left"/>
              <w:rPr>
                <w:sz w:val="24"/>
              </w:rPr>
            </w:pPr>
            <w:r>
              <w:rPr>
                <w:sz w:val="24"/>
              </w:rPr>
              <w:t>专项评价设置情况：</w:t>
            </w:r>
            <w:r>
              <w:rPr>
                <w:rFonts w:hint="eastAsia"/>
                <w:sz w:val="24"/>
              </w:rPr>
              <w:t>生态</w:t>
            </w:r>
            <w:r>
              <w:rPr>
                <w:sz w:val="24"/>
              </w:rPr>
              <w:t>环境风险专项评价</w:t>
            </w:r>
          </w:p>
          <w:p w14:paraId="76FEC48F">
            <w:pPr>
              <w:adjustRightInd w:val="0"/>
              <w:snapToGrid w:val="0"/>
              <w:spacing w:line="440" w:lineRule="exact"/>
              <w:rPr>
                <w:kern w:val="0"/>
                <w:sz w:val="24"/>
              </w:rPr>
            </w:pPr>
            <w:r>
              <w:rPr>
                <w:sz w:val="24"/>
              </w:rPr>
              <w:t>设置理由：</w:t>
            </w:r>
            <w:bookmarkStart w:id="7" w:name="OLE_LINK26"/>
            <w:r>
              <w:rPr>
                <w:rFonts w:hint="eastAsia"/>
                <w:sz w:val="24"/>
              </w:rPr>
              <w:t>根据《建设项目环境影响报告表编制技术指南（生态影响类）（试行）》，原油、成品油、天然气管线（不含城镇天然气管线、企业厂区内管线）及危险化学品输送管线（不含企业厂区内管线）应设置生态环境风险专项评价</w:t>
            </w:r>
            <w:bookmarkEnd w:id="7"/>
            <w:r>
              <w:rPr>
                <w:rFonts w:hint="eastAsia"/>
                <w:sz w:val="24"/>
              </w:rPr>
              <w:t>。</w:t>
            </w:r>
          </w:p>
        </w:tc>
      </w:tr>
      <w:tr w14:paraId="598BB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55341203">
            <w:pPr>
              <w:autoSpaceDE w:val="0"/>
              <w:autoSpaceDN w:val="0"/>
              <w:adjustRightInd w:val="0"/>
              <w:snapToGrid w:val="0"/>
              <w:spacing w:line="440" w:lineRule="exact"/>
              <w:jc w:val="center"/>
              <w:rPr>
                <w:kern w:val="0"/>
                <w:sz w:val="24"/>
              </w:rPr>
            </w:pPr>
            <w:r>
              <w:rPr>
                <w:sz w:val="24"/>
              </w:rPr>
              <w:t>规划情况</w:t>
            </w:r>
          </w:p>
        </w:tc>
        <w:tc>
          <w:tcPr>
            <w:tcW w:w="3981" w:type="pct"/>
            <w:gridSpan w:val="5"/>
            <w:tcMar>
              <w:top w:w="16" w:type="dxa"/>
              <w:left w:w="16" w:type="dxa"/>
              <w:right w:w="16" w:type="dxa"/>
            </w:tcMar>
            <w:vAlign w:val="center"/>
          </w:tcPr>
          <w:p w14:paraId="49A3E70A">
            <w:pPr>
              <w:autoSpaceDE w:val="0"/>
              <w:autoSpaceDN w:val="0"/>
              <w:adjustRightInd w:val="0"/>
              <w:snapToGrid w:val="0"/>
              <w:spacing w:line="440" w:lineRule="exact"/>
              <w:rPr>
                <w:kern w:val="0"/>
                <w:sz w:val="24"/>
              </w:rPr>
            </w:pPr>
            <w:r>
              <w:rPr>
                <w:rFonts w:hint="eastAsia"/>
                <w:kern w:val="0"/>
                <w:sz w:val="24"/>
              </w:rPr>
              <w:t>规划名称：《</w:t>
            </w:r>
            <w:bookmarkStart w:id="8" w:name="OLE_LINK3"/>
            <w:r>
              <w:rPr>
                <w:rFonts w:hint="eastAsia"/>
                <w:kern w:val="0"/>
                <w:sz w:val="24"/>
              </w:rPr>
              <w:t>内蒙古鄂尔多斯杭锦经济开发区总体规划（2021-2035）</w:t>
            </w:r>
            <w:bookmarkEnd w:id="8"/>
            <w:r>
              <w:rPr>
                <w:rFonts w:hint="eastAsia"/>
                <w:kern w:val="0"/>
                <w:sz w:val="24"/>
              </w:rPr>
              <w:t>》</w:t>
            </w:r>
          </w:p>
          <w:p w14:paraId="2FE33E54">
            <w:pPr>
              <w:autoSpaceDE w:val="0"/>
              <w:autoSpaceDN w:val="0"/>
              <w:adjustRightInd w:val="0"/>
              <w:snapToGrid w:val="0"/>
              <w:spacing w:line="440" w:lineRule="exact"/>
              <w:jc w:val="left"/>
              <w:rPr>
                <w:kern w:val="0"/>
                <w:sz w:val="24"/>
              </w:rPr>
            </w:pPr>
            <w:r>
              <w:rPr>
                <w:rFonts w:hint="eastAsia"/>
                <w:kern w:val="0"/>
                <w:sz w:val="24"/>
              </w:rPr>
              <w:t>审批机关：/</w:t>
            </w:r>
          </w:p>
          <w:p w14:paraId="3BDAF23C">
            <w:pPr>
              <w:autoSpaceDE w:val="0"/>
              <w:autoSpaceDN w:val="0"/>
              <w:adjustRightInd w:val="0"/>
              <w:snapToGrid w:val="0"/>
              <w:spacing w:line="440" w:lineRule="exact"/>
              <w:jc w:val="left"/>
              <w:rPr>
                <w:kern w:val="0"/>
                <w:sz w:val="24"/>
              </w:rPr>
            </w:pPr>
            <w:r>
              <w:rPr>
                <w:rFonts w:hint="eastAsia"/>
                <w:kern w:val="0"/>
                <w:sz w:val="24"/>
              </w:rPr>
              <w:t>审批文件及文号：/</w:t>
            </w:r>
          </w:p>
        </w:tc>
      </w:tr>
      <w:tr w14:paraId="414A1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60656956">
            <w:pPr>
              <w:autoSpaceDE w:val="0"/>
              <w:autoSpaceDN w:val="0"/>
              <w:adjustRightInd w:val="0"/>
              <w:snapToGrid w:val="0"/>
              <w:spacing w:line="440" w:lineRule="exact"/>
              <w:jc w:val="center"/>
              <w:rPr>
                <w:sz w:val="24"/>
              </w:rPr>
            </w:pPr>
            <w:r>
              <w:rPr>
                <w:sz w:val="24"/>
              </w:rPr>
              <w:t>规划环境影响</w:t>
            </w:r>
          </w:p>
          <w:p w14:paraId="2D86E83A">
            <w:pPr>
              <w:autoSpaceDE w:val="0"/>
              <w:autoSpaceDN w:val="0"/>
              <w:adjustRightInd w:val="0"/>
              <w:snapToGrid w:val="0"/>
              <w:spacing w:line="440" w:lineRule="exact"/>
              <w:jc w:val="center"/>
              <w:rPr>
                <w:kern w:val="0"/>
                <w:sz w:val="24"/>
              </w:rPr>
            </w:pPr>
            <w:r>
              <w:rPr>
                <w:sz w:val="24"/>
              </w:rPr>
              <w:t>评价情况</w:t>
            </w:r>
          </w:p>
        </w:tc>
        <w:tc>
          <w:tcPr>
            <w:tcW w:w="3981" w:type="pct"/>
            <w:gridSpan w:val="5"/>
            <w:tcMar>
              <w:top w:w="16" w:type="dxa"/>
              <w:left w:w="16" w:type="dxa"/>
              <w:right w:w="16" w:type="dxa"/>
            </w:tcMar>
            <w:vAlign w:val="center"/>
          </w:tcPr>
          <w:p w14:paraId="2B87C6B3">
            <w:pPr>
              <w:adjustRightInd w:val="0"/>
              <w:snapToGrid w:val="0"/>
              <w:spacing w:line="440" w:lineRule="exact"/>
              <w:rPr>
                <w:kern w:val="0"/>
                <w:sz w:val="24"/>
              </w:rPr>
            </w:pPr>
            <w:r>
              <w:rPr>
                <w:kern w:val="0"/>
                <w:sz w:val="24"/>
              </w:rPr>
              <w:t>规划环评文件名称：《</w:t>
            </w:r>
            <w:bookmarkStart w:id="9" w:name="OLE_LINK5"/>
            <w:r>
              <w:rPr>
                <w:rFonts w:hint="eastAsia"/>
                <w:kern w:val="0"/>
                <w:sz w:val="24"/>
              </w:rPr>
              <w:t>内蒙古鄂尔多斯杭锦经济开发区总体规划（2021-2035）</w:t>
            </w:r>
            <w:r>
              <w:rPr>
                <w:kern w:val="0"/>
                <w:sz w:val="24"/>
              </w:rPr>
              <w:t>环境影响报告书</w:t>
            </w:r>
            <w:bookmarkEnd w:id="9"/>
            <w:r>
              <w:rPr>
                <w:kern w:val="0"/>
                <w:sz w:val="24"/>
              </w:rPr>
              <w:t>》</w:t>
            </w:r>
          </w:p>
          <w:p w14:paraId="12DE7B66">
            <w:pPr>
              <w:adjustRightInd w:val="0"/>
              <w:snapToGrid w:val="0"/>
              <w:spacing w:line="440" w:lineRule="exact"/>
              <w:jc w:val="left"/>
              <w:rPr>
                <w:kern w:val="0"/>
                <w:sz w:val="24"/>
              </w:rPr>
            </w:pPr>
            <w:r>
              <w:rPr>
                <w:kern w:val="0"/>
                <w:sz w:val="24"/>
              </w:rPr>
              <w:t>召集审查机关：</w:t>
            </w:r>
            <w:r>
              <w:rPr>
                <w:rFonts w:hint="eastAsia"/>
                <w:kern w:val="0"/>
                <w:sz w:val="24"/>
              </w:rPr>
              <w:t>内蒙古自治区生态环境厅</w:t>
            </w:r>
          </w:p>
          <w:p w14:paraId="7C30BEA2">
            <w:pPr>
              <w:adjustRightInd w:val="0"/>
              <w:snapToGrid w:val="0"/>
              <w:spacing w:line="440" w:lineRule="exact"/>
              <w:rPr>
                <w:kern w:val="0"/>
                <w:sz w:val="24"/>
              </w:rPr>
            </w:pPr>
            <w:r>
              <w:rPr>
                <w:kern w:val="0"/>
                <w:sz w:val="24"/>
              </w:rPr>
              <w:t>审查文件名称：</w:t>
            </w:r>
            <w:r>
              <w:rPr>
                <w:rFonts w:hint="eastAsia"/>
                <w:kern w:val="0"/>
                <w:sz w:val="24"/>
              </w:rPr>
              <w:t>内蒙古自治区生态环境厅关于《内蒙古鄂尔多斯杭锦经济开发区总体规划（2021-2035）环境影响报告书》的审查意见</w:t>
            </w:r>
          </w:p>
          <w:p w14:paraId="750E5119">
            <w:pPr>
              <w:adjustRightInd w:val="0"/>
              <w:snapToGrid w:val="0"/>
              <w:spacing w:line="440" w:lineRule="exact"/>
              <w:rPr>
                <w:kern w:val="0"/>
                <w:sz w:val="24"/>
              </w:rPr>
            </w:pPr>
            <w:r>
              <w:rPr>
                <w:kern w:val="0"/>
                <w:sz w:val="24"/>
              </w:rPr>
              <w:t>规划环评审批文号：</w:t>
            </w:r>
            <w:r>
              <w:rPr>
                <w:rFonts w:hint="eastAsia"/>
                <w:kern w:val="0"/>
                <w:sz w:val="24"/>
              </w:rPr>
              <w:t>内</w:t>
            </w:r>
            <w:r>
              <w:rPr>
                <w:kern w:val="0"/>
                <w:sz w:val="24"/>
              </w:rPr>
              <w:t>环</w:t>
            </w:r>
            <w:r>
              <w:rPr>
                <w:rFonts w:hint="eastAsia"/>
                <w:kern w:val="0"/>
                <w:sz w:val="24"/>
              </w:rPr>
              <w:t>审</w:t>
            </w:r>
            <w:r>
              <w:rPr>
                <w:kern w:val="0"/>
                <w:sz w:val="24"/>
              </w:rPr>
              <w:t>〔202</w:t>
            </w:r>
            <w:r>
              <w:rPr>
                <w:rFonts w:hint="eastAsia"/>
                <w:kern w:val="0"/>
                <w:sz w:val="24"/>
              </w:rPr>
              <w:t>3</w:t>
            </w:r>
            <w:r>
              <w:rPr>
                <w:kern w:val="0"/>
                <w:sz w:val="24"/>
              </w:rPr>
              <w:t>〕4</w:t>
            </w:r>
            <w:r>
              <w:rPr>
                <w:rFonts w:hint="eastAsia"/>
                <w:kern w:val="0"/>
                <w:sz w:val="24"/>
              </w:rPr>
              <w:t>1</w:t>
            </w:r>
            <w:r>
              <w:rPr>
                <w:kern w:val="0"/>
                <w:sz w:val="24"/>
              </w:rPr>
              <w:t>号</w:t>
            </w:r>
          </w:p>
        </w:tc>
      </w:tr>
      <w:tr w14:paraId="0E4CF3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19" w:type="pct"/>
            <w:tcMar>
              <w:top w:w="16" w:type="dxa"/>
              <w:left w:w="16" w:type="dxa"/>
              <w:right w:w="16" w:type="dxa"/>
            </w:tcMar>
            <w:vAlign w:val="center"/>
          </w:tcPr>
          <w:p w14:paraId="534198E8">
            <w:pPr>
              <w:autoSpaceDE w:val="0"/>
              <w:autoSpaceDN w:val="0"/>
              <w:adjustRightInd w:val="0"/>
              <w:snapToGrid w:val="0"/>
              <w:spacing w:line="440" w:lineRule="exact"/>
              <w:jc w:val="center"/>
              <w:rPr>
                <w:kern w:val="0"/>
                <w:sz w:val="24"/>
              </w:rPr>
            </w:pPr>
            <w:r>
              <w:rPr>
                <w:kern w:val="0"/>
                <w:sz w:val="24"/>
              </w:rPr>
              <w:t>规划及</w:t>
            </w:r>
            <w:r>
              <w:rPr>
                <w:sz w:val="24"/>
              </w:rPr>
              <w:t>规划环境影响评价</w:t>
            </w:r>
            <w:r>
              <w:rPr>
                <w:kern w:val="0"/>
                <w:sz w:val="24"/>
              </w:rPr>
              <w:t>符合性分析</w:t>
            </w:r>
          </w:p>
        </w:tc>
        <w:tc>
          <w:tcPr>
            <w:tcW w:w="3981" w:type="pct"/>
            <w:gridSpan w:val="5"/>
            <w:tcMar>
              <w:top w:w="16" w:type="dxa"/>
              <w:left w:w="16" w:type="dxa"/>
              <w:right w:w="16" w:type="dxa"/>
            </w:tcMar>
            <w:vAlign w:val="center"/>
          </w:tcPr>
          <w:p w14:paraId="1693E196">
            <w:pPr>
              <w:adjustRightInd w:val="0"/>
              <w:snapToGrid w:val="0"/>
              <w:spacing w:line="440" w:lineRule="exact"/>
              <w:ind w:firstLine="482" w:firstLineChars="200"/>
              <w:rPr>
                <w:b/>
                <w:bCs/>
                <w:sz w:val="24"/>
              </w:rPr>
            </w:pPr>
            <w:r>
              <w:rPr>
                <w:b/>
                <w:bCs/>
                <w:sz w:val="24"/>
              </w:rPr>
              <w:t>1</w:t>
            </w:r>
            <w:r>
              <w:rPr>
                <w:rFonts w:hint="eastAsia"/>
                <w:b/>
                <w:bCs/>
                <w:sz w:val="24"/>
              </w:rPr>
              <w:t>.</w:t>
            </w:r>
            <w:r>
              <w:rPr>
                <w:b/>
                <w:bCs/>
                <w:sz w:val="24"/>
              </w:rPr>
              <w:t>规划符合性分析</w:t>
            </w:r>
          </w:p>
          <w:p w14:paraId="42420126">
            <w:pPr>
              <w:adjustRightInd w:val="0"/>
              <w:snapToGrid w:val="0"/>
              <w:spacing w:line="440" w:lineRule="exact"/>
              <w:ind w:firstLine="480" w:firstLineChars="200"/>
              <w:rPr>
                <w:sz w:val="24"/>
              </w:rPr>
            </w:pPr>
            <w:r>
              <w:rPr>
                <w:sz w:val="24"/>
              </w:rPr>
              <w:t>（1）用地布局及产业布局</w:t>
            </w:r>
          </w:p>
          <w:p w14:paraId="7932D77B">
            <w:pPr>
              <w:adjustRightInd w:val="0"/>
              <w:snapToGrid w:val="0"/>
              <w:spacing w:line="440" w:lineRule="exact"/>
              <w:ind w:firstLine="480" w:firstLineChars="200"/>
              <w:rPr>
                <w:sz w:val="24"/>
              </w:rPr>
            </w:pPr>
            <w:r>
              <w:rPr>
                <w:sz w:val="24"/>
              </w:rPr>
              <w:t>本次规划范围为杭锦经济开发区辖区内全部陆域国土空间，总面积2282.67公顷。包含2个园区</w:t>
            </w:r>
            <w:r>
              <w:rPr>
                <w:rFonts w:hint="eastAsia"/>
                <w:sz w:val="24"/>
              </w:rPr>
              <w:t>-</w:t>
            </w:r>
            <w:r>
              <w:rPr>
                <w:sz w:val="24"/>
              </w:rPr>
              <w:t>3个基地，分别为独贵塔拉产业园（北区）、独贵塔拉产业园（南区）、新能源产业园。</w:t>
            </w:r>
          </w:p>
          <w:p w14:paraId="2E81913B">
            <w:pPr>
              <w:adjustRightInd w:val="0"/>
              <w:snapToGrid w:val="0"/>
              <w:spacing w:line="440" w:lineRule="exact"/>
              <w:ind w:firstLine="480" w:firstLineChars="200"/>
              <w:rPr>
                <w:sz w:val="24"/>
              </w:rPr>
            </w:pPr>
            <w:bookmarkStart w:id="10" w:name="OLE_LINK4"/>
            <w:r>
              <w:rPr>
                <w:sz w:val="24"/>
              </w:rPr>
              <w:t>独贵塔拉产业园（北区）</w:t>
            </w:r>
            <w:bookmarkEnd w:id="10"/>
            <w:r>
              <w:rPr>
                <w:sz w:val="24"/>
              </w:rPr>
              <w:t>位于独贵塔拉镇区东侧，规划范围为东至杭五路，南至锦三路，西至杭七路，北至工业大道，总面积830.73 公顷。</w:t>
            </w:r>
          </w:p>
          <w:p w14:paraId="3BAD4E8A">
            <w:pPr>
              <w:adjustRightInd w:val="0"/>
              <w:snapToGrid w:val="0"/>
              <w:spacing w:line="440" w:lineRule="exact"/>
              <w:ind w:firstLine="480" w:firstLineChars="200"/>
              <w:rPr>
                <w:sz w:val="24"/>
              </w:rPr>
            </w:pPr>
            <w:r>
              <w:rPr>
                <w:sz w:val="24"/>
              </w:rPr>
              <w:t>独贵塔拉产业园（南区）位于独贵塔拉镇敖楞乌素嘎查西侧，规划范围为东至泰三路，南至锦十路，西至泰五路，北至锦四路，总面积924.26公顷。</w:t>
            </w:r>
          </w:p>
          <w:p w14:paraId="02AAD044">
            <w:pPr>
              <w:adjustRightInd w:val="0"/>
              <w:snapToGrid w:val="0"/>
              <w:spacing w:line="440" w:lineRule="exact"/>
              <w:ind w:firstLine="480" w:firstLineChars="200"/>
              <w:rPr>
                <w:sz w:val="24"/>
              </w:rPr>
            </w:pPr>
            <w:r>
              <w:rPr>
                <w:sz w:val="24"/>
              </w:rPr>
              <w:t>新能源产业园位于锡尼镇南侧，规划范围东至纬五路，南至纬十路，西至经二路，北至锡尼镇城区，总面积527.68公顷。</w:t>
            </w:r>
          </w:p>
          <w:p w14:paraId="6E0462CB">
            <w:pPr>
              <w:adjustRightInd w:val="0"/>
              <w:snapToGrid w:val="0"/>
              <w:spacing w:line="440" w:lineRule="exact"/>
              <w:ind w:firstLine="480" w:firstLineChars="200"/>
              <w:rPr>
                <w:sz w:val="24"/>
              </w:rPr>
            </w:pPr>
            <w:r>
              <w:rPr>
                <w:rStyle w:val="787"/>
                <w:rFonts w:hint="default"/>
                <w:color w:val="auto"/>
              </w:rPr>
              <w:t>杭锦经济开发区的总体产业定位为鄂尔多斯绿色化工及新材料产业基地，黄河几字弯区域清洁能源高质量发展样板</w:t>
            </w:r>
            <w:r>
              <w:rPr>
                <w:rStyle w:val="787"/>
                <w:color w:val="auto"/>
              </w:rPr>
              <w:t>，是</w:t>
            </w:r>
            <w:r>
              <w:rPr>
                <w:rStyle w:val="787"/>
                <w:rFonts w:hint="default"/>
                <w:color w:val="auto"/>
              </w:rPr>
              <w:t>集总部办公、研学交流、企业服务为一体的蒙西绿色低碳协同创新引领区。其中，</w:t>
            </w:r>
            <w:r>
              <w:rPr>
                <w:sz w:val="24"/>
              </w:rPr>
              <w:t>独贵塔拉产业园（北区）项目区的建设目标为建设绿色化工及新材料园区，打造鄂尔多斯绿色化工和新材料耦合发展示范基地，形成杭锦旗经济发展的重要带动力量。北项目区整体呈现一体两翼的发展趋势，其中两翼指：淄博路以东的绿色化工及化工材料产业区，杭一路以西的精细化工及光伏新能源产业区。</w:t>
            </w:r>
          </w:p>
          <w:p w14:paraId="394EF864">
            <w:pPr>
              <w:adjustRightInd w:val="0"/>
              <w:snapToGrid w:val="0"/>
              <w:spacing w:line="440" w:lineRule="exact"/>
              <w:ind w:firstLine="480" w:firstLineChars="200"/>
              <w:rPr>
                <w:sz w:val="24"/>
              </w:rPr>
            </w:pPr>
            <w:r>
              <w:rPr>
                <w:sz w:val="24"/>
              </w:rPr>
              <w:t>独贵塔拉产业园（南区）以现有的新型煤化工及其下游产品深加工产业为基础，大力发展绿色化工产业，同时通过产业的升级与引进，耦合发展新能源产业，提升园区产业集聚化水平，建设绿色化工和新能源产业耦合发展的蒙西低碳绿色协调创新引领区。</w:t>
            </w:r>
          </w:p>
          <w:p w14:paraId="259BDB70">
            <w:pPr>
              <w:adjustRightInd w:val="0"/>
              <w:snapToGrid w:val="0"/>
              <w:spacing w:line="440" w:lineRule="exact"/>
              <w:ind w:firstLine="480" w:firstLineChars="200"/>
              <w:rPr>
                <w:sz w:val="24"/>
              </w:rPr>
            </w:pPr>
            <w:r>
              <w:rPr>
                <w:sz w:val="24"/>
              </w:rPr>
              <w:t>新能源产业园以企业产业的升级改造，产业环境整治提升为主，暂不做扩展规划，园区以天然气清洁能源及特色健康产业为主导产业，建设绿色清洁能源杭锦旗地方总部基地，构造集特色健康产业、天然气清洁能源</w:t>
            </w:r>
            <w:r>
              <w:rPr>
                <w:rFonts w:hint="eastAsia"/>
                <w:sz w:val="24"/>
              </w:rPr>
              <w:t>、可</w:t>
            </w:r>
            <w:r>
              <w:rPr>
                <w:sz w:val="24"/>
              </w:rPr>
              <w:t>再生资源于一体的杭锦旗区域协同创新引领区。 园区规划发展三大产业，集产学研于一体的总部服务基地及特色健康产业；天然气等清洁能源综合利用产业；以废旧汽车拆解产业园和轮胎回收利用为主的城市可再生资源产业区。</w:t>
            </w:r>
          </w:p>
          <w:p w14:paraId="673E199F">
            <w:pPr>
              <w:adjustRightInd w:val="0"/>
              <w:snapToGrid w:val="0"/>
              <w:spacing w:line="440" w:lineRule="exact"/>
              <w:ind w:firstLine="482" w:firstLineChars="200"/>
              <w:rPr>
                <w:b/>
                <w:bCs/>
                <w:sz w:val="24"/>
              </w:rPr>
            </w:pPr>
            <w:r>
              <w:rPr>
                <w:b/>
                <w:bCs/>
                <w:sz w:val="24"/>
              </w:rPr>
              <w:t>项目</w:t>
            </w:r>
            <w:r>
              <w:rPr>
                <w:rFonts w:hint="eastAsia"/>
                <w:b/>
                <w:bCs/>
                <w:sz w:val="24"/>
              </w:rPr>
              <w:t>位于</w:t>
            </w:r>
            <w:r>
              <w:rPr>
                <w:b/>
                <w:bCs/>
                <w:sz w:val="24"/>
              </w:rPr>
              <w:t>独贵塔拉产业园（南区）</w:t>
            </w:r>
            <w:r>
              <w:rPr>
                <w:rFonts w:hint="eastAsia"/>
                <w:b/>
                <w:bCs/>
                <w:sz w:val="24"/>
              </w:rPr>
              <w:t>，不新增占地（企业现有占地为工业用地）。项目为管道项目，</w:t>
            </w:r>
            <w:bookmarkStart w:id="11" w:name="OLE_LINK6"/>
            <w:bookmarkStart w:id="12" w:name="OLE_LINK23"/>
            <w:r>
              <w:rPr>
                <w:rFonts w:hint="eastAsia"/>
                <w:b/>
                <w:bCs/>
                <w:sz w:val="24"/>
              </w:rPr>
              <w:t>属于内蒙古伊泰宏城化学有限公司 10000吨/年聚a-烯烃（PAO）示范项目配套工程</w:t>
            </w:r>
            <w:bookmarkEnd w:id="11"/>
            <w:bookmarkEnd w:id="12"/>
            <w:r>
              <w:rPr>
                <w:rFonts w:hint="eastAsia"/>
                <w:b/>
                <w:bCs/>
                <w:sz w:val="24"/>
              </w:rPr>
              <w:t>。</w:t>
            </w:r>
            <w:r>
              <w:rPr>
                <w:rFonts w:hint="eastAsia"/>
                <w:b/>
                <w:bCs/>
                <w:sz w:val="24"/>
                <w:lang w:eastAsia="zh-CN"/>
              </w:rPr>
              <w:t>项目</w:t>
            </w:r>
            <w:r>
              <w:rPr>
                <w:rFonts w:hint="eastAsia"/>
                <w:b/>
                <w:bCs/>
                <w:sz w:val="24"/>
              </w:rPr>
              <w:t>由内蒙古伊泰化工有限责任公司负责建设，不涉及园区主导产业，项目选址符合园区规划要求</w:t>
            </w:r>
            <w:r>
              <w:rPr>
                <w:b/>
                <w:bCs/>
                <w:sz w:val="24"/>
              </w:rPr>
              <w:t>。</w:t>
            </w:r>
          </w:p>
          <w:p w14:paraId="5469E2F8">
            <w:pPr>
              <w:adjustRightInd w:val="0"/>
              <w:snapToGrid w:val="0"/>
              <w:spacing w:line="440" w:lineRule="exact"/>
              <w:ind w:firstLine="480" w:firstLineChars="200"/>
              <w:rPr>
                <w:sz w:val="24"/>
              </w:rPr>
            </w:pPr>
            <w:r>
              <w:rPr>
                <w:sz w:val="24"/>
              </w:rPr>
              <w:t>（2）基础设施</w:t>
            </w:r>
          </w:p>
          <w:p w14:paraId="7D3527BF">
            <w:pPr>
              <w:adjustRightInd w:val="0"/>
              <w:snapToGrid w:val="0"/>
              <w:spacing w:line="440" w:lineRule="exact"/>
              <w:ind w:firstLine="480" w:firstLineChars="200"/>
              <w:rPr>
                <w:sz w:val="24"/>
              </w:rPr>
            </w:pPr>
            <w:r>
              <w:rPr>
                <w:sz w:val="24"/>
              </w:rPr>
              <w:t>①供水工程</w:t>
            </w:r>
          </w:p>
          <w:p w14:paraId="7B42BA8D">
            <w:pPr>
              <w:adjustRightInd w:val="0"/>
              <w:snapToGrid w:val="0"/>
              <w:spacing w:line="440" w:lineRule="exact"/>
              <w:ind w:firstLine="480" w:firstLineChars="200"/>
              <w:rPr>
                <w:sz w:val="24"/>
              </w:rPr>
            </w:pPr>
            <w:r>
              <w:rPr>
                <w:sz w:val="24"/>
              </w:rPr>
              <w:t>独贵塔拉</w:t>
            </w:r>
            <w:r>
              <w:rPr>
                <w:rFonts w:hint="eastAsia"/>
                <w:sz w:val="24"/>
              </w:rPr>
              <w:t>产</w:t>
            </w:r>
            <w:r>
              <w:rPr>
                <w:sz w:val="24"/>
              </w:rPr>
              <w:t>业园南项目区及新能源产业园区采用引黄水供水工程，取水口位于已建杭锦旗独贵塔拉镇黄河</w:t>
            </w:r>
            <w:r>
              <w:rPr>
                <w:rFonts w:hint="eastAsia"/>
                <w:sz w:val="24"/>
              </w:rPr>
              <w:t>“</w:t>
            </w:r>
            <w:r>
              <w:rPr>
                <w:sz w:val="24"/>
              </w:rPr>
              <w:t>208</w:t>
            </w:r>
            <w:r>
              <w:rPr>
                <w:rFonts w:hint="eastAsia"/>
                <w:sz w:val="24"/>
              </w:rPr>
              <w:t>”</w:t>
            </w:r>
            <w:r>
              <w:rPr>
                <w:sz w:val="24"/>
              </w:rPr>
              <w:t>险工，目前可用于园区的取水量为3338万m</w:t>
            </w:r>
            <w:r>
              <w:rPr>
                <w:sz w:val="24"/>
                <w:vertAlign w:val="superscript"/>
              </w:rPr>
              <w:t>3</w:t>
            </w:r>
            <w:r>
              <w:rPr>
                <w:sz w:val="24"/>
              </w:rPr>
              <w:t>/a，引黄水供水工程黄河水权置换工程可取得用水指标1.3 亿m</w:t>
            </w:r>
            <w:r>
              <w:rPr>
                <w:sz w:val="24"/>
                <w:vertAlign w:val="superscript"/>
              </w:rPr>
              <w:t>3</w:t>
            </w:r>
            <w:r>
              <w:rPr>
                <w:sz w:val="24"/>
              </w:rPr>
              <w:t>/a，现已转换水权8000万m</w:t>
            </w:r>
            <w:r>
              <w:rPr>
                <w:sz w:val="24"/>
                <w:vertAlign w:val="superscript"/>
              </w:rPr>
              <w:t>3</w:t>
            </w:r>
            <w:r>
              <w:rPr>
                <w:sz w:val="24"/>
              </w:rPr>
              <w:t>/a，还有近5000万m</w:t>
            </w:r>
            <w:r>
              <w:rPr>
                <w:sz w:val="24"/>
                <w:vertAlign w:val="superscript"/>
              </w:rPr>
              <w:t>3</w:t>
            </w:r>
            <w:r>
              <w:rPr>
                <w:sz w:val="24"/>
              </w:rPr>
              <w:t>/a可继续进行水权转换。通过农业灌溉节水，预计还可置换2000万m</w:t>
            </w:r>
            <w:r>
              <w:rPr>
                <w:sz w:val="24"/>
                <w:vertAlign w:val="superscript"/>
              </w:rPr>
              <w:t>3</w:t>
            </w:r>
            <w:r>
              <w:rPr>
                <w:sz w:val="24"/>
              </w:rPr>
              <w:t>/a用水指标，后期最大供水量为10338万m</w:t>
            </w:r>
            <w:r>
              <w:rPr>
                <w:sz w:val="24"/>
                <w:vertAlign w:val="superscript"/>
              </w:rPr>
              <w:t>3</w:t>
            </w:r>
            <w:r>
              <w:rPr>
                <w:sz w:val="24"/>
              </w:rPr>
              <w:t>/a。</w:t>
            </w:r>
          </w:p>
          <w:p w14:paraId="49FBB047">
            <w:pPr>
              <w:adjustRightInd w:val="0"/>
              <w:snapToGrid w:val="0"/>
              <w:spacing w:line="440" w:lineRule="exact"/>
              <w:ind w:firstLine="482" w:firstLineChars="200"/>
              <w:rPr>
                <w:sz w:val="24"/>
              </w:rPr>
            </w:pPr>
            <w:r>
              <w:rPr>
                <w:rFonts w:hint="eastAsia"/>
                <w:b/>
                <w:bCs/>
                <w:sz w:val="24"/>
              </w:rPr>
              <w:t>现状：</w:t>
            </w:r>
            <w:r>
              <w:rPr>
                <w:sz w:val="24"/>
              </w:rPr>
              <w:t>园区引黄水供水工程为杭锦旗供水工程，取水口位于已建杭锦旗独贵塔拉镇黄河</w:t>
            </w:r>
            <w:r>
              <w:rPr>
                <w:rFonts w:hint="eastAsia"/>
                <w:sz w:val="24"/>
              </w:rPr>
              <w:t>“</w:t>
            </w:r>
            <w:r>
              <w:rPr>
                <w:sz w:val="24"/>
              </w:rPr>
              <w:t>208</w:t>
            </w:r>
            <w:r>
              <w:rPr>
                <w:rFonts w:hint="eastAsia"/>
                <w:sz w:val="24"/>
              </w:rPr>
              <w:t>”</w:t>
            </w:r>
            <w:r>
              <w:rPr>
                <w:sz w:val="24"/>
              </w:rPr>
              <w:t>险工，上距三湖河口水文站6.85km处，黄河原水通过供水工程的提水泵站提升后，用输水管道送至沉沙池预处理后进入供水工程的调蓄水，而后进入地表水净水厂进行预处理，使之达到工业用水水质要求，而后加压供独贵塔拉工业园南项目区及新能源项目区内各企业使用。黄河水权置换工程可取得用水指标1.3亿立方米/年，现已转换水权8000万立方米/年，还有近5000万立方米/年可继续进行水权转换。通过农业灌溉节水，预计还可置换2000万立方米/年用水指标。</w:t>
            </w:r>
          </w:p>
          <w:p w14:paraId="57A673C6">
            <w:pPr>
              <w:adjustRightInd w:val="0"/>
              <w:snapToGrid w:val="0"/>
              <w:spacing w:line="440" w:lineRule="exact"/>
              <w:ind w:firstLine="480" w:firstLineChars="200"/>
              <w:rPr>
                <w:sz w:val="24"/>
              </w:rPr>
            </w:pPr>
            <w:r>
              <w:rPr>
                <w:sz w:val="24"/>
              </w:rPr>
              <w:t>目前园区内企业在208险工段取水量为1993.599万m</w:t>
            </w:r>
            <w:r>
              <w:rPr>
                <w:sz w:val="24"/>
                <w:vertAlign w:val="superscript"/>
              </w:rPr>
              <w:t>3</w:t>
            </w:r>
            <w:r>
              <w:rPr>
                <w:sz w:val="24"/>
              </w:rPr>
              <w:t>/a，根据水资源论证报告，目前</w:t>
            </w:r>
            <w:r>
              <w:rPr>
                <w:rFonts w:hint="eastAsia"/>
                <w:sz w:val="24"/>
              </w:rPr>
              <w:t>“</w:t>
            </w:r>
            <w:r>
              <w:rPr>
                <w:sz w:val="24"/>
              </w:rPr>
              <w:t>208</w:t>
            </w:r>
            <w:r>
              <w:rPr>
                <w:rFonts w:hint="eastAsia"/>
                <w:sz w:val="24"/>
              </w:rPr>
              <w:t>”</w:t>
            </w:r>
            <w:r>
              <w:rPr>
                <w:sz w:val="24"/>
              </w:rPr>
              <w:t>险工取水口为园区预留年取水量为 3338万m</w:t>
            </w:r>
            <w:r>
              <w:rPr>
                <w:sz w:val="24"/>
                <w:vertAlign w:val="superscript"/>
              </w:rPr>
              <w:t>3</w:t>
            </w:r>
            <w:r>
              <w:rPr>
                <w:sz w:val="24"/>
              </w:rPr>
              <w:t>，目前企业用新鲜水量为1128.83万m</w:t>
            </w:r>
            <w:r>
              <w:rPr>
                <w:sz w:val="24"/>
                <w:vertAlign w:val="superscript"/>
              </w:rPr>
              <w:t>3</w:t>
            </w:r>
            <w:r>
              <w:rPr>
                <w:sz w:val="24"/>
              </w:rPr>
              <w:t>/a，可满足目前生产需求。</w:t>
            </w:r>
          </w:p>
          <w:p w14:paraId="27B466EC">
            <w:pPr>
              <w:adjustRightInd w:val="0"/>
              <w:snapToGrid w:val="0"/>
              <w:spacing w:line="440" w:lineRule="exact"/>
              <w:ind w:firstLine="482" w:firstLineChars="200"/>
              <w:rPr>
                <w:b/>
                <w:bCs/>
                <w:sz w:val="24"/>
              </w:rPr>
            </w:pPr>
            <w:r>
              <w:rPr>
                <w:b/>
                <w:bCs/>
                <w:sz w:val="24"/>
              </w:rPr>
              <w:t>项目</w:t>
            </w:r>
            <w:r>
              <w:rPr>
                <w:rFonts w:hint="eastAsia"/>
                <w:b/>
                <w:bCs/>
                <w:sz w:val="24"/>
              </w:rPr>
              <w:t>运营期无生产</w:t>
            </w:r>
            <w:r>
              <w:rPr>
                <w:b/>
                <w:bCs/>
                <w:sz w:val="24"/>
              </w:rPr>
              <w:t>用水，</w:t>
            </w:r>
            <w:r>
              <w:rPr>
                <w:rFonts w:hint="eastAsia"/>
                <w:b/>
                <w:bCs/>
                <w:sz w:val="24"/>
              </w:rPr>
              <w:t>不新增劳动定员，不新增生活用水</w:t>
            </w:r>
            <w:r>
              <w:rPr>
                <w:b/>
                <w:bCs/>
                <w:sz w:val="24"/>
              </w:rPr>
              <w:t>。</w:t>
            </w:r>
          </w:p>
          <w:p w14:paraId="4EDD261A">
            <w:pPr>
              <w:adjustRightInd w:val="0"/>
              <w:snapToGrid w:val="0"/>
              <w:spacing w:line="440" w:lineRule="exact"/>
              <w:ind w:firstLine="480" w:firstLineChars="200"/>
              <w:rPr>
                <w:sz w:val="24"/>
              </w:rPr>
            </w:pPr>
            <w:r>
              <w:rPr>
                <w:sz w:val="24"/>
              </w:rPr>
              <w:t>②排水工程</w:t>
            </w:r>
          </w:p>
          <w:p w14:paraId="150BA065">
            <w:pPr>
              <w:adjustRightInd w:val="0"/>
              <w:snapToGrid w:val="0"/>
              <w:spacing w:line="440" w:lineRule="exact"/>
              <w:ind w:firstLine="480" w:firstLineChars="200"/>
              <w:rPr>
                <w:sz w:val="24"/>
              </w:rPr>
            </w:pPr>
            <w:r>
              <w:rPr>
                <w:sz w:val="24"/>
              </w:rPr>
              <w:t>内蒙古伊泰化工有限责任公司、内蒙古伊诺新材料有限公司、内蒙古伊霖化工有限公司、内蒙古伊泰宁能精细化工有限公司、内蒙古安德力化工有限公司、科领环保股份有限公司均依托内蒙古伊泰化工有限责任公司污水处理厂处理，内蒙古协鑫硅材料有限公司协鑫杭锦旗颗粒硅及配套全产业链项目自建污水处理站，生产废水经处理后回用于生产，生活污水排入南区新建污水处理厂；其他企业生产及生活污水排入规划园区污水处理厂。</w:t>
            </w:r>
          </w:p>
          <w:p w14:paraId="7A14FA36">
            <w:pPr>
              <w:adjustRightInd w:val="0"/>
              <w:snapToGrid w:val="0"/>
              <w:spacing w:line="440" w:lineRule="exact"/>
              <w:ind w:firstLine="480" w:firstLineChars="200"/>
              <w:rPr>
                <w:sz w:val="24"/>
              </w:rPr>
            </w:pPr>
            <w:r>
              <w:rPr>
                <w:sz w:val="24"/>
              </w:rPr>
              <w:t>南区规划新建1座污水处理厂处理区域内的生活污水，设计处理规模为400m</w:t>
            </w:r>
            <w:r>
              <w:rPr>
                <w:sz w:val="24"/>
                <w:vertAlign w:val="superscript"/>
              </w:rPr>
              <w:t>3</w:t>
            </w:r>
            <w:r>
              <w:rPr>
                <w:sz w:val="24"/>
              </w:rPr>
              <w:t>/d，设计入水指标为《污水综合排放标准》（GB 8978-1996）三级标准要求，出水指标执行《城镇污水处理厂污染物排放标准》（GB 18918-2002）一级A标准，作为中水回用于园区企业不外排。</w:t>
            </w:r>
          </w:p>
          <w:p w14:paraId="11CFDA50">
            <w:pPr>
              <w:adjustRightInd w:val="0"/>
              <w:snapToGrid w:val="0"/>
              <w:spacing w:line="440" w:lineRule="exact"/>
              <w:ind w:firstLine="482" w:firstLineChars="200"/>
              <w:rPr>
                <w:sz w:val="24"/>
              </w:rPr>
            </w:pPr>
            <w:r>
              <w:rPr>
                <w:rFonts w:hint="eastAsia"/>
                <w:b/>
                <w:bCs/>
                <w:sz w:val="24"/>
              </w:rPr>
              <w:t>现状：</w:t>
            </w:r>
            <w:r>
              <w:rPr>
                <w:sz w:val="24"/>
              </w:rPr>
              <w:t>独贵塔拉产业园（南区）已建</w:t>
            </w:r>
            <w:r>
              <w:rPr>
                <w:rFonts w:hint="eastAsia"/>
                <w:sz w:val="24"/>
              </w:rPr>
              <w:t>成</w:t>
            </w:r>
            <w:r>
              <w:rPr>
                <w:sz w:val="24"/>
              </w:rPr>
              <w:t>内蒙古伊泰化工有限责任公司污水处理厂，主要服务于</w:t>
            </w:r>
            <w:r>
              <w:rPr>
                <w:rFonts w:hint="eastAsia"/>
                <w:sz w:val="24"/>
              </w:rPr>
              <w:t>内</w:t>
            </w:r>
            <w:r>
              <w:rPr>
                <w:sz w:val="24"/>
              </w:rPr>
              <w:t>蒙古伊泰化工有限责任公司上下游关联企业。</w:t>
            </w:r>
          </w:p>
          <w:p w14:paraId="6DF6E9BB">
            <w:pPr>
              <w:adjustRightInd w:val="0"/>
              <w:snapToGrid w:val="0"/>
              <w:spacing w:line="440" w:lineRule="exact"/>
              <w:ind w:firstLine="480" w:firstLineChars="200"/>
              <w:rPr>
                <w:sz w:val="24"/>
              </w:rPr>
            </w:pPr>
            <w:r>
              <w:rPr>
                <w:sz w:val="24"/>
              </w:rPr>
              <w:t>内蒙古伊泰化工有限责任公司污水处理厂污水处理站处理工艺：含油污水预处理工艺采用</w:t>
            </w:r>
            <w:r>
              <w:rPr>
                <w:rFonts w:hint="eastAsia" w:ascii="宋体" w:hAnsi="宋体"/>
                <w:sz w:val="24"/>
              </w:rPr>
              <w:t>“</w:t>
            </w:r>
            <w:r>
              <w:rPr>
                <w:sz w:val="24"/>
              </w:rPr>
              <w:t>平流隔油池+CAF+溶气气浮</w:t>
            </w:r>
            <w:r>
              <w:rPr>
                <w:rFonts w:hint="eastAsia" w:ascii="宋体" w:hAnsi="宋体"/>
                <w:sz w:val="24"/>
              </w:rPr>
              <w:t>”</w:t>
            </w:r>
            <w:r>
              <w:rPr>
                <w:sz w:val="24"/>
              </w:rPr>
              <w:t>；合成废水预处理采用UASB厌氧池处理；气化废水预处理采用高密度沉淀池处理工艺。污水生化处理单元采用</w:t>
            </w:r>
            <w:r>
              <w:rPr>
                <w:rFonts w:hint="eastAsia" w:ascii="宋体" w:hAnsi="宋体"/>
                <w:sz w:val="24"/>
              </w:rPr>
              <w:t>“</w:t>
            </w:r>
            <w:r>
              <w:rPr>
                <w:sz w:val="24"/>
              </w:rPr>
              <w:t>调节池+二级A/O+二沉池+混凝沉淀处理工艺</w:t>
            </w:r>
            <w:r>
              <w:rPr>
                <w:rFonts w:hint="eastAsia" w:ascii="宋体" w:hAnsi="宋体"/>
                <w:sz w:val="24"/>
              </w:rPr>
              <w:t>”</w:t>
            </w:r>
            <w:r>
              <w:rPr>
                <w:sz w:val="24"/>
              </w:rPr>
              <w:t>，处理规模1200m</w:t>
            </w:r>
            <w:r>
              <w:rPr>
                <w:sz w:val="24"/>
                <w:vertAlign w:val="superscript"/>
              </w:rPr>
              <w:t>3</w:t>
            </w:r>
            <w:r>
              <w:rPr>
                <w:sz w:val="24"/>
              </w:rPr>
              <w:t>/h，内蒙古伊泰化工有限责任公司现有厂区废水处理量约为901.7m</w:t>
            </w:r>
            <w:r>
              <w:rPr>
                <w:sz w:val="24"/>
                <w:vertAlign w:val="superscript"/>
              </w:rPr>
              <w:t>3</w:t>
            </w:r>
            <w:r>
              <w:rPr>
                <w:sz w:val="24"/>
              </w:rPr>
              <w:t>/h，处理后出水水质满足《污水综合排放标准》（GB 8978-1996）一级标准，废水处理及回用装置出水和高含盐水蒸发及结晶装置冷凝水质满足企业回用水水质标准。</w:t>
            </w:r>
          </w:p>
          <w:p w14:paraId="34718D64">
            <w:pPr>
              <w:adjustRightInd w:val="0"/>
              <w:snapToGrid w:val="0"/>
              <w:spacing w:line="440" w:lineRule="exact"/>
              <w:ind w:firstLine="482" w:firstLineChars="200"/>
              <w:rPr>
                <w:b/>
                <w:bCs/>
                <w:sz w:val="24"/>
              </w:rPr>
            </w:pPr>
            <w:r>
              <w:rPr>
                <w:b/>
                <w:bCs/>
                <w:sz w:val="24"/>
              </w:rPr>
              <w:t>项目</w:t>
            </w:r>
            <w:r>
              <w:rPr>
                <w:rFonts w:hint="eastAsia"/>
                <w:b/>
                <w:bCs/>
                <w:sz w:val="24"/>
              </w:rPr>
              <w:t>运营期无废水产生</w:t>
            </w:r>
            <w:r>
              <w:rPr>
                <w:b/>
                <w:bCs/>
                <w:sz w:val="24"/>
              </w:rPr>
              <w:t>。</w:t>
            </w:r>
          </w:p>
          <w:p w14:paraId="034A02E2">
            <w:pPr>
              <w:adjustRightInd w:val="0"/>
              <w:snapToGrid w:val="0"/>
              <w:spacing w:line="440" w:lineRule="exact"/>
              <w:ind w:firstLine="480" w:firstLineChars="200"/>
              <w:rPr>
                <w:sz w:val="24"/>
              </w:rPr>
            </w:pPr>
            <w:r>
              <w:rPr>
                <w:sz w:val="24"/>
              </w:rPr>
              <w:t>③供热工程</w:t>
            </w:r>
          </w:p>
          <w:p w14:paraId="495D4B81">
            <w:pPr>
              <w:adjustRightInd w:val="0"/>
              <w:snapToGrid w:val="0"/>
              <w:spacing w:line="440" w:lineRule="exact"/>
              <w:ind w:firstLine="480" w:firstLineChars="200"/>
              <w:rPr>
                <w:sz w:val="24"/>
              </w:rPr>
            </w:pPr>
            <w:r>
              <w:rPr>
                <w:sz w:val="24"/>
              </w:rPr>
              <w:t>独贵产业园南区内蒙古伊泰化工有限责任公司建设4台480t/h高压循环流化床燃煤锅炉（3 用1备），目前夏季用气量约910t/h，冬季最大用气量为1200t/h；供热余量夏季约530t/h，冬季约240t/h。同时独贵产业园南区规划重点项目的工业余热充足，可实现企业自行供热，因此不再规划供热设施；</w:t>
            </w:r>
          </w:p>
          <w:p w14:paraId="1B265E92">
            <w:pPr>
              <w:adjustRightInd w:val="0"/>
              <w:snapToGrid w:val="0"/>
              <w:spacing w:line="440" w:lineRule="exact"/>
              <w:ind w:firstLine="482" w:firstLineChars="200"/>
              <w:rPr>
                <w:b/>
                <w:bCs/>
                <w:sz w:val="24"/>
              </w:rPr>
            </w:pPr>
            <w:r>
              <w:rPr>
                <w:b/>
                <w:bCs/>
                <w:sz w:val="24"/>
              </w:rPr>
              <w:t>项目</w:t>
            </w:r>
            <w:r>
              <w:rPr>
                <w:rFonts w:hint="eastAsia"/>
                <w:b/>
                <w:bCs/>
                <w:sz w:val="24"/>
              </w:rPr>
              <w:t>运营期不涉及用热</w:t>
            </w:r>
            <w:r>
              <w:rPr>
                <w:b/>
                <w:bCs/>
                <w:sz w:val="24"/>
              </w:rPr>
              <w:t>。</w:t>
            </w:r>
          </w:p>
          <w:p w14:paraId="2A06D531">
            <w:pPr>
              <w:adjustRightInd w:val="0"/>
              <w:snapToGrid w:val="0"/>
              <w:spacing w:line="440" w:lineRule="exact"/>
              <w:ind w:firstLine="480" w:firstLineChars="200"/>
              <w:rPr>
                <w:rFonts w:hint="eastAsia" w:ascii="宋体" w:hAnsi="宋体"/>
                <w:sz w:val="24"/>
              </w:rPr>
            </w:pPr>
          </w:p>
          <w:p w14:paraId="632D7D95">
            <w:pPr>
              <w:adjustRightInd w:val="0"/>
              <w:snapToGrid w:val="0"/>
              <w:spacing w:line="440" w:lineRule="exact"/>
              <w:ind w:firstLine="480" w:firstLineChars="200"/>
              <w:rPr>
                <w:rFonts w:hint="eastAsia" w:ascii="宋体" w:hAnsi="宋体"/>
                <w:sz w:val="24"/>
              </w:rPr>
            </w:pPr>
          </w:p>
          <w:p w14:paraId="6337B397">
            <w:pPr>
              <w:adjustRightInd w:val="0"/>
              <w:snapToGrid w:val="0"/>
              <w:spacing w:line="440" w:lineRule="exact"/>
              <w:ind w:firstLine="480" w:firstLineChars="200"/>
              <w:rPr>
                <w:rFonts w:hint="eastAsia" w:ascii="宋体" w:hAnsi="宋体"/>
                <w:sz w:val="24"/>
              </w:rPr>
            </w:pPr>
          </w:p>
          <w:p w14:paraId="6AF1885C">
            <w:pPr>
              <w:adjustRightInd w:val="0"/>
              <w:snapToGrid w:val="0"/>
              <w:spacing w:line="440" w:lineRule="exact"/>
              <w:ind w:firstLine="480" w:firstLineChars="200"/>
              <w:rPr>
                <w:rFonts w:hint="eastAsia" w:ascii="宋体" w:hAnsi="宋体"/>
                <w:sz w:val="24"/>
              </w:rPr>
            </w:pPr>
          </w:p>
          <w:p w14:paraId="4F092FD3">
            <w:pPr>
              <w:adjustRightInd w:val="0"/>
              <w:snapToGrid w:val="0"/>
              <w:spacing w:line="440" w:lineRule="exact"/>
              <w:ind w:firstLine="480" w:firstLineChars="200"/>
              <w:rPr>
                <w:rFonts w:hint="eastAsia" w:ascii="宋体" w:hAnsi="宋体"/>
                <w:sz w:val="24"/>
              </w:rPr>
            </w:pPr>
          </w:p>
          <w:p w14:paraId="2E7C9BFA">
            <w:pPr>
              <w:adjustRightInd w:val="0"/>
              <w:snapToGrid w:val="0"/>
              <w:spacing w:line="440" w:lineRule="exact"/>
              <w:ind w:firstLine="480" w:firstLineChars="200"/>
              <w:rPr>
                <w:rFonts w:hint="eastAsia" w:ascii="宋体" w:hAnsi="宋体"/>
                <w:sz w:val="24"/>
              </w:rPr>
            </w:pPr>
          </w:p>
          <w:p w14:paraId="7D7895FD">
            <w:pPr>
              <w:adjustRightInd w:val="0"/>
              <w:snapToGrid w:val="0"/>
              <w:spacing w:line="440" w:lineRule="exact"/>
              <w:ind w:firstLine="482" w:firstLineChars="200"/>
              <w:rPr>
                <w:b/>
                <w:bCs/>
                <w:sz w:val="24"/>
              </w:rPr>
            </w:pPr>
          </w:p>
          <w:p w14:paraId="161F18C1">
            <w:pPr>
              <w:adjustRightInd w:val="0"/>
              <w:snapToGrid w:val="0"/>
              <w:spacing w:line="440" w:lineRule="exact"/>
              <w:ind w:firstLine="482" w:firstLineChars="200"/>
              <w:rPr>
                <w:b/>
                <w:bCs/>
                <w:sz w:val="24"/>
              </w:rPr>
            </w:pPr>
          </w:p>
          <w:p w14:paraId="420551BF">
            <w:pPr>
              <w:adjustRightInd w:val="0"/>
              <w:snapToGrid w:val="0"/>
              <w:spacing w:line="440" w:lineRule="exact"/>
              <w:rPr>
                <w:sz w:val="24"/>
              </w:rPr>
            </w:pPr>
          </w:p>
          <w:p w14:paraId="611DD79D">
            <w:pPr>
              <w:adjustRightInd w:val="0"/>
              <w:snapToGrid w:val="0"/>
              <w:spacing w:line="440" w:lineRule="exact"/>
              <w:rPr>
                <w:sz w:val="24"/>
              </w:rPr>
            </w:pPr>
          </w:p>
          <w:p w14:paraId="50E589F6">
            <w:pPr>
              <w:adjustRightInd w:val="0"/>
              <w:snapToGrid w:val="0"/>
              <w:spacing w:line="440" w:lineRule="exact"/>
              <w:rPr>
                <w:sz w:val="24"/>
              </w:rPr>
            </w:pPr>
          </w:p>
          <w:p w14:paraId="10EA79BD">
            <w:pPr>
              <w:adjustRightInd w:val="0"/>
              <w:snapToGrid w:val="0"/>
              <w:spacing w:line="440" w:lineRule="exact"/>
              <w:rPr>
                <w:sz w:val="24"/>
              </w:rPr>
            </w:pPr>
          </w:p>
        </w:tc>
      </w:tr>
    </w:tbl>
    <w:p w14:paraId="391A8D19">
      <w:pPr>
        <w:autoSpaceDE w:val="0"/>
        <w:autoSpaceDN w:val="0"/>
        <w:adjustRightInd w:val="0"/>
        <w:snapToGrid w:val="0"/>
        <w:spacing w:line="440" w:lineRule="exact"/>
        <w:jc w:val="center"/>
        <w:rPr>
          <w:kern w:val="0"/>
          <w:sz w:val="24"/>
        </w:rPr>
        <w:sectPr>
          <w:footerReference r:id="rId4" w:type="default"/>
          <w:pgSz w:w="11906" w:h="16838"/>
          <w:pgMar w:top="1701" w:right="1531" w:bottom="1701" w:left="1531" w:header="851" w:footer="1077" w:gutter="0"/>
          <w:pgNumType w:start="1"/>
          <w:cols w:space="720" w:num="1"/>
          <w:docGrid w:linePitch="312" w:charSpace="0"/>
        </w:sectPr>
      </w:pPr>
    </w:p>
    <w:tbl>
      <w:tblPr>
        <w:tblStyle w:val="78"/>
        <w:tblW w:w="498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1882"/>
      </w:tblGrid>
      <w:tr w14:paraId="55992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579" w:type="pct"/>
            <w:tcMar>
              <w:top w:w="16" w:type="dxa"/>
              <w:left w:w="16" w:type="dxa"/>
              <w:right w:w="16" w:type="dxa"/>
            </w:tcMar>
            <w:vAlign w:val="center"/>
          </w:tcPr>
          <w:p w14:paraId="4AA3B9F2">
            <w:pPr>
              <w:autoSpaceDE w:val="0"/>
              <w:autoSpaceDN w:val="0"/>
              <w:adjustRightInd w:val="0"/>
              <w:snapToGrid w:val="0"/>
              <w:spacing w:line="440" w:lineRule="exact"/>
              <w:jc w:val="center"/>
              <w:rPr>
                <w:kern w:val="0"/>
                <w:sz w:val="24"/>
              </w:rPr>
            </w:pPr>
            <w:r>
              <w:rPr>
                <w:kern w:val="0"/>
                <w:sz w:val="24"/>
              </w:rPr>
              <w:t>规划及</w:t>
            </w:r>
            <w:r>
              <w:rPr>
                <w:sz w:val="24"/>
              </w:rPr>
              <w:t>规划环境影响评价</w:t>
            </w:r>
            <w:r>
              <w:rPr>
                <w:kern w:val="0"/>
                <w:sz w:val="24"/>
              </w:rPr>
              <w:t>符合性分析</w:t>
            </w:r>
          </w:p>
        </w:tc>
        <w:tc>
          <w:tcPr>
            <w:tcW w:w="4421" w:type="pct"/>
            <w:tcMar>
              <w:top w:w="16" w:type="dxa"/>
              <w:left w:w="16" w:type="dxa"/>
              <w:right w:w="16" w:type="dxa"/>
            </w:tcMar>
            <w:vAlign w:val="center"/>
          </w:tcPr>
          <w:p w14:paraId="062145CB">
            <w:pPr>
              <w:autoSpaceDE w:val="0"/>
              <w:autoSpaceDN w:val="0"/>
              <w:adjustRightInd w:val="0"/>
              <w:snapToGrid w:val="0"/>
              <w:spacing w:line="440" w:lineRule="exact"/>
              <w:ind w:firstLine="482" w:firstLineChars="200"/>
              <w:rPr>
                <w:b/>
                <w:bCs/>
                <w:kern w:val="0"/>
                <w:sz w:val="24"/>
              </w:rPr>
            </w:pPr>
            <w:r>
              <w:rPr>
                <w:rFonts w:hint="eastAsia"/>
                <w:b/>
                <w:bCs/>
                <w:kern w:val="0"/>
                <w:sz w:val="24"/>
              </w:rPr>
              <w:t>2.项目与园区生态环境准入清单符合性分析</w:t>
            </w:r>
          </w:p>
          <w:p w14:paraId="457F3E29">
            <w:pPr>
              <w:autoSpaceDE w:val="0"/>
              <w:autoSpaceDN w:val="0"/>
              <w:adjustRightInd w:val="0"/>
              <w:snapToGrid w:val="0"/>
              <w:spacing w:line="440" w:lineRule="exact"/>
              <w:ind w:firstLine="482" w:firstLineChars="200"/>
              <w:rPr>
                <w:b/>
                <w:bCs/>
                <w:kern w:val="0"/>
                <w:sz w:val="24"/>
              </w:rPr>
            </w:pPr>
            <w:r>
              <w:rPr>
                <w:rFonts w:hint="eastAsia"/>
                <w:b/>
                <w:bCs/>
                <w:kern w:val="0"/>
                <w:sz w:val="24"/>
              </w:rPr>
              <w:t>表1-1  项目与园区生态环境准入清单符合性分析</w:t>
            </w:r>
          </w:p>
          <w:tbl>
            <w:tblPr>
              <w:tblStyle w:val="7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9"/>
              <w:gridCol w:w="644"/>
              <w:gridCol w:w="5906"/>
              <w:gridCol w:w="4429"/>
              <w:gridCol w:w="587"/>
            </w:tblGrid>
            <w:tr w14:paraId="7590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3D807453">
                  <w:pPr>
                    <w:autoSpaceDE w:val="0"/>
                    <w:autoSpaceDN w:val="0"/>
                    <w:adjustRightInd w:val="0"/>
                    <w:snapToGrid w:val="0"/>
                    <w:spacing w:line="360" w:lineRule="exact"/>
                    <w:jc w:val="center"/>
                    <w:rPr>
                      <w:kern w:val="0"/>
                      <w:sz w:val="18"/>
                      <w:szCs w:val="18"/>
                    </w:rPr>
                  </w:pPr>
                  <w:r>
                    <w:rPr>
                      <w:rFonts w:hint="eastAsia"/>
                      <w:kern w:val="0"/>
                      <w:sz w:val="18"/>
                      <w:szCs w:val="18"/>
                    </w:rPr>
                    <w:t>序号</w:t>
                  </w:r>
                </w:p>
              </w:tc>
              <w:tc>
                <w:tcPr>
                  <w:tcW w:w="2767" w:type="pct"/>
                  <w:gridSpan w:val="2"/>
                  <w:vAlign w:val="center"/>
                </w:tcPr>
                <w:p w14:paraId="03FB6E4C">
                  <w:pPr>
                    <w:autoSpaceDE w:val="0"/>
                    <w:autoSpaceDN w:val="0"/>
                    <w:adjustRightInd w:val="0"/>
                    <w:snapToGrid w:val="0"/>
                    <w:spacing w:line="360" w:lineRule="exact"/>
                    <w:jc w:val="center"/>
                    <w:rPr>
                      <w:kern w:val="0"/>
                      <w:sz w:val="18"/>
                      <w:szCs w:val="18"/>
                    </w:rPr>
                  </w:pPr>
                  <w:r>
                    <w:rPr>
                      <w:rFonts w:hint="eastAsia"/>
                      <w:kern w:val="0"/>
                      <w:sz w:val="18"/>
                      <w:szCs w:val="18"/>
                    </w:rPr>
                    <w:t>内容</w:t>
                  </w:r>
                </w:p>
              </w:tc>
              <w:tc>
                <w:tcPr>
                  <w:tcW w:w="1871" w:type="pct"/>
                  <w:vAlign w:val="center"/>
                </w:tcPr>
                <w:p w14:paraId="5FC2FA6D">
                  <w:pPr>
                    <w:autoSpaceDE w:val="0"/>
                    <w:autoSpaceDN w:val="0"/>
                    <w:adjustRightInd w:val="0"/>
                    <w:snapToGrid w:val="0"/>
                    <w:spacing w:line="360" w:lineRule="exact"/>
                    <w:jc w:val="center"/>
                    <w:rPr>
                      <w:kern w:val="0"/>
                      <w:sz w:val="18"/>
                      <w:szCs w:val="18"/>
                    </w:rPr>
                  </w:pPr>
                  <w:r>
                    <w:rPr>
                      <w:rFonts w:hint="eastAsia"/>
                      <w:kern w:val="0"/>
                      <w:sz w:val="18"/>
                      <w:szCs w:val="18"/>
                    </w:rPr>
                    <w:t>本项目情况</w:t>
                  </w:r>
                </w:p>
              </w:tc>
              <w:tc>
                <w:tcPr>
                  <w:tcW w:w="248" w:type="pct"/>
                  <w:vAlign w:val="center"/>
                </w:tcPr>
                <w:p w14:paraId="560E16DD">
                  <w:pPr>
                    <w:autoSpaceDE w:val="0"/>
                    <w:autoSpaceDN w:val="0"/>
                    <w:adjustRightInd w:val="0"/>
                    <w:snapToGrid w:val="0"/>
                    <w:spacing w:line="360" w:lineRule="exact"/>
                    <w:jc w:val="center"/>
                    <w:rPr>
                      <w:kern w:val="0"/>
                      <w:sz w:val="18"/>
                      <w:szCs w:val="18"/>
                    </w:rPr>
                  </w:pPr>
                  <w:r>
                    <w:rPr>
                      <w:rFonts w:hint="eastAsia"/>
                      <w:kern w:val="0"/>
                      <w:sz w:val="18"/>
                      <w:szCs w:val="18"/>
                    </w:rPr>
                    <w:t>符合性分析</w:t>
                  </w:r>
                </w:p>
              </w:tc>
            </w:tr>
            <w:tr w14:paraId="149C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331DAA8B">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272" w:type="pct"/>
                  <w:vAlign w:val="center"/>
                </w:tcPr>
                <w:p w14:paraId="14245CDB">
                  <w:pPr>
                    <w:autoSpaceDE w:val="0"/>
                    <w:autoSpaceDN w:val="0"/>
                    <w:adjustRightInd w:val="0"/>
                    <w:snapToGrid w:val="0"/>
                    <w:spacing w:line="360" w:lineRule="exact"/>
                    <w:jc w:val="center"/>
                    <w:rPr>
                      <w:kern w:val="0"/>
                      <w:sz w:val="18"/>
                      <w:szCs w:val="18"/>
                    </w:rPr>
                  </w:pPr>
                  <w:r>
                    <w:rPr>
                      <w:rFonts w:hint="eastAsia"/>
                      <w:kern w:val="0"/>
                      <w:sz w:val="18"/>
                      <w:szCs w:val="18"/>
                    </w:rPr>
                    <w:t>产业准入控制</w:t>
                  </w:r>
                </w:p>
              </w:tc>
              <w:tc>
                <w:tcPr>
                  <w:tcW w:w="2495" w:type="pct"/>
                  <w:vAlign w:val="center"/>
                </w:tcPr>
                <w:p w14:paraId="520B068A">
                  <w:pPr>
                    <w:spacing w:line="360" w:lineRule="exact"/>
                    <w:rPr>
                      <w:kern w:val="0"/>
                      <w:sz w:val="18"/>
                      <w:szCs w:val="18"/>
                    </w:rPr>
                  </w:pPr>
                  <w:r>
                    <w:rPr>
                      <w:rFonts w:hint="eastAsia"/>
                      <w:kern w:val="0"/>
                      <w:sz w:val="18"/>
                      <w:szCs w:val="18"/>
                    </w:rPr>
                    <w:t>1.禁止引进与园区产业定位不相符的企业。</w:t>
                  </w:r>
                </w:p>
                <w:p w14:paraId="0C06B2D4">
                  <w:pPr>
                    <w:spacing w:line="360" w:lineRule="exact"/>
                    <w:rPr>
                      <w:kern w:val="0"/>
                      <w:sz w:val="18"/>
                      <w:szCs w:val="18"/>
                    </w:rPr>
                  </w:pPr>
                  <w:r>
                    <w:rPr>
                      <w:rFonts w:hint="eastAsia"/>
                      <w:kern w:val="0"/>
                      <w:sz w:val="18"/>
                      <w:szCs w:val="18"/>
                    </w:rPr>
                    <w:t>2.严格控制煤电、煤化工、电石等产业发展规模，严控“两高”行业产能。规划期内不再新增焦炭（兰炭）、电石、合成氨、甲醇、水泥（熟料）、平板玻璃、超高功率以下石墨电极、蓝宝石、无下游转化的多晶硅、单晶硅等新增产能项目。确有必要建设的，须在区内实施产能和能耗减量置换。</w:t>
                  </w:r>
                </w:p>
                <w:p w14:paraId="7807288F">
                  <w:pPr>
                    <w:spacing w:line="360" w:lineRule="exact"/>
                    <w:rPr>
                      <w:kern w:val="0"/>
                      <w:sz w:val="18"/>
                      <w:szCs w:val="18"/>
                    </w:rPr>
                  </w:pPr>
                  <w:r>
                    <w:rPr>
                      <w:rFonts w:hint="eastAsia"/>
                      <w:kern w:val="0"/>
                      <w:sz w:val="18"/>
                      <w:szCs w:val="18"/>
                    </w:rPr>
                    <w:t>3.禁止建设列入《产业结构调整指导目录（2011年本）》及（2013年修正）中的淘汰类项目；禁止建设列入《外商投资准入特别管理措施（负面清单）（2018年版）》中禁止外商投资领域的项目；禁止建设采用国家和地方淘汰的或禁止使用的工艺、技术和设备的项目；以及生产工艺或污染防治技术不成熟的项目。</w:t>
                  </w:r>
                </w:p>
              </w:tc>
              <w:tc>
                <w:tcPr>
                  <w:tcW w:w="1871" w:type="pct"/>
                  <w:vAlign w:val="center"/>
                </w:tcPr>
                <w:p w14:paraId="45ABE2F8">
                  <w:pPr>
                    <w:autoSpaceDE w:val="0"/>
                    <w:autoSpaceDN w:val="0"/>
                    <w:adjustRightInd w:val="0"/>
                    <w:snapToGrid w:val="0"/>
                    <w:spacing w:line="360" w:lineRule="exact"/>
                    <w:rPr>
                      <w:kern w:val="0"/>
                      <w:sz w:val="18"/>
                      <w:szCs w:val="18"/>
                    </w:rPr>
                  </w:pPr>
                  <w:r>
                    <w:rPr>
                      <w:rFonts w:hint="eastAsia"/>
                      <w:kern w:val="0"/>
                      <w:sz w:val="18"/>
                      <w:szCs w:val="18"/>
                    </w:rPr>
                    <w:t>1.项目属于管道项目，属于内蒙古伊泰宏城化学有限公司 10000吨/年聚a-烯烃（PAO）示范项目配套物料输送项目，由内蒙古伊泰化工有限责任公司负责建设，不涉及园区主导产业，该项目符合园区规划的产业定位要求</w:t>
                  </w:r>
                  <w:r>
                    <w:rPr>
                      <w:kern w:val="0"/>
                      <w:sz w:val="18"/>
                      <w:szCs w:val="18"/>
                    </w:rPr>
                    <w:t>。</w:t>
                  </w:r>
                </w:p>
                <w:p w14:paraId="6E2F2905">
                  <w:pPr>
                    <w:autoSpaceDE w:val="0"/>
                    <w:autoSpaceDN w:val="0"/>
                    <w:adjustRightInd w:val="0"/>
                    <w:snapToGrid w:val="0"/>
                    <w:spacing w:line="360" w:lineRule="exact"/>
                    <w:rPr>
                      <w:kern w:val="0"/>
                      <w:sz w:val="18"/>
                      <w:szCs w:val="18"/>
                    </w:rPr>
                  </w:pPr>
                  <w:r>
                    <w:rPr>
                      <w:rFonts w:hint="eastAsia"/>
                      <w:kern w:val="0"/>
                      <w:sz w:val="18"/>
                      <w:szCs w:val="18"/>
                    </w:rPr>
                    <w:t>2.不涉及。</w:t>
                  </w:r>
                </w:p>
                <w:p w14:paraId="2245985C">
                  <w:pPr>
                    <w:autoSpaceDE w:val="0"/>
                    <w:autoSpaceDN w:val="0"/>
                    <w:adjustRightInd w:val="0"/>
                    <w:snapToGrid w:val="0"/>
                    <w:spacing w:line="360" w:lineRule="exact"/>
                    <w:rPr>
                      <w:kern w:val="0"/>
                      <w:sz w:val="18"/>
                      <w:szCs w:val="18"/>
                    </w:rPr>
                  </w:pPr>
                  <w:r>
                    <w:rPr>
                      <w:rFonts w:hint="eastAsia"/>
                      <w:kern w:val="0"/>
                      <w:sz w:val="18"/>
                      <w:szCs w:val="18"/>
                    </w:rPr>
                    <w:t>3.项目为管道项目，根据《产业结构调整指导目录（2024年）》，项目不属于鼓励类、限制类、淘汰类。不涉及《外商投资产业指导目录（2025年版）》中禁止外商投资领域。不属于禁止建设采用国家和地方淘汰的或禁止使用的工艺、技术和设备的项目以及生产工艺或污染防治技术不成熟的项目。</w:t>
                  </w:r>
                </w:p>
              </w:tc>
              <w:tc>
                <w:tcPr>
                  <w:tcW w:w="248" w:type="pct"/>
                  <w:vAlign w:val="center"/>
                </w:tcPr>
                <w:p w14:paraId="62F2B87E">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39A2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58C03E36">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272" w:type="pct"/>
                  <w:vAlign w:val="center"/>
                </w:tcPr>
                <w:p w14:paraId="621F7DD3">
                  <w:pPr>
                    <w:autoSpaceDE w:val="0"/>
                    <w:autoSpaceDN w:val="0"/>
                    <w:adjustRightInd w:val="0"/>
                    <w:snapToGrid w:val="0"/>
                    <w:spacing w:line="360" w:lineRule="exact"/>
                    <w:jc w:val="center"/>
                    <w:rPr>
                      <w:kern w:val="0"/>
                      <w:sz w:val="18"/>
                      <w:szCs w:val="18"/>
                    </w:rPr>
                  </w:pPr>
                  <w:r>
                    <w:rPr>
                      <w:rFonts w:hint="eastAsia"/>
                      <w:kern w:val="0"/>
                      <w:sz w:val="18"/>
                      <w:szCs w:val="18"/>
                    </w:rPr>
                    <w:t>空间布局约束</w:t>
                  </w:r>
                </w:p>
              </w:tc>
              <w:tc>
                <w:tcPr>
                  <w:tcW w:w="2495" w:type="pct"/>
                  <w:vAlign w:val="center"/>
                </w:tcPr>
                <w:p w14:paraId="6D2AEA2E">
                  <w:pPr>
                    <w:autoSpaceDE w:val="0"/>
                    <w:autoSpaceDN w:val="0"/>
                    <w:adjustRightInd w:val="0"/>
                    <w:snapToGrid w:val="0"/>
                    <w:spacing w:line="360" w:lineRule="exact"/>
                    <w:rPr>
                      <w:kern w:val="0"/>
                      <w:sz w:val="18"/>
                      <w:szCs w:val="18"/>
                    </w:rPr>
                  </w:pPr>
                  <w:r>
                    <w:rPr>
                      <w:rFonts w:hint="eastAsia"/>
                      <w:kern w:val="0"/>
                      <w:sz w:val="18"/>
                      <w:szCs w:val="18"/>
                    </w:rPr>
                    <w:t>引入项目需符合该片区主导、辅助产业定位</w:t>
                  </w:r>
                </w:p>
              </w:tc>
              <w:tc>
                <w:tcPr>
                  <w:tcW w:w="1871" w:type="pct"/>
                  <w:vAlign w:val="center"/>
                </w:tcPr>
                <w:p w14:paraId="2266E172">
                  <w:pPr>
                    <w:autoSpaceDE w:val="0"/>
                    <w:autoSpaceDN w:val="0"/>
                    <w:adjustRightInd w:val="0"/>
                    <w:snapToGrid w:val="0"/>
                    <w:spacing w:line="360" w:lineRule="exact"/>
                    <w:rPr>
                      <w:kern w:val="0"/>
                      <w:sz w:val="18"/>
                      <w:szCs w:val="18"/>
                    </w:rPr>
                  </w:pPr>
                  <w:r>
                    <w:rPr>
                      <w:rFonts w:hint="eastAsia"/>
                      <w:kern w:val="0"/>
                      <w:sz w:val="18"/>
                      <w:szCs w:val="18"/>
                    </w:rPr>
                    <w:t>项目属于管道项目，属于内蒙古伊泰宏城化学有限公司 10000吨/年聚a-烯烃（PAO）示范项目配套物料输送项目，由内蒙古伊泰化工有限责任公司负责建设，不涉及园区主导产业，项目符合园区规划产业定位要求</w:t>
                  </w:r>
                  <w:r>
                    <w:rPr>
                      <w:kern w:val="0"/>
                      <w:sz w:val="18"/>
                      <w:szCs w:val="18"/>
                    </w:rPr>
                    <w:t>。</w:t>
                  </w:r>
                </w:p>
              </w:tc>
              <w:tc>
                <w:tcPr>
                  <w:tcW w:w="248" w:type="pct"/>
                  <w:vAlign w:val="center"/>
                </w:tcPr>
                <w:p w14:paraId="5FE39A45">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0277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1D3E8327">
                  <w:pPr>
                    <w:autoSpaceDE w:val="0"/>
                    <w:autoSpaceDN w:val="0"/>
                    <w:adjustRightInd w:val="0"/>
                    <w:snapToGrid w:val="0"/>
                    <w:spacing w:line="360" w:lineRule="exact"/>
                    <w:jc w:val="center"/>
                    <w:rPr>
                      <w:kern w:val="0"/>
                      <w:sz w:val="18"/>
                      <w:szCs w:val="18"/>
                    </w:rPr>
                  </w:pPr>
                  <w:r>
                    <w:rPr>
                      <w:rFonts w:hint="eastAsia"/>
                      <w:kern w:val="0"/>
                      <w:sz w:val="18"/>
                      <w:szCs w:val="18"/>
                    </w:rPr>
                    <w:t>3</w:t>
                  </w:r>
                </w:p>
              </w:tc>
              <w:tc>
                <w:tcPr>
                  <w:tcW w:w="272" w:type="pct"/>
                  <w:vAlign w:val="center"/>
                </w:tcPr>
                <w:p w14:paraId="023A3036">
                  <w:pPr>
                    <w:autoSpaceDE w:val="0"/>
                    <w:autoSpaceDN w:val="0"/>
                    <w:adjustRightInd w:val="0"/>
                    <w:snapToGrid w:val="0"/>
                    <w:spacing w:line="360" w:lineRule="exact"/>
                    <w:jc w:val="center"/>
                    <w:rPr>
                      <w:kern w:val="0"/>
                      <w:sz w:val="18"/>
                      <w:szCs w:val="18"/>
                    </w:rPr>
                  </w:pPr>
                  <w:r>
                    <w:rPr>
                      <w:kern w:val="0"/>
                      <w:sz w:val="18"/>
                      <w:szCs w:val="18"/>
                    </w:rPr>
                    <w:t>污染物排放</w:t>
                  </w:r>
                  <w:r>
                    <w:rPr>
                      <w:rFonts w:hint="eastAsia"/>
                      <w:kern w:val="0"/>
                      <w:sz w:val="18"/>
                      <w:szCs w:val="18"/>
                    </w:rPr>
                    <w:t>管控</w:t>
                  </w:r>
                </w:p>
              </w:tc>
              <w:tc>
                <w:tcPr>
                  <w:tcW w:w="2495" w:type="pct"/>
                  <w:vAlign w:val="center"/>
                </w:tcPr>
                <w:p w14:paraId="0D582E35">
                  <w:pPr>
                    <w:spacing w:line="360" w:lineRule="exact"/>
                    <w:rPr>
                      <w:kern w:val="0"/>
                      <w:sz w:val="18"/>
                      <w:szCs w:val="18"/>
                    </w:rPr>
                  </w:pPr>
                  <w:r>
                    <w:rPr>
                      <w:rFonts w:hint="eastAsia"/>
                      <w:kern w:val="0"/>
                      <w:sz w:val="18"/>
                      <w:szCs w:val="18"/>
                    </w:rPr>
                    <w:t>1.严格落实污染物排放总量控制制度，把主要污染物排放总量指标作为环评审批的前置条件。</w:t>
                  </w:r>
                </w:p>
                <w:p w14:paraId="0AF16FA4">
                  <w:pPr>
                    <w:spacing w:line="360" w:lineRule="exact"/>
                    <w:rPr>
                      <w:kern w:val="0"/>
                      <w:sz w:val="18"/>
                      <w:szCs w:val="18"/>
                    </w:rPr>
                  </w:pPr>
                  <w:r>
                    <w:rPr>
                      <w:rFonts w:hint="eastAsia"/>
                      <w:kern w:val="0"/>
                      <w:sz w:val="18"/>
                      <w:szCs w:val="18"/>
                    </w:rPr>
                    <w:t>2.新建“两高”项目，需制定配套区域污染物削减方案，采取有效的污染物区域削减措施，腾出足够的环境容量。新建、改扩建项目执行重点污染物特别排放限值，出台超低排放要求的“两高”行业建设项目应满足超低排放要求。现有项目通过提标升级改造，重点污染物逐步达到特别排放限值。</w:t>
                  </w:r>
                </w:p>
                <w:p w14:paraId="6B549C86">
                  <w:pPr>
                    <w:spacing w:line="360" w:lineRule="exact"/>
                    <w:rPr>
                      <w:kern w:val="0"/>
                      <w:sz w:val="18"/>
                      <w:szCs w:val="18"/>
                    </w:rPr>
                  </w:pPr>
                  <w:r>
                    <w:rPr>
                      <w:rFonts w:hint="eastAsia"/>
                      <w:kern w:val="0"/>
                      <w:sz w:val="18"/>
                      <w:szCs w:val="18"/>
                    </w:rPr>
                    <w:t>3.新、改、扩建项目排放二氧化硫、氮氧化物、颗粒物等大气污染物项目，实现等量削减，区域污染物控制总量不得突破本规划环评核算总量；硅冶炼相关工程建设要求与电力、钢铁行业超低排放标准看齐，将颗粒物、二氧化硫、氮氧化物排放浓度控制在10mg/m³、35mg/m³、50mg/m³以下。</w:t>
                  </w:r>
                </w:p>
                <w:p w14:paraId="2805B87E">
                  <w:pPr>
                    <w:spacing w:line="360" w:lineRule="exact"/>
                    <w:rPr>
                      <w:kern w:val="0"/>
                      <w:sz w:val="18"/>
                      <w:szCs w:val="18"/>
                    </w:rPr>
                  </w:pPr>
                  <w:r>
                    <w:rPr>
                      <w:rFonts w:hint="eastAsia"/>
                      <w:kern w:val="0"/>
                      <w:sz w:val="18"/>
                      <w:szCs w:val="18"/>
                    </w:rPr>
                    <w:t>4.化工等重点行业及65蒸吨/小时及以上燃煤锅炉的现役企业和新建项目一律执行大气污染物特别排放限值。强化企业大气污染物排放精细化管理、无组织废气排放控制以及高效治污设施建设。重点行业粉状物料堆场实现全封闭，块状物料堆场安装抑尘设施。</w:t>
                  </w:r>
                </w:p>
                <w:p w14:paraId="7E837E54">
                  <w:pPr>
                    <w:spacing w:line="360" w:lineRule="exact"/>
                    <w:rPr>
                      <w:kern w:val="0"/>
                      <w:sz w:val="18"/>
                      <w:szCs w:val="18"/>
                    </w:rPr>
                  </w:pPr>
                  <w:r>
                    <w:rPr>
                      <w:rFonts w:hint="eastAsia"/>
                      <w:kern w:val="0"/>
                      <w:sz w:val="18"/>
                      <w:szCs w:val="18"/>
                    </w:rPr>
                    <w:t>5.完善园区污水集中处理设施和配套管网。实行“清污分流、雨污分流”，污水应收尽收，全部回用，区内一律不得新建晾晒池。</w:t>
                  </w:r>
                </w:p>
              </w:tc>
              <w:tc>
                <w:tcPr>
                  <w:tcW w:w="1871" w:type="pct"/>
                  <w:vAlign w:val="center"/>
                </w:tcPr>
                <w:p w14:paraId="15926470">
                  <w:pPr>
                    <w:autoSpaceDE w:val="0"/>
                    <w:autoSpaceDN w:val="0"/>
                    <w:adjustRightInd w:val="0"/>
                    <w:snapToGrid w:val="0"/>
                    <w:spacing w:line="360" w:lineRule="exact"/>
                    <w:rPr>
                      <w:kern w:val="0"/>
                      <w:sz w:val="18"/>
                      <w:szCs w:val="18"/>
                    </w:rPr>
                  </w:pPr>
                  <w:r>
                    <w:rPr>
                      <w:rFonts w:hint="eastAsia"/>
                      <w:kern w:val="0"/>
                      <w:sz w:val="18"/>
                      <w:szCs w:val="18"/>
                    </w:rPr>
                    <w:t>1.</w:t>
                  </w:r>
                  <w:bookmarkStart w:id="13" w:name="OLE_LINK8"/>
                  <w:r>
                    <w:rPr>
                      <w:rFonts w:hint="eastAsia"/>
                      <w:kern w:val="0"/>
                      <w:sz w:val="18"/>
                      <w:szCs w:val="18"/>
                    </w:rPr>
                    <w:t>项目运营期无废气产生。</w:t>
                  </w:r>
                  <w:bookmarkEnd w:id="13"/>
                </w:p>
                <w:p w14:paraId="2C23E359">
                  <w:pPr>
                    <w:autoSpaceDE w:val="0"/>
                    <w:autoSpaceDN w:val="0"/>
                    <w:adjustRightInd w:val="0"/>
                    <w:snapToGrid w:val="0"/>
                    <w:spacing w:line="360" w:lineRule="exact"/>
                    <w:rPr>
                      <w:kern w:val="0"/>
                      <w:sz w:val="18"/>
                      <w:szCs w:val="18"/>
                    </w:rPr>
                  </w:pPr>
                  <w:r>
                    <w:rPr>
                      <w:rFonts w:hint="eastAsia"/>
                      <w:kern w:val="0"/>
                      <w:sz w:val="18"/>
                      <w:szCs w:val="18"/>
                    </w:rPr>
                    <w:t>2.不涉及。</w:t>
                  </w:r>
                </w:p>
                <w:p w14:paraId="77D58BD2">
                  <w:pPr>
                    <w:autoSpaceDE w:val="0"/>
                    <w:autoSpaceDN w:val="0"/>
                    <w:adjustRightInd w:val="0"/>
                    <w:snapToGrid w:val="0"/>
                    <w:spacing w:line="360" w:lineRule="exact"/>
                    <w:rPr>
                      <w:kern w:val="0"/>
                      <w:sz w:val="18"/>
                      <w:szCs w:val="18"/>
                    </w:rPr>
                  </w:pPr>
                  <w:r>
                    <w:rPr>
                      <w:rFonts w:hint="eastAsia"/>
                      <w:kern w:val="0"/>
                      <w:sz w:val="18"/>
                      <w:szCs w:val="18"/>
                    </w:rPr>
                    <w:t>3.不涉及。</w:t>
                  </w:r>
                </w:p>
                <w:p w14:paraId="5661E3DC">
                  <w:pPr>
                    <w:autoSpaceDE w:val="0"/>
                    <w:autoSpaceDN w:val="0"/>
                    <w:adjustRightInd w:val="0"/>
                    <w:snapToGrid w:val="0"/>
                    <w:spacing w:line="360" w:lineRule="exact"/>
                    <w:rPr>
                      <w:kern w:val="0"/>
                      <w:sz w:val="18"/>
                      <w:szCs w:val="18"/>
                    </w:rPr>
                  </w:pPr>
                  <w:r>
                    <w:rPr>
                      <w:rFonts w:hint="eastAsia"/>
                      <w:kern w:val="0"/>
                      <w:sz w:val="18"/>
                      <w:szCs w:val="18"/>
                    </w:rPr>
                    <w:t>4.项目运营期无废气产生。</w:t>
                  </w:r>
                </w:p>
                <w:p w14:paraId="046F5068">
                  <w:pPr>
                    <w:autoSpaceDE w:val="0"/>
                    <w:autoSpaceDN w:val="0"/>
                    <w:adjustRightInd w:val="0"/>
                    <w:snapToGrid w:val="0"/>
                    <w:spacing w:line="360" w:lineRule="exact"/>
                    <w:rPr>
                      <w:kern w:val="0"/>
                      <w:sz w:val="18"/>
                      <w:szCs w:val="18"/>
                    </w:rPr>
                  </w:pPr>
                  <w:r>
                    <w:rPr>
                      <w:rFonts w:hint="eastAsia"/>
                      <w:kern w:val="0"/>
                      <w:sz w:val="18"/>
                      <w:szCs w:val="18"/>
                    </w:rPr>
                    <w:t>5.项目运营期无废水产生。</w:t>
                  </w:r>
                </w:p>
              </w:tc>
              <w:tc>
                <w:tcPr>
                  <w:tcW w:w="248" w:type="pct"/>
                  <w:vAlign w:val="center"/>
                </w:tcPr>
                <w:p w14:paraId="3D6C6552">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6597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4A52F417">
                  <w:pPr>
                    <w:autoSpaceDE w:val="0"/>
                    <w:autoSpaceDN w:val="0"/>
                    <w:adjustRightInd w:val="0"/>
                    <w:snapToGrid w:val="0"/>
                    <w:spacing w:line="360" w:lineRule="exact"/>
                    <w:jc w:val="center"/>
                    <w:rPr>
                      <w:kern w:val="0"/>
                      <w:sz w:val="18"/>
                      <w:szCs w:val="18"/>
                    </w:rPr>
                  </w:pPr>
                  <w:r>
                    <w:rPr>
                      <w:rFonts w:hint="eastAsia"/>
                      <w:kern w:val="0"/>
                      <w:sz w:val="18"/>
                      <w:szCs w:val="18"/>
                    </w:rPr>
                    <w:t>4</w:t>
                  </w:r>
                </w:p>
              </w:tc>
              <w:tc>
                <w:tcPr>
                  <w:tcW w:w="272" w:type="pct"/>
                  <w:vAlign w:val="center"/>
                </w:tcPr>
                <w:p w14:paraId="6B6AFA89">
                  <w:pPr>
                    <w:autoSpaceDE w:val="0"/>
                    <w:autoSpaceDN w:val="0"/>
                    <w:adjustRightInd w:val="0"/>
                    <w:snapToGrid w:val="0"/>
                    <w:spacing w:line="360" w:lineRule="exact"/>
                    <w:jc w:val="center"/>
                    <w:rPr>
                      <w:kern w:val="0"/>
                      <w:sz w:val="18"/>
                      <w:szCs w:val="18"/>
                    </w:rPr>
                  </w:pPr>
                  <w:r>
                    <w:rPr>
                      <w:rFonts w:hint="eastAsia"/>
                      <w:kern w:val="0"/>
                      <w:sz w:val="18"/>
                      <w:szCs w:val="18"/>
                    </w:rPr>
                    <w:t>环境风险防控</w:t>
                  </w:r>
                </w:p>
              </w:tc>
              <w:tc>
                <w:tcPr>
                  <w:tcW w:w="2495" w:type="pct"/>
                  <w:vAlign w:val="center"/>
                </w:tcPr>
                <w:p w14:paraId="021A44FF">
                  <w:pPr>
                    <w:autoSpaceDE w:val="0"/>
                    <w:autoSpaceDN w:val="0"/>
                    <w:adjustRightInd w:val="0"/>
                    <w:snapToGrid w:val="0"/>
                    <w:spacing w:line="360" w:lineRule="exact"/>
                    <w:rPr>
                      <w:kern w:val="0"/>
                      <w:sz w:val="18"/>
                      <w:szCs w:val="18"/>
                    </w:rPr>
                  </w:pPr>
                  <w:r>
                    <w:rPr>
                      <w:rFonts w:hint="eastAsia"/>
                      <w:kern w:val="0"/>
                      <w:sz w:val="18"/>
                      <w:szCs w:val="18"/>
                    </w:rPr>
                    <w:t>1.园区应建立三级防控及应急救援体系，编制园区环境风险应急预案；园区应落实环境风险防范措施，做好风险防护距离的管理，防止发生环境污染事件。建立重点风险源动态管理信息库、园区内外环境风险救援力量管理库以及应急监测小组，在发生风险环境污染事故时对事故现场及周边区域实施应急监测。不断完善环境风险防范机制和应急体系，构建有效的区域环境风险联防联控机制，最大限度降低环境风险。</w:t>
                  </w:r>
                </w:p>
                <w:p w14:paraId="44D59B6A">
                  <w:pPr>
                    <w:autoSpaceDE w:val="0"/>
                    <w:autoSpaceDN w:val="0"/>
                    <w:adjustRightInd w:val="0"/>
                    <w:snapToGrid w:val="0"/>
                    <w:spacing w:line="360" w:lineRule="exact"/>
                    <w:rPr>
                      <w:kern w:val="0"/>
                      <w:sz w:val="18"/>
                      <w:szCs w:val="18"/>
                    </w:rPr>
                  </w:pPr>
                  <w:r>
                    <w:rPr>
                      <w:rFonts w:hint="eastAsia"/>
                      <w:kern w:val="0"/>
                      <w:sz w:val="18"/>
                      <w:szCs w:val="18"/>
                    </w:rPr>
                    <w:t>2.入园企业编制环境风险应急预案，重点风险源编制环境风险评估报告。</w:t>
                  </w:r>
                </w:p>
                <w:p w14:paraId="51B814DD">
                  <w:pPr>
                    <w:autoSpaceDE w:val="0"/>
                    <w:autoSpaceDN w:val="0"/>
                    <w:adjustRightInd w:val="0"/>
                    <w:snapToGrid w:val="0"/>
                    <w:spacing w:line="360" w:lineRule="exact"/>
                    <w:rPr>
                      <w:kern w:val="0"/>
                      <w:sz w:val="18"/>
                      <w:szCs w:val="18"/>
                    </w:rPr>
                  </w:pPr>
                  <w:r>
                    <w:rPr>
                      <w:rFonts w:hint="eastAsia"/>
                      <w:kern w:val="0"/>
                      <w:sz w:val="18"/>
                      <w:szCs w:val="18"/>
                    </w:rPr>
                    <w:t>3.企业产生的有机废气，有针对性地设置收集处置措施，加强</w:t>
                  </w:r>
                  <w:r>
                    <w:rPr>
                      <w:rFonts w:hint="eastAsia"/>
                      <w:kern w:val="0"/>
                      <w:sz w:val="18"/>
                      <w:szCs w:val="18"/>
                      <w:lang w:eastAsia="zh-CN"/>
                    </w:rPr>
                    <w:t>有机</w:t>
                  </w:r>
                  <w:r>
                    <w:rPr>
                      <w:rFonts w:hint="eastAsia"/>
                      <w:kern w:val="0"/>
                      <w:sz w:val="18"/>
                      <w:szCs w:val="18"/>
                    </w:rPr>
                    <w:t>废气管控。</w:t>
                  </w:r>
                </w:p>
                <w:p w14:paraId="1E054D96">
                  <w:pPr>
                    <w:autoSpaceDE w:val="0"/>
                    <w:autoSpaceDN w:val="0"/>
                    <w:adjustRightInd w:val="0"/>
                    <w:snapToGrid w:val="0"/>
                    <w:spacing w:line="360" w:lineRule="exact"/>
                    <w:rPr>
                      <w:kern w:val="0"/>
                      <w:sz w:val="18"/>
                      <w:szCs w:val="18"/>
                    </w:rPr>
                  </w:pPr>
                  <w:r>
                    <w:rPr>
                      <w:rFonts w:hint="eastAsia"/>
                      <w:kern w:val="0"/>
                      <w:sz w:val="18"/>
                      <w:szCs w:val="18"/>
                    </w:rPr>
                    <w:t>4.存储危险化学品及产生大量废水的企业，应配套有效措施，防止因渗漏污染地下水、土壤，产生、利用或在处置固体废物的企业，应配套防扬散、防流失、防渗漏及其他防治污染环境的措施。</w:t>
                  </w:r>
                </w:p>
                <w:p w14:paraId="4C7E2B2A">
                  <w:pPr>
                    <w:autoSpaceDE w:val="0"/>
                    <w:autoSpaceDN w:val="0"/>
                    <w:adjustRightInd w:val="0"/>
                    <w:snapToGrid w:val="0"/>
                    <w:spacing w:line="360" w:lineRule="exact"/>
                    <w:rPr>
                      <w:kern w:val="0"/>
                      <w:sz w:val="18"/>
                      <w:szCs w:val="18"/>
                    </w:rPr>
                  </w:pPr>
                  <w:r>
                    <w:rPr>
                      <w:rFonts w:hint="eastAsia"/>
                      <w:kern w:val="0"/>
                      <w:sz w:val="18"/>
                      <w:szCs w:val="18"/>
                    </w:rPr>
                    <w:t>5.园区企业做好风险防范措施，合理设置初期雨水池、应急事故池。</w:t>
                  </w:r>
                </w:p>
                <w:p w14:paraId="1F4AC287">
                  <w:pPr>
                    <w:autoSpaceDE w:val="0"/>
                    <w:autoSpaceDN w:val="0"/>
                    <w:adjustRightInd w:val="0"/>
                    <w:snapToGrid w:val="0"/>
                    <w:spacing w:line="360" w:lineRule="exact"/>
                    <w:rPr>
                      <w:kern w:val="0"/>
                      <w:sz w:val="18"/>
                      <w:szCs w:val="18"/>
                    </w:rPr>
                  </w:pPr>
                  <w:r>
                    <w:rPr>
                      <w:rFonts w:hint="eastAsia"/>
                      <w:kern w:val="0"/>
                      <w:sz w:val="18"/>
                      <w:szCs w:val="18"/>
                    </w:rPr>
                    <w:t>6.土壤污染</w:t>
                  </w:r>
                  <w:bookmarkStart w:id="14" w:name="OLE_LINK9"/>
                  <w:r>
                    <w:rPr>
                      <w:rFonts w:hint="eastAsia"/>
                      <w:kern w:val="0"/>
                      <w:sz w:val="18"/>
                      <w:szCs w:val="18"/>
                    </w:rPr>
                    <w:t>重点监管单位</w:t>
                  </w:r>
                  <w:bookmarkEnd w:id="14"/>
                  <w:r>
                    <w:rPr>
                      <w:rFonts w:hint="eastAsia"/>
                      <w:kern w:val="0"/>
                      <w:sz w:val="18"/>
                      <w:szCs w:val="18"/>
                    </w:rPr>
                    <w:t>应当严格控制有毒有害物质排放，并按年度向生态环境主管部门报告排放情况；建立土壤污染隐患排查制度，保证持续有效防止有毒有害物质排放，并将监测数据报生态环境主管部门。</w:t>
                  </w:r>
                </w:p>
              </w:tc>
              <w:tc>
                <w:tcPr>
                  <w:tcW w:w="1871" w:type="pct"/>
                  <w:vAlign w:val="center"/>
                </w:tcPr>
                <w:p w14:paraId="12156779">
                  <w:pPr>
                    <w:autoSpaceDE w:val="0"/>
                    <w:autoSpaceDN w:val="0"/>
                    <w:adjustRightInd w:val="0"/>
                    <w:snapToGrid w:val="0"/>
                    <w:spacing w:line="360" w:lineRule="exact"/>
                    <w:rPr>
                      <w:kern w:val="0"/>
                      <w:sz w:val="18"/>
                      <w:szCs w:val="18"/>
                    </w:rPr>
                  </w:pPr>
                  <w:r>
                    <w:rPr>
                      <w:rFonts w:hint="eastAsia"/>
                      <w:kern w:val="0"/>
                      <w:sz w:val="18"/>
                      <w:szCs w:val="18"/>
                    </w:rPr>
                    <w:t>1.项目严格按照要求落实三级防控体系，并与园区三级防控及应急救援体系相衔接。</w:t>
                  </w:r>
                </w:p>
                <w:p w14:paraId="5A2F49CC">
                  <w:pPr>
                    <w:autoSpaceDE w:val="0"/>
                    <w:autoSpaceDN w:val="0"/>
                    <w:adjustRightInd w:val="0"/>
                    <w:snapToGrid w:val="0"/>
                    <w:spacing w:line="360" w:lineRule="exact"/>
                    <w:rPr>
                      <w:kern w:val="0"/>
                      <w:sz w:val="18"/>
                      <w:szCs w:val="18"/>
                    </w:rPr>
                  </w:pPr>
                  <w:r>
                    <w:rPr>
                      <w:rFonts w:hint="eastAsia"/>
                      <w:kern w:val="0"/>
                      <w:sz w:val="18"/>
                      <w:szCs w:val="18"/>
                    </w:rPr>
                    <w:t>2.项目建成后按要求对现有企业突发环境事件应急预案进行重新修订。</w:t>
                  </w:r>
                </w:p>
                <w:p w14:paraId="632F03D4">
                  <w:pPr>
                    <w:autoSpaceDE w:val="0"/>
                    <w:autoSpaceDN w:val="0"/>
                    <w:adjustRightInd w:val="0"/>
                    <w:snapToGrid w:val="0"/>
                    <w:spacing w:line="360" w:lineRule="exact"/>
                    <w:rPr>
                      <w:kern w:val="0"/>
                      <w:sz w:val="18"/>
                      <w:szCs w:val="18"/>
                    </w:rPr>
                  </w:pPr>
                  <w:r>
                    <w:rPr>
                      <w:rFonts w:hint="eastAsia"/>
                      <w:kern w:val="0"/>
                      <w:sz w:val="18"/>
                      <w:szCs w:val="18"/>
                    </w:rPr>
                    <w:t>3.项目运营期无废气产生。</w:t>
                  </w:r>
                </w:p>
                <w:p w14:paraId="1DB2CB5D">
                  <w:pPr>
                    <w:autoSpaceDE w:val="0"/>
                    <w:autoSpaceDN w:val="0"/>
                    <w:adjustRightInd w:val="0"/>
                    <w:snapToGrid w:val="0"/>
                    <w:spacing w:line="360" w:lineRule="exact"/>
                    <w:rPr>
                      <w:kern w:val="0"/>
                      <w:sz w:val="18"/>
                      <w:szCs w:val="18"/>
                    </w:rPr>
                  </w:pPr>
                  <w:r>
                    <w:rPr>
                      <w:rFonts w:hint="eastAsia"/>
                      <w:kern w:val="0"/>
                      <w:sz w:val="18"/>
                      <w:szCs w:val="18"/>
                    </w:rPr>
                    <w:t>4.项目属于管道项目，不涉及危险化学品储存。本次评价已按要求提出了地下水、土壤等相关防治措施。</w:t>
                  </w:r>
                </w:p>
                <w:p w14:paraId="6F305F1D">
                  <w:pPr>
                    <w:autoSpaceDE w:val="0"/>
                    <w:autoSpaceDN w:val="0"/>
                    <w:adjustRightInd w:val="0"/>
                    <w:snapToGrid w:val="0"/>
                    <w:spacing w:line="360" w:lineRule="exact"/>
                    <w:rPr>
                      <w:kern w:val="0"/>
                      <w:sz w:val="18"/>
                      <w:szCs w:val="18"/>
                    </w:rPr>
                  </w:pPr>
                  <w:r>
                    <w:rPr>
                      <w:rFonts w:hint="eastAsia"/>
                      <w:kern w:val="0"/>
                      <w:sz w:val="18"/>
                      <w:szCs w:val="18"/>
                    </w:rPr>
                    <w:t>5.不涉及。</w:t>
                  </w:r>
                </w:p>
                <w:p w14:paraId="2DBDBB72">
                  <w:pPr>
                    <w:autoSpaceDE w:val="0"/>
                    <w:autoSpaceDN w:val="0"/>
                    <w:adjustRightInd w:val="0"/>
                    <w:snapToGrid w:val="0"/>
                    <w:spacing w:line="360" w:lineRule="exact"/>
                    <w:rPr>
                      <w:kern w:val="0"/>
                      <w:sz w:val="18"/>
                      <w:szCs w:val="18"/>
                    </w:rPr>
                  </w:pPr>
                  <w:r>
                    <w:rPr>
                      <w:rFonts w:hint="eastAsia"/>
                      <w:kern w:val="0"/>
                      <w:sz w:val="18"/>
                      <w:szCs w:val="18"/>
                    </w:rPr>
                    <w:t>6.内蒙古伊泰化工有限责任公司为土壤污染重点监管单位，严格按照要求落实执行。</w:t>
                  </w:r>
                </w:p>
              </w:tc>
              <w:tc>
                <w:tcPr>
                  <w:tcW w:w="248" w:type="pct"/>
                  <w:vAlign w:val="center"/>
                </w:tcPr>
                <w:p w14:paraId="62CCCB12">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FB6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14" w:type="pct"/>
                  <w:vAlign w:val="center"/>
                </w:tcPr>
                <w:p w14:paraId="79DA26E5">
                  <w:pPr>
                    <w:autoSpaceDE w:val="0"/>
                    <w:autoSpaceDN w:val="0"/>
                    <w:adjustRightInd w:val="0"/>
                    <w:snapToGrid w:val="0"/>
                    <w:spacing w:line="360" w:lineRule="exact"/>
                    <w:jc w:val="center"/>
                    <w:rPr>
                      <w:kern w:val="0"/>
                      <w:sz w:val="18"/>
                      <w:szCs w:val="18"/>
                    </w:rPr>
                  </w:pPr>
                  <w:r>
                    <w:rPr>
                      <w:rFonts w:hint="eastAsia"/>
                      <w:kern w:val="0"/>
                      <w:sz w:val="18"/>
                      <w:szCs w:val="18"/>
                    </w:rPr>
                    <w:t>5</w:t>
                  </w:r>
                </w:p>
              </w:tc>
              <w:tc>
                <w:tcPr>
                  <w:tcW w:w="272" w:type="pct"/>
                  <w:vAlign w:val="center"/>
                </w:tcPr>
                <w:p w14:paraId="411326F6">
                  <w:pPr>
                    <w:autoSpaceDE w:val="0"/>
                    <w:autoSpaceDN w:val="0"/>
                    <w:adjustRightInd w:val="0"/>
                    <w:snapToGrid w:val="0"/>
                    <w:spacing w:line="360" w:lineRule="exact"/>
                    <w:jc w:val="center"/>
                    <w:rPr>
                      <w:kern w:val="0"/>
                      <w:sz w:val="18"/>
                      <w:szCs w:val="18"/>
                    </w:rPr>
                  </w:pPr>
                  <w:r>
                    <w:rPr>
                      <w:rFonts w:hint="eastAsia"/>
                      <w:kern w:val="0"/>
                      <w:sz w:val="18"/>
                      <w:szCs w:val="18"/>
                    </w:rPr>
                    <w:t>资源利用效率要求</w:t>
                  </w:r>
                </w:p>
              </w:tc>
              <w:tc>
                <w:tcPr>
                  <w:tcW w:w="2495" w:type="pct"/>
                  <w:vAlign w:val="center"/>
                </w:tcPr>
                <w:p w14:paraId="16CA8A4E">
                  <w:pPr>
                    <w:autoSpaceDE w:val="0"/>
                    <w:autoSpaceDN w:val="0"/>
                    <w:adjustRightInd w:val="0"/>
                    <w:snapToGrid w:val="0"/>
                    <w:spacing w:line="360" w:lineRule="exact"/>
                    <w:rPr>
                      <w:kern w:val="0"/>
                      <w:sz w:val="18"/>
                      <w:szCs w:val="18"/>
                    </w:rPr>
                  </w:pPr>
                  <w:r>
                    <w:rPr>
                      <w:rFonts w:hint="eastAsia"/>
                      <w:kern w:val="0"/>
                      <w:sz w:val="18"/>
                      <w:szCs w:val="18"/>
                    </w:rPr>
                    <w:t>1.坚持“以水定产业、以水定规模”，做好节水工作。按分质供水原则，合理进行水资源分配，优先使用中水。严控地下水超采。实行地下水“五控”制度。“五控”即严格管控地下水开发利用总量、水位、用途、水质及机电井数量。</w:t>
                  </w:r>
                </w:p>
                <w:p w14:paraId="73288B21">
                  <w:pPr>
                    <w:autoSpaceDE w:val="0"/>
                    <w:autoSpaceDN w:val="0"/>
                    <w:adjustRightInd w:val="0"/>
                    <w:snapToGrid w:val="0"/>
                    <w:spacing w:line="360" w:lineRule="exact"/>
                    <w:rPr>
                      <w:kern w:val="0"/>
                      <w:sz w:val="18"/>
                      <w:szCs w:val="18"/>
                    </w:rPr>
                  </w:pPr>
                  <w:r>
                    <w:rPr>
                      <w:rFonts w:hint="eastAsia"/>
                      <w:kern w:val="0"/>
                      <w:sz w:val="18"/>
                      <w:szCs w:val="18"/>
                    </w:rPr>
                    <w:t>2.推进能源梯级利用，提高能源利用效率，鼓励使用清洁燃料或可再生能源。</w:t>
                  </w:r>
                </w:p>
                <w:p w14:paraId="756E650D">
                  <w:pPr>
                    <w:autoSpaceDE w:val="0"/>
                    <w:autoSpaceDN w:val="0"/>
                    <w:adjustRightInd w:val="0"/>
                    <w:snapToGrid w:val="0"/>
                    <w:spacing w:line="360" w:lineRule="exact"/>
                    <w:rPr>
                      <w:kern w:val="0"/>
                      <w:sz w:val="18"/>
                      <w:szCs w:val="18"/>
                    </w:rPr>
                  </w:pPr>
                  <w:r>
                    <w:rPr>
                      <w:rFonts w:hint="eastAsia"/>
                      <w:kern w:val="0"/>
                      <w:sz w:val="18"/>
                      <w:szCs w:val="18"/>
                    </w:rPr>
                    <w:t>3.根据土地资源利用上线，规划建设项目占地不突破集中建设用地规模，占用弹性用地，实行占补平衡。</w:t>
                  </w:r>
                </w:p>
                <w:p w14:paraId="27278B80">
                  <w:pPr>
                    <w:autoSpaceDE w:val="0"/>
                    <w:autoSpaceDN w:val="0"/>
                    <w:adjustRightInd w:val="0"/>
                    <w:snapToGrid w:val="0"/>
                    <w:spacing w:line="360" w:lineRule="exact"/>
                    <w:rPr>
                      <w:kern w:val="0"/>
                      <w:sz w:val="18"/>
                      <w:szCs w:val="18"/>
                    </w:rPr>
                  </w:pPr>
                  <w:r>
                    <w:rPr>
                      <w:rFonts w:hint="eastAsia"/>
                      <w:kern w:val="0"/>
                      <w:sz w:val="18"/>
                      <w:szCs w:val="18"/>
                    </w:rPr>
                    <w:t>4.入园企业生产不采用地下水，优先采用再生水、地表水。</w:t>
                  </w:r>
                </w:p>
                <w:p w14:paraId="331F7701">
                  <w:pPr>
                    <w:autoSpaceDE w:val="0"/>
                    <w:autoSpaceDN w:val="0"/>
                    <w:adjustRightInd w:val="0"/>
                    <w:snapToGrid w:val="0"/>
                    <w:spacing w:line="360" w:lineRule="exact"/>
                    <w:rPr>
                      <w:kern w:val="0"/>
                      <w:sz w:val="18"/>
                      <w:szCs w:val="18"/>
                    </w:rPr>
                  </w:pPr>
                  <w:r>
                    <w:rPr>
                      <w:rFonts w:hint="eastAsia"/>
                      <w:kern w:val="0"/>
                      <w:sz w:val="18"/>
                      <w:szCs w:val="18"/>
                    </w:rPr>
                    <w:t>5.加强能耗“双控”工作。强化能耗源头管控，严格执行质量、环保、能耗等标准，坚决遏制高耗能项目低水平重复建设，加快淘汰落后产能。新建项目单位产品能耗必须达到国家先进标准。</w:t>
                  </w:r>
                </w:p>
                <w:p w14:paraId="59254278">
                  <w:pPr>
                    <w:autoSpaceDE w:val="0"/>
                    <w:autoSpaceDN w:val="0"/>
                    <w:adjustRightInd w:val="0"/>
                    <w:snapToGrid w:val="0"/>
                    <w:spacing w:line="360" w:lineRule="exact"/>
                    <w:rPr>
                      <w:kern w:val="0"/>
                      <w:sz w:val="18"/>
                      <w:szCs w:val="18"/>
                    </w:rPr>
                  </w:pPr>
                  <w:r>
                    <w:rPr>
                      <w:rFonts w:hint="eastAsia"/>
                      <w:kern w:val="0"/>
                      <w:sz w:val="18"/>
                      <w:szCs w:val="18"/>
                    </w:rPr>
                    <w:t>6.加强重点领域节能降碳工作。实施工业能效赶超行动和低碳标杆引领计划。在重点行业全面推行能效和碳排放对标活动，推动实施能效“领跑者”制度。全面推行用能预算管理和重点用能单位能耗在线监测。</w:t>
                  </w:r>
                </w:p>
                <w:p w14:paraId="0573DF06">
                  <w:pPr>
                    <w:autoSpaceDE w:val="0"/>
                    <w:autoSpaceDN w:val="0"/>
                    <w:adjustRightInd w:val="0"/>
                    <w:snapToGrid w:val="0"/>
                    <w:spacing w:line="360" w:lineRule="exact"/>
                    <w:rPr>
                      <w:kern w:val="0"/>
                      <w:sz w:val="18"/>
                      <w:szCs w:val="18"/>
                    </w:rPr>
                  </w:pPr>
                  <w:r>
                    <w:rPr>
                      <w:rFonts w:hint="eastAsia"/>
                      <w:kern w:val="0"/>
                      <w:sz w:val="18"/>
                      <w:szCs w:val="18"/>
                    </w:rPr>
                    <w:t>7、入园“两高”项目要满足《高耗能行业重点领域能效标杆水平和基准水平》。</w:t>
                  </w:r>
                </w:p>
              </w:tc>
              <w:tc>
                <w:tcPr>
                  <w:tcW w:w="1871" w:type="pct"/>
                  <w:vAlign w:val="center"/>
                </w:tcPr>
                <w:p w14:paraId="493F8C19">
                  <w:pPr>
                    <w:autoSpaceDE w:val="0"/>
                    <w:autoSpaceDN w:val="0"/>
                    <w:adjustRightInd w:val="0"/>
                    <w:snapToGrid w:val="0"/>
                    <w:spacing w:line="360" w:lineRule="exact"/>
                    <w:rPr>
                      <w:kern w:val="0"/>
                      <w:sz w:val="18"/>
                      <w:szCs w:val="18"/>
                    </w:rPr>
                  </w:pPr>
                  <w:r>
                    <w:rPr>
                      <w:rFonts w:hint="eastAsia"/>
                      <w:kern w:val="0"/>
                      <w:sz w:val="18"/>
                      <w:szCs w:val="18"/>
                    </w:rPr>
                    <w:t>1.项目为管道项目，运营期不涉及用水；施工期用水依托厂区现有供水设施，主要为施工人员生活用水。</w:t>
                  </w:r>
                </w:p>
                <w:p w14:paraId="25EE6749">
                  <w:pPr>
                    <w:autoSpaceDE w:val="0"/>
                    <w:autoSpaceDN w:val="0"/>
                    <w:adjustRightInd w:val="0"/>
                    <w:snapToGrid w:val="0"/>
                    <w:spacing w:line="360" w:lineRule="exact"/>
                    <w:rPr>
                      <w:kern w:val="0"/>
                      <w:sz w:val="18"/>
                      <w:szCs w:val="18"/>
                    </w:rPr>
                  </w:pPr>
                  <w:r>
                    <w:rPr>
                      <w:rFonts w:hint="eastAsia"/>
                      <w:kern w:val="0"/>
                      <w:sz w:val="18"/>
                      <w:szCs w:val="18"/>
                    </w:rPr>
                    <w:t>2.不涉及。</w:t>
                  </w:r>
                </w:p>
                <w:p w14:paraId="45FD2AF2">
                  <w:pPr>
                    <w:autoSpaceDE w:val="0"/>
                    <w:autoSpaceDN w:val="0"/>
                    <w:adjustRightInd w:val="0"/>
                    <w:snapToGrid w:val="0"/>
                    <w:spacing w:line="360" w:lineRule="exact"/>
                    <w:rPr>
                      <w:kern w:val="0"/>
                      <w:sz w:val="18"/>
                      <w:szCs w:val="18"/>
                    </w:rPr>
                  </w:pPr>
                  <w:r>
                    <w:rPr>
                      <w:rFonts w:hint="eastAsia"/>
                      <w:kern w:val="0"/>
                      <w:sz w:val="18"/>
                      <w:szCs w:val="18"/>
                    </w:rPr>
                    <w:t>3.项目在企业现有厂区建设，不新增占地。</w:t>
                  </w:r>
                </w:p>
                <w:p w14:paraId="1C654E13">
                  <w:pPr>
                    <w:autoSpaceDE w:val="0"/>
                    <w:autoSpaceDN w:val="0"/>
                    <w:adjustRightInd w:val="0"/>
                    <w:snapToGrid w:val="0"/>
                    <w:spacing w:line="360" w:lineRule="exact"/>
                    <w:rPr>
                      <w:kern w:val="0"/>
                      <w:sz w:val="18"/>
                      <w:szCs w:val="18"/>
                    </w:rPr>
                  </w:pPr>
                  <w:r>
                    <w:rPr>
                      <w:rFonts w:hint="eastAsia"/>
                      <w:kern w:val="0"/>
                      <w:sz w:val="18"/>
                      <w:szCs w:val="18"/>
                    </w:rPr>
                    <w:t>4.不涉及。</w:t>
                  </w:r>
                </w:p>
                <w:p w14:paraId="7570DF4E">
                  <w:pPr>
                    <w:autoSpaceDE w:val="0"/>
                    <w:autoSpaceDN w:val="0"/>
                    <w:adjustRightInd w:val="0"/>
                    <w:snapToGrid w:val="0"/>
                    <w:spacing w:line="360" w:lineRule="exact"/>
                    <w:rPr>
                      <w:kern w:val="0"/>
                      <w:sz w:val="18"/>
                      <w:szCs w:val="18"/>
                    </w:rPr>
                  </w:pPr>
                  <w:r>
                    <w:rPr>
                      <w:rFonts w:hint="eastAsia"/>
                      <w:kern w:val="0"/>
                      <w:sz w:val="18"/>
                      <w:szCs w:val="18"/>
                    </w:rPr>
                    <w:t>5.不涉及。</w:t>
                  </w:r>
                </w:p>
                <w:p w14:paraId="06339A37">
                  <w:pPr>
                    <w:autoSpaceDE w:val="0"/>
                    <w:autoSpaceDN w:val="0"/>
                    <w:adjustRightInd w:val="0"/>
                    <w:snapToGrid w:val="0"/>
                    <w:spacing w:line="360" w:lineRule="exact"/>
                    <w:rPr>
                      <w:kern w:val="0"/>
                      <w:sz w:val="18"/>
                      <w:szCs w:val="18"/>
                    </w:rPr>
                  </w:pPr>
                  <w:r>
                    <w:rPr>
                      <w:rFonts w:hint="eastAsia"/>
                      <w:kern w:val="0"/>
                      <w:sz w:val="18"/>
                      <w:szCs w:val="18"/>
                    </w:rPr>
                    <w:t>6.项目为管道项目，属于内蒙古伊泰宏城化学有限公司 10000吨/年聚a-烯烃（PAO）示范项目配套化工物料输送工程，</w:t>
                  </w:r>
                  <w:r>
                    <w:rPr>
                      <w:kern w:val="0"/>
                      <w:sz w:val="18"/>
                      <w:szCs w:val="18"/>
                    </w:rPr>
                    <w:t>PAO装置通过引进伊泰化工的混合烯烃和新氢作为原料，降低了生产成本；同时PAO装置</w:t>
                  </w:r>
                  <w:r>
                    <w:rPr>
                      <w:rFonts w:hint="eastAsia"/>
                      <w:kern w:val="0"/>
                      <w:sz w:val="18"/>
                      <w:szCs w:val="18"/>
                    </w:rPr>
                    <w:t>烷烃返回料、排放气</w:t>
                  </w:r>
                  <w:r>
                    <w:rPr>
                      <w:kern w:val="0"/>
                      <w:sz w:val="18"/>
                      <w:szCs w:val="18"/>
                    </w:rPr>
                    <w:t>输送回伊泰化工进行二次处理和利用</w:t>
                  </w:r>
                  <w:r>
                    <w:rPr>
                      <w:rFonts w:hint="eastAsia"/>
                      <w:kern w:val="0"/>
                      <w:sz w:val="18"/>
                      <w:szCs w:val="18"/>
                    </w:rPr>
                    <w:t>，</w:t>
                  </w:r>
                  <w:r>
                    <w:rPr>
                      <w:kern w:val="0"/>
                      <w:sz w:val="18"/>
                      <w:szCs w:val="18"/>
                    </w:rPr>
                    <w:t>提高了资源的加工深度，提升了资源利用效率及产品附加值</w:t>
                  </w:r>
                  <w:r>
                    <w:rPr>
                      <w:rFonts w:hint="eastAsia"/>
                      <w:kern w:val="0"/>
                      <w:sz w:val="18"/>
                      <w:szCs w:val="18"/>
                    </w:rPr>
                    <w:t>，</w:t>
                  </w:r>
                  <w:r>
                    <w:rPr>
                      <w:rFonts w:hint="eastAsia"/>
                      <w:kern w:val="0"/>
                      <w:sz w:val="18"/>
                      <w:szCs w:val="18"/>
                      <w:lang w:eastAsia="zh-CN"/>
                    </w:rPr>
                    <w:t>从而实现</w:t>
                  </w:r>
                  <w:r>
                    <w:rPr>
                      <w:rFonts w:hint="eastAsia"/>
                      <w:kern w:val="0"/>
                      <w:sz w:val="18"/>
                      <w:szCs w:val="18"/>
                    </w:rPr>
                    <w:t>节能降碳。</w:t>
                  </w:r>
                </w:p>
                <w:p w14:paraId="04AFF298">
                  <w:pPr>
                    <w:autoSpaceDE w:val="0"/>
                    <w:autoSpaceDN w:val="0"/>
                    <w:adjustRightInd w:val="0"/>
                    <w:snapToGrid w:val="0"/>
                    <w:spacing w:line="360" w:lineRule="exact"/>
                    <w:rPr>
                      <w:kern w:val="0"/>
                      <w:sz w:val="18"/>
                      <w:szCs w:val="18"/>
                    </w:rPr>
                  </w:pPr>
                  <w:r>
                    <w:rPr>
                      <w:rFonts w:hint="eastAsia"/>
                      <w:kern w:val="0"/>
                      <w:sz w:val="18"/>
                      <w:szCs w:val="18"/>
                    </w:rPr>
                    <w:t>7.不涉及。</w:t>
                  </w:r>
                </w:p>
              </w:tc>
              <w:tc>
                <w:tcPr>
                  <w:tcW w:w="248" w:type="pct"/>
                  <w:vAlign w:val="center"/>
                </w:tcPr>
                <w:p w14:paraId="6CFA770D">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bl>
          <w:p w14:paraId="66F65DEB">
            <w:pPr>
              <w:adjustRightInd w:val="0"/>
              <w:snapToGrid w:val="0"/>
              <w:spacing w:line="440" w:lineRule="exact"/>
              <w:ind w:firstLine="482" w:firstLineChars="200"/>
              <w:rPr>
                <w:b/>
                <w:bCs/>
                <w:sz w:val="24"/>
              </w:rPr>
            </w:pPr>
            <w:r>
              <w:rPr>
                <w:b/>
                <w:bCs/>
                <w:sz w:val="24"/>
              </w:rPr>
              <w:t>3</w:t>
            </w:r>
            <w:r>
              <w:rPr>
                <w:rFonts w:hint="eastAsia"/>
                <w:b/>
                <w:bCs/>
                <w:sz w:val="24"/>
              </w:rPr>
              <w:t>.</w:t>
            </w:r>
            <w:r>
              <w:rPr>
                <w:b/>
                <w:bCs/>
                <w:sz w:val="24"/>
              </w:rPr>
              <w:t>规划环评审查意见符合性</w:t>
            </w:r>
            <w:r>
              <w:rPr>
                <w:rFonts w:hint="eastAsia"/>
                <w:b/>
                <w:bCs/>
                <w:sz w:val="24"/>
              </w:rPr>
              <w:t>分析</w:t>
            </w:r>
          </w:p>
          <w:p w14:paraId="147DE4A1">
            <w:pPr>
              <w:adjustRightInd w:val="0"/>
              <w:snapToGrid w:val="0"/>
              <w:spacing w:line="440" w:lineRule="exact"/>
              <w:ind w:firstLine="480" w:firstLineChars="200"/>
              <w:rPr>
                <w:sz w:val="24"/>
              </w:rPr>
            </w:pPr>
            <w:r>
              <w:rPr>
                <w:sz w:val="24"/>
              </w:rPr>
              <w:t>项目与园区审查意见对比详情见表</w:t>
            </w:r>
            <w:r>
              <w:rPr>
                <w:rFonts w:hint="eastAsia"/>
                <w:sz w:val="24"/>
              </w:rPr>
              <w:t>1-2</w:t>
            </w:r>
            <w:r>
              <w:rPr>
                <w:sz w:val="24"/>
              </w:rPr>
              <w:t>。</w:t>
            </w:r>
          </w:p>
          <w:p w14:paraId="3CB8A950">
            <w:pPr>
              <w:adjustRightInd w:val="0"/>
              <w:snapToGrid w:val="0"/>
              <w:spacing w:line="440" w:lineRule="exact"/>
              <w:ind w:firstLine="482" w:firstLineChars="200"/>
              <w:jc w:val="left"/>
              <w:rPr>
                <w:b/>
                <w:sz w:val="24"/>
              </w:rPr>
            </w:pPr>
          </w:p>
          <w:p w14:paraId="13443E14">
            <w:pPr>
              <w:adjustRightInd w:val="0"/>
              <w:snapToGrid w:val="0"/>
              <w:spacing w:line="440" w:lineRule="exact"/>
              <w:ind w:firstLine="482" w:firstLineChars="200"/>
              <w:jc w:val="left"/>
              <w:rPr>
                <w:b/>
                <w:sz w:val="24"/>
              </w:rPr>
            </w:pPr>
            <w:r>
              <w:rPr>
                <w:b/>
                <w:sz w:val="24"/>
              </w:rPr>
              <w:t>表</w:t>
            </w:r>
            <w:r>
              <w:rPr>
                <w:rFonts w:hint="eastAsia"/>
                <w:b/>
                <w:sz w:val="24"/>
              </w:rPr>
              <w:t>1-2</w:t>
            </w:r>
            <w:r>
              <w:rPr>
                <w:b/>
                <w:sz w:val="24"/>
              </w:rPr>
              <w:t xml:space="preserve">   项目与规划环评审查意见对比结果一览表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7352"/>
              <w:gridCol w:w="3342"/>
              <w:gridCol w:w="1136"/>
            </w:tblGrid>
            <w:tr w14:paraId="611CA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2" w:hRule="atLeast"/>
                <w:jc w:val="center"/>
              </w:trPr>
              <w:tc>
                <w:tcPr>
                  <w:tcW w:w="3106" w:type="pct"/>
                  <w:tcMar>
                    <w:left w:w="28" w:type="dxa"/>
                    <w:right w:w="28" w:type="dxa"/>
                  </w:tcMar>
                  <w:vAlign w:val="center"/>
                </w:tcPr>
                <w:p w14:paraId="3C0E3AD7">
                  <w:pPr>
                    <w:adjustRightInd w:val="0"/>
                    <w:snapToGrid w:val="0"/>
                    <w:spacing w:line="360" w:lineRule="exact"/>
                    <w:jc w:val="center"/>
                    <w:rPr>
                      <w:szCs w:val="21"/>
                    </w:rPr>
                  </w:pPr>
                  <w:r>
                    <w:rPr>
                      <w:szCs w:val="21"/>
                    </w:rPr>
                    <w:t>园区规划环评审查意见内容</w:t>
                  </w:r>
                </w:p>
              </w:tc>
              <w:tc>
                <w:tcPr>
                  <w:tcW w:w="1412" w:type="pct"/>
                  <w:tcMar>
                    <w:left w:w="28" w:type="dxa"/>
                    <w:right w:w="28" w:type="dxa"/>
                  </w:tcMar>
                  <w:vAlign w:val="center"/>
                </w:tcPr>
                <w:p w14:paraId="08F41F14">
                  <w:pPr>
                    <w:adjustRightInd w:val="0"/>
                    <w:snapToGrid w:val="0"/>
                    <w:spacing w:line="360" w:lineRule="exact"/>
                    <w:jc w:val="center"/>
                    <w:rPr>
                      <w:szCs w:val="21"/>
                    </w:rPr>
                  </w:pPr>
                  <w:r>
                    <w:rPr>
                      <w:szCs w:val="21"/>
                    </w:rPr>
                    <w:t>本项目相关内容</w:t>
                  </w:r>
                </w:p>
              </w:tc>
              <w:tc>
                <w:tcPr>
                  <w:tcW w:w="480" w:type="pct"/>
                  <w:tcMar>
                    <w:left w:w="28" w:type="dxa"/>
                    <w:right w:w="28" w:type="dxa"/>
                  </w:tcMar>
                  <w:vAlign w:val="center"/>
                </w:tcPr>
                <w:p w14:paraId="1858F4FF">
                  <w:pPr>
                    <w:adjustRightInd w:val="0"/>
                    <w:snapToGrid w:val="0"/>
                    <w:spacing w:line="360" w:lineRule="exact"/>
                    <w:jc w:val="center"/>
                    <w:rPr>
                      <w:szCs w:val="21"/>
                    </w:rPr>
                  </w:pPr>
                  <w:r>
                    <w:rPr>
                      <w:szCs w:val="21"/>
                    </w:rPr>
                    <w:t>对比</w:t>
                  </w:r>
                </w:p>
                <w:p w14:paraId="27BB8CFE">
                  <w:pPr>
                    <w:adjustRightInd w:val="0"/>
                    <w:snapToGrid w:val="0"/>
                    <w:spacing w:line="360" w:lineRule="exact"/>
                    <w:jc w:val="center"/>
                    <w:rPr>
                      <w:szCs w:val="21"/>
                    </w:rPr>
                  </w:pPr>
                  <w:r>
                    <w:rPr>
                      <w:szCs w:val="21"/>
                    </w:rPr>
                    <w:t>结果</w:t>
                  </w:r>
                </w:p>
              </w:tc>
            </w:tr>
            <w:tr w14:paraId="1913E6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06" w:type="pct"/>
                  <w:tcMar>
                    <w:left w:w="28" w:type="dxa"/>
                    <w:right w:w="28" w:type="dxa"/>
                  </w:tcMar>
                  <w:vAlign w:val="center"/>
                </w:tcPr>
                <w:p w14:paraId="22855649">
                  <w:pPr>
                    <w:adjustRightInd w:val="0"/>
                    <w:snapToGrid w:val="0"/>
                    <w:spacing w:line="360" w:lineRule="exact"/>
                    <w:rPr>
                      <w:szCs w:val="21"/>
                    </w:rPr>
                  </w:pPr>
                  <w:r>
                    <w:rPr>
                      <w:rFonts w:hint="eastAsia"/>
                      <w:szCs w:val="21"/>
                    </w:rPr>
                    <w:t>坚持生态优先、绿色发展理念，加强规划引领。园区总体规划应做好与自治区、鄂尔多斯市国土空间总体规划及“三线一单”的协调衔接，并要与当地其他专项规划相协调。按照《内蒙古自治区人民政府关于促进工业园区高质量发展的若干意见》（内政发</w:t>
                  </w:r>
                  <w:r>
                    <w:rPr>
                      <w:rFonts w:hint="eastAsia" w:ascii="宋体" w:hAnsi="宋体"/>
                      <w:szCs w:val="21"/>
                    </w:rPr>
                    <w:t>﹝2019﹞</w:t>
                  </w:r>
                  <w:r>
                    <w:rPr>
                      <w:rFonts w:hint="eastAsia"/>
                      <w:szCs w:val="21"/>
                    </w:rPr>
                    <w:t>21号）、《内蒙古自治区人民政府办公厅关于进一步加强全区自治区级及以上工业园区环境保护工作的通知》（内政办发</w:t>
                  </w:r>
                  <w:r>
                    <w:rPr>
                      <w:rFonts w:hint="eastAsia" w:ascii="宋体" w:hAnsi="宋体"/>
                      <w:szCs w:val="21"/>
                    </w:rPr>
                    <w:t>﹝2018﹞</w:t>
                  </w:r>
                  <w:r>
                    <w:rPr>
                      <w:rFonts w:hint="eastAsia"/>
                      <w:szCs w:val="21"/>
                    </w:rPr>
                    <w:t>88号）及自治区、鄂尔多斯市国民经济和社会发展第十四个五年规划和2035年远景目标纲要等要求，指导园区建设。</w:t>
                  </w:r>
                </w:p>
              </w:tc>
              <w:tc>
                <w:tcPr>
                  <w:tcW w:w="1412" w:type="pct"/>
                  <w:tcMar>
                    <w:left w:w="28" w:type="dxa"/>
                    <w:right w:w="28" w:type="dxa"/>
                  </w:tcMar>
                  <w:vAlign w:val="center"/>
                </w:tcPr>
                <w:p w14:paraId="704BF71F">
                  <w:pPr>
                    <w:adjustRightInd w:val="0"/>
                    <w:snapToGrid w:val="0"/>
                    <w:spacing w:line="360" w:lineRule="exact"/>
                    <w:rPr>
                      <w:szCs w:val="21"/>
                    </w:rPr>
                  </w:pPr>
                  <w:r>
                    <w:rPr>
                      <w:szCs w:val="21"/>
                    </w:rPr>
                    <w:t>项目满足规划环评中提出的</w:t>
                  </w:r>
                  <w:r>
                    <w:rPr>
                      <w:rFonts w:hint="eastAsia" w:ascii="宋体" w:hAnsi="宋体"/>
                      <w:szCs w:val="21"/>
                    </w:rPr>
                    <w:t>“</w:t>
                  </w:r>
                  <w:r>
                    <w:rPr>
                      <w:rFonts w:ascii="宋体" w:hAnsi="宋体"/>
                      <w:szCs w:val="21"/>
                    </w:rPr>
                    <w:t>三线一单</w:t>
                  </w:r>
                  <w:r>
                    <w:rPr>
                      <w:rFonts w:hint="eastAsia" w:ascii="宋体" w:hAnsi="宋体"/>
                      <w:szCs w:val="21"/>
                    </w:rPr>
                    <w:t>”</w:t>
                  </w:r>
                  <w:r>
                    <w:rPr>
                      <w:szCs w:val="21"/>
                    </w:rPr>
                    <w:t>管理要求，满足相关产业政策文件要求</w:t>
                  </w:r>
                  <w:r>
                    <w:rPr>
                      <w:rFonts w:hint="eastAsia"/>
                      <w:szCs w:val="21"/>
                    </w:rPr>
                    <w:t>。</w:t>
                  </w:r>
                </w:p>
              </w:tc>
              <w:tc>
                <w:tcPr>
                  <w:tcW w:w="480" w:type="pct"/>
                  <w:tcMar>
                    <w:left w:w="28" w:type="dxa"/>
                    <w:right w:w="28" w:type="dxa"/>
                  </w:tcMar>
                  <w:vAlign w:val="center"/>
                </w:tcPr>
                <w:p w14:paraId="2D5460D7">
                  <w:pPr>
                    <w:adjustRightInd w:val="0"/>
                    <w:snapToGrid w:val="0"/>
                    <w:spacing w:line="360" w:lineRule="exact"/>
                    <w:jc w:val="center"/>
                    <w:rPr>
                      <w:szCs w:val="21"/>
                    </w:rPr>
                  </w:pPr>
                  <w:r>
                    <w:rPr>
                      <w:szCs w:val="21"/>
                    </w:rPr>
                    <w:t>符合</w:t>
                  </w:r>
                </w:p>
              </w:tc>
            </w:tr>
            <w:tr w14:paraId="7D31F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06" w:type="pct"/>
                  <w:tcMar>
                    <w:left w:w="28" w:type="dxa"/>
                    <w:right w:w="28" w:type="dxa"/>
                  </w:tcMar>
                  <w:vAlign w:val="center"/>
                </w:tcPr>
                <w:p w14:paraId="2B7536C3">
                  <w:pPr>
                    <w:adjustRightInd w:val="0"/>
                    <w:snapToGrid w:val="0"/>
                    <w:spacing w:line="360" w:lineRule="exact"/>
                    <w:rPr>
                      <w:szCs w:val="21"/>
                    </w:rPr>
                  </w:pPr>
                  <w:r>
                    <w:rPr>
                      <w:rFonts w:hint="eastAsia"/>
                      <w:szCs w:val="21"/>
                    </w:rPr>
                    <w:t>严格生态环境准入，推动高质量发展。园区应结合区域资源禀赋、生态敏感特征、生态功能保护、自治区及鄂尔多斯市“十四五”能耗双控、区域及行业碳达峰目标约束等要求，坚持循环经济和能源高效利用理念，严格按照《自治区开发区审核公告目录》、产业政策、“三线一单”生态环境分区管控、园区总体规划等要求及《报告书》产业发展推荐方案管理新入园项目，不得引进污染物排放量大、环境风险高的非主导产业项目。严控“两高”项目及生产工艺，确需建设的，应全面执行国家和自治区关于“两高”项目准入的各项规定。全面落实“四水四定”要求，充分利用当地矿井水、中水、农田灌溉退水等非常规水资源，最大程度减少生产用新鲜水取水量，审慎引进高耗水行业。</w:t>
                  </w:r>
                </w:p>
              </w:tc>
              <w:tc>
                <w:tcPr>
                  <w:tcW w:w="1412" w:type="pct"/>
                  <w:tcMar>
                    <w:left w:w="28" w:type="dxa"/>
                    <w:right w:w="28" w:type="dxa"/>
                  </w:tcMar>
                  <w:vAlign w:val="center"/>
                </w:tcPr>
                <w:p w14:paraId="4AC2A6F0">
                  <w:pPr>
                    <w:adjustRightInd w:val="0"/>
                    <w:snapToGrid w:val="0"/>
                    <w:spacing w:line="360" w:lineRule="exact"/>
                    <w:rPr>
                      <w:szCs w:val="21"/>
                    </w:rPr>
                  </w:pPr>
                  <w:r>
                    <w:rPr>
                      <w:szCs w:val="21"/>
                    </w:rPr>
                    <w:t>项目位于独贵塔拉产业园（南区）</w:t>
                  </w:r>
                  <w:r>
                    <w:rPr>
                      <w:rFonts w:hint="eastAsia"/>
                      <w:szCs w:val="21"/>
                    </w:rPr>
                    <w:t>，不新增占地（企业现有占地为工业用地）。项目为管道项目，属于内蒙古伊泰宏城化学有限公司、内蒙古伊泰化工有限责任公司两家企业间配套工程，由内蒙古伊泰化工有限责任公司负责建设。项目运营期不涉及生产用水，无新增劳动定员，不新增生活用水。</w:t>
                  </w:r>
                </w:p>
              </w:tc>
              <w:tc>
                <w:tcPr>
                  <w:tcW w:w="480" w:type="pct"/>
                  <w:tcMar>
                    <w:left w:w="28" w:type="dxa"/>
                    <w:right w:w="28" w:type="dxa"/>
                  </w:tcMar>
                  <w:vAlign w:val="center"/>
                </w:tcPr>
                <w:p w14:paraId="288B25B2">
                  <w:pPr>
                    <w:adjustRightInd w:val="0"/>
                    <w:snapToGrid w:val="0"/>
                    <w:spacing w:line="360" w:lineRule="exact"/>
                    <w:jc w:val="center"/>
                    <w:rPr>
                      <w:szCs w:val="21"/>
                    </w:rPr>
                  </w:pPr>
                  <w:r>
                    <w:rPr>
                      <w:szCs w:val="21"/>
                    </w:rPr>
                    <w:t>符合</w:t>
                  </w:r>
                </w:p>
              </w:tc>
            </w:tr>
            <w:tr w14:paraId="76CCF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18" w:hRule="atLeast"/>
                <w:jc w:val="center"/>
              </w:trPr>
              <w:tc>
                <w:tcPr>
                  <w:tcW w:w="3106" w:type="pct"/>
                  <w:tcMar>
                    <w:left w:w="28" w:type="dxa"/>
                    <w:right w:w="28" w:type="dxa"/>
                  </w:tcMar>
                  <w:vAlign w:val="center"/>
                </w:tcPr>
                <w:p w14:paraId="00ABE4A5">
                  <w:pPr>
                    <w:adjustRightInd w:val="0"/>
                    <w:snapToGrid w:val="0"/>
                    <w:spacing w:line="360" w:lineRule="exact"/>
                    <w:rPr>
                      <w:szCs w:val="21"/>
                    </w:rPr>
                  </w:pPr>
                  <w:r>
                    <w:rPr>
                      <w:rFonts w:hint="eastAsia"/>
                      <w:szCs w:val="21"/>
                    </w:rPr>
                    <w:t>严格空间管控，优化产业布局。园区与</w:t>
                  </w:r>
                  <w:r>
                    <w:rPr>
                      <w:rFonts w:hint="eastAsia"/>
                      <w:szCs w:val="21"/>
                      <w:lang w:eastAsia="zh-CN"/>
                    </w:rPr>
                    <w:t>邻近</w:t>
                  </w:r>
                  <w:r>
                    <w:rPr>
                      <w:rFonts w:hint="eastAsia"/>
                      <w:szCs w:val="21"/>
                    </w:rPr>
                    <w:t>居民区、自然保护区、地表水体等环境敏感区之间应设置</w:t>
                  </w:r>
                  <w:r>
                    <w:rPr>
                      <w:rFonts w:hint="eastAsia"/>
                      <w:szCs w:val="21"/>
                      <w:lang w:eastAsia="zh-CN"/>
                    </w:rPr>
                    <w:t>相应</w:t>
                  </w:r>
                  <w:r>
                    <w:rPr>
                      <w:rFonts w:hint="eastAsia"/>
                      <w:szCs w:val="21"/>
                    </w:rPr>
                    <w:t>的隔离带，环境风险较高区块应向外设置足够的规划控制区作为空间防护，确保园区产业发展与生态环境、人居环境相协调。食品加工等环境质量要求高的企业周边应设置符合规定的防护区域，现有不符合防护距离要求的企业应限期搬迁改造。配合杭锦旗人民政府及其有关部门做好园区及周边区域的规划控制和优化调整，发现不符合管控要求的相关行为，应及时向杭锦旗人民政府报告。</w:t>
                  </w:r>
                </w:p>
              </w:tc>
              <w:tc>
                <w:tcPr>
                  <w:tcW w:w="1412" w:type="pct"/>
                  <w:tcMar>
                    <w:left w:w="28" w:type="dxa"/>
                    <w:right w:w="28" w:type="dxa"/>
                  </w:tcMar>
                  <w:vAlign w:val="center"/>
                </w:tcPr>
                <w:p w14:paraId="5D6F30EE">
                  <w:pPr>
                    <w:adjustRightInd w:val="0"/>
                    <w:snapToGrid w:val="0"/>
                    <w:spacing w:line="360" w:lineRule="exact"/>
                    <w:rPr>
                      <w:szCs w:val="21"/>
                    </w:rPr>
                  </w:pPr>
                  <w:r>
                    <w:rPr>
                      <w:szCs w:val="21"/>
                    </w:rPr>
                    <w:t>项目</w:t>
                  </w:r>
                  <w:r>
                    <w:rPr>
                      <w:rFonts w:hint="eastAsia"/>
                      <w:szCs w:val="21"/>
                    </w:rPr>
                    <w:t>在现有企业厂区内建设，不新增占地，不涉及居民区、自然保护区、地表水体等环境敏感区。</w:t>
                  </w:r>
                </w:p>
              </w:tc>
              <w:tc>
                <w:tcPr>
                  <w:tcW w:w="480" w:type="pct"/>
                  <w:tcMar>
                    <w:left w:w="28" w:type="dxa"/>
                    <w:right w:w="28" w:type="dxa"/>
                  </w:tcMar>
                  <w:vAlign w:val="center"/>
                </w:tcPr>
                <w:p w14:paraId="0DB51400">
                  <w:pPr>
                    <w:adjustRightInd w:val="0"/>
                    <w:snapToGrid w:val="0"/>
                    <w:spacing w:line="360" w:lineRule="exact"/>
                    <w:jc w:val="center"/>
                    <w:rPr>
                      <w:szCs w:val="21"/>
                    </w:rPr>
                  </w:pPr>
                  <w:r>
                    <w:rPr>
                      <w:szCs w:val="21"/>
                    </w:rPr>
                    <w:t>符合</w:t>
                  </w:r>
                </w:p>
              </w:tc>
            </w:tr>
            <w:tr w14:paraId="10005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98" w:hRule="atLeast"/>
                <w:jc w:val="center"/>
              </w:trPr>
              <w:tc>
                <w:tcPr>
                  <w:tcW w:w="3106" w:type="pct"/>
                  <w:tcMar>
                    <w:left w:w="28" w:type="dxa"/>
                    <w:right w:w="28" w:type="dxa"/>
                  </w:tcMar>
                  <w:vAlign w:val="center"/>
                </w:tcPr>
                <w:p w14:paraId="2FC8FA4C">
                  <w:pPr>
                    <w:adjustRightInd w:val="0"/>
                    <w:snapToGrid w:val="0"/>
                    <w:spacing w:line="360" w:lineRule="exact"/>
                    <w:rPr>
                      <w:szCs w:val="21"/>
                    </w:rPr>
                  </w:pPr>
                  <w:r>
                    <w:rPr>
                      <w:rFonts w:hint="eastAsia"/>
                      <w:szCs w:val="21"/>
                    </w:rPr>
                    <w:t>严守环境质量底线，强化污染物排放总量管控。根据国家、自治区和鄂尔多斯市关于大气特别是挥发性有机物污染防治相关要求和“三线一单”成果，深入挖掘区域内大气污染物减排潜力，落实与区域环境质量改善目标相匹配的区域削减措施及污染物总量管控制度，积极推进重点行业按照大气污染物超低排放或特别排放限值进行升级改造，持续减少主要污染物、特征污染物有组织和无组织排放量，保障区域环境质量改善。</w:t>
                  </w:r>
                </w:p>
              </w:tc>
              <w:tc>
                <w:tcPr>
                  <w:tcW w:w="1412" w:type="pct"/>
                  <w:tcMar>
                    <w:left w:w="28" w:type="dxa"/>
                    <w:right w:w="28" w:type="dxa"/>
                  </w:tcMar>
                  <w:vAlign w:val="center"/>
                </w:tcPr>
                <w:p w14:paraId="4C36F838">
                  <w:pPr>
                    <w:adjustRightInd w:val="0"/>
                    <w:snapToGrid w:val="0"/>
                    <w:spacing w:line="360" w:lineRule="exact"/>
                    <w:jc w:val="center"/>
                    <w:rPr>
                      <w:szCs w:val="21"/>
                    </w:rPr>
                  </w:pPr>
                  <w:r>
                    <w:rPr>
                      <w:rFonts w:hint="eastAsia"/>
                      <w:szCs w:val="21"/>
                    </w:rPr>
                    <w:t>项目运营期无废气产生。</w:t>
                  </w:r>
                </w:p>
              </w:tc>
              <w:tc>
                <w:tcPr>
                  <w:tcW w:w="480" w:type="pct"/>
                  <w:tcMar>
                    <w:left w:w="28" w:type="dxa"/>
                    <w:right w:w="28" w:type="dxa"/>
                  </w:tcMar>
                  <w:vAlign w:val="center"/>
                </w:tcPr>
                <w:p w14:paraId="73DD688A">
                  <w:pPr>
                    <w:adjustRightInd w:val="0"/>
                    <w:snapToGrid w:val="0"/>
                    <w:spacing w:line="360" w:lineRule="exact"/>
                    <w:jc w:val="center"/>
                    <w:rPr>
                      <w:szCs w:val="21"/>
                    </w:rPr>
                  </w:pPr>
                  <w:r>
                    <w:rPr>
                      <w:szCs w:val="21"/>
                    </w:rPr>
                    <w:t>符合</w:t>
                  </w:r>
                </w:p>
              </w:tc>
            </w:tr>
            <w:tr w14:paraId="6C302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86" w:hRule="atLeast"/>
                <w:jc w:val="center"/>
              </w:trPr>
              <w:tc>
                <w:tcPr>
                  <w:tcW w:w="3106" w:type="pct"/>
                  <w:tcMar>
                    <w:left w:w="28" w:type="dxa"/>
                    <w:right w:w="28" w:type="dxa"/>
                  </w:tcMar>
                  <w:vAlign w:val="center"/>
                </w:tcPr>
                <w:p w14:paraId="78B2420F">
                  <w:pPr>
                    <w:adjustRightInd w:val="0"/>
                    <w:snapToGrid w:val="0"/>
                    <w:spacing w:line="360" w:lineRule="exact"/>
                    <w:rPr>
                      <w:szCs w:val="21"/>
                    </w:rPr>
                  </w:pPr>
                  <w:r>
                    <w:rPr>
                      <w:rFonts w:hint="eastAsia"/>
                      <w:szCs w:val="21"/>
                    </w:rPr>
                    <w:t>加强环境基础设施建设，推进污染集中治理。强化企业生产废水预处理，合理规划园区污水集中处理设施及配套管网，采用成熟可靠的废水处理工艺，实现园区内生产废水全部纳管收集、妥善处理和达标回用。建设有足够处理能力的园区高盐水处置工程，2023年底前完成晾晒池存水治理，2024年底前完成晾晒池改建为园区事故水池相关工作。充分利用集中供热或清洁能源实现供热、供汽，园区内原则上不再新增企业分散热源。强化企业的危险废物鉴别主体责任，对园区各类危险废物实施严格监管和严密监控。优化固体废物、危险废物处置方式，积极拓展资源化利用途径，提高综合利用率。规范建设固体废物贮存场及填埋场并严格管理。推进大宗货物及其他货物公路运输转铁路运输，园区内及周边中短途汽车运输优先采用新能源汽车。</w:t>
                  </w:r>
                </w:p>
              </w:tc>
              <w:tc>
                <w:tcPr>
                  <w:tcW w:w="1412" w:type="pct"/>
                  <w:tcMar>
                    <w:left w:w="28" w:type="dxa"/>
                    <w:right w:w="28" w:type="dxa"/>
                  </w:tcMar>
                  <w:vAlign w:val="center"/>
                </w:tcPr>
                <w:p w14:paraId="699D4410">
                  <w:pPr>
                    <w:adjustRightInd w:val="0"/>
                    <w:snapToGrid w:val="0"/>
                    <w:spacing w:line="360" w:lineRule="exact"/>
                    <w:rPr>
                      <w:szCs w:val="21"/>
                    </w:rPr>
                  </w:pPr>
                  <w:r>
                    <w:rPr>
                      <w:rFonts w:hint="eastAsia"/>
                      <w:szCs w:val="21"/>
                    </w:rPr>
                    <w:t>项目运营期不涉及生产废水；无新增劳动定员，不新增生活污水。</w:t>
                  </w:r>
                </w:p>
                <w:p w14:paraId="51491B83">
                  <w:pPr>
                    <w:adjustRightInd w:val="0"/>
                    <w:snapToGrid w:val="0"/>
                    <w:spacing w:line="360" w:lineRule="exact"/>
                    <w:rPr>
                      <w:szCs w:val="21"/>
                    </w:rPr>
                  </w:pPr>
                  <w:r>
                    <w:rPr>
                      <w:rFonts w:hint="eastAsia"/>
                      <w:szCs w:val="21"/>
                    </w:rPr>
                    <w:t>项目运营期不涉及用热。</w:t>
                  </w:r>
                </w:p>
                <w:p w14:paraId="7CB15A89">
                  <w:pPr>
                    <w:adjustRightInd w:val="0"/>
                    <w:snapToGrid w:val="0"/>
                    <w:spacing w:line="360" w:lineRule="exact"/>
                    <w:rPr>
                      <w:szCs w:val="21"/>
                    </w:rPr>
                  </w:pPr>
                  <w:r>
                    <w:rPr>
                      <w:rFonts w:hint="eastAsia"/>
                      <w:szCs w:val="21"/>
                    </w:rPr>
                    <w:t>项目运营期无固废产生，施工期固废主要为施工废料、废油漆桶，施工废料收集后运送至市政指定地点；废油漆桶暂存于伊泰化工危废间，交由有资质的单位处置，固废均得到妥善处置。</w:t>
                  </w:r>
                </w:p>
              </w:tc>
              <w:tc>
                <w:tcPr>
                  <w:tcW w:w="480" w:type="pct"/>
                  <w:tcMar>
                    <w:left w:w="28" w:type="dxa"/>
                    <w:right w:w="28" w:type="dxa"/>
                  </w:tcMar>
                  <w:vAlign w:val="center"/>
                </w:tcPr>
                <w:p w14:paraId="3AEB33D4">
                  <w:pPr>
                    <w:adjustRightInd w:val="0"/>
                    <w:snapToGrid w:val="0"/>
                    <w:spacing w:line="360" w:lineRule="exact"/>
                    <w:jc w:val="center"/>
                    <w:rPr>
                      <w:szCs w:val="21"/>
                    </w:rPr>
                  </w:pPr>
                  <w:r>
                    <w:rPr>
                      <w:szCs w:val="21"/>
                    </w:rPr>
                    <w:t>符合</w:t>
                  </w:r>
                </w:p>
              </w:tc>
            </w:tr>
            <w:tr w14:paraId="1DD0E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06" w:type="pct"/>
                  <w:tcMar>
                    <w:left w:w="28" w:type="dxa"/>
                    <w:right w:w="28" w:type="dxa"/>
                  </w:tcMar>
                  <w:vAlign w:val="center"/>
                </w:tcPr>
                <w:p w14:paraId="0D8DDB38">
                  <w:pPr>
                    <w:adjustRightInd w:val="0"/>
                    <w:snapToGrid w:val="0"/>
                    <w:spacing w:line="360" w:lineRule="exact"/>
                    <w:rPr>
                      <w:szCs w:val="21"/>
                    </w:rPr>
                  </w:pPr>
                  <w:r>
                    <w:rPr>
                      <w:rFonts w:hint="eastAsia"/>
                      <w:szCs w:val="21"/>
                    </w:rPr>
                    <w:t>强化源头防控，有效防范环境污染和事故风险。加强突发环境事件应急处置能力建设，建立完善的环境风险防控和应急监测体系，强化应急演练和应急物资储备，不断提升应急响应能力，保障区域环境安全。入园企业按要求设置事故水池，并与园区事故水池联通形成综合调控系统，确保任何情况下园区事故废水不进入外环境。</w:t>
                  </w:r>
                </w:p>
              </w:tc>
              <w:tc>
                <w:tcPr>
                  <w:tcW w:w="1412" w:type="pct"/>
                  <w:tcMar>
                    <w:left w:w="28" w:type="dxa"/>
                    <w:right w:w="28" w:type="dxa"/>
                  </w:tcMar>
                  <w:vAlign w:val="center"/>
                </w:tcPr>
                <w:p w14:paraId="161F9EBB">
                  <w:pPr>
                    <w:adjustRightInd w:val="0"/>
                    <w:snapToGrid w:val="0"/>
                    <w:spacing w:line="360" w:lineRule="exact"/>
                    <w:rPr>
                      <w:szCs w:val="21"/>
                    </w:rPr>
                  </w:pPr>
                  <w:r>
                    <w:rPr>
                      <w:rFonts w:hint="eastAsia"/>
                      <w:szCs w:val="21"/>
                    </w:rPr>
                    <w:t>本次评价要求企业严格落实项目风险评价专章中的各项事故风险防范措施。内蒙古伊泰化工有限责任公司现有厂区设置有3万m</w:t>
                  </w:r>
                  <w:r>
                    <w:rPr>
                      <w:rFonts w:hint="eastAsia"/>
                      <w:szCs w:val="21"/>
                      <w:vertAlign w:val="superscript"/>
                    </w:rPr>
                    <w:t>3</w:t>
                  </w:r>
                  <w:r>
                    <w:rPr>
                      <w:rFonts w:hint="eastAsia"/>
                      <w:szCs w:val="21"/>
                    </w:rPr>
                    <w:t>的事故水池，确保任何情况下园区事故废水不进入外环境。</w:t>
                  </w:r>
                </w:p>
              </w:tc>
              <w:tc>
                <w:tcPr>
                  <w:tcW w:w="480" w:type="pct"/>
                  <w:tcMar>
                    <w:left w:w="28" w:type="dxa"/>
                    <w:right w:w="28" w:type="dxa"/>
                  </w:tcMar>
                  <w:vAlign w:val="center"/>
                </w:tcPr>
                <w:p w14:paraId="561925ED">
                  <w:pPr>
                    <w:adjustRightInd w:val="0"/>
                    <w:snapToGrid w:val="0"/>
                    <w:spacing w:line="360" w:lineRule="exact"/>
                    <w:jc w:val="center"/>
                    <w:rPr>
                      <w:szCs w:val="21"/>
                    </w:rPr>
                  </w:pPr>
                  <w:r>
                    <w:rPr>
                      <w:szCs w:val="21"/>
                    </w:rPr>
                    <w:t>符合</w:t>
                  </w:r>
                </w:p>
              </w:tc>
            </w:tr>
            <w:tr w14:paraId="22D0C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06" w:type="pct"/>
                  <w:tcMar>
                    <w:left w:w="28" w:type="dxa"/>
                    <w:right w:w="28" w:type="dxa"/>
                  </w:tcMar>
                  <w:vAlign w:val="center"/>
                </w:tcPr>
                <w:p w14:paraId="7203B7CD">
                  <w:pPr>
                    <w:adjustRightInd w:val="0"/>
                    <w:snapToGrid w:val="0"/>
                    <w:spacing w:line="360" w:lineRule="exact"/>
                    <w:rPr>
                      <w:szCs w:val="21"/>
                    </w:rPr>
                  </w:pPr>
                  <w:r>
                    <w:rPr>
                      <w:rFonts w:hint="eastAsia"/>
                      <w:szCs w:val="21"/>
                    </w:rPr>
                    <w:t>加强环境监管及日常环境质量监测。园区应建立完善的环境监测计划，开展包括常规污染物、特征污染物在内的环境空气、地表水、地下水、土壤、生态系统等环境质量长期监测和污染风险管控。重点企业排污口要设置在线监测系统并与生态环境部门联网。加强土壤污染重点企业监管，强化腾退企业遗留场地的土壤环境调查和风险评估，合理确定土地利用方式。</w:t>
                  </w:r>
                </w:p>
              </w:tc>
              <w:tc>
                <w:tcPr>
                  <w:tcW w:w="1412" w:type="pct"/>
                  <w:tcMar>
                    <w:left w:w="28" w:type="dxa"/>
                    <w:right w:w="28" w:type="dxa"/>
                  </w:tcMar>
                  <w:vAlign w:val="center"/>
                </w:tcPr>
                <w:p w14:paraId="13AF224B">
                  <w:pPr>
                    <w:adjustRightInd w:val="0"/>
                    <w:snapToGrid w:val="0"/>
                    <w:spacing w:line="360" w:lineRule="exact"/>
                    <w:rPr>
                      <w:szCs w:val="21"/>
                    </w:rPr>
                  </w:pPr>
                  <w:r>
                    <w:rPr>
                      <w:rFonts w:hint="eastAsia"/>
                      <w:szCs w:val="21"/>
                    </w:rPr>
                    <w:t>项目运营期无废气产生。项目运营期监测计划纳入全厂现有例行监测计划内。</w:t>
                  </w:r>
                </w:p>
              </w:tc>
              <w:tc>
                <w:tcPr>
                  <w:tcW w:w="480" w:type="pct"/>
                  <w:tcMar>
                    <w:left w:w="28" w:type="dxa"/>
                    <w:right w:w="28" w:type="dxa"/>
                  </w:tcMar>
                  <w:vAlign w:val="center"/>
                </w:tcPr>
                <w:p w14:paraId="40C36399">
                  <w:pPr>
                    <w:adjustRightInd w:val="0"/>
                    <w:snapToGrid w:val="0"/>
                    <w:spacing w:line="360" w:lineRule="exact"/>
                    <w:jc w:val="center"/>
                    <w:rPr>
                      <w:szCs w:val="21"/>
                    </w:rPr>
                  </w:pPr>
                  <w:r>
                    <w:rPr>
                      <w:szCs w:val="21"/>
                    </w:rPr>
                    <w:t>符合</w:t>
                  </w:r>
                </w:p>
              </w:tc>
            </w:tr>
            <w:tr w14:paraId="6464C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06" w:type="pct"/>
                  <w:tcMar>
                    <w:left w:w="28" w:type="dxa"/>
                    <w:right w:w="28" w:type="dxa"/>
                  </w:tcMar>
                  <w:vAlign w:val="center"/>
                </w:tcPr>
                <w:p w14:paraId="3DAD20D4">
                  <w:pPr>
                    <w:adjustRightInd w:val="0"/>
                    <w:snapToGrid w:val="0"/>
                    <w:spacing w:line="360" w:lineRule="exact"/>
                    <w:rPr>
                      <w:szCs w:val="21"/>
                    </w:rPr>
                  </w:pPr>
                  <w:r>
                    <w:rPr>
                      <w:rFonts w:hint="eastAsia"/>
                      <w:szCs w:val="21"/>
                    </w:rPr>
                    <w:t>总体规划实施对环境产生重大影响时，应当及时组织环境影响的跟踪评价。对规划所包含的建设项目，在开展环境影响评价时，应重点分析污染防治措施和环境风险防控措施的可行性、可靠性，规划协调性分析、环境现状分析等工作内容可适当简化。</w:t>
                  </w:r>
                </w:p>
              </w:tc>
              <w:tc>
                <w:tcPr>
                  <w:tcW w:w="1412" w:type="pct"/>
                  <w:tcMar>
                    <w:left w:w="28" w:type="dxa"/>
                    <w:right w:w="28" w:type="dxa"/>
                  </w:tcMar>
                  <w:vAlign w:val="center"/>
                </w:tcPr>
                <w:p w14:paraId="35D13C88">
                  <w:pPr>
                    <w:adjustRightInd w:val="0"/>
                    <w:snapToGrid w:val="0"/>
                    <w:spacing w:line="360" w:lineRule="exact"/>
                    <w:rPr>
                      <w:szCs w:val="21"/>
                    </w:rPr>
                  </w:pPr>
                  <w:r>
                    <w:rPr>
                      <w:rFonts w:hint="eastAsia"/>
                      <w:szCs w:val="21"/>
                    </w:rPr>
                    <w:t>项目环境风险物质主要为混合烯烃、烷烃返回料、氢气、排放气等，严格按照相关要求进行设计、施工、管理和维护。管线采用法兰连接和焊接方式，项目管道架空敷设，设置流量计用于计量结算，管线末端设置手动切断阀组。在物料输出端和接收端设置中控系统和紧急切断阀，阀门和仪表的控制信号接入伊泰化工公司DCS系统。项目依托内蒙古伊泰化工有限责任公司应急物资，经环境风险专项评价，项目环境风险防控措施可行。</w:t>
                  </w:r>
                </w:p>
              </w:tc>
              <w:tc>
                <w:tcPr>
                  <w:tcW w:w="480" w:type="pct"/>
                  <w:tcMar>
                    <w:left w:w="28" w:type="dxa"/>
                    <w:right w:w="28" w:type="dxa"/>
                  </w:tcMar>
                  <w:vAlign w:val="center"/>
                </w:tcPr>
                <w:p w14:paraId="370C0D3E">
                  <w:pPr>
                    <w:adjustRightInd w:val="0"/>
                    <w:snapToGrid w:val="0"/>
                    <w:spacing w:line="360" w:lineRule="exact"/>
                    <w:jc w:val="center"/>
                    <w:rPr>
                      <w:szCs w:val="21"/>
                    </w:rPr>
                  </w:pPr>
                  <w:r>
                    <w:rPr>
                      <w:rFonts w:hint="eastAsia"/>
                      <w:szCs w:val="21"/>
                    </w:rPr>
                    <w:t>符合</w:t>
                  </w:r>
                </w:p>
              </w:tc>
            </w:tr>
          </w:tbl>
          <w:p w14:paraId="08A1D798">
            <w:pPr>
              <w:adjustRightInd w:val="0"/>
              <w:snapToGrid w:val="0"/>
              <w:spacing w:line="440" w:lineRule="exact"/>
              <w:ind w:firstLine="482" w:firstLineChars="200"/>
              <w:rPr>
                <w:b/>
                <w:bCs/>
                <w:sz w:val="24"/>
              </w:rPr>
            </w:pPr>
            <w:r>
              <w:rPr>
                <w:rFonts w:hint="eastAsia"/>
                <w:b/>
                <w:bCs/>
                <w:sz w:val="24"/>
              </w:rPr>
              <w:t>4.规划环境影响评价结论符合性分析</w:t>
            </w:r>
          </w:p>
          <w:p w14:paraId="43D8A80D">
            <w:pPr>
              <w:adjustRightInd w:val="0"/>
              <w:snapToGrid w:val="0"/>
              <w:spacing w:line="440" w:lineRule="exact"/>
              <w:ind w:firstLine="480" w:firstLineChars="200"/>
              <w:rPr>
                <w:sz w:val="24"/>
              </w:rPr>
            </w:pPr>
            <w:r>
              <w:rPr>
                <w:rFonts w:hint="eastAsia"/>
                <w:sz w:val="24"/>
              </w:rPr>
              <w:t>根据《</w:t>
            </w:r>
            <w:r>
              <w:rPr>
                <w:rFonts w:hint="eastAsia"/>
                <w:kern w:val="0"/>
                <w:sz w:val="24"/>
              </w:rPr>
              <w:t>内蒙古鄂尔多斯杭锦经济开发区总体规划（</w:t>
            </w:r>
            <w:r>
              <w:rPr>
                <w:kern w:val="0"/>
                <w:sz w:val="24"/>
              </w:rPr>
              <w:t>2021-2035</w:t>
            </w:r>
            <w:r>
              <w:rPr>
                <w:rFonts w:hint="eastAsia"/>
                <w:kern w:val="0"/>
                <w:sz w:val="24"/>
              </w:rPr>
              <w:t>）环境影响报告书</w:t>
            </w:r>
            <w:r>
              <w:rPr>
                <w:rFonts w:hint="eastAsia"/>
                <w:sz w:val="24"/>
              </w:rPr>
              <w:t>》，项目规划环评结论符合性分析如下：内蒙古鄂尔多斯杭锦经济开发区随着规划建设一方面应按照产业定位以及特有的条件发展优势产业，另一方面应加强基础配套设施建设，加强环境管理及加大环保资金投入，在环境容量允许、总量控制满足的条件下，提高资源利用效率，为园区带来更大的发展空间。</w:t>
            </w:r>
          </w:p>
          <w:p w14:paraId="69B3DFA6">
            <w:pPr>
              <w:adjustRightInd w:val="0"/>
              <w:snapToGrid w:val="0"/>
              <w:spacing w:line="440" w:lineRule="exact"/>
              <w:ind w:firstLine="480" w:firstLineChars="200"/>
              <w:rPr>
                <w:sz w:val="24"/>
              </w:rPr>
            </w:pPr>
            <w:r>
              <w:rPr>
                <w:rFonts w:hint="eastAsia"/>
                <w:sz w:val="24"/>
              </w:rPr>
              <w:t>内蒙古鄂尔多斯杭锦经济开发区总体规划（</w:t>
            </w:r>
            <w:r>
              <w:rPr>
                <w:sz w:val="24"/>
              </w:rPr>
              <w:t>2021-2035</w:t>
            </w:r>
            <w:r>
              <w:rPr>
                <w:rFonts w:hint="eastAsia"/>
                <w:sz w:val="24"/>
              </w:rPr>
              <w:t>）从能源、水资源、土地资源、环境空气、水环境及生态环境等六方面综合分析，通过采取一系列措施，规划区域资源环境条件基本能够支撑规划发展规模。</w:t>
            </w:r>
          </w:p>
          <w:p w14:paraId="3497D6D8">
            <w:pPr>
              <w:adjustRightInd w:val="0"/>
              <w:snapToGrid w:val="0"/>
              <w:spacing w:line="440" w:lineRule="exact"/>
              <w:ind w:firstLine="480" w:firstLineChars="200"/>
              <w:rPr>
                <w:sz w:val="24"/>
              </w:rPr>
            </w:pPr>
            <w:r>
              <w:rPr>
                <w:rFonts w:hint="eastAsia"/>
                <w:sz w:val="24"/>
              </w:rPr>
              <w:t>园区处于干旱和半干旱地带，年降水量少，蒸发量大，当地水资源短缺。由于水权分配指标限制，区域可利用水资源量有限，是制约园区发展最大也是最不能忽视的因素。把水资源承载力作为产业发展的刚性约束。全面落实</w:t>
            </w:r>
            <w:r>
              <w:rPr>
                <w:rFonts w:hint="eastAsia" w:ascii="宋体" w:hAnsi="宋体"/>
                <w:sz w:val="24"/>
              </w:rPr>
              <w:t>“以水四定”</w:t>
            </w:r>
            <w:r>
              <w:rPr>
                <w:rFonts w:hint="eastAsia"/>
                <w:sz w:val="24"/>
              </w:rPr>
              <w:t>要求，优</w:t>
            </w:r>
            <w:r>
              <w:rPr>
                <w:rFonts w:hint="eastAsia"/>
                <w:sz w:val="24"/>
                <w:lang w:eastAsia="zh-CN"/>
              </w:rPr>
              <w:t>先使</w:t>
            </w:r>
            <w:r>
              <w:rPr>
                <w:rFonts w:hint="eastAsia"/>
                <w:sz w:val="24"/>
              </w:rPr>
              <w:t>用再生水作为生产水源。</w:t>
            </w:r>
          </w:p>
          <w:p w14:paraId="4019F9C1">
            <w:pPr>
              <w:adjustRightInd w:val="0"/>
              <w:snapToGrid w:val="0"/>
              <w:spacing w:line="440" w:lineRule="exact"/>
              <w:ind w:firstLine="480" w:firstLineChars="200"/>
              <w:rPr>
                <w:sz w:val="24"/>
              </w:rPr>
            </w:pPr>
            <w:r>
              <w:rPr>
                <w:rFonts w:hint="eastAsia"/>
                <w:sz w:val="24"/>
              </w:rPr>
              <w:t>严守环境质量底线，强化污染物排放总量管控。区域大气、水环境容量低是制约园区发展的重要因素，规划应严格</w:t>
            </w:r>
            <w:r>
              <w:rPr>
                <w:rFonts w:hint="eastAsia"/>
                <w:sz w:val="24"/>
                <w:lang w:eastAsia="zh-CN"/>
              </w:rPr>
              <w:t>落实</w:t>
            </w:r>
            <w:r>
              <w:rPr>
                <w:rFonts w:hint="eastAsia"/>
                <w:sz w:val="24"/>
              </w:rPr>
              <w:t>污染物总量管控要求，采取有效措施减少主要污染物、特征污染物的排放量，确保区域环境质量持续改善。从环境保护角度分析，在严格落实本报告提出的规划优化调整建议、污染防治措施、风险防范措施的前提下，不会降低区域环境功能，影响在可接受的范围。</w:t>
            </w:r>
          </w:p>
          <w:p w14:paraId="3F8F406C">
            <w:pPr>
              <w:adjustRightInd w:val="0"/>
              <w:snapToGrid w:val="0"/>
              <w:spacing w:line="440" w:lineRule="exact"/>
              <w:ind w:firstLine="482" w:firstLineChars="200"/>
              <w:rPr>
                <w:b/>
                <w:bCs/>
                <w:sz w:val="24"/>
              </w:rPr>
            </w:pPr>
            <w:r>
              <w:rPr>
                <w:rFonts w:hint="eastAsia"/>
                <w:b/>
                <w:bCs/>
                <w:sz w:val="24"/>
              </w:rPr>
              <w:t>项目为管道工程，依托现有</w:t>
            </w:r>
            <w:r>
              <w:rPr>
                <w:b/>
                <w:bCs/>
                <w:sz w:val="24"/>
              </w:rPr>
              <w:t>/</w:t>
            </w:r>
            <w:r>
              <w:rPr>
                <w:rFonts w:hint="eastAsia"/>
                <w:b/>
                <w:bCs/>
                <w:sz w:val="24"/>
              </w:rPr>
              <w:t>新建廊架进行建设。属于内蒙古伊泰宏城化学有限公司、内蒙古伊泰化工有限责任公司两家企业间配套工程，符合</w:t>
            </w:r>
            <w:r>
              <w:rPr>
                <w:rFonts w:hint="eastAsia" w:ascii="宋体" w:hAnsi="宋体"/>
                <w:b/>
                <w:bCs/>
                <w:sz w:val="24"/>
              </w:rPr>
              <w:t>“生态环境分区管控”</w:t>
            </w:r>
            <w:r>
              <w:rPr>
                <w:rFonts w:hint="eastAsia"/>
                <w:b/>
                <w:bCs/>
                <w:sz w:val="24"/>
              </w:rPr>
              <w:t>的要求。项目运营期无废气、废水产生。施工期采取环境保护控制措施后，对周边环境影响较小。</w:t>
            </w:r>
          </w:p>
          <w:p w14:paraId="75A74ADE">
            <w:pPr>
              <w:adjustRightInd w:val="0"/>
              <w:snapToGrid w:val="0"/>
              <w:spacing w:line="440" w:lineRule="exact"/>
              <w:ind w:firstLine="482" w:firstLineChars="200"/>
              <w:rPr>
                <w:b/>
                <w:bCs/>
                <w:sz w:val="24"/>
              </w:rPr>
            </w:pPr>
          </w:p>
          <w:p w14:paraId="2DF02C79">
            <w:pPr>
              <w:adjustRightInd w:val="0"/>
              <w:snapToGrid w:val="0"/>
              <w:spacing w:line="440" w:lineRule="exact"/>
              <w:ind w:firstLine="482" w:firstLineChars="200"/>
              <w:rPr>
                <w:b/>
                <w:bCs/>
                <w:sz w:val="24"/>
              </w:rPr>
            </w:pPr>
          </w:p>
          <w:p w14:paraId="71E6E151">
            <w:pPr>
              <w:adjustRightInd w:val="0"/>
              <w:snapToGrid w:val="0"/>
              <w:spacing w:line="440" w:lineRule="exact"/>
              <w:ind w:firstLine="482" w:firstLineChars="200"/>
              <w:rPr>
                <w:b/>
                <w:bCs/>
                <w:sz w:val="24"/>
              </w:rPr>
            </w:pPr>
          </w:p>
          <w:p w14:paraId="415EC594">
            <w:pPr>
              <w:adjustRightInd w:val="0"/>
              <w:snapToGrid w:val="0"/>
              <w:spacing w:line="440" w:lineRule="exact"/>
              <w:ind w:firstLine="482" w:firstLineChars="200"/>
              <w:rPr>
                <w:b/>
                <w:bCs/>
                <w:sz w:val="24"/>
              </w:rPr>
            </w:pPr>
          </w:p>
          <w:p w14:paraId="6BCEA0FF">
            <w:pPr>
              <w:adjustRightInd w:val="0"/>
              <w:snapToGrid w:val="0"/>
              <w:spacing w:line="440" w:lineRule="exact"/>
              <w:ind w:firstLine="482" w:firstLineChars="200"/>
              <w:rPr>
                <w:b/>
                <w:bCs/>
                <w:sz w:val="24"/>
              </w:rPr>
            </w:pPr>
          </w:p>
          <w:p w14:paraId="7103357E">
            <w:pPr>
              <w:adjustRightInd w:val="0"/>
              <w:snapToGrid w:val="0"/>
              <w:spacing w:line="440" w:lineRule="exact"/>
              <w:ind w:firstLine="482" w:firstLineChars="200"/>
              <w:rPr>
                <w:b/>
                <w:bCs/>
                <w:sz w:val="24"/>
              </w:rPr>
            </w:pPr>
          </w:p>
          <w:p w14:paraId="2328217B">
            <w:pPr>
              <w:adjustRightInd w:val="0"/>
              <w:snapToGrid w:val="0"/>
              <w:spacing w:line="440" w:lineRule="exact"/>
              <w:ind w:firstLine="482" w:firstLineChars="200"/>
              <w:rPr>
                <w:b/>
                <w:bCs/>
                <w:sz w:val="24"/>
              </w:rPr>
            </w:pPr>
          </w:p>
        </w:tc>
      </w:tr>
    </w:tbl>
    <w:p w14:paraId="6F332F38">
      <w:pPr>
        <w:autoSpaceDE w:val="0"/>
        <w:autoSpaceDN w:val="0"/>
        <w:adjustRightInd w:val="0"/>
        <w:snapToGrid w:val="0"/>
        <w:spacing w:line="440" w:lineRule="exact"/>
        <w:jc w:val="center"/>
        <w:rPr>
          <w:kern w:val="0"/>
          <w:sz w:val="24"/>
        </w:rPr>
        <w:sectPr>
          <w:pgSz w:w="16838" w:h="11906" w:orient="landscape"/>
          <w:pgMar w:top="1531" w:right="1701" w:bottom="1531" w:left="1701" w:header="851" w:footer="1077" w:gutter="0"/>
          <w:pgNumType w:start="1"/>
          <w:cols w:space="720" w:num="1"/>
          <w:docGrid w:linePitch="312" w:charSpace="0"/>
        </w:sectPr>
      </w:pPr>
      <w:bookmarkStart w:id="15" w:name="_Hlk56690880"/>
    </w:p>
    <w:tbl>
      <w:tblPr>
        <w:tblStyle w:val="78"/>
        <w:tblW w:w="498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87"/>
        <w:gridCol w:w="7069"/>
      </w:tblGrid>
      <w:tr w14:paraId="2E945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09" w:type="pct"/>
            <w:tcMar>
              <w:top w:w="16" w:type="dxa"/>
              <w:left w:w="16" w:type="dxa"/>
              <w:right w:w="16" w:type="dxa"/>
            </w:tcMar>
            <w:vAlign w:val="center"/>
          </w:tcPr>
          <w:p w14:paraId="19A76052">
            <w:pPr>
              <w:autoSpaceDE w:val="0"/>
              <w:autoSpaceDN w:val="0"/>
              <w:adjustRightInd w:val="0"/>
              <w:snapToGrid w:val="0"/>
              <w:spacing w:line="440" w:lineRule="exact"/>
              <w:jc w:val="center"/>
              <w:rPr>
                <w:kern w:val="0"/>
                <w:sz w:val="24"/>
              </w:rPr>
            </w:pPr>
            <w:r>
              <w:rPr>
                <w:kern w:val="0"/>
                <w:sz w:val="24"/>
              </w:rPr>
              <w:t>其他符合性分析</w:t>
            </w:r>
            <w:bookmarkEnd w:id="15"/>
          </w:p>
        </w:tc>
        <w:tc>
          <w:tcPr>
            <w:tcW w:w="3991" w:type="pct"/>
            <w:tcMar>
              <w:top w:w="16" w:type="dxa"/>
              <w:left w:w="16" w:type="dxa"/>
              <w:right w:w="16" w:type="dxa"/>
            </w:tcMar>
            <w:vAlign w:val="center"/>
          </w:tcPr>
          <w:p w14:paraId="4526EFB2">
            <w:pPr>
              <w:autoSpaceDE w:val="0"/>
              <w:autoSpaceDN w:val="0"/>
              <w:adjustRightInd w:val="0"/>
              <w:snapToGrid w:val="0"/>
              <w:spacing w:line="440" w:lineRule="exact"/>
              <w:ind w:firstLine="482" w:firstLineChars="200"/>
              <w:rPr>
                <w:b/>
                <w:bCs/>
                <w:sz w:val="24"/>
              </w:rPr>
            </w:pPr>
            <w:r>
              <w:rPr>
                <w:b/>
                <w:bCs/>
                <w:sz w:val="24"/>
              </w:rPr>
              <w:t>1</w:t>
            </w:r>
            <w:r>
              <w:rPr>
                <w:rFonts w:hint="eastAsia"/>
                <w:b/>
                <w:bCs/>
                <w:sz w:val="24"/>
              </w:rPr>
              <w:t>.</w:t>
            </w:r>
            <w:r>
              <w:rPr>
                <w:b/>
                <w:bCs/>
                <w:sz w:val="24"/>
              </w:rPr>
              <w:t>产业政策符合性分析</w:t>
            </w:r>
          </w:p>
          <w:p w14:paraId="01C66B91">
            <w:pPr>
              <w:autoSpaceDE w:val="0"/>
              <w:autoSpaceDN w:val="0"/>
              <w:adjustRightInd w:val="0"/>
              <w:snapToGrid w:val="0"/>
              <w:spacing w:line="440" w:lineRule="exact"/>
              <w:ind w:firstLine="480" w:firstLineChars="200"/>
              <w:rPr>
                <w:sz w:val="24"/>
              </w:rPr>
            </w:pPr>
            <w:r>
              <w:rPr>
                <w:sz w:val="24"/>
              </w:rPr>
              <w:t>项目属于管道运输业，对照《产业结构调整指导目录</w:t>
            </w:r>
            <w:r>
              <w:rPr>
                <w:rFonts w:hint="eastAsia"/>
                <w:sz w:val="24"/>
              </w:rPr>
              <w:t>（</w:t>
            </w:r>
            <w:r>
              <w:rPr>
                <w:sz w:val="24"/>
              </w:rPr>
              <w:t>20</w:t>
            </w:r>
            <w:r>
              <w:rPr>
                <w:rFonts w:hint="eastAsia"/>
                <w:sz w:val="24"/>
              </w:rPr>
              <w:t>24</w:t>
            </w:r>
            <w:r>
              <w:rPr>
                <w:sz w:val="24"/>
              </w:rPr>
              <w:t>年本</w:t>
            </w:r>
            <w:r>
              <w:rPr>
                <w:rFonts w:hint="eastAsia"/>
                <w:sz w:val="24"/>
              </w:rPr>
              <w:t>）</w:t>
            </w:r>
            <w:r>
              <w:rPr>
                <w:sz w:val="24"/>
              </w:rPr>
              <w:t>》中相关要求，项目不属于鼓励类、限制类、淘汰类建设项目，属于允许类建设项目</w:t>
            </w:r>
            <w:r>
              <w:rPr>
                <w:rFonts w:hint="eastAsia"/>
                <w:sz w:val="24"/>
              </w:rPr>
              <w:t>；不属于《市场准入负面清单（2025年版）》中禁止准入类项目。</w:t>
            </w:r>
          </w:p>
          <w:p w14:paraId="34193C5E">
            <w:pPr>
              <w:autoSpaceDE w:val="0"/>
              <w:autoSpaceDN w:val="0"/>
              <w:adjustRightInd w:val="0"/>
              <w:snapToGrid w:val="0"/>
              <w:spacing w:line="440" w:lineRule="exact"/>
              <w:ind w:firstLine="480" w:firstLineChars="200"/>
              <w:rPr>
                <w:sz w:val="24"/>
              </w:rPr>
            </w:pPr>
            <w:r>
              <w:rPr>
                <w:rFonts w:hint="eastAsia"/>
                <w:sz w:val="24"/>
              </w:rPr>
              <w:t>杭锦旗工信和科技局已</w:t>
            </w:r>
            <w:r>
              <w:rPr>
                <w:sz w:val="24"/>
              </w:rPr>
              <w:t>对项目进行了</w:t>
            </w:r>
            <w:r>
              <w:rPr>
                <w:rFonts w:hint="eastAsia"/>
                <w:sz w:val="24"/>
              </w:rPr>
              <w:t>备案（项目代码：2606-150625-07-02-886710）</w:t>
            </w:r>
            <w:r>
              <w:rPr>
                <w:sz w:val="24"/>
              </w:rPr>
              <w:t>，项目建设符合国家及地方产业政策。</w:t>
            </w:r>
          </w:p>
          <w:p w14:paraId="472DBFD0">
            <w:pPr>
              <w:spacing w:line="440" w:lineRule="exact"/>
              <w:ind w:left="42" w:leftChars="20" w:right="42" w:rightChars="20" w:firstLine="482" w:firstLineChars="200"/>
              <w:rPr>
                <w:b/>
                <w:bCs/>
                <w:kern w:val="0"/>
                <w:sz w:val="24"/>
              </w:rPr>
            </w:pPr>
            <w:r>
              <w:rPr>
                <w:b/>
                <w:bCs/>
                <w:kern w:val="0"/>
                <w:sz w:val="24"/>
              </w:rPr>
              <w:t>2</w:t>
            </w:r>
            <w:r>
              <w:rPr>
                <w:rFonts w:hint="eastAsia"/>
                <w:b/>
                <w:bCs/>
                <w:kern w:val="0"/>
                <w:sz w:val="24"/>
              </w:rPr>
              <w:t>.</w:t>
            </w:r>
            <w:r>
              <w:rPr>
                <w:b/>
                <w:bCs/>
                <w:kern w:val="0"/>
                <w:sz w:val="24"/>
              </w:rPr>
              <w:t>项目选址可行性分析</w:t>
            </w:r>
          </w:p>
          <w:p w14:paraId="41245AFD">
            <w:pPr>
              <w:spacing w:line="440" w:lineRule="exact"/>
              <w:ind w:left="42" w:leftChars="20" w:right="42" w:rightChars="20" w:firstLine="480" w:firstLineChars="200"/>
              <w:rPr>
                <w:kern w:val="0"/>
                <w:sz w:val="24"/>
              </w:rPr>
            </w:pPr>
            <w:r>
              <w:rPr>
                <w:rFonts w:hint="eastAsia"/>
                <w:kern w:val="0"/>
                <w:sz w:val="24"/>
              </w:rPr>
              <w:t>项目位于内蒙古自治区鄂尔多斯市杭锦旗独贵塔拉工业园区，占地类型属于工业用地。项目所在区域及周围无自然保护区、风景名胜区、饮用水水源保护区等环境敏感区，无珍稀保护动植物，不在生态保护红线范围内。</w:t>
            </w:r>
            <w:bookmarkStart w:id="16" w:name="OLE_LINK15"/>
          </w:p>
          <w:p w14:paraId="2AC3803E">
            <w:pPr>
              <w:spacing w:line="440" w:lineRule="exact"/>
              <w:ind w:left="42" w:leftChars="20" w:right="42" w:rightChars="20" w:firstLine="480" w:firstLineChars="200"/>
              <w:rPr>
                <w:kern w:val="0"/>
                <w:sz w:val="24"/>
              </w:rPr>
            </w:pPr>
            <w:r>
              <w:rPr>
                <w:rFonts w:hint="eastAsia"/>
                <w:kern w:val="0"/>
                <w:sz w:val="24"/>
              </w:rPr>
              <w:t>根据内蒙古自治区文物考古研究院出具的《鄂尔多斯杭锦经济开发区项目文物核查报告》（内文考基字〔2021〕261号），园区范围内不涉及重点文物保护单位（详见附件 ），且本项目在现有厂区内建设，不新增占地。</w:t>
            </w:r>
            <w:bookmarkEnd w:id="16"/>
          </w:p>
          <w:p w14:paraId="291B8651">
            <w:pPr>
              <w:autoSpaceDE w:val="0"/>
              <w:autoSpaceDN w:val="0"/>
              <w:adjustRightInd w:val="0"/>
              <w:snapToGrid w:val="0"/>
              <w:spacing w:line="440" w:lineRule="exact"/>
              <w:ind w:firstLine="482" w:firstLineChars="200"/>
              <w:rPr>
                <w:b/>
                <w:bCs/>
                <w:sz w:val="24"/>
              </w:rPr>
            </w:pPr>
            <w:r>
              <w:rPr>
                <w:rFonts w:hint="eastAsia"/>
                <w:b/>
                <w:bCs/>
                <w:kern w:val="0"/>
                <w:sz w:val="24"/>
              </w:rPr>
              <w:t>3.“生态环境分区管控”</w:t>
            </w:r>
            <w:r>
              <w:rPr>
                <w:b/>
                <w:bCs/>
                <w:kern w:val="0"/>
                <w:sz w:val="24"/>
              </w:rPr>
              <w:t>符合性分析</w:t>
            </w:r>
          </w:p>
          <w:p w14:paraId="1FFCA952">
            <w:pPr>
              <w:spacing w:line="440" w:lineRule="atLeast"/>
              <w:ind w:firstLine="480" w:firstLineChars="200"/>
              <w:rPr>
                <w:sz w:val="24"/>
                <w:szCs w:val="32"/>
              </w:rPr>
            </w:pPr>
            <w:r>
              <w:rPr>
                <w:rFonts w:hint="eastAsia"/>
                <w:sz w:val="24"/>
                <w:szCs w:val="32"/>
              </w:rPr>
              <w:t>根据鄂尔多斯市生态环境局关于印发《鄂尔多斯市生态环境分区管控动态更新成果（2023年版）》的通知，环境管控单元包括优先保护单元、重点管控单元、一般管控单元三类。</w:t>
            </w:r>
          </w:p>
          <w:p w14:paraId="3AF864BD">
            <w:pPr>
              <w:spacing w:line="440" w:lineRule="atLeast"/>
              <w:ind w:firstLine="480" w:firstLineChars="200"/>
              <w:rPr>
                <w:sz w:val="24"/>
                <w:szCs w:val="32"/>
              </w:rPr>
            </w:pPr>
            <w:r>
              <w:rPr>
                <w:rFonts w:hint="eastAsia"/>
                <w:sz w:val="24"/>
                <w:szCs w:val="32"/>
              </w:rPr>
              <w:t>（1）生态保护红线</w:t>
            </w:r>
          </w:p>
          <w:p w14:paraId="663D781B">
            <w:pPr>
              <w:spacing w:line="440" w:lineRule="atLeast"/>
              <w:ind w:firstLine="480" w:firstLineChars="200"/>
              <w:rPr>
                <w:sz w:val="24"/>
                <w:szCs w:val="32"/>
              </w:rPr>
            </w:pPr>
            <w:r>
              <w:rPr>
                <w:rFonts w:hint="eastAsia"/>
                <w:sz w:val="24"/>
                <w:szCs w:val="32"/>
              </w:rPr>
              <w:t>依据生态保护红线、环境质量底线、资源利用上线等调整情况，结合全市经济社会发展和生态环境保护实际，调整优先保护、重点管控、一般管控三类环境管控单元，分区分类实施精细化管控。优先保护单元突出系统性保护，保持空间格局基本稳定，部分单元结合生态保护红线予以调整；重点管控单元突出精细化管理，空间格局与环境治理格局相匹配，部分单元根据产业园区、矿区和城镇开发边界进行调整；一般管控单元保持基本稳定，为经济社会发展和生态环境保护预留空间。</w:t>
            </w:r>
          </w:p>
          <w:p w14:paraId="5F358EA8">
            <w:pPr>
              <w:spacing w:line="440" w:lineRule="atLeast"/>
              <w:ind w:firstLine="480" w:firstLineChars="200"/>
              <w:rPr>
                <w:sz w:val="24"/>
                <w:szCs w:val="32"/>
              </w:rPr>
            </w:pPr>
            <w:r>
              <w:rPr>
                <w:rFonts w:hint="eastAsia"/>
                <w:sz w:val="24"/>
                <w:szCs w:val="32"/>
              </w:rPr>
              <w:t>调整后，全市按优先保护、重点管控、一般管控三大类划分为 171个环境管控单元。其中，优先保护单元76个，面积占比64.35%；重点管控单元86个，面积占比28.10%；一般管控单元9个，面积占比7.56%。</w:t>
            </w:r>
          </w:p>
          <w:p w14:paraId="24AE9D9F">
            <w:pPr>
              <w:spacing w:line="440" w:lineRule="atLeast"/>
              <w:ind w:firstLine="480" w:firstLineChars="200"/>
              <w:rPr>
                <w:sz w:val="24"/>
                <w:szCs w:val="32"/>
              </w:rPr>
            </w:pPr>
            <w:r>
              <w:rPr>
                <w:rFonts w:hint="eastAsia"/>
                <w:kern w:val="0"/>
                <w:sz w:val="24"/>
                <w:szCs w:val="32"/>
              </w:rPr>
              <w:t>项目位于</w:t>
            </w:r>
            <w:r>
              <w:rPr>
                <w:rFonts w:hint="eastAsia"/>
                <w:kern w:val="0"/>
                <w:sz w:val="24"/>
              </w:rPr>
              <w:t>内蒙古自治区鄂尔多斯市杭锦旗独贵塔拉工业园区，</w:t>
            </w:r>
            <w:r>
              <w:rPr>
                <w:rFonts w:hint="eastAsia"/>
                <w:sz w:val="24"/>
                <w:szCs w:val="32"/>
              </w:rPr>
              <w:t>属于鄂尔多斯独贵塔拉工业园区重点管控单元，项目占地范围及周边500m范围内无国家公园、自然保护区、风景名胜区、世界文化和自然遗产地、海洋特别保护区、饮用水水源保护区等，项目周边不存在生态保护红线。</w:t>
            </w:r>
          </w:p>
          <w:p w14:paraId="59E1A764">
            <w:pPr>
              <w:spacing w:line="440" w:lineRule="atLeast"/>
              <w:ind w:firstLine="480" w:firstLineChars="200"/>
              <w:rPr>
                <w:sz w:val="24"/>
                <w:szCs w:val="32"/>
              </w:rPr>
            </w:pPr>
            <w:r>
              <w:rPr>
                <w:rFonts w:hint="eastAsia"/>
                <w:sz w:val="24"/>
                <w:szCs w:val="32"/>
              </w:rPr>
              <w:t>因此，项目的建设满足生态保护红线的要求。项目位置在鄂尔多斯市环境管控单元图中的位置见附图。</w:t>
            </w:r>
          </w:p>
          <w:p w14:paraId="40DF7DDF">
            <w:pPr>
              <w:spacing w:line="440" w:lineRule="atLeast"/>
              <w:ind w:firstLine="480" w:firstLineChars="200"/>
              <w:rPr>
                <w:sz w:val="24"/>
                <w:szCs w:val="32"/>
              </w:rPr>
            </w:pPr>
            <w:r>
              <w:rPr>
                <w:rFonts w:hint="eastAsia"/>
                <w:sz w:val="24"/>
                <w:szCs w:val="32"/>
              </w:rPr>
              <w:t>（2）资源利用上线</w:t>
            </w:r>
          </w:p>
          <w:p w14:paraId="58ECA5FB">
            <w:pPr>
              <w:spacing w:line="440" w:lineRule="atLeast"/>
              <w:ind w:firstLine="480" w:firstLineChars="200"/>
              <w:rPr>
                <w:sz w:val="24"/>
                <w:szCs w:val="32"/>
              </w:rPr>
            </w:pPr>
            <w:r>
              <w:rPr>
                <w:rFonts w:hint="eastAsia"/>
                <w:sz w:val="24"/>
                <w:szCs w:val="32"/>
              </w:rPr>
              <w:t>项目不属于高耗能、高污染的项目。资源消耗量相对于区域资源利用总量较少，同时符合清洁生产中能源消耗相关要求。</w:t>
            </w:r>
          </w:p>
          <w:p w14:paraId="09A88373">
            <w:pPr>
              <w:spacing w:line="440" w:lineRule="atLeast"/>
              <w:ind w:firstLine="480" w:firstLineChars="200"/>
              <w:rPr>
                <w:sz w:val="24"/>
                <w:szCs w:val="32"/>
              </w:rPr>
            </w:pPr>
            <w:r>
              <w:rPr>
                <w:rFonts w:hint="eastAsia"/>
                <w:sz w:val="24"/>
                <w:szCs w:val="32"/>
              </w:rPr>
              <w:t>因此，项目资源消耗</w:t>
            </w:r>
            <w:r>
              <w:rPr>
                <w:rFonts w:hint="eastAsia"/>
                <w:sz w:val="24"/>
                <w:szCs w:val="32"/>
                <w:lang w:eastAsia="zh-CN"/>
              </w:rPr>
              <w:t>量</w:t>
            </w:r>
            <w:r>
              <w:rPr>
                <w:rFonts w:hint="eastAsia"/>
                <w:sz w:val="24"/>
                <w:szCs w:val="32"/>
              </w:rPr>
              <w:t>符合资源利用上线要求。</w:t>
            </w:r>
          </w:p>
          <w:p w14:paraId="20C79085">
            <w:pPr>
              <w:spacing w:line="440" w:lineRule="atLeast"/>
              <w:ind w:firstLine="480" w:firstLineChars="200"/>
              <w:rPr>
                <w:sz w:val="24"/>
                <w:szCs w:val="32"/>
              </w:rPr>
            </w:pPr>
            <w:r>
              <w:rPr>
                <w:rFonts w:hint="eastAsia"/>
                <w:sz w:val="24"/>
                <w:szCs w:val="32"/>
              </w:rPr>
              <w:t>（3）环境质量底线</w:t>
            </w:r>
          </w:p>
          <w:p w14:paraId="23000B92">
            <w:pPr>
              <w:spacing w:line="440" w:lineRule="atLeast"/>
              <w:ind w:firstLine="480" w:firstLineChars="200"/>
              <w:rPr>
                <w:sz w:val="24"/>
                <w:szCs w:val="32"/>
              </w:rPr>
            </w:pPr>
            <w:bookmarkStart w:id="17" w:name="OLE_LINK34"/>
            <w:r>
              <w:rPr>
                <w:sz w:val="24"/>
                <w:szCs w:val="32"/>
              </w:rPr>
              <w:t>根据环境空气质量模型技术支持服务系统（https://data.lem.org.cn/eamds/apply/tostepone.html），鄂尔多斯市202</w:t>
            </w:r>
            <w:r>
              <w:rPr>
                <w:rFonts w:hint="eastAsia"/>
                <w:sz w:val="24"/>
                <w:szCs w:val="32"/>
              </w:rPr>
              <w:t>5</w:t>
            </w:r>
            <w:r>
              <w:rPr>
                <w:sz w:val="24"/>
                <w:szCs w:val="32"/>
              </w:rPr>
              <w:t>年SO</w:t>
            </w:r>
            <w:r>
              <w:rPr>
                <w:sz w:val="24"/>
                <w:szCs w:val="32"/>
                <w:vertAlign w:val="subscript"/>
              </w:rPr>
              <w:t>2</w:t>
            </w:r>
            <w:r>
              <w:rPr>
                <w:sz w:val="24"/>
                <w:szCs w:val="32"/>
              </w:rPr>
              <w:t>、NO</w:t>
            </w:r>
            <w:r>
              <w:rPr>
                <w:sz w:val="24"/>
                <w:szCs w:val="32"/>
                <w:vertAlign w:val="subscript"/>
              </w:rPr>
              <w:t>2</w:t>
            </w:r>
            <w:r>
              <w:rPr>
                <w:sz w:val="24"/>
                <w:szCs w:val="32"/>
              </w:rPr>
              <w:t>、PM</w:t>
            </w:r>
            <w:r>
              <w:rPr>
                <w:sz w:val="24"/>
                <w:szCs w:val="32"/>
                <w:vertAlign w:val="subscript"/>
              </w:rPr>
              <w:t>10</w:t>
            </w:r>
            <w:r>
              <w:rPr>
                <w:sz w:val="24"/>
                <w:szCs w:val="32"/>
              </w:rPr>
              <w:t>、PM</w:t>
            </w:r>
            <w:r>
              <w:rPr>
                <w:sz w:val="24"/>
                <w:szCs w:val="32"/>
                <w:vertAlign w:val="subscript"/>
              </w:rPr>
              <w:t>2.5</w:t>
            </w:r>
            <w:r>
              <w:rPr>
                <w:sz w:val="24"/>
                <w:szCs w:val="32"/>
              </w:rPr>
              <w:t>年均浓度分别为</w:t>
            </w:r>
            <w:r>
              <w:rPr>
                <w:rFonts w:hint="eastAsia"/>
                <w:sz w:val="24"/>
                <w:szCs w:val="32"/>
              </w:rPr>
              <w:t>7</w:t>
            </w:r>
            <w:r>
              <w:rPr>
                <w:sz w:val="24"/>
                <w:szCs w:val="32"/>
              </w:rPr>
              <w:t>μg/m</w:t>
            </w:r>
            <w:r>
              <w:rPr>
                <w:sz w:val="24"/>
                <w:szCs w:val="32"/>
                <w:vertAlign w:val="superscript"/>
              </w:rPr>
              <w:t>3</w:t>
            </w:r>
            <w:r>
              <w:rPr>
                <w:sz w:val="24"/>
                <w:szCs w:val="32"/>
              </w:rPr>
              <w:t>、2</w:t>
            </w:r>
            <w:r>
              <w:rPr>
                <w:rFonts w:hint="eastAsia"/>
                <w:sz w:val="24"/>
                <w:szCs w:val="32"/>
              </w:rPr>
              <w:t>0</w:t>
            </w:r>
            <w:r>
              <w:rPr>
                <w:sz w:val="24"/>
                <w:szCs w:val="32"/>
              </w:rPr>
              <w:t>μg/m</w:t>
            </w:r>
            <w:r>
              <w:rPr>
                <w:sz w:val="24"/>
                <w:szCs w:val="32"/>
                <w:vertAlign w:val="superscript"/>
              </w:rPr>
              <w:t>3</w:t>
            </w:r>
            <w:r>
              <w:rPr>
                <w:sz w:val="24"/>
                <w:szCs w:val="32"/>
              </w:rPr>
              <w:t>、5</w:t>
            </w:r>
            <w:r>
              <w:rPr>
                <w:rFonts w:hint="eastAsia"/>
                <w:sz w:val="24"/>
                <w:szCs w:val="32"/>
              </w:rPr>
              <w:t>4</w:t>
            </w:r>
            <w:r>
              <w:rPr>
                <w:sz w:val="24"/>
                <w:szCs w:val="32"/>
              </w:rPr>
              <w:t>μg/m</w:t>
            </w:r>
            <w:r>
              <w:rPr>
                <w:sz w:val="24"/>
                <w:szCs w:val="32"/>
                <w:vertAlign w:val="superscript"/>
              </w:rPr>
              <w:t>3</w:t>
            </w:r>
            <w:r>
              <w:rPr>
                <w:sz w:val="24"/>
                <w:szCs w:val="32"/>
              </w:rPr>
              <w:t>、</w:t>
            </w:r>
            <w:r>
              <w:rPr>
                <w:rFonts w:hint="eastAsia"/>
                <w:sz w:val="24"/>
                <w:szCs w:val="32"/>
              </w:rPr>
              <w:t>18</w:t>
            </w:r>
            <w:r>
              <w:rPr>
                <w:sz w:val="24"/>
                <w:szCs w:val="32"/>
              </w:rPr>
              <w:t>μg/m</w:t>
            </w:r>
            <w:r>
              <w:rPr>
                <w:sz w:val="24"/>
                <w:szCs w:val="32"/>
                <w:vertAlign w:val="superscript"/>
              </w:rPr>
              <w:t>3</w:t>
            </w:r>
            <w:r>
              <w:rPr>
                <w:sz w:val="24"/>
                <w:szCs w:val="32"/>
              </w:rPr>
              <w:t>；CO</w:t>
            </w:r>
            <w:r>
              <w:rPr>
                <w:sz w:val="24"/>
                <w:szCs w:val="32"/>
                <w:vertAlign w:val="subscript"/>
              </w:rPr>
              <w:t>2</w:t>
            </w:r>
            <w:r>
              <w:rPr>
                <w:sz w:val="24"/>
                <w:szCs w:val="32"/>
              </w:rPr>
              <w:t>4小时平均第95百分位数为0.</w:t>
            </w:r>
            <w:r>
              <w:rPr>
                <w:rFonts w:hint="eastAsia"/>
                <w:sz w:val="24"/>
                <w:szCs w:val="32"/>
              </w:rPr>
              <w:t>7</w:t>
            </w:r>
            <w:r>
              <w:rPr>
                <w:sz w:val="24"/>
                <w:szCs w:val="32"/>
              </w:rPr>
              <w:t>mg/m</w:t>
            </w:r>
            <w:r>
              <w:rPr>
                <w:sz w:val="24"/>
                <w:szCs w:val="32"/>
                <w:vertAlign w:val="superscript"/>
              </w:rPr>
              <w:t>3</w:t>
            </w:r>
            <w:r>
              <w:rPr>
                <w:sz w:val="24"/>
                <w:szCs w:val="32"/>
              </w:rPr>
              <w:t>，O</w:t>
            </w:r>
            <w:r>
              <w:rPr>
                <w:sz w:val="24"/>
                <w:szCs w:val="32"/>
                <w:vertAlign w:val="subscript"/>
              </w:rPr>
              <w:t>3</w:t>
            </w:r>
            <w:r>
              <w:rPr>
                <w:sz w:val="24"/>
                <w:szCs w:val="32"/>
              </w:rPr>
              <w:t>日最大8小时平均第90百分位数为1</w:t>
            </w:r>
            <w:r>
              <w:rPr>
                <w:rFonts w:hint="eastAsia"/>
                <w:sz w:val="24"/>
                <w:szCs w:val="32"/>
              </w:rPr>
              <w:t>39</w:t>
            </w:r>
            <w:r>
              <w:rPr>
                <w:sz w:val="24"/>
                <w:szCs w:val="32"/>
              </w:rPr>
              <w:t>μg/m</w:t>
            </w:r>
            <w:r>
              <w:rPr>
                <w:sz w:val="24"/>
                <w:szCs w:val="32"/>
                <w:vertAlign w:val="superscript"/>
              </w:rPr>
              <w:t>3</w:t>
            </w:r>
            <w:r>
              <w:rPr>
                <w:sz w:val="24"/>
                <w:szCs w:val="32"/>
              </w:rPr>
              <w:t>；各污染物平均浓度均优于《环境空气质量标准》（GB</w:t>
            </w:r>
            <w:r>
              <w:rPr>
                <w:rFonts w:hint="eastAsia"/>
                <w:sz w:val="24"/>
                <w:szCs w:val="32"/>
                <w:lang w:val="en-US" w:eastAsia="zh-CN"/>
              </w:rPr>
              <w:t xml:space="preserve"> </w:t>
            </w:r>
            <w:r>
              <w:rPr>
                <w:sz w:val="24"/>
                <w:szCs w:val="32"/>
              </w:rPr>
              <w:t>3095-2026）中过渡阶段二级标准限值。</w:t>
            </w:r>
            <w:bookmarkEnd w:id="17"/>
            <w:r>
              <w:rPr>
                <w:sz w:val="24"/>
                <w:szCs w:val="32"/>
              </w:rPr>
              <w:t>本项目位于</w:t>
            </w:r>
            <w:r>
              <w:rPr>
                <w:rFonts w:hint="eastAsia"/>
                <w:sz w:val="24"/>
                <w:szCs w:val="32"/>
              </w:rPr>
              <w:t>内蒙古自治区鄂尔多斯市杭锦旗独贵塔拉工业园区</w:t>
            </w:r>
            <w:r>
              <w:rPr>
                <w:sz w:val="24"/>
                <w:szCs w:val="32"/>
              </w:rPr>
              <w:t>，项目所在区域环境空气质量属于达标区，环境空气质量较好。</w:t>
            </w:r>
          </w:p>
          <w:p w14:paraId="53C89DEE">
            <w:pPr>
              <w:spacing w:line="440" w:lineRule="atLeast"/>
              <w:ind w:firstLine="480" w:firstLineChars="200"/>
              <w:rPr>
                <w:sz w:val="24"/>
                <w:szCs w:val="32"/>
              </w:rPr>
            </w:pPr>
            <w:r>
              <w:rPr>
                <w:rFonts w:hint="eastAsia"/>
                <w:sz w:val="24"/>
                <w:szCs w:val="32"/>
              </w:rPr>
              <w:t>项目运营期无废气、废水产生，在落实本评价提出的各项相关污染防治措施后，项目的各类污染物均能有效处理，不会明显降低所在区域的环境质量现状，不会对当地环境质量底线造成冲击，不会突破区域环境质量底线。</w:t>
            </w:r>
          </w:p>
          <w:p w14:paraId="525F8EA6">
            <w:pPr>
              <w:spacing w:line="440" w:lineRule="atLeast"/>
              <w:ind w:firstLine="480" w:firstLineChars="200"/>
              <w:rPr>
                <w:sz w:val="24"/>
                <w:szCs w:val="32"/>
              </w:rPr>
            </w:pPr>
            <w:r>
              <w:rPr>
                <w:rFonts w:hint="eastAsia"/>
                <w:sz w:val="24"/>
                <w:szCs w:val="32"/>
              </w:rPr>
              <w:t>（4）生态环境准入清单</w:t>
            </w:r>
          </w:p>
          <w:p w14:paraId="36F05251">
            <w:pPr>
              <w:adjustRightInd w:val="0"/>
              <w:snapToGrid w:val="0"/>
              <w:spacing w:line="440" w:lineRule="exact"/>
              <w:ind w:firstLine="480" w:firstLineChars="200"/>
              <w:rPr>
                <w:kern w:val="0"/>
                <w:sz w:val="24"/>
              </w:rPr>
            </w:pPr>
            <w:r>
              <w:rPr>
                <w:rFonts w:hint="eastAsia"/>
                <w:sz w:val="24"/>
                <w:szCs w:val="32"/>
              </w:rPr>
              <w:t>根据鄂尔多斯市生态环境局关于印发《鄂尔多斯市生态环境分区管控动态更新成果（2023年版）》的通知和《鄂尔多斯市生态环境准入清单》以及内蒙古自治区“三线一单”公众端应用平台查询结果，项目属于重点管控单元，本项目与环境管控单元要求的符合性分析见下表。</w:t>
            </w:r>
          </w:p>
          <w:p w14:paraId="3C92C95D">
            <w:pPr>
              <w:autoSpaceDE w:val="0"/>
              <w:autoSpaceDN w:val="0"/>
              <w:adjustRightInd w:val="0"/>
              <w:snapToGrid w:val="0"/>
              <w:spacing w:line="440" w:lineRule="exact"/>
              <w:ind w:firstLine="480" w:firstLineChars="200"/>
              <w:rPr>
                <w:kern w:val="0"/>
                <w:sz w:val="24"/>
              </w:rPr>
            </w:pPr>
          </w:p>
          <w:p w14:paraId="6643C9C0">
            <w:pPr>
              <w:autoSpaceDE w:val="0"/>
              <w:autoSpaceDN w:val="0"/>
              <w:adjustRightInd w:val="0"/>
              <w:snapToGrid w:val="0"/>
              <w:spacing w:line="440" w:lineRule="exact"/>
              <w:ind w:firstLine="480" w:firstLineChars="200"/>
              <w:rPr>
                <w:kern w:val="0"/>
                <w:sz w:val="24"/>
              </w:rPr>
            </w:pPr>
          </w:p>
          <w:p w14:paraId="519FCA34">
            <w:pPr>
              <w:autoSpaceDE w:val="0"/>
              <w:autoSpaceDN w:val="0"/>
              <w:adjustRightInd w:val="0"/>
              <w:snapToGrid w:val="0"/>
              <w:spacing w:line="440" w:lineRule="exact"/>
              <w:ind w:firstLine="480" w:firstLineChars="200"/>
              <w:rPr>
                <w:kern w:val="0"/>
                <w:sz w:val="24"/>
              </w:rPr>
            </w:pPr>
          </w:p>
          <w:p w14:paraId="7A1D059A">
            <w:pPr>
              <w:autoSpaceDE w:val="0"/>
              <w:autoSpaceDN w:val="0"/>
              <w:adjustRightInd w:val="0"/>
              <w:snapToGrid w:val="0"/>
              <w:spacing w:line="440" w:lineRule="exact"/>
              <w:ind w:firstLine="480" w:firstLineChars="200"/>
              <w:rPr>
                <w:kern w:val="0"/>
                <w:sz w:val="24"/>
              </w:rPr>
            </w:pPr>
          </w:p>
          <w:p w14:paraId="466CE78C">
            <w:pPr>
              <w:autoSpaceDE w:val="0"/>
              <w:autoSpaceDN w:val="0"/>
              <w:adjustRightInd w:val="0"/>
              <w:snapToGrid w:val="0"/>
              <w:spacing w:line="440" w:lineRule="exact"/>
              <w:ind w:firstLine="480" w:firstLineChars="200"/>
              <w:rPr>
                <w:kern w:val="0"/>
                <w:sz w:val="24"/>
              </w:rPr>
            </w:pPr>
          </w:p>
          <w:p w14:paraId="5AFBB069">
            <w:pPr>
              <w:autoSpaceDE w:val="0"/>
              <w:autoSpaceDN w:val="0"/>
              <w:adjustRightInd w:val="0"/>
              <w:snapToGrid w:val="0"/>
              <w:spacing w:line="440" w:lineRule="exact"/>
              <w:ind w:firstLine="480" w:firstLineChars="200"/>
              <w:rPr>
                <w:kern w:val="0"/>
                <w:sz w:val="24"/>
              </w:rPr>
            </w:pPr>
          </w:p>
          <w:p w14:paraId="04ABA216">
            <w:pPr>
              <w:autoSpaceDE w:val="0"/>
              <w:autoSpaceDN w:val="0"/>
              <w:adjustRightInd w:val="0"/>
              <w:snapToGrid w:val="0"/>
              <w:spacing w:line="440" w:lineRule="exact"/>
              <w:ind w:firstLine="480" w:firstLineChars="200"/>
              <w:rPr>
                <w:kern w:val="0"/>
                <w:sz w:val="24"/>
              </w:rPr>
            </w:pPr>
          </w:p>
          <w:p w14:paraId="4775D5B9">
            <w:pPr>
              <w:autoSpaceDE w:val="0"/>
              <w:autoSpaceDN w:val="0"/>
              <w:adjustRightInd w:val="0"/>
              <w:snapToGrid w:val="0"/>
              <w:spacing w:line="440" w:lineRule="exact"/>
              <w:ind w:firstLine="480" w:firstLineChars="200"/>
              <w:rPr>
                <w:kern w:val="0"/>
                <w:sz w:val="24"/>
              </w:rPr>
            </w:pPr>
          </w:p>
          <w:p w14:paraId="0E94E8BC">
            <w:pPr>
              <w:autoSpaceDE w:val="0"/>
              <w:autoSpaceDN w:val="0"/>
              <w:adjustRightInd w:val="0"/>
              <w:snapToGrid w:val="0"/>
              <w:spacing w:line="440" w:lineRule="exact"/>
              <w:ind w:firstLine="480" w:firstLineChars="200"/>
              <w:rPr>
                <w:kern w:val="0"/>
                <w:sz w:val="24"/>
              </w:rPr>
            </w:pPr>
          </w:p>
          <w:p w14:paraId="01B13590">
            <w:pPr>
              <w:autoSpaceDE w:val="0"/>
              <w:autoSpaceDN w:val="0"/>
              <w:adjustRightInd w:val="0"/>
              <w:snapToGrid w:val="0"/>
              <w:spacing w:line="440" w:lineRule="exact"/>
              <w:ind w:firstLine="480" w:firstLineChars="200"/>
              <w:rPr>
                <w:kern w:val="0"/>
                <w:sz w:val="24"/>
              </w:rPr>
            </w:pPr>
          </w:p>
          <w:p w14:paraId="066090CF">
            <w:pPr>
              <w:autoSpaceDE w:val="0"/>
              <w:autoSpaceDN w:val="0"/>
              <w:adjustRightInd w:val="0"/>
              <w:snapToGrid w:val="0"/>
              <w:spacing w:line="440" w:lineRule="exact"/>
              <w:ind w:firstLine="480" w:firstLineChars="200"/>
              <w:rPr>
                <w:kern w:val="0"/>
                <w:sz w:val="24"/>
              </w:rPr>
            </w:pPr>
          </w:p>
          <w:p w14:paraId="41A01138">
            <w:pPr>
              <w:autoSpaceDE w:val="0"/>
              <w:autoSpaceDN w:val="0"/>
              <w:adjustRightInd w:val="0"/>
              <w:snapToGrid w:val="0"/>
              <w:spacing w:line="440" w:lineRule="exact"/>
              <w:ind w:firstLine="480" w:firstLineChars="200"/>
              <w:rPr>
                <w:kern w:val="0"/>
                <w:sz w:val="24"/>
              </w:rPr>
            </w:pPr>
          </w:p>
          <w:p w14:paraId="34C16EC5">
            <w:pPr>
              <w:autoSpaceDE w:val="0"/>
              <w:autoSpaceDN w:val="0"/>
              <w:adjustRightInd w:val="0"/>
              <w:snapToGrid w:val="0"/>
              <w:spacing w:line="440" w:lineRule="exact"/>
              <w:ind w:firstLine="480" w:firstLineChars="200"/>
              <w:rPr>
                <w:kern w:val="0"/>
                <w:sz w:val="24"/>
              </w:rPr>
            </w:pPr>
          </w:p>
          <w:p w14:paraId="7BC35986">
            <w:pPr>
              <w:autoSpaceDE w:val="0"/>
              <w:autoSpaceDN w:val="0"/>
              <w:adjustRightInd w:val="0"/>
              <w:snapToGrid w:val="0"/>
              <w:spacing w:line="440" w:lineRule="exact"/>
              <w:ind w:firstLine="480" w:firstLineChars="200"/>
              <w:rPr>
                <w:kern w:val="0"/>
                <w:sz w:val="24"/>
              </w:rPr>
            </w:pPr>
          </w:p>
          <w:p w14:paraId="104E6158">
            <w:pPr>
              <w:autoSpaceDE w:val="0"/>
              <w:autoSpaceDN w:val="0"/>
              <w:adjustRightInd w:val="0"/>
              <w:snapToGrid w:val="0"/>
              <w:spacing w:line="440" w:lineRule="exact"/>
              <w:ind w:firstLine="480" w:firstLineChars="200"/>
              <w:rPr>
                <w:kern w:val="0"/>
                <w:sz w:val="24"/>
              </w:rPr>
            </w:pPr>
          </w:p>
          <w:p w14:paraId="29F92398">
            <w:pPr>
              <w:autoSpaceDE w:val="0"/>
              <w:autoSpaceDN w:val="0"/>
              <w:adjustRightInd w:val="0"/>
              <w:snapToGrid w:val="0"/>
              <w:spacing w:line="440" w:lineRule="exact"/>
              <w:ind w:firstLine="480" w:firstLineChars="200"/>
              <w:rPr>
                <w:kern w:val="0"/>
                <w:sz w:val="24"/>
              </w:rPr>
            </w:pPr>
          </w:p>
          <w:p w14:paraId="55D741A7">
            <w:pPr>
              <w:autoSpaceDE w:val="0"/>
              <w:autoSpaceDN w:val="0"/>
              <w:adjustRightInd w:val="0"/>
              <w:snapToGrid w:val="0"/>
              <w:spacing w:line="440" w:lineRule="exact"/>
              <w:ind w:firstLine="480" w:firstLineChars="200"/>
              <w:rPr>
                <w:kern w:val="0"/>
                <w:sz w:val="24"/>
              </w:rPr>
            </w:pPr>
          </w:p>
          <w:p w14:paraId="3DFE8FCA">
            <w:pPr>
              <w:autoSpaceDE w:val="0"/>
              <w:autoSpaceDN w:val="0"/>
              <w:adjustRightInd w:val="0"/>
              <w:snapToGrid w:val="0"/>
              <w:spacing w:line="440" w:lineRule="exact"/>
              <w:ind w:firstLine="480" w:firstLineChars="200"/>
              <w:rPr>
                <w:kern w:val="0"/>
                <w:sz w:val="24"/>
              </w:rPr>
            </w:pPr>
          </w:p>
          <w:p w14:paraId="69DF1657">
            <w:pPr>
              <w:autoSpaceDE w:val="0"/>
              <w:autoSpaceDN w:val="0"/>
              <w:adjustRightInd w:val="0"/>
              <w:snapToGrid w:val="0"/>
              <w:spacing w:line="440" w:lineRule="exact"/>
              <w:ind w:firstLine="480" w:firstLineChars="200"/>
              <w:rPr>
                <w:kern w:val="0"/>
                <w:sz w:val="24"/>
              </w:rPr>
            </w:pPr>
          </w:p>
          <w:p w14:paraId="2E68FF44">
            <w:pPr>
              <w:autoSpaceDE w:val="0"/>
              <w:autoSpaceDN w:val="0"/>
              <w:adjustRightInd w:val="0"/>
              <w:snapToGrid w:val="0"/>
              <w:spacing w:line="440" w:lineRule="exact"/>
              <w:ind w:firstLine="480" w:firstLineChars="200"/>
              <w:rPr>
                <w:kern w:val="0"/>
                <w:sz w:val="24"/>
              </w:rPr>
            </w:pPr>
          </w:p>
          <w:p w14:paraId="0D15B09E">
            <w:pPr>
              <w:autoSpaceDE w:val="0"/>
              <w:autoSpaceDN w:val="0"/>
              <w:adjustRightInd w:val="0"/>
              <w:snapToGrid w:val="0"/>
              <w:spacing w:line="440" w:lineRule="exact"/>
              <w:ind w:firstLine="480" w:firstLineChars="200"/>
              <w:rPr>
                <w:kern w:val="0"/>
                <w:sz w:val="24"/>
              </w:rPr>
            </w:pPr>
          </w:p>
          <w:p w14:paraId="142559DE">
            <w:pPr>
              <w:autoSpaceDE w:val="0"/>
              <w:autoSpaceDN w:val="0"/>
              <w:adjustRightInd w:val="0"/>
              <w:snapToGrid w:val="0"/>
              <w:spacing w:line="440" w:lineRule="exact"/>
              <w:ind w:firstLine="480" w:firstLineChars="200"/>
              <w:rPr>
                <w:kern w:val="0"/>
                <w:sz w:val="24"/>
              </w:rPr>
            </w:pPr>
          </w:p>
          <w:p w14:paraId="77F56386">
            <w:pPr>
              <w:autoSpaceDE w:val="0"/>
              <w:autoSpaceDN w:val="0"/>
              <w:adjustRightInd w:val="0"/>
              <w:snapToGrid w:val="0"/>
              <w:spacing w:line="440" w:lineRule="exact"/>
              <w:ind w:firstLine="480" w:firstLineChars="200"/>
              <w:rPr>
                <w:kern w:val="0"/>
                <w:sz w:val="24"/>
              </w:rPr>
            </w:pPr>
          </w:p>
          <w:p w14:paraId="1BF80FA2">
            <w:pPr>
              <w:autoSpaceDE w:val="0"/>
              <w:autoSpaceDN w:val="0"/>
              <w:adjustRightInd w:val="0"/>
              <w:snapToGrid w:val="0"/>
              <w:spacing w:line="440" w:lineRule="exact"/>
              <w:ind w:firstLine="480" w:firstLineChars="200"/>
              <w:rPr>
                <w:kern w:val="0"/>
                <w:sz w:val="24"/>
              </w:rPr>
            </w:pPr>
          </w:p>
          <w:p w14:paraId="167C6863">
            <w:pPr>
              <w:autoSpaceDE w:val="0"/>
              <w:autoSpaceDN w:val="0"/>
              <w:adjustRightInd w:val="0"/>
              <w:snapToGrid w:val="0"/>
              <w:spacing w:line="440" w:lineRule="exact"/>
              <w:ind w:firstLine="480" w:firstLineChars="200"/>
              <w:rPr>
                <w:kern w:val="0"/>
                <w:sz w:val="24"/>
              </w:rPr>
            </w:pPr>
          </w:p>
          <w:p w14:paraId="3DBD49B9">
            <w:pPr>
              <w:autoSpaceDE w:val="0"/>
              <w:autoSpaceDN w:val="0"/>
              <w:adjustRightInd w:val="0"/>
              <w:snapToGrid w:val="0"/>
              <w:spacing w:line="440" w:lineRule="exact"/>
              <w:ind w:firstLine="480" w:firstLineChars="200"/>
              <w:rPr>
                <w:kern w:val="0"/>
                <w:sz w:val="24"/>
              </w:rPr>
            </w:pPr>
          </w:p>
          <w:p w14:paraId="21C21B0C">
            <w:pPr>
              <w:autoSpaceDE w:val="0"/>
              <w:autoSpaceDN w:val="0"/>
              <w:adjustRightInd w:val="0"/>
              <w:snapToGrid w:val="0"/>
              <w:spacing w:line="440" w:lineRule="exact"/>
              <w:ind w:firstLine="480" w:firstLineChars="200"/>
              <w:rPr>
                <w:kern w:val="0"/>
                <w:sz w:val="24"/>
              </w:rPr>
            </w:pPr>
          </w:p>
        </w:tc>
      </w:tr>
    </w:tbl>
    <w:p w14:paraId="0AEED5ED">
      <w:pPr>
        <w:autoSpaceDE w:val="0"/>
        <w:autoSpaceDN w:val="0"/>
        <w:adjustRightInd w:val="0"/>
        <w:snapToGrid w:val="0"/>
        <w:spacing w:line="440" w:lineRule="exact"/>
        <w:jc w:val="center"/>
        <w:rPr>
          <w:kern w:val="0"/>
          <w:sz w:val="24"/>
        </w:rPr>
        <w:sectPr>
          <w:pgSz w:w="11906" w:h="16838"/>
          <w:pgMar w:top="1701" w:right="1531" w:bottom="1701" w:left="1531" w:header="851" w:footer="1077" w:gutter="0"/>
          <w:cols w:space="720" w:num="1"/>
          <w:docGrid w:linePitch="312" w:charSpace="0"/>
        </w:sectPr>
      </w:pPr>
    </w:p>
    <w:tbl>
      <w:tblPr>
        <w:tblStyle w:val="78"/>
        <w:tblW w:w="498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41"/>
        <w:gridCol w:w="11597"/>
      </w:tblGrid>
      <w:tr w14:paraId="05CB9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685" w:type="pct"/>
            <w:tcMar>
              <w:top w:w="16" w:type="dxa"/>
              <w:left w:w="16" w:type="dxa"/>
              <w:right w:w="16" w:type="dxa"/>
            </w:tcMar>
            <w:vAlign w:val="center"/>
          </w:tcPr>
          <w:p w14:paraId="07919BF3">
            <w:pPr>
              <w:autoSpaceDE w:val="0"/>
              <w:autoSpaceDN w:val="0"/>
              <w:adjustRightInd w:val="0"/>
              <w:snapToGrid w:val="0"/>
              <w:spacing w:line="440" w:lineRule="exact"/>
              <w:jc w:val="center"/>
              <w:rPr>
                <w:kern w:val="0"/>
                <w:sz w:val="24"/>
              </w:rPr>
            </w:pPr>
            <w:r>
              <w:rPr>
                <w:kern w:val="0"/>
                <w:sz w:val="24"/>
              </w:rPr>
              <w:t>其他符合性分析</w:t>
            </w:r>
          </w:p>
        </w:tc>
        <w:tc>
          <w:tcPr>
            <w:tcW w:w="4315" w:type="pct"/>
            <w:tcMar>
              <w:top w:w="16" w:type="dxa"/>
              <w:left w:w="16" w:type="dxa"/>
              <w:right w:w="16" w:type="dxa"/>
            </w:tcMar>
            <w:vAlign w:val="center"/>
          </w:tcPr>
          <w:p w14:paraId="78186B40">
            <w:pPr>
              <w:spacing w:line="440" w:lineRule="exact"/>
              <w:ind w:firstLine="482" w:firstLineChars="200"/>
              <w:rPr>
                <w:b/>
                <w:kern w:val="0"/>
                <w:sz w:val="24"/>
              </w:rPr>
            </w:pPr>
            <w:r>
              <w:rPr>
                <w:b/>
                <w:kern w:val="0"/>
                <w:sz w:val="24"/>
              </w:rPr>
              <w:t>表</w:t>
            </w:r>
            <w:r>
              <w:rPr>
                <w:rFonts w:hint="eastAsia"/>
                <w:b/>
                <w:kern w:val="0"/>
                <w:sz w:val="24"/>
              </w:rPr>
              <w:t>1-3</w:t>
            </w:r>
            <w:r>
              <w:rPr>
                <w:b/>
                <w:kern w:val="0"/>
                <w:sz w:val="24"/>
              </w:rPr>
              <w:t xml:space="preserve">    与环境管控单元生态环境准入清单符合性分析</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0"/>
              <w:gridCol w:w="618"/>
              <w:gridCol w:w="616"/>
              <w:gridCol w:w="491"/>
              <w:gridCol w:w="5709"/>
              <w:gridCol w:w="2779"/>
              <w:gridCol w:w="552"/>
            </w:tblGrid>
            <w:tr w14:paraId="5B6C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3" w:hRule="atLeast"/>
                <w:jc w:val="center"/>
              </w:trPr>
              <w:tc>
                <w:tcPr>
                  <w:tcW w:w="267" w:type="pct"/>
                  <w:vAlign w:val="center"/>
                </w:tcPr>
                <w:p w14:paraId="5BD77C5F">
                  <w:pPr>
                    <w:autoSpaceDE w:val="0"/>
                    <w:autoSpaceDN w:val="0"/>
                    <w:adjustRightInd w:val="0"/>
                    <w:snapToGrid w:val="0"/>
                    <w:spacing w:line="340" w:lineRule="exact"/>
                    <w:jc w:val="center"/>
                    <w:rPr>
                      <w:kern w:val="0"/>
                      <w:sz w:val="18"/>
                      <w:szCs w:val="18"/>
                    </w:rPr>
                  </w:pPr>
                  <w:r>
                    <w:rPr>
                      <w:rFonts w:hint="eastAsia"/>
                      <w:kern w:val="0"/>
                      <w:sz w:val="18"/>
                      <w:szCs w:val="18"/>
                    </w:rPr>
                    <w:t>环境管控单元编码</w:t>
                  </w:r>
                </w:p>
              </w:tc>
              <w:tc>
                <w:tcPr>
                  <w:tcW w:w="280" w:type="pct"/>
                  <w:vAlign w:val="center"/>
                </w:tcPr>
                <w:p w14:paraId="74CB27BE">
                  <w:pPr>
                    <w:autoSpaceDE w:val="0"/>
                    <w:autoSpaceDN w:val="0"/>
                    <w:adjustRightInd w:val="0"/>
                    <w:snapToGrid w:val="0"/>
                    <w:spacing w:line="340" w:lineRule="exact"/>
                    <w:jc w:val="center"/>
                    <w:rPr>
                      <w:kern w:val="0"/>
                      <w:sz w:val="18"/>
                      <w:szCs w:val="18"/>
                    </w:rPr>
                  </w:pPr>
                  <w:r>
                    <w:rPr>
                      <w:rFonts w:hint="eastAsia"/>
                      <w:kern w:val="0"/>
                      <w:sz w:val="18"/>
                      <w:szCs w:val="18"/>
                    </w:rPr>
                    <w:t>环境管控单元名称</w:t>
                  </w:r>
                </w:p>
              </w:tc>
              <w:tc>
                <w:tcPr>
                  <w:tcW w:w="279" w:type="pct"/>
                  <w:vAlign w:val="center"/>
                </w:tcPr>
                <w:p w14:paraId="30C09F0F">
                  <w:pPr>
                    <w:autoSpaceDE w:val="0"/>
                    <w:autoSpaceDN w:val="0"/>
                    <w:adjustRightInd w:val="0"/>
                    <w:snapToGrid w:val="0"/>
                    <w:spacing w:line="340" w:lineRule="exact"/>
                    <w:jc w:val="center"/>
                    <w:rPr>
                      <w:kern w:val="0"/>
                      <w:sz w:val="18"/>
                      <w:szCs w:val="18"/>
                    </w:rPr>
                  </w:pPr>
                  <w:r>
                    <w:rPr>
                      <w:kern w:val="0"/>
                      <w:sz w:val="18"/>
                      <w:szCs w:val="18"/>
                    </w:rPr>
                    <w:t>管控单元分类</w:t>
                  </w:r>
                </w:p>
              </w:tc>
              <w:tc>
                <w:tcPr>
                  <w:tcW w:w="225" w:type="pct"/>
                  <w:vAlign w:val="center"/>
                </w:tcPr>
                <w:p w14:paraId="68A2BFD0">
                  <w:pPr>
                    <w:autoSpaceDE w:val="0"/>
                    <w:autoSpaceDN w:val="0"/>
                    <w:adjustRightInd w:val="0"/>
                    <w:snapToGrid w:val="0"/>
                    <w:spacing w:line="340" w:lineRule="exact"/>
                    <w:jc w:val="center"/>
                    <w:rPr>
                      <w:kern w:val="0"/>
                      <w:sz w:val="18"/>
                      <w:szCs w:val="18"/>
                    </w:rPr>
                  </w:pPr>
                  <w:r>
                    <w:rPr>
                      <w:kern w:val="0"/>
                      <w:sz w:val="18"/>
                      <w:szCs w:val="18"/>
                    </w:rPr>
                    <w:t>维度</w:t>
                  </w:r>
                </w:p>
              </w:tc>
              <w:tc>
                <w:tcPr>
                  <w:tcW w:w="2483" w:type="pct"/>
                  <w:vAlign w:val="center"/>
                </w:tcPr>
                <w:p w14:paraId="46A585B3">
                  <w:pPr>
                    <w:autoSpaceDE w:val="0"/>
                    <w:autoSpaceDN w:val="0"/>
                    <w:adjustRightInd w:val="0"/>
                    <w:snapToGrid w:val="0"/>
                    <w:spacing w:line="340" w:lineRule="exact"/>
                    <w:jc w:val="center"/>
                    <w:rPr>
                      <w:kern w:val="0"/>
                      <w:sz w:val="18"/>
                      <w:szCs w:val="18"/>
                    </w:rPr>
                  </w:pPr>
                  <w:r>
                    <w:rPr>
                      <w:kern w:val="0"/>
                      <w:sz w:val="18"/>
                      <w:szCs w:val="18"/>
                    </w:rPr>
                    <w:t>准入要求</w:t>
                  </w:r>
                </w:p>
              </w:tc>
              <w:tc>
                <w:tcPr>
                  <w:tcW w:w="1215" w:type="pct"/>
                  <w:vAlign w:val="center"/>
                </w:tcPr>
                <w:p w14:paraId="5706F686">
                  <w:pPr>
                    <w:autoSpaceDE w:val="0"/>
                    <w:autoSpaceDN w:val="0"/>
                    <w:adjustRightInd w:val="0"/>
                    <w:snapToGrid w:val="0"/>
                    <w:spacing w:line="340" w:lineRule="exact"/>
                    <w:jc w:val="center"/>
                    <w:rPr>
                      <w:kern w:val="0"/>
                      <w:sz w:val="18"/>
                      <w:szCs w:val="18"/>
                    </w:rPr>
                  </w:pPr>
                  <w:r>
                    <w:rPr>
                      <w:kern w:val="0"/>
                      <w:sz w:val="18"/>
                      <w:szCs w:val="18"/>
                    </w:rPr>
                    <w:t>项目情况</w:t>
                  </w:r>
                </w:p>
              </w:tc>
              <w:tc>
                <w:tcPr>
                  <w:tcW w:w="251" w:type="pct"/>
                  <w:vAlign w:val="center"/>
                </w:tcPr>
                <w:p w14:paraId="412C4BFF">
                  <w:pPr>
                    <w:autoSpaceDE w:val="0"/>
                    <w:autoSpaceDN w:val="0"/>
                    <w:adjustRightInd w:val="0"/>
                    <w:snapToGrid w:val="0"/>
                    <w:spacing w:line="340" w:lineRule="exact"/>
                    <w:jc w:val="center"/>
                    <w:rPr>
                      <w:kern w:val="0"/>
                      <w:sz w:val="18"/>
                      <w:szCs w:val="18"/>
                    </w:rPr>
                  </w:pPr>
                  <w:r>
                    <w:rPr>
                      <w:kern w:val="0"/>
                      <w:sz w:val="18"/>
                      <w:szCs w:val="18"/>
                    </w:rPr>
                    <w:t>符合性</w:t>
                  </w:r>
                </w:p>
              </w:tc>
            </w:tr>
            <w:tr w14:paraId="1401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67" w:type="pct"/>
                  <w:vMerge w:val="restart"/>
                  <w:vAlign w:val="center"/>
                </w:tcPr>
                <w:p w14:paraId="6268ED10">
                  <w:pPr>
                    <w:spacing w:line="340" w:lineRule="exact"/>
                    <w:jc w:val="center"/>
                    <w:rPr>
                      <w:kern w:val="0"/>
                      <w:sz w:val="18"/>
                      <w:szCs w:val="18"/>
                    </w:rPr>
                  </w:pPr>
                  <w:r>
                    <w:rPr>
                      <w:rFonts w:hint="eastAsia"/>
                      <w:kern w:val="0"/>
                      <w:sz w:val="18"/>
                      <w:szCs w:val="18"/>
                    </w:rPr>
                    <w:t>ZH150625</w:t>
                  </w:r>
                </w:p>
                <w:p w14:paraId="6E5B70C7">
                  <w:pPr>
                    <w:spacing w:line="340" w:lineRule="exact"/>
                    <w:jc w:val="center"/>
                    <w:rPr>
                      <w:kern w:val="0"/>
                      <w:sz w:val="18"/>
                      <w:szCs w:val="18"/>
                    </w:rPr>
                  </w:pPr>
                  <w:r>
                    <w:rPr>
                      <w:rFonts w:hint="eastAsia"/>
                      <w:kern w:val="0"/>
                      <w:sz w:val="18"/>
                      <w:szCs w:val="18"/>
                    </w:rPr>
                    <w:t>20001</w:t>
                  </w:r>
                </w:p>
              </w:tc>
              <w:tc>
                <w:tcPr>
                  <w:tcW w:w="280" w:type="pct"/>
                  <w:vMerge w:val="restart"/>
                  <w:vAlign w:val="center"/>
                </w:tcPr>
                <w:p w14:paraId="450266B2">
                  <w:pPr>
                    <w:spacing w:line="340" w:lineRule="exact"/>
                    <w:jc w:val="center"/>
                    <w:rPr>
                      <w:kern w:val="0"/>
                      <w:sz w:val="18"/>
                      <w:szCs w:val="18"/>
                    </w:rPr>
                  </w:pPr>
                  <w:r>
                    <w:rPr>
                      <w:kern w:val="0"/>
                      <w:sz w:val="18"/>
                      <w:szCs w:val="18"/>
                    </w:rPr>
                    <w:t>鄂尔多斯独贵塔拉工业园区</w:t>
                  </w:r>
                </w:p>
              </w:tc>
              <w:tc>
                <w:tcPr>
                  <w:tcW w:w="279" w:type="pct"/>
                  <w:vMerge w:val="restart"/>
                  <w:vAlign w:val="center"/>
                </w:tcPr>
                <w:p w14:paraId="082AA3CB">
                  <w:pPr>
                    <w:spacing w:line="340" w:lineRule="exact"/>
                    <w:jc w:val="center"/>
                    <w:rPr>
                      <w:kern w:val="0"/>
                      <w:sz w:val="18"/>
                      <w:szCs w:val="18"/>
                    </w:rPr>
                  </w:pPr>
                  <w:r>
                    <w:rPr>
                      <w:rFonts w:hint="eastAsia"/>
                      <w:kern w:val="0"/>
                      <w:sz w:val="18"/>
                      <w:szCs w:val="18"/>
                    </w:rPr>
                    <w:t>重点管控单元</w:t>
                  </w:r>
                </w:p>
              </w:tc>
              <w:tc>
                <w:tcPr>
                  <w:tcW w:w="225" w:type="pct"/>
                  <w:vAlign w:val="center"/>
                </w:tcPr>
                <w:p w14:paraId="66DA5027">
                  <w:pPr>
                    <w:autoSpaceDE w:val="0"/>
                    <w:autoSpaceDN w:val="0"/>
                    <w:adjustRightInd w:val="0"/>
                    <w:snapToGrid w:val="0"/>
                    <w:spacing w:line="340" w:lineRule="exact"/>
                    <w:rPr>
                      <w:kern w:val="0"/>
                      <w:sz w:val="18"/>
                      <w:szCs w:val="18"/>
                    </w:rPr>
                  </w:pPr>
                  <w:r>
                    <w:rPr>
                      <w:kern w:val="0"/>
                      <w:sz w:val="18"/>
                      <w:szCs w:val="18"/>
                    </w:rPr>
                    <w:t>空间布局约束</w:t>
                  </w:r>
                </w:p>
              </w:tc>
              <w:tc>
                <w:tcPr>
                  <w:tcW w:w="2483" w:type="pct"/>
                  <w:vAlign w:val="center"/>
                </w:tcPr>
                <w:p w14:paraId="6041C4DA">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1215" w:type="pct"/>
                  <w:vAlign w:val="center"/>
                </w:tcPr>
                <w:p w14:paraId="5629D37C">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251" w:type="pct"/>
                  <w:vAlign w:val="center"/>
                </w:tcPr>
                <w:p w14:paraId="1DA3124B">
                  <w:pPr>
                    <w:autoSpaceDE w:val="0"/>
                    <w:autoSpaceDN w:val="0"/>
                    <w:adjustRightInd w:val="0"/>
                    <w:snapToGrid w:val="0"/>
                    <w:spacing w:line="340" w:lineRule="exact"/>
                    <w:jc w:val="center"/>
                    <w:rPr>
                      <w:kern w:val="0"/>
                      <w:sz w:val="18"/>
                      <w:szCs w:val="18"/>
                    </w:rPr>
                  </w:pPr>
                  <w:r>
                    <w:rPr>
                      <w:kern w:val="0"/>
                      <w:sz w:val="18"/>
                      <w:szCs w:val="18"/>
                    </w:rPr>
                    <w:t>符合</w:t>
                  </w:r>
                </w:p>
              </w:tc>
            </w:tr>
            <w:tr w14:paraId="2A41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267" w:type="pct"/>
                  <w:vMerge w:val="continue"/>
                  <w:vAlign w:val="center"/>
                </w:tcPr>
                <w:p w14:paraId="1832785B">
                  <w:pPr>
                    <w:spacing w:line="340" w:lineRule="exact"/>
                    <w:rPr>
                      <w:kern w:val="0"/>
                      <w:sz w:val="18"/>
                      <w:szCs w:val="18"/>
                    </w:rPr>
                  </w:pPr>
                </w:p>
              </w:tc>
              <w:tc>
                <w:tcPr>
                  <w:tcW w:w="280" w:type="pct"/>
                  <w:vMerge w:val="continue"/>
                  <w:vAlign w:val="center"/>
                </w:tcPr>
                <w:p w14:paraId="633FF74D">
                  <w:pPr>
                    <w:spacing w:line="340" w:lineRule="exact"/>
                    <w:rPr>
                      <w:kern w:val="0"/>
                      <w:sz w:val="18"/>
                      <w:szCs w:val="18"/>
                    </w:rPr>
                  </w:pPr>
                </w:p>
              </w:tc>
              <w:tc>
                <w:tcPr>
                  <w:tcW w:w="279" w:type="pct"/>
                  <w:vMerge w:val="continue"/>
                  <w:vAlign w:val="center"/>
                </w:tcPr>
                <w:p w14:paraId="27FF2050">
                  <w:pPr>
                    <w:spacing w:line="340" w:lineRule="exact"/>
                    <w:rPr>
                      <w:kern w:val="0"/>
                      <w:sz w:val="18"/>
                      <w:szCs w:val="18"/>
                    </w:rPr>
                  </w:pPr>
                </w:p>
              </w:tc>
              <w:tc>
                <w:tcPr>
                  <w:tcW w:w="225" w:type="pct"/>
                  <w:vAlign w:val="center"/>
                </w:tcPr>
                <w:p w14:paraId="018760A7">
                  <w:pPr>
                    <w:autoSpaceDE w:val="0"/>
                    <w:autoSpaceDN w:val="0"/>
                    <w:adjustRightInd w:val="0"/>
                    <w:snapToGrid w:val="0"/>
                    <w:spacing w:line="340" w:lineRule="exact"/>
                    <w:rPr>
                      <w:kern w:val="0"/>
                      <w:sz w:val="18"/>
                      <w:szCs w:val="18"/>
                    </w:rPr>
                  </w:pPr>
                  <w:r>
                    <w:rPr>
                      <w:kern w:val="0"/>
                      <w:sz w:val="18"/>
                      <w:szCs w:val="18"/>
                    </w:rPr>
                    <w:t>污染物排放管控</w:t>
                  </w:r>
                </w:p>
              </w:tc>
              <w:tc>
                <w:tcPr>
                  <w:tcW w:w="2483" w:type="pct"/>
                  <w:vAlign w:val="center"/>
                </w:tcPr>
                <w:p w14:paraId="41939400">
                  <w:pPr>
                    <w:autoSpaceDE w:val="0"/>
                    <w:autoSpaceDN w:val="0"/>
                    <w:adjustRightInd w:val="0"/>
                    <w:snapToGrid w:val="0"/>
                    <w:spacing w:line="340" w:lineRule="exact"/>
                    <w:rPr>
                      <w:kern w:val="0"/>
                      <w:sz w:val="18"/>
                      <w:szCs w:val="18"/>
                    </w:rPr>
                  </w:pPr>
                  <w:r>
                    <w:rPr>
                      <w:rFonts w:hint="eastAsia"/>
                      <w:kern w:val="0"/>
                      <w:sz w:val="18"/>
                      <w:szCs w:val="18"/>
                    </w:rPr>
                    <w:t>1.矿井水、中水回用率达到90%以上。实施石油石化、化工等高耗水企业废水深度处理和回用工程。强化焦化废水深度处理，区域内焦化废水必须全收集、全处理、全回用。</w:t>
                  </w:r>
                </w:p>
              </w:tc>
              <w:tc>
                <w:tcPr>
                  <w:tcW w:w="1215" w:type="pct"/>
                  <w:vAlign w:val="center"/>
                </w:tcPr>
                <w:p w14:paraId="55A199B8">
                  <w:pPr>
                    <w:autoSpaceDE w:val="0"/>
                    <w:autoSpaceDN w:val="0"/>
                    <w:adjustRightInd w:val="0"/>
                    <w:snapToGrid w:val="0"/>
                    <w:spacing w:line="340" w:lineRule="exact"/>
                    <w:rPr>
                      <w:kern w:val="0"/>
                      <w:sz w:val="18"/>
                      <w:szCs w:val="18"/>
                    </w:rPr>
                  </w:pPr>
                  <w:r>
                    <w:rPr>
                      <w:rFonts w:hint="eastAsia"/>
                      <w:kern w:val="0"/>
                      <w:sz w:val="18"/>
                      <w:szCs w:val="18"/>
                    </w:rPr>
                    <w:t>项目运营期不涉及生产用水；本次不新增劳动定员，无新增生活用水。</w:t>
                  </w:r>
                </w:p>
              </w:tc>
              <w:tc>
                <w:tcPr>
                  <w:tcW w:w="251" w:type="pct"/>
                  <w:vAlign w:val="center"/>
                </w:tcPr>
                <w:p w14:paraId="3393055B">
                  <w:pPr>
                    <w:autoSpaceDE w:val="0"/>
                    <w:autoSpaceDN w:val="0"/>
                    <w:adjustRightInd w:val="0"/>
                    <w:snapToGrid w:val="0"/>
                    <w:spacing w:line="340" w:lineRule="exact"/>
                    <w:jc w:val="center"/>
                    <w:rPr>
                      <w:kern w:val="0"/>
                      <w:sz w:val="18"/>
                      <w:szCs w:val="18"/>
                    </w:rPr>
                  </w:pPr>
                  <w:r>
                    <w:rPr>
                      <w:kern w:val="0"/>
                      <w:sz w:val="18"/>
                      <w:szCs w:val="18"/>
                    </w:rPr>
                    <w:t>符合</w:t>
                  </w:r>
                </w:p>
              </w:tc>
            </w:tr>
            <w:tr w14:paraId="5176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267" w:type="pct"/>
                  <w:vMerge w:val="continue"/>
                  <w:vAlign w:val="center"/>
                </w:tcPr>
                <w:p w14:paraId="248A56EC">
                  <w:pPr>
                    <w:spacing w:line="340" w:lineRule="exact"/>
                    <w:rPr>
                      <w:kern w:val="0"/>
                      <w:sz w:val="18"/>
                      <w:szCs w:val="18"/>
                    </w:rPr>
                  </w:pPr>
                </w:p>
              </w:tc>
              <w:tc>
                <w:tcPr>
                  <w:tcW w:w="280" w:type="pct"/>
                  <w:vMerge w:val="continue"/>
                  <w:vAlign w:val="center"/>
                </w:tcPr>
                <w:p w14:paraId="6A3555F4">
                  <w:pPr>
                    <w:spacing w:line="340" w:lineRule="exact"/>
                    <w:rPr>
                      <w:kern w:val="0"/>
                      <w:sz w:val="18"/>
                      <w:szCs w:val="18"/>
                    </w:rPr>
                  </w:pPr>
                </w:p>
              </w:tc>
              <w:tc>
                <w:tcPr>
                  <w:tcW w:w="279" w:type="pct"/>
                  <w:vMerge w:val="continue"/>
                  <w:vAlign w:val="center"/>
                </w:tcPr>
                <w:p w14:paraId="1B2F50A7">
                  <w:pPr>
                    <w:spacing w:line="340" w:lineRule="exact"/>
                    <w:rPr>
                      <w:kern w:val="0"/>
                      <w:sz w:val="18"/>
                      <w:szCs w:val="18"/>
                    </w:rPr>
                  </w:pPr>
                </w:p>
              </w:tc>
              <w:tc>
                <w:tcPr>
                  <w:tcW w:w="225" w:type="pct"/>
                  <w:vAlign w:val="center"/>
                </w:tcPr>
                <w:p w14:paraId="0135D670">
                  <w:pPr>
                    <w:autoSpaceDE w:val="0"/>
                    <w:autoSpaceDN w:val="0"/>
                    <w:adjustRightInd w:val="0"/>
                    <w:snapToGrid w:val="0"/>
                    <w:spacing w:line="340" w:lineRule="exact"/>
                    <w:rPr>
                      <w:kern w:val="0"/>
                      <w:sz w:val="18"/>
                      <w:szCs w:val="18"/>
                    </w:rPr>
                  </w:pPr>
                  <w:r>
                    <w:rPr>
                      <w:kern w:val="0"/>
                      <w:sz w:val="18"/>
                      <w:szCs w:val="18"/>
                    </w:rPr>
                    <w:t>环境风险防控</w:t>
                  </w:r>
                </w:p>
              </w:tc>
              <w:tc>
                <w:tcPr>
                  <w:tcW w:w="2483" w:type="pct"/>
                  <w:vAlign w:val="center"/>
                </w:tcPr>
                <w:p w14:paraId="097029E8">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1215" w:type="pct"/>
                  <w:vAlign w:val="center"/>
                </w:tcPr>
                <w:p w14:paraId="2F046AFF">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251" w:type="pct"/>
                  <w:vAlign w:val="center"/>
                </w:tcPr>
                <w:p w14:paraId="57898314">
                  <w:pPr>
                    <w:autoSpaceDE w:val="0"/>
                    <w:autoSpaceDN w:val="0"/>
                    <w:adjustRightInd w:val="0"/>
                    <w:snapToGrid w:val="0"/>
                    <w:spacing w:line="340" w:lineRule="exact"/>
                    <w:jc w:val="center"/>
                    <w:rPr>
                      <w:kern w:val="0"/>
                      <w:sz w:val="18"/>
                      <w:szCs w:val="18"/>
                    </w:rPr>
                  </w:pPr>
                  <w:r>
                    <w:rPr>
                      <w:kern w:val="0"/>
                      <w:sz w:val="18"/>
                      <w:szCs w:val="18"/>
                    </w:rPr>
                    <w:t>符合</w:t>
                  </w:r>
                </w:p>
              </w:tc>
            </w:tr>
            <w:tr w14:paraId="4898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67" w:type="pct"/>
                  <w:vMerge w:val="continue"/>
                  <w:vAlign w:val="center"/>
                </w:tcPr>
                <w:p w14:paraId="477CA02B">
                  <w:pPr>
                    <w:spacing w:line="340" w:lineRule="exact"/>
                    <w:rPr>
                      <w:kern w:val="0"/>
                      <w:sz w:val="18"/>
                      <w:szCs w:val="18"/>
                    </w:rPr>
                  </w:pPr>
                </w:p>
              </w:tc>
              <w:tc>
                <w:tcPr>
                  <w:tcW w:w="280" w:type="pct"/>
                  <w:vMerge w:val="continue"/>
                  <w:vAlign w:val="center"/>
                </w:tcPr>
                <w:p w14:paraId="13197641">
                  <w:pPr>
                    <w:spacing w:line="340" w:lineRule="exact"/>
                    <w:rPr>
                      <w:kern w:val="0"/>
                      <w:sz w:val="18"/>
                      <w:szCs w:val="18"/>
                    </w:rPr>
                  </w:pPr>
                </w:p>
              </w:tc>
              <w:tc>
                <w:tcPr>
                  <w:tcW w:w="279" w:type="pct"/>
                  <w:vMerge w:val="continue"/>
                  <w:vAlign w:val="center"/>
                </w:tcPr>
                <w:p w14:paraId="52DA4CEA">
                  <w:pPr>
                    <w:spacing w:line="340" w:lineRule="exact"/>
                    <w:rPr>
                      <w:kern w:val="0"/>
                      <w:sz w:val="18"/>
                      <w:szCs w:val="18"/>
                    </w:rPr>
                  </w:pPr>
                </w:p>
              </w:tc>
              <w:tc>
                <w:tcPr>
                  <w:tcW w:w="225" w:type="pct"/>
                  <w:vAlign w:val="center"/>
                </w:tcPr>
                <w:p w14:paraId="1BC59AC8">
                  <w:pPr>
                    <w:autoSpaceDE w:val="0"/>
                    <w:autoSpaceDN w:val="0"/>
                    <w:adjustRightInd w:val="0"/>
                    <w:snapToGrid w:val="0"/>
                    <w:spacing w:line="340" w:lineRule="exact"/>
                    <w:rPr>
                      <w:kern w:val="0"/>
                      <w:sz w:val="18"/>
                      <w:szCs w:val="18"/>
                    </w:rPr>
                  </w:pPr>
                  <w:r>
                    <w:rPr>
                      <w:kern w:val="0"/>
                      <w:sz w:val="18"/>
                      <w:szCs w:val="18"/>
                    </w:rPr>
                    <w:t>资源利用效率</w:t>
                  </w:r>
                </w:p>
              </w:tc>
              <w:tc>
                <w:tcPr>
                  <w:tcW w:w="2483" w:type="pct"/>
                  <w:vAlign w:val="center"/>
                </w:tcPr>
                <w:p w14:paraId="06CFA21B">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1215" w:type="pct"/>
                  <w:vAlign w:val="center"/>
                </w:tcPr>
                <w:p w14:paraId="668AA92B">
                  <w:pPr>
                    <w:autoSpaceDE w:val="0"/>
                    <w:autoSpaceDN w:val="0"/>
                    <w:adjustRightInd w:val="0"/>
                    <w:snapToGrid w:val="0"/>
                    <w:spacing w:line="340" w:lineRule="exact"/>
                    <w:jc w:val="center"/>
                    <w:rPr>
                      <w:kern w:val="0"/>
                      <w:sz w:val="18"/>
                      <w:szCs w:val="18"/>
                    </w:rPr>
                  </w:pPr>
                  <w:r>
                    <w:rPr>
                      <w:rFonts w:hint="eastAsia"/>
                      <w:kern w:val="0"/>
                      <w:sz w:val="18"/>
                      <w:szCs w:val="18"/>
                    </w:rPr>
                    <w:t>/</w:t>
                  </w:r>
                </w:p>
              </w:tc>
              <w:tc>
                <w:tcPr>
                  <w:tcW w:w="251" w:type="pct"/>
                  <w:vAlign w:val="center"/>
                </w:tcPr>
                <w:p w14:paraId="7088BBC6">
                  <w:pPr>
                    <w:autoSpaceDE w:val="0"/>
                    <w:autoSpaceDN w:val="0"/>
                    <w:adjustRightInd w:val="0"/>
                    <w:snapToGrid w:val="0"/>
                    <w:spacing w:line="340" w:lineRule="exact"/>
                    <w:jc w:val="center"/>
                    <w:rPr>
                      <w:kern w:val="0"/>
                      <w:sz w:val="18"/>
                      <w:szCs w:val="18"/>
                    </w:rPr>
                  </w:pPr>
                  <w:r>
                    <w:rPr>
                      <w:kern w:val="0"/>
                      <w:sz w:val="18"/>
                      <w:szCs w:val="18"/>
                    </w:rPr>
                    <w:t>符合</w:t>
                  </w:r>
                </w:p>
              </w:tc>
            </w:tr>
          </w:tbl>
          <w:p w14:paraId="1D00AD17">
            <w:pPr>
              <w:autoSpaceDE w:val="0"/>
              <w:autoSpaceDN w:val="0"/>
              <w:adjustRightInd w:val="0"/>
              <w:snapToGrid w:val="0"/>
              <w:spacing w:line="440" w:lineRule="exact"/>
              <w:rPr>
                <w:bCs/>
                <w:sz w:val="24"/>
              </w:rPr>
            </w:pPr>
            <w:r>
              <w:rPr>
                <w:sz w:val="24"/>
              </w:rPr>
              <w:t>由上表</w:t>
            </w:r>
            <w:r>
              <w:rPr>
                <w:rFonts w:hint="eastAsia"/>
                <w:sz w:val="24"/>
              </w:rPr>
              <w:t>可知</w:t>
            </w:r>
            <w:r>
              <w:rPr>
                <w:sz w:val="24"/>
              </w:rPr>
              <w:t>，</w:t>
            </w:r>
            <w:r>
              <w:rPr>
                <w:bCs/>
                <w:sz w:val="24"/>
              </w:rPr>
              <w:t>项目符合</w:t>
            </w:r>
            <w:r>
              <w:rPr>
                <w:rFonts w:hint="eastAsia"/>
                <w:bCs/>
                <w:sz w:val="24"/>
              </w:rPr>
              <w:t>生态环境分区管控</w:t>
            </w:r>
            <w:r>
              <w:rPr>
                <w:bCs/>
                <w:sz w:val="24"/>
              </w:rPr>
              <w:t>要求。</w:t>
            </w:r>
          </w:p>
          <w:p w14:paraId="3DFD0C65">
            <w:pPr>
              <w:autoSpaceDE w:val="0"/>
              <w:autoSpaceDN w:val="0"/>
              <w:adjustRightInd w:val="0"/>
              <w:snapToGrid w:val="0"/>
              <w:spacing w:line="440" w:lineRule="exact"/>
              <w:rPr>
                <w:bCs/>
                <w:sz w:val="24"/>
              </w:rPr>
            </w:pPr>
          </w:p>
          <w:p w14:paraId="2FD14BA5">
            <w:pPr>
              <w:autoSpaceDE w:val="0"/>
              <w:autoSpaceDN w:val="0"/>
              <w:adjustRightInd w:val="0"/>
              <w:snapToGrid w:val="0"/>
              <w:spacing w:line="440" w:lineRule="exact"/>
              <w:rPr>
                <w:bCs/>
                <w:sz w:val="24"/>
              </w:rPr>
            </w:pPr>
          </w:p>
          <w:p w14:paraId="0B4FC153">
            <w:pPr>
              <w:autoSpaceDE w:val="0"/>
              <w:autoSpaceDN w:val="0"/>
              <w:adjustRightInd w:val="0"/>
              <w:snapToGrid w:val="0"/>
              <w:spacing w:line="440" w:lineRule="exact"/>
              <w:rPr>
                <w:bCs/>
                <w:sz w:val="24"/>
              </w:rPr>
            </w:pPr>
          </w:p>
          <w:p w14:paraId="0DB85277">
            <w:pPr>
              <w:autoSpaceDE w:val="0"/>
              <w:autoSpaceDN w:val="0"/>
              <w:adjustRightInd w:val="0"/>
              <w:snapToGrid w:val="0"/>
              <w:spacing w:line="440" w:lineRule="exact"/>
              <w:rPr>
                <w:bCs/>
                <w:sz w:val="24"/>
              </w:rPr>
            </w:pPr>
          </w:p>
          <w:p w14:paraId="73405361">
            <w:pPr>
              <w:autoSpaceDE w:val="0"/>
              <w:autoSpaceDN w:val="0"/>
              <w:adjustRightInd w:val="0"/>
              <w:snapToGrid w:val="0"/>
              <w:spacing w:line="440" w:lineRule="exact"/>
              <w:rPr>
                <w:b/>
                <w:bCs/>
                <w:sz w:val="24"/>
              </w:rPr>
            </w:pPr>
          </w:p>
        </w:tc>
      </w:tr>
    </w:tbl>
    <w:p w14:paraId="6EE9D713">
      <w:pPr>
        <w:autoSpaceDE w:val="0"/>
        <w:autoSpaceDN w:val="0"/>
        <w:adjustRightInd w:val="0"/>
        <w:snapToGrid w:val="0"/>
        <w:spacing w:line="440" w:lineRule="exact"/>
        <w:jc w:val="center"/>
        <w:rPr>
          <w:kern w:val="0"/>
          <w:sz w:val="24"/>
        </w:rPr>
        <w:sectPr>
          <w:pgSz w:w="16838" w:h="11906" w:orient="landscape"/>
          <w:pgMar w:top="1531" w:right="1701" w:bottom="1531" w:left="1701" w:header="851" w:footer="1077" w:gutter="0"/>
          <w:cols w:space="720" w:num="1"/>
          <w:docGrid w:linePitch="312" w:charSpace="0"/>
        </w:sectPr>
      </w:pPr>
    </w:p>
    <w:tbl>
      <w:tblPr>
        <w:tblStyle w:val="78"/>
        <w:tblW w:w="498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44"/>
        <w:gridCol w:w="7012"/>
      </w:tblGrid>
      <w:tr w14:paraId="5344B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041" w:type="pct"/>
            <w:tcMar>
              <w:top w:w="16" w:type="dxa"/>
              <w:left w:w="16" w:type="dxa"/>
              <w:right w:w="16" w:type="dxa"/>
            </w:tcMar>
            <w:vAlign w:val="center"/>
          </w:tcPr>
          <w:p w14:paraId="1BECF2D5">
            <w:pPr>
              <w:autoSpaceDE w:val="0"/>
              <w:autoSpaceDN w:val="0"/>
              <w:adjustRightInd w:val="0"/>
              <w:snapToGrid w:val="0"/>
              <w:spacing w:line="440" w:lineRule="exact"/>
              <w:jc w:val="center"/>
              <w:rPr>
                <w:kern w:val="0"/>
                <w:sz w:val="24"/>
              </w:rPr>
            </w:pPr>
            <w:r>
              <w:rPr>
                <w:kern w:val="0"/>
                <w:sz w:val="24"/>
              </w:rPr>
              <w:t>其他符合性分析</w:t>
            </w:r>
          </w:p>
        </w:tc>
        <w:tc>
          <w:tcPr>
            <w:tcW w:w="3959" w:type="pct"/>
            <w:tcMar>
              <w:top w:w="16" w:type="dxa"/>
              <w:left w:w="16" w:type="dxa"/>
              <w:right w:w="16" w:type="dxa"/>
            </w:tcMar>
            <w:vAlign w:val="center"/>
          </w:tcPr>
          <w:p w14:paraId="6C2CA3D4">
            <w:pPr>
              <w:spacing w:line="440" w:lineRule="exact"/>
              <w:ind w:firstLine="482" w:firstLineChars="200"/>
              <w:rPr>
                <w:b/>
                <w:kern w:val="0"/>
                <w:sz w:val="24"/>
              </w:rPr>
            </w:pPr>
            <w:r>
              <w:rPr>
                <w:rFonts w:hint="eastAsia"/>
                <w:b/>
                <w:kern w:val="0"/>
                <w:sz w:val="24"/>
              </w:rPr>
              <w:t>4.项目与《鄂尔多斯市大气污染防治条例》（2024年11月28日内蒙古自治区第十四届人民代表大会常务委员会第十三次会议通过，2025年1月1日起施行）符合性分析</w:t>
            </w:r>
          </w:p>
          <w:p w14:paraId="0795DCAD">
            <w:pPr>
              <w:keepNext/>
              <w:keepLines/>
              <w:spacing w:line="440" w:lineRule="exact"/>
              <w:ind w:firstLine="482" w:firstLineChars="200"/>
              <w:rPr>
                <w:b/>
                <w:bCs/>
                <w:sz w:val="24"/>
              </w:rPr>
            </w:pPr>
            <w:r>
              <w:rPr>
                <w:b/>
                <w:bCs/>
                <w:sz w:val="24"/>
              </w:rPr>
              <w:t>表</w:t>
            </w:r>
            <w:r>
              <w:rPr>
                <w:rFonts w:hint="eastAsia"/>
                <w:b/>
                <w:bCs/>
                <w:sz w:val="24"/>
              </w:rPr>
              <w:t>1-4</w:t>
            </w:r>
            <w:r>
              <w:rPr>
                <w:b/>
                <w:bCs/>
                <w:sz w:val="24"/>
              </w:rPr>
              <w:t xml:space="preserve">    与</w:t>
            </w:r>
            <w:r>
              <w:rPr>
                <w:rFonts w:hint="eastAsia"/>
                <w:b/>
                <w:bCs/>
                <w:kern w:val="0"/>
                <w:sz w:val="24"/>
              </w:rPr>
              <w:t>《鄂尔多斯市大气污染防治条例》符合性</w:t>
            </w:r>
            <w:r>
              <w:rPr>
                <w:b/>
                <w:bCs/>
                <w:sz w:val="24"/>
              </w:rPr>
              <w:t>分析</w:t>
            </w:r>
          </w:p>
          <w:tbl>
            <w:tblPr>
              <w:tblStyle w:val="7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907"/>
              <w:gridCol w:w="2246"/>
              <w:gridCol w:w="817"/>
            </w:tblGrid>
            <w:tr w14:paraId="2D58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1B3F989D">
                  <w:pPr>
                    <w:spacing w:line="360" w:lineRule="exact"/>
                    <w:jc w:val="center"/>
                    <w:rPr>
                      <w:sz w:val="18"/>
                      <w:szCs w:val="18"/>
                    </w:rPr>
                  </w:pPr>
                  <w:r>
                    <w:rPr>
                      <w:sz w:val="18"/>
                      <w:szCs w:val="18"/>
                    </w:rPr>
                    <w:t>分析内容</w:t>
                  </w:r>
                </w:p>
              </w:tc>
              <w:tc>
                <w:tcPr>
                  <w:tcW w:w="1611" w:type="pct"/>
                  <w:vAlign w:val="center"/>
                </w:tcPr>
                <w:p w14:paraId="71CE889D">
                  <w:pPr>
                    <w:spacing w:line="360" w:lineRule="exact"/>
                    <w:jc w:val="center"/>
                    <w:rPr>
                      <w:sz w:val="18"/>
                      <w:szCs w:val="18"/>
                    </w:rPr>
                  </w:pPr>
                  <w:r>
                    <w:rPr>
                      <w:rFonts w:hint="eastAsia"/>
                      <w:sz w:val="18"/>
                      <w:szCs w:val="18"/>
                    </w:rPr>
                    <w:t>项目</w:t>
                  </w:r>
                  <w:r>
                    <w:rPr>
                      <w:sz w:val="18"/>
                      <w:szCs w:val="18"/>
                    </w:rPr>
                    <w:t>情况</w:t>
                  </w:r>
                </w:p>
              </w:tc>
              <w:tc>
                <w:tcPr>
                  <w:tcW w:w="586" w:type="pct"/>
                  <w:vAlign w:val="center"/>
                </w:tcPr>
                <w:p w14:paraId="1B5BD71D">
                  <w:pPr>
                    <w:spacing w:line="360" w:lineRule="exact"/>
                    <w:jc w:val="center"/>
                    <w:rPr>
                      <w:sz w:val="18"/>
                      <w:szCs w:val="18"/>
                    </w:rPr>
                  </w:pPr>
                  <w:r>
                    <w:rPr>
                      <w:rFonts w:hint="eastAsia"/>
                      <w:sz w:val="18"/>
                      <w:szCs w:val="18"/>
                    </w:rPr>
                    <w:t>符合性</w:t>
                  </w:r>
                </w:p>
              </w:tc>
            </w:tr>
            <w:tr w14:paraId="439F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2B981BD9">
                  <w:pPr>
                    <w:spacing w:line="360" w:lineRule="exact"/>
                    <w:rPr>
                      <w:sz w:val="18"/>
                      <w:szCs w:val="18"/>
                    </w:rPr>
                  </w:pPr>
                  <w:r>
                    <w:rPr>
                      <w:rFonts w:hint="eastAsia"/>
                      <w:sz w:val="18"/>
                      <w:szCs w:val="18"/>
                    </w:rPr>
                    <w:t>第十二条　严格执行污染物排放总量控制制度。被替代项目未完成关停的，替代项目不得投入生产或者运行。</w:t>
                  </w:r>
                </w:p>
              </w:tc>
              <w:tc>
                <w:tcPr>
                  <w:tcW w:w="1611" w:type="pct"/>
                  <w:vAlign w:val="center"/>
                </w:tcPr>
                <w:p w14:paraId="05711865">
                  <w:pPr>
                    <w:spacing w:line="360" w:lineRule="exact"/>
                    <w:jc w:val="center"/>
                    <w:rPr>
                      <w:sz w:val="18"/>
                      <w:szCs w:val="18"/>
                    </w:rPr>
                  </w:pPr>
                  <w:r>
                    <w:rPr>
                      <w:rFonts w:hint="eastAsia"/>
                      <w:sz w:val="18"/>
                      <w:szCs w:val="18"/>
                    </w:rPr>
                    <w:t>项目运营期无废气产生。</w:t>
                  </w:r>
                </w:p>
              </w:tc>
              <w:tc>
                <w:tcPr>
                  <w:tcW w:w="586" w:type="pct"/>
                  <w:vAlign w:val="center"/>
                </w:tcPr>
                <w:p w14:paraId="5EC195E2">
                  <w:pPr>
                    <w:spacing w:line="360" w:lineRule="exact"/>
                    <w:jc w:val="center"/>
                    <w:rPr>
                      <w:sz w:val="18"/>
                      <w:szCs w:val="18"/>
                    </w:rPr>
                  </w:pPr>
                  <w:r>
                    <w:rPr>
                      <w:rFonts w:hint="eastAsia"/>
                      <w:sz w:val="18"/>
                      <w:szCs w:val="18"/>
                    </w:rPr>
                    <w:t>符合</w:t>
                  </w:r>
                </w:p>
              </w:tc>
            </w:tr>
            <w:tr w14:paraId="6853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692C865F">
                  <w:pPr>
                    <w:spacing w:line="360" w:lineRule="exact"/>
                    <w:rPr>
                      <w:sz w:val="18"/>
                      <w:szCs w:val="18"/>
                    </w:rPr>
                  </w:pPr>
                  <w:r>
                    <w:rPr>
                      <w:rFonts w:hint="eastAsia"/>
                      <w:sz w:val="18"/>
                      <w:szCs w:val="18"/>
                    </w:rPr>
                    <w:t>第十八条　排放工业废气或者有毒有害大气污染物的排污单位应当按照国家有关规定和监测规范自行或者委托有资质的检测机构监测大气污染物排放情况，记录、保存监测数据，确保监测数据真实、可靠，并通过网站或者其他便于公众知晓的方式向社会公开。</w:t>
                  </w:r>
                </w:p>
              </w:tc>
              <w:tc>
                <w:tcPr>
                  <w:tcW w:w="1611" w:type="pct"/>
                  <w:vAlign w:val="center"/>
                </w:tcPr>
                <w:p w14:paraId="6C2BDF53">
                  <w:pPr>
                    <w:spacing w:line="360" w:lineRule="exact"/>
                    <w:rPr>
                      <w:sz w:val="18"/>
                      <w:szCs w:val="18"/>
                    </w:rPr>
                  </w:pPr>
                  <w:r>
                    <w:rPr>
                      <w:rFonts w:hint="eastAsia"/>
                      <w:sz w:val="18"/>
                      <w:szCs w:val="18"/>
                    </w:rPr>
                    <w:t>项目建成后纳入全厂自行检测计划。</w:t>
                  </w:r>
                </w:p>
              </w:tc>
              <w:tc>
                <w:tcPr>
                  <w:tcW w:w="586" w:type="pct"/>
                  <w:vAlign w:val="center"/>
                </w:tcPr>
                <w:p w14:paraId="6A2353CF">
                  <w:pPr>
                    <w:spacing w:line="360" w:lineRule="exact"/>
                    <w:jc w:val="center"/>
                    <w:rPr>
                      <w:sz w:val="18"/>
                      <w:szCs w:val="18"/>
                    </w:rPr>
                  </w:pPr>
                  <w:r>
                    <w:rPr>
                      <w:rFonts w:hint="eastAsia"/>
                      <w:sz w:val="18"/>
                      <w:szCs w:val="18"/>
                    </w:rPr>
                    <w:t>符合</w:t>
                  </w:r>
                </w:p>
              </w:tc>
            </w:tr>
            <w:tr w14:paraId="28D4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55F2EA18">
                  <w:pPr>
                    <w:spacing w:line="360" w:lineRule="exact"/>
                    <w:rPr>
                      <w:sz w:val="18"/>
                      <w:szCs w:val="18"/>
                    </w:rPr>
                  </w:pPr>
                  <w:r>
                    <w:rPr>
                      <w:rFonts w:hint="eastAsia"/>
                      <w:sz w:val="18"/>
                      <w:szCs w:val="18"/>
                    </w:rPr>
                    <w:t>第三十条　市、旗区人民政府应当按照循环经济和清洁生产的要求推动工业园区建设，合理规划工业园区布局。新建排放大气污染物的工业项目应当进入工业园区。国家和自治区审批的特种项目除外。</w:t>
                  </w:r>
                </w:p>
              </w:tc>
              <w:tc>
                <w:tcPr>
                  <w:tcW w:w="1611" w:type="pct"/>
                  <w:vAlign w:val="center"/>
                </w:tcPr>
                <w:p w14:paraId="630B82CB">
                  <w:pPr>
                    <w:spacing w:line="360" w:lineRule="exact"/>
                    <w:rPr>
                      <w:sz w:val="18"/>
                      <w:szCs w:val="18"/>
                    </w:rPr>
                  </w:pPr>
                  <w:r>
                    <w:rPr>
                      <w:rFonts w:hint="eastAsia"/>
                      <w:sz w:val="18"/>
                      <w:szCs w:val="18"/>
                    </w:rPr>
                    <w:t>项目位于</w:t>
                  </w:r>
                  <w:r>
                    <w:rPr>
                      <w:sz w:val="18"/>
                      <w:szCs w:val="18"/>
                    </w:rPr>
                    <w:t>独贵塔拉产业园（南区）</w:t>
                  </w:r>
                  <w:r>
                    <w:rPr>
                      <w:rFonts w:hint="eastAsia"/>
                      <w:sz w:val="18"/>
                      <w:szCs w:val="18"/>
                    </w:rPr>
                    <w:t>。</w:t>
                  </w:r>
                </w:p>
              </w:tc>
              <w:tc>
                <w:tcPr>
                  <w:tcW w:w="586" w:type="pct"/>
                  <w:vAlign w:val="center"/>
                </w:tcPr>
                <w:p w14:paraId="4BA58B0C">
                  <w:pPr>
                    <w:spacing w:line="360" w:lineRule="exact"/>
                    <w:jc w:val="center"/>
                    <w:rPr>
                      <w:sz w:val="18"/>
                      <w:szCs w:val="18"/>
                    </w:rPr>
                  </w:pPr>
                  <w:r>
                    <w:rPr>
                      <w:rFonts w:hint="eastAsia"/>
                      <w:sz w:val="18"/>
                      <w:szCs w:val="18"/>
                    </w:rPr>
                    <w:t>符合</w:t>
                  </w:r>
                </w:p>
              </w:tc>
            </w:tr>
            <w:tr w14:paraId="025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70F6C0EB">
                  <w:pPr>
                    <w:spacing w:line="360" w:lineRule="exact"/>
                    <w:rPr>
                      <w:sz w:val="18"/>
                      <w:szCs w:val="18"/>
                    </w:rPr>
                  </w:pPr>
                  <w:r>
                    <w:rPr>
                      <w:rFonts w:hint="eastAsia"/>
                      <w:sz w:val="18"/>
                      <w:szCs w:val="18"/>
                    </w:rPr>
                    <w:t>第三十二条　严格控制生产中产生的粉尘和气态污染物的排放。对不经过排气筒集中排放的，排污单位应当采取密闭、封闭、集中收集、过滤、吸附和分解等处理措施。</w:t>
                  </w:r>
                </w:p>
              </w:tc>
              <w:tc>
                <w:tcPr>
                  <w:tcW w:w="1611" w:type="pct"/>
                  <w:vAlign w:val="center"/>
                </w:tcPr>
                <w:p w14:paraId="4553D88E">
                  <w:pPr>
                    <w:spacing w:line="360" w:lineRule="exact"/>
                    <w:jc w:val="center"/>
                    <w:rPr>
                      <w:sz w:val="18"/>
                      <w:szCs w:val="18"/>
                    </w:rPr>
                  </w:pPr>
                  <w:r>
                    <w:rPr>
                      <w:rFonts w:hint="eastAsia"/>
                      <w:sz w:val="18"/>
                      <w:szCs w:val="18"/>
                    </w:rPr>
                    <w:t>项目运营期无废气产生。</w:t>
                  </w:r>
                </w:p>
              </w:tc>
              <w:tc>
                <w:tcPr>
                  <w:tcW w:w="586" w:type="pct"/>
                  <w:vAlign w:val="center"/>
                </w:tcPr>
                <w:p w14:paraId="3CA789B1">
                  <w:pPr>
                    <w:spacing w:line="360" w:lineRule="exact"/>
                    <w:jc w:val="center"/>
                    <w:rPr>
                      <w:sz w:val="18"/>
                      <w:szCs w:val="18"/>
                    </w:rPr>
                  </w:pPr>
                  <w:r>
                    <w:rPr>
                      <w:rFonts w:hint="eastAsia"/>
                      <w:sz w:val="18"/>
                      <w:szCs w:val="18"/>
                    </w:rPr>
                    <w:t>符合</w:t>
                  </w:r>
                </w:p>
              </w:tc>
            </w:tr>
          </w:tbl>
          <w:p w14:paraId="55419F6A">
            <w:pPr>
              <w:pStyle w:val="774"/>
              <w:spacing w:line="440" w:lineRule="exact"/>
              <w:ind w:firstLine="480"/>
              <w:rPr>
                <w:rFonts w:hint="default"/>
              </w:rPr>
            </w:pPr>
          </w:p>
          <w:p w14:paraId="518D9826">
            <w:pPr>
              <w:autoSpaceDE w:val="0"/>
              <w:autoSpaceDN w:val="0"/>
              <w:adjustRightInd w:val="0"/>
              <w:snapToGrid w:val="0"/>
              <w:spacing w:line="440" w:lineRule="exact"/>
              <w:ind w:firstLine="480" w:firstLineChars="200"/>
              <w:rPr>
                <w:kern w:val="0"/>
                <w:sz w:val="24"/>
              </w:rPr>
            </w:pPr>
          </w:p>
          <w:p w14:paraId="4012D733">
            <w:pPr>
              <w:autoSpaceDE w:val="0"/>
              <w:autoSpaceDN w:val="0"/>
              <w:adjustRightInd w:val="0"/>
              <w:snapToGrid w:val="0"/>
              <w:spacing w:line="440" w:lineRule="exact"/>
              <w:ind w:firstLine="480" w:firstLineChars="200"/>
              <w:rPr>
                <w:kern w:val="0"/>
                <w:sz w:val="24"/>
              </w:rPr>
            </w:pPr>
          </w:p>
          <w:p w14:paraId="2DD6A0DC">
            <w:pPr>
              <w:autoSpaceDE w:val="0"/>
              <w:autoSpaceDN w:val="0"/>
              <w:adjustRightInd w:val="0"/>
              <w:snapToGrid w:val="0"/>
              <w:spacing w:line="440" w:lineRule="exact"/>
              <w:ind w:firstLine="480" w:firstLineChars="200"/>
              <w:rPr>
                <w:kern w:val="0"/>
                <w:sz w:val="24"/>
              </w:rPr>
            </w:pPr>
          </w:p>
          <w:p w14:paraId="1DE5EFE4">
            <w:pPr>
              <w:autoSpaceDE w:val="0"/>
              <w:autoSpaceDN w:val="0"/>
              <w:adjustRightInd w:val="0"/>
              <w:snapToGrid w:val="0"/>
              <w:spacing w:line="440" w:lineRule="exact"/>
              <w:ind w:firstLine="480" w:firstLineChars="200"/>
              <w:rPr>
                <w:kern w:val="0"/>
                <w:sz w:val="24"/>
              </w:rPr>
            </w:pPr>
          </w:p>
          <w:p w14:paraId="1930BABF">
            <w:pPr>
              <w:autoSpaceDE w:val="0"/>
              <w:autoSpaceDN w:val="0"/>
              <w:adjustRightInd w:val="0"/>
              <w:snapToGrid w:val="0"/>
              <w:spacing w:line="440" w:lineRule="exact"/>
              <w:ind w:firstLine="480" w:firstLineChars="200"/>
              <w:rPr>
                <w:kern w:val="0"/>
                <w:sz w:val="24"/>
              </w:rPr>
            </w:pPr>
          </w:p>
          <w:p w14:paraId="7D78FEB6">
            <w:pPr>
              <w:autoSpaceDE w:val="0"/>
              <w:autoSpaceDN w:val="0"/>
              <w:adjustRightInd w:val="0"/>
              <w:snapToGrid w:val="0"/>
              <w:spacing w:line="440" w:lineRule="exact"/>
              <w:ind w:firstLine="480" w:firstLineChars="200"/>
              <w:rPr>
                <w:kern w:val="0"/>
                <w:sz w:val="24"/>
              </w:rPr>
            </w:pPr>
          </w:p>
          <w:p w14:paraId="25D07757">
            <w:pPr>
              <w:autoSpaceDE w:val="0"/>
              <w:autoSpaceDN w:val="0"/>
              <w:adjustRightInd w:val="0"/>
              <w:snapToGrid w:val="0"/>
              <w:spacing w:line="440" w:lineRule="exact"/>
              <w:ind w:firstLine="480" w:firstLineChars="200"/>
              <w:rPr>
                <w:kern w:val="0"/>
                <w:sz w:val="24"/>
              </w:rPr>
            </w:pPr>
          </w:p>
          <w:p w14:paraId="497F1BBF">
            <w:pPr>
              <w:autoSpaceDE w:val="0"/>
              <w:autoSpaceDN w:val="0"/>
              <w:adjustRightInd w:val="0"/>
              <w:snapToGrid w:val="0"/>
              <w:spacing w:line="440" w:lineRule="exact"/>
              <w:ind w:firstLine="480" w:firstLineChars="200"/>
              <w:rPr>
                <w:kern w:val="0"/>
                <w:sz w:val="24"/>
              </w:rPr>
            </w:pPr>
          </w:p>
          <w:p w14:paraId="2C5851BE">
            <w:pPr>
              <w:spacing w:line="440" w:lineRule="exact"/>
              <w:ind w:firstLine="482" w:firstLineChars="200"/>
              <w:rPr>
                <w:b/>
                <w:kern w:val="0"/>
                <w:sz w:val="24"/>
              </w:rPr>
            </w:pPr>
          </w:p>
        </w:tc>
      </w:tr>
    </w:tbl>
    <w:p w14:paraId="0EAC9C88">
      <w:pPr>
        <w:spacing w:line="360" w:lineRule="auto"/>
        <w:outlineLvl w:val="0"/>
        <w:rPr>
          <w:sz w:val="30"/>
        </w:rPr>
        <w:sectPr>
          <w:pgSz w:w="11906" w:h="16838"/>
          <w:pgMar w:top="1701" w:right="1531" w:bottom="1701" w:left="1531" w:header="851" w:footer="1077" w:gutter="0"/>
          <w:cols w:space="720" w:num="1"/>
          <w:docGrid w:linePitch="312" w:charSpace="0"/>
        </w:sectPr>
      </w:pPr>
    </w:p>
    <w:p w14:paraId="0EFDBE7D">
      <w:pPr>
        <w:pStyle w:val="72"/>
        <w:jc w:val="center"/>
        <w:outlineLvl w:val="0"/>
        <w:rPr>
          <w:rFonts w:ascii="Times New Roman" w:hAnsi="Times New Roman"/>
          <w:b/>
          <w:bCs/>
          <w:snapToGrid w:val="0"/>
          <w:sz w:val="30"/>
          <w:szCs w:val="30"/>
        </w:rPr>
      </w:pPr>
      <w:r>
        <w:rPr>
          <w:rFonts w:ascii="Times New Roman" w:hAnsi="Times New Roman"/>
          <w:b/>
          <w:bCs/>
          <w:snapToGrid w:val="0"/>
          <w:sz w:val="30"/>
          <w:szCs w:val="30"/>
        </w:rPr>
        <w:t>二、建设内容</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4"/>
      </w:tblGrid>
      <w:tr w14:paraId="3A247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1" w:type="pct"/>
            <w:vAlign w:val="center"/>
          </w:tcPr>
          <w:p w14:paraId="378173EA">
            <w:pPr>
              <w:adjustRightInd w:val="0"/>
              <w:snapToGrid w:val="0"/>
              <w:spacing w:line="440" w:lineRule="exact"/>
              <w:jc w:val="center"/>
              <w:rPr>
                <w:kern w:val="0"/>
                <w:sz w:val="24"/>
              </w:rPr>
            </w:pPr>
            <w:r>
              <w:rPr>
                <w:kern w:val="0"/>
                <w:sz w:val="24"/>
              </w:rPr>
              <w:t>地理位置</w:t>
            </w:r>
          </w:p>
        </w:tc>
        <w:tc>
          <w:tcPr>
            <w:tcW w:w="4748" w:type="pct"/>
            <w:vAlign w:val="center"/>
          </w:tcPr>
          <w:p w14:paraId="7C489BD1">
            <w:pPr>
              <w:adjustRightInd w:val="0"/>
              <w:snapToGrid w:val="0"/>
              <w:spacing w:line="440" w:lineRule="exact"/>
              <w:ind w:firstLine="480" w:firstLineChars="200"/>
              <w:rPr>
                <w:kern w:val="0"/>
                <w:sz w:val="24"/>
              </w:rPr>
            </w:pPr>
            <w:r>
              <w:rPr>
                <w:rFonts w:hint="eastAsia"/>
                <w:kern w:val="0"/>
                <w:sz w:val="24"/>
              </w:rPr>
              <w:t>项目共</w:t>
            </w:r>
            <w:r>
              <w:rPr>
                <w:kern w:val="0"/>
                <w:sz w:val="24"/>
              </w:rPr>
              <w:t>建设</w:t>
            </w:r>
            <w:r>
              <w:rPr>
                <w:rFonts w:hint="eastAsia"/>
                <w:kern w:val="0"/>
                <w:sz w:val="24"/>
              </w:rPr>
              <w:t>4</w:t>
            </w:r>
            <w:r>
              <w:rPr>
                <w:kern w:val="0"/>
                <w:sz w:val="24"/>
              </w:rPr>
              <w:t>根管道，其中混合烯烃管道长2.5km，新氢管道长1.4km</w:t>
            </w:r>
            <w:r>
              <w:rPr>
                <w:rFonts w:hint="eastAsia"/>
                <w:kern w:val="0"/>
                <w:sz w:val="24"/>
              </w:rPr>
              <w:t>，</w:t>
            </w:r>
            <w:r>
              <w:rPr>
                <w:kern w:val="0"/>
                <w:sz w:val="24"/>
              </w:rPr>
              <w:t>烷烃返回料管道长1.2km，排放气管道长0.62km</w:t>
            </w:r>
            <w:r>
              <w:rPr>
                <w:rFonts w:hint="eastAsia"/>
                <w:kern w:val="0"/>
                <w:sz w:val="24"/>
              </w:rPr>
              <w:t>。</w:t>
            </w:r>
          </w:p>
          <w:p w14:paraId="088E8988">
            <w:pPr>
              <w:adjustRightInd w:val="0"/>
              <w:snapToGrid w:val="0"/>
              <w:spacing w:line="440" w:lineRule="exact"/>
              <w:ind w:firstLine="480" w:firstLineChars="200"/>
              <w:rPr>
                <w:kern w:val="0"/>
                <w:sz w:val="24"/>
              </w:rPr>
            </w:pPr>
            <w:r>
              <w:rPr>
                <w:rFonts w:hint="eastAsia"/>
                <w:kern w:val="0"/>
                <w:sz w:val="24"/>
              </w:rPr>
              <w:t>混合烯烃管道起点位于</w:t>
            </w:r>
            <w:r>
              <w:rPr>
                <w:kern w:val="0"/>
                <w:sz w:val="24"/>
              </w:rPr>
              <w:t>伊泰</w:t>
            </w:r>
            <w:r>
              <w:rPr>
                <w:rFonts w:hint="eastAsia"/>
                <w:kern w:val="0"/>
                <w:sz w:val="24"/>
              </w:rPr>
              <w:t>化工</w:t>
            </w:r>
            <w:r>
              <w:rPr>
                <w:kern w:val="0"/>
                <w:sz w:val="24"/>
              </w:rPr>
              <w:t>切分装置</w:t>
            </w:r>
            <w:r>
              <w:rPr>
                <w:rFonts w:hint="eastAsia"/>
                <w:kern w:val="0"/>
                <w:sz w:val="24"/>
              </w:rPr>
              <w:t>（坐标</w:t>
            </w:r>
            <w:r>
              <w:rPr>
                <w:kern w:val="0"/>
                <w:sz w:val="24"/>
              </w:rPr>
              <w:t>：</w:t>
            </w:r>
            <w:r>
              <w:rPr>
                <w:sz w:val="24"/>
              </w:rPr>
              <w:t>108°30′08.037″，40°01分43.403″</w:t>
            </w:r>
            <w:r>
              <w:rPr>
                <w:kern w:val="0"/>
                <w:sz w:val="24"/>
              </w:rPr>
              <w:t>），终点为</w:t>
            </w:r>
            <w:r>
              <w:rPr>
                <w:rFonts w:hint="eastAsia"/>
                <w:kern w:val="0"/>
                <w:sz w:val="24"/>
              </w:rPr>
              <w:t>宏城化工</w:t>
            </w:r>
            <w:r>
              <w:rPr>
                <w:kern w:val="0"/>
                <w:sz w:val="24"/>
              </w:rPr>
              <w:t>PAO装置（坐标：</w:t>
            </w:r>
            <w:r>
              <w:rPr>
                <w:sz w:val="24"/>
              </w:rPr>
              <w:t>108°29′23.223″，40°01′47.252″</w:t>
            </w:r>
            <w:r>
              <w:rPr>
                <w:kern w:val="0"/>
                <w:sz w:val="24"/>
              </w:rPr>
              <w:t>）；新氢管道起点为</w:t>
            </w:r>
            <w:r>
              <w:rPr>
                <w:rFonts w:hint="eastAsia"/>
                <w:kern w:val="0"/>
                <w:sz w:val="24"/>
              </w:rPr>
              <w:t>伊泰化工</w:t>
            </w:r>
            <w:r>
              <w:rPr>
                <w:kern w:val="0"/>
                <w:sz w:val="24"/>
              </w:rPr>
              <w:t>N2管廊（坐标：</w:t>
            </w:r>
            <w:r>
              <w:rPr>
                <w:sz w:val="24"/>
              </w:rPr>
              <w:t>108°30′01.983″，40°01′53.572″</w:t>
            </w:r>
            <w:r>
              <w:rPr>
                <w:kern w:val="0"/>
                <w:sz w:val="24"/>
              </w:rPr>
              <w:t>），终点为</w:t>
            </w:r>
            <w:r>
              <w:rPr>
                <w:rFonts w:hint="eastAsia"/>
                <w:kern w:val="0"/>
                <w:sz w:val="24"/>
              </w:rPr>
              <w:t>宏城化工</w:t>
            </w:r>
            <w:r>
              <w:rPr>
                <w:kern w:val="0"/>
                <w:sz w:val="24"/>
              </w:rPr>
              <w:t>PAO装置（坐标：</w:t>
            </w:r>
            <w:r>
              <w:rPr>
                <w:sz w:val="24"/>
              </w:rPr>
              <w:t>108°29′23.223″，40°01′47.252″</w:t>
            </w:r>
            <w:r>
              <w:rPr>
                <w:kern w:val="0"/>
                <w:sz w:val="24"/>
              </w:rPr>
              <w:t>）</w:t>
            </w:r>
            <w:r>
              <w:rPr>
                <w:rFonts w:hint="eastAsia"/>
                <w:kern w:val="0"/>
                <w:sz w:val="24"/>
              </w:rPr>
              <w:t>；</w:t>
            </w:r>
            <w:r>
              <w:rPr>
                <w:kern w:val="0"/>
                <w:sz w:val="24"/>
              </w:rPr>
              <w:t>烷烃返回料管道起点为伊泰化工TK-101储罐（坐标：</w:t>
            </w:r>
            <w:r>
              <w:rPr>
                <w:sz w:val="24"/>
              </w:rPr>
              <w:t>108°29′56.247″，40°02′03.779″</w:t>
            </w:r>
            <w:r>
              <w:rPr>
                <w:kern w:val="0"/>
                <w:sz w:val="24"/>
              </w:rPr>
              <w:t>）</w:t>
            </w:r>
            <w:r>
              <w:rPr>
                <w:rFonts w:hint="eastAsia"/>
                <w:kern w:val="0"/>
                <w:sz w:val="24"/>
              </w:rPr>
              <w:t>，</w:t>
            </w:r>
            <w:r>
              <w:rPr>
                <w:kern w:val="0"/>
                <w:sz w:val="24"/>
              </w:rPr>
              <w:t>终点为伊泰宏城PAO装置（坐标：</w:t>
            </w:r>
            <w:r>
              <w:rPr>
                <w:sz w:val="24"/>
              </w:rPr>
              <w:t>108°29′23.223″，40°01′47.252″</w:t>
            </w:r>
            <w:r>
              <w:rPr>
                <w:kern w:val="0"/>
                <w:sz w:val="24"/>
              </w:rPr>
              <w:t>）；排放气管道起点为</w:t>
            </w:r>
            <w:r>
              <w:rPr>
                <w:rFonts w:hint="eastAsia"/>
                <w:kern w:val="0"/>
                <w:sz w:val="24"/>
              </w:rPr>
              <w:t>伊泰化工</w:t>
            </w:r>
            <w:r>
              <w:rPr>
                <w:kern w:val="0"/>
                <w:sz w:val="24"/>
              </w:rPr>
              <w:t>N3管廊（坐标：</w:t>
            </w:r>
            <w:r>
              <w:rPr>
                <w:sz w:val="24"/>
              </w:rPr>
              <w:t>108°29分43.159秒，40°01分53.825″</w:t>
            </w:r>
            <w:r>
              <w:rPr>
                <w:kern w:val="0"/>
                <w:sz w:val="24"/>
              </w:rPr>
              <w:t>），终点为伊泰宏城PAO装置（坐标：</w:t>
            </w:r>
            <w:r>
              <w:rPr>
                <w:sz w:val="24"/>
              </w:rPr>
              <w:t>108°29′23.223″，40°01′47.252″</w:t>
            </w:r>
            <w:r>
              <w:rPr>
                <w:kern w:val="0"/>
                <w:sz w:val="24"/>
              </w:rPr>
              <w:t>）。</w:t>
            </w:r>
          </w:p>
          <w:p w14:paraId="5F3EC965">
            <w:pPr>
              <w:adjustRightInd w:val="0"/>
              <w:snapToGrid w:val="0"/>
              <w:spacing w:line="440" w:lineRule="exact"/>
              <w:ind w:firstLine="480" w:firstLineChars="200"/>
              <w:rPr>
                <w:kern w:val="0"/>
                <w:sz w:val="24"/>
              </w:rPr>
            </w:pPr>
            <w:r>
              <w:rPr>
                <w:kern w:val="0"/>
                <w:sz w:val="24"/>
              </w:rPr>
              <w:t>项目位于独贵塔拉产业园（南区），所有管道</w:t>
            </w:r>
            <w:r>
              <w:rPr>
                <w:rFonts w:hint="eastAsia"/>
                <w:kern w:val="0"/>
                <w:sz w:val="24"/>
              </w:rPr>
              <w:t>均</w:t>
            </w:r>
            <w:r>
              <w:rPr>
                <w:kern w:val="0"/>
                <w:sz w:val="24"/>
              </w:rPr>
              <w:t>利用现有管廊</w:t>
            </w:r>
            <w:r>
              <w:rPr>
                <w:rFonts w:hint="eastAsia"/>
                <w:kern w:val="0"/>
                <w:sz w:val="24"/>
              </w:rPr>
              <w:t>。</w:t>
            </w:r>
          </w:p>
          <w:p w14:paraId="06C1213B">
            <w:pPr>
              <w:adjustRightInd w:val="0"/>
              <w:snapToGrid w:val="0"/>
              <w:spacing w:line="440" w:lineRule="exact"/>
              <w:ind w:firstLine="480" w:firstLineChars="200"/>
              <w:jc w:val="left"/>
              <w:rPr>
                <w:bCs/>
                <w:sz w:val="24"/>
              </w:rPr>
            </w:pPr>
            <w:r>
              <w:rPr>
                <w:bCs/>
                <w:sz w:val="24"/>
              </w:rPr>
              <w:t>项目路线走向见附图。</w:t>
            </w:r>
          </w:p>
        </w:tc>
      </w:tr>
      <w:tr w14:paraId="52D25B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51" w:type="pct"/>
            <w:vAlign w:val="center"/>
          </w:tcPr>
          <w:p w14:paraId="24512068">
            <w:pPr>
              <w:adjustRightInd w:val="0"/>
              <w:snapToGrid w:val="0"/>
              <w:spacing w:line="440" w:lineRule="exact"/>
              <w:jc w:val="center"/>
              <w:rPr>
                <w:kern w:val="0"/>
                <w:sz w:val="24"/>
              </w:rPr>
            </w:pPr>
            <w:r>
              <w:rPr>
                <w:kern w:val="0"/>
                <w:sz w:val="24"/>
              </w:rPr>
              <w:t>项目组成及规模</w:t>
            </w:r>
          </w:p>
        </w:tc>
        <w:tc>
          <w:tcPr>
            <w:tcW w:w="4748" w:type="pct"/>
          </w:tcPr>
          <w:p w14:paraId="57550907">
            <w:pPr>
              <w:adjustRightInd w:val="0"/>
              <w:snapToGrid w:val="0"/>
              <w:spacing w:line="440" w:lineRule="exact"/>
              <w:ind w:firstLine="482" w:firstLineChars="200"/>
              <w:rPr>
                <w:b/>
                <w:bCs/>
                <w:kern w:val="0"/>
                <w:sz w:val="24"/>
              </w:rPr>
            </w:pPr>
            <w:r>
              <w:rPr>
                <w:rFonts w:hint="eastAsia"/>
                <w:b/>
                <w:bCs/>
                <w:kern w:val="0"/>
                <w:sz w:val="24"/>
              </w:rPr>
              <w:t>项目由来：</w:t>
            </w:r>
          </w:p>
          <w:p w14:paraId="744823D0">
            <w:pPr>
              <w:adjustRightInd w:val="0"/>
              <w:snapToGrid w:val="0"/>
              <w:spacing w:line="440" w:lineRule="exact"/>
              <w:ind w:firstLine="480" w:firstLineChars="200"/>
              <w:rPr>
                <w:kern w:val="0"/>
                <w:sz w:val="24"/>
              </w:rPr>
            </w:pPr>
            <w:r>
              <w:rPr>
                <w:rFonts w:hint="eastAsia"/>
                <w:kern w:val="0"/>
                <w:sz w:val="24"/>
              </w:rPr>
              <w:t>内蒙古伊泰宏城化学有限公司成立于2025年4月，投资方包括内蒙古伊泰化工有限责任公司、</w:t>
            </w:r>
            <w:bookmarkStart w:id="18" w:name="OLE_LINK35"/>
            <w:r>
              <w:rPr>
                <w:rFonts w:hint="eastAsia"/>
                <w:kern w:val="0"/>
                <w:sz w:val="24"/>
              </w:rPr>
              <w:t>宏城化工（鄂尔多斯）有限责任公司</w:t>
            </w:r>
            <w:bookmarkEnd w:id="18"/>
            <w:r>
              <w:rPr>
                <w:rFonts w:hint="eastAsia"/>
                <w:kern w:val="0"/>
                <w:sz w:val="24"/>
              </w:rPr>
              <w:t>。于2025年7月委托内</w:t>
            </w:r>
            <w:r>
              <w:rPr>
                <w:kern w:val="0"/>
                <w:sz w:val="24"/>
              </w:rPr>
              <w:t>蒙古尚清环保科技有限公司编制完成《内蒙古伊泰宏城化学有限公司 10000吨/年聚a-烯烃（PAO）示范项目环境影响报告书》，并于2026年4月取得鄂尔多斯市生态环境局批复（鄂环审字〔202</w:t>
            </w:r>
            <w:r>
              <w:rPr>
                <w:rFonts w:hint="eastAsia"/>
                <w:kern w:val="0"/>
                <w:sz w:val="24"/>
                <w:lang w:val="en-US" w:eastAsia="zh-CN"/>
              </w:rPr>
              <w:t>6</w:t>
            </w:r>
            <w:r>
              <w:rPr>
                <w:kern w:val="0"/>
                <w:sz w:val="24"/>
              </w:rPr>
              <w:t>〕54号）</w:t>
            </w:r>
            <w:r>
              <w:rPr>
                <w:rFonts w:hint="eastAsia"/>
                <w:kern w:val="0"/>
                <w:sz w:val="24"/>
              </w:rPr>
              <w:t>。该项目以内蒙古伊泰化工有限责任公司产品混合烯烃C9~12和PSA2装置氢气为原料生产聚a-烯烃（PAO）产品，同时项目副产品“烷烃”输送至伊泰化工化学品加工装置再利用、加氢装置事故排放气依托伊泰化工现有火炬处置。因此，为保证</w:t>
            </w:r>
            <w:r>
              <w:rPr>
                <w:kern w:val="0"/>
                <w:sz w:val="24"/>
              </w:rPr>
              <w:t>内蒙古伊泰宏城化学有限公司10000吨/年聚a-烯烃（PAO）示范项目</w:t>
            </w:r>
            <w:r>
              <w:rPr>
                <w:rFonts w:hint="eastAsia"/>
                <w:kern w:val="0"/>
                <w:sz w:val="24"/>
              </w:rPr>
              <w:t>的顺利实施，内蒙古伊泰化工有限责任公司拟投资705.8万元建设伊泰化工下游物料输送管线技改项目。</w:t>
            </w:r>
          </w:p>
          <w:p w14:paraId="0E92CD57">
            <w:pPr>
              <w:adjustRightInd w:val="0"/>
              <w:snapToGrid w:val="0"/>
              <w:spacing w:line="440" w:lineRule="exact"/>
              <w:ind w:firstLine="482" w:firstLineChars="200"/>
              <w:rPr>
                <w:b/>
                <w:bCs/>
                <w:sz w:val="24"/>
              </w:rPr>
            </w:pPr>
            <w:r>
              <w:rPr>
                <w:rFonts w:hint="eastAsia"/>
                <w:b/>
                <w:bCs/>
                <w:sz w:val="24"/>
              </w:rPr>
              <w:t>评价内容：</w:t>
            </w:r>
          </w:p>
          <w:p w14:paraId="30DC2FF0">
            <w:pPr>
              <w:adjustRightInd w:val="0"/>
              <w:snapToGrid w:val="0"/>
              <w:spacing w:line="440" w:lineRule="exact"/>
              <w:ind w:firstLine="480" w:firstLineChars="200"/>
              <w:rPr>
                <w:sz w:val="24"/>
              </w:rPr>
            </w:pPr>
            <w:r>
              <w:rPr>
                <w:rFonts w:hint="eastAsia"/>
                <w:sz w:val="24"/>
              </w:rPr>
              <w:t>根据项目备案告知书，本项目是基于伊泰宏城化学PAO项目的实施，需依托伊泰化工原料及公用工程物料输送，共计15条物料输送管线。伊泰化工混合烯烃、新氢、新鲜水、循环水给水、低压蒸汽氮气、供暖热水、仪表空气、压缩空气输送至PAO装置；PAO装置的烷烃返料、低压蒸汽凝液、循环水回水、供暖回水、含氯含油废水、排放气至伊泰化工。其中，由于伊泰化工和宏城化工厂区紧邻，新鲜水、循环水给水、低压蒸汽氮气、供暖热水、仪表空气、压缩空气、低压蒸汽凝液、循环水回水、供暖回水、含氯含油废水等管道主要施工内容在宏城化工厂区内，伊泰化工现有厂区均利用现有管道，均已预留接口，且上述物质均不属于危险化学品或危险物质，故本次评价内容主要针对混合烯烃、新氢、排放气、烷烃返回料等4条涉及危险化学品或危险物质的管道。</w:t>
            </w:r>
          </w:p>
          <w:p w14:paraId="0A27DFE9">
            <w:pPr>
              <w:adjustRightInd w:val="0"/>
              <w:snapToGrid w:val="0"/>
              <w:spacing w:line="440" w:lineRule="exact"/>
              <w:ind w:firstLine="480" w:firstLineChars="200"/>
              <w:rPr>
                <w:sz w:val="24"/>
              </w:rPr>
            </w:pPr>
            <w:r>
              <w:rPr>
                <w:sz w:val="24"/>
              </w:rPr>
              <w:t>按照《中华人民共和国</w:t>
            </w:r>
            <w:r>
              <w:rPr>
                <w:rFonts w:hint="eastAsia"/>
                <w:sz w:val="24"/>
              </w:rPr>
              <w:t>生态环境法典</w:t>
            </w:r>
            <w:r>
              <w:rPr>
                <w:sz w:val="24"/>
              </w:rPr>
              <w:t>》，该项目应进行环境影响评价工作</w:t>
            </w:r>
            <w:r>
              <w:rPr>
                <w:rFonts w:hint="eastAsia"/>
                <w:sz w:val="24"/>
              </w:rPr>
              <w:t>。</w:t>
            </w:r>
            <w:r>
              <w:rPr>
                <w:sz w:val="24"/>
              </w:rPr>
              <w:t>对照《环境影响评价分类管理名录（2021版）》，</w:t>
            </w:r>
            <w:r>
              <w:rPr>
                <w:rFonts w:hint="eastAsia"/>
                <w:sz w:val="24"/>
              </w:rPr>
              <w:t>项目</w:t>
            </w:r>
            <w:r>
              <w:rPr>
                <w:sz w:val="24"/>
              </w:rPr>
              <w:t>属于</w:t>
            </w:r>
            <w:r>
              <w:rPr>
                <w:rFonts w:hint="eastAsia" w:ascii="宋体" w:hAnsi="宋体"/>
                <w:sz w:val="24"/>
              </w:rPr>
              <w:t>“</w:t>
            </w:r>
            <w:r>
              <w:rPr>
                <w:sz w:val="24"/>
              </w:rPr>
              <w:t>五十二、交通运输业、管道运输业</w:t>
            </w:r>
            <w:bookmarkStart w:id="19" w:name="OLE_LINK25"/>
            <w:r>
              <w:rPr>
                <w:sz w:val="24"/>
              </w:rPr>
              <w:t>-14</w:t>
            </w:r>
            <w:r>
              <w:rPr>
                <w:rFonts w:hint="eastAsia"/>
                <w:sz w:val="24"/>
              </w:rPr>
              <w:t>8危险化学品输送</w:t>
            </w:r>
            <w:r>
              <w:rPr>
                <w:sz w:val="24"/>
              </w:rPr>
              <w:t>管线（不含企业厂区内</w:t>
            </w:r>
            <w:r>
              <w:rPr>
                <w:rFonts w:hint="eastAsia"/>
                <w:sz w:val="24"/>
              </w:rPr>
              <w:t>管线</w:t>
            </w:r>
            <w:r>
              <w:rPr>
                <w:sz w:val="24"/>
              </w:rPr>
              <w:t>）</w:t>
            </w:r>
            <w:bookmarkEnd w:id="19"/>
            <w:r>
              <w:rPr>
                <w:rFonts w:hint="eastAsia" w:ascii="宋体" w:hAnsi="宋体"/>
                <w:sz w:val="24"/>
              </w:rPr>
              <w:t>”</w:t>
            </w:r>
            <w:r>
              <w:rPr>
                <w:sz w:val="24"/>
              </w:rPr>
              <w:t>，应当编制</w:t>
            </w:r>
            <w:r>
              <w:rPr>
                <w:rFonts w:hint="eastAsia"/>
                <w:sz w:val="24"/>
              </w:rPr>
              <w:t>生态</w:t>
            </w:r>
            <w:r>
              <w:rPr>
                <w:sz w:val="24"/>
              </w:rPr>
              <w:t>环境影响报告表</w:t>
            </w:r>
            <w:r>
              <w:rPr>
                <w:rFonts w:hint="eastAsia"/>
                <w:sz w:val="24"/>
                <w:lang w:eastAsia="zh-CN"/>
              </w:rPr>
              <w:t>。</w:t>
            </w:r>
            <w:r>
              <w:rPr>
                <w:sz w:val="24"/>
              </w:rPr>
              <w:t>为此</w:t>
            </w:r>
            <w:r>
              <w:rPr>
                <w:kern w:val="0"/>
                <w:sz w:val="24"/>
              </w:rPr>
              <w:t>内蒙古伊泰化工有限责任公司</w:t>
            </w:r>
            <w:r>
              <w:rPr>
                <w:sz w:val="24"/>
              </w:rPr>
              <w:t>委托</w:t>
            </w:r>
            <w:r>
              <w:rPr>
                <w:rFonts w:hint="eastAsia"/>
                <w:sz w:val="24"/>
              </w:rPr>
              <w:t>我单位</w:t>
            </w:r>
            <w:r>
              <w:rPr>
                <w:sz w:val="24"/>
              </w:rPr>
              <w:t>承担该项目的环境影响评价工作。</w:t>
            </w:r>
          </w:p>
          <w:p w14:paraId="36C59954">
            <w:pPr>
              <w:adjustRightInd w:val="0"/>
              <w:snapToGrid w:val="0"/>
              <w:spacing w:line="440" w:lineRule="exact"/>
              <w:ind w:firstLine="480" w:firstLineChars="200"/>
              <w:rPr>
                <w:sz w:val="24"/>
              </w:rPr>
            </w:pPr>
            <w:r>
              <w:rPr>
                <w:sz w:val="24"/>
              </w:rPr>
              <w:t>我单位接受委托后，通过现场踏勘、资料收集等工作，并按</w:t>
            </w:r>
            <w:r>
              <w:rPr>
                <w:rFonts w:hint="eastAsia"/>
                <w:sz w:val="24"/>
              </w:rPr>
              <w:t>《建设项目环境影响报告表编制技术指南（生态影响类）》</w:t>
            </w:r>
            <w:r>
              <w:rPr>
                <w:sz w:val="24"/>
              </w:rPr>
              <w:t>规定编制完成</w:t>
            </w:r>
            <w:r>
              <w:rPr>
                <w:rFonts w:hint="eastAsia"/>
                <w:sz w:val="24"/>
              </w:rPr>
              <w:t>生态</w:t>
            </w:r>
            <w:r>
              <w:rPr>
                <w:sz w:val="24"/>
              </w:rPr>
              <w:t>环境影响报告表。</w:t>
            </w:r>
          </w:p>
          <w:p w14:paraId="55980162">
            <w:pPr>
              <w:spacing w:line="440" w:lineRule="exact"/>
              <w:ind w:firstLine="482" w:firstLineChars="200"/>
              <w:rPr>
                <w:b/>
                <w:sz w:val="24"/>
              </w:rPr>
            </w:pPr>
            <w:r>
              <w:rPr>
                <w:b/>
                <w:sz w:val="24"/>
              </w:rPr>
              <w:t>1</w:t>
            </w:r>
            <w:r>
              <w:rPr>
                <w:rFonts w:hint="eastAsia"/>
                <w:b/>
                <w:sz w:val="24"/>
              </w:rPr>
              <w:t>.</w:t>
            </w:r>
            <w:r>
              <w:rPr>
                <w:b/>
                <w:sz w:val="24"/>
              </w:rPr>
              <w:t>项目名称</w:t>
            </w:r>
          </w:p>
          <w:p w14:paraId="4379EC96">
            <w:pPr>
              <w:tabs>
                <w:tab w:val="left" w:pos="5790"/>
              </w:tabs>
              <w:spacing w:line="440" w:lineRule="exact"/>
              <w:ind w:firstLine="480" w:firstLineChars="200"/>
              <w:rPr>
                <w:sz w:val="24"/>
              </w:rPr>
            </w:pPr>
            <w:r>
              <w:rPr>
                <w:rFonts w:hint="eastAsia"/>
                <w:sz w:val="24"/>
              </w:rPr>
              <w:t>伊泰化工下游物料输送管线技改项目</w:t>
            </w:r>
          </w:p>
          <w:p w14:paraId="3776041E">
            <w:pPr>
              <w:tabs>
                <w:tab w:val="left" w:pos="5790"/>
              </w:tabs>
              <w:spacing w:line="440" w:lineRule="exact"/>
              <w:ind w:firstLine="482" w:firstLineChars="200"/>
              <w:rPr>
                <w:b/>
                <w:sz w:val="24"/>
              </w:rPr>
            </w:pPr>
            <w:r>
              <w:rPr>
                <w:b/>
                <w:sz w:val="24"/>
              </w:rPr>
              <w:t>2</w:t>
            </w:r>
            <w:r>
              <w:rPr>
                <w:rFonts w:hint="eastAsia"/>
                <w:b/>
                <w:sz w:val="24"/>
              </w:rPr>
              <w:t>.</w:t>
            </w:r>
            <w:r>
              <w:rPr>
                <w:b/>
                <w:sz w:val="24"/>
              </w:rPr>
              <w:t>建设单位</w:t>
            </w:r>
          </w:p>
          <w:p w14:paraId="4588D3A1">
            <w:pPr>
              <w:tabs>
                <w:tab w:val="left" w:pos="5790"/>
              </w:tabs>
              <w:spacing w:line="440" w:lineRule="exact"/>
              <w:ind w:firstLine="480" w:firstLineChars="200"/>
              <w:rPr>
                <w:sz w:val="24"/>
              </w:rPr>
            </w:pPr>
            <w:r>
              <w:rPr>
                <w:kern w:val="0"/>
                <w:sz w:val="24"/>
              </w:rPr>
              <w:t>内蒙古伊泰化工有限责任公司</w:t>
            </w:r>
          </w:p>
          <w:p w14:paraId="2D2BB46F">
            <w:pPr>
              <w:spacing w:line="440" w:lineRule="exact"/>
              <w:ind w:firstLine="482" w:firstLineChars="200"/>
              <w:rPr>
                <w:b/>
                <w:sz w:val="24"/>
              </w:rPr>
            </w:pPr>
            <w:r>
              <w:rPr>
                <w:b/>
                <w:sz w:val="24"/>
              </w:rPr>
              <w:t>3</w:t>
            </w:r>
            <w:r>
              <w:rPr>
                <w:rFonts w:hint="eastAsia"/>
                <w:b/>
                <w:sz w:val="24"/>
              </w:rPr>
              <w:t>.</w:t>
            </w:r>
            <w:r>
              <w:rPr>
                <w:b/>
                <w:sz w:val="24"/>
              </w:rPr>
              <w:t>建设性质</w:t>
            </w:r>
          </w:p>
          <w:p w14:paraId="00B5E437">
            <w:pPr>
              <w:spacing w:line="440" w:lineRule="exact"/>
              <w:ind w:firstLine="480" w:firstLineChars="200"/>
              <w:rPr>
                <w:sz w:val="24"/>
              </w:rPr>
            </w:pPr>
            <w:r>
              <w:rPr>
                <w:sz w:val="24"/>
              </w:rPr>
              <w:t>新建</w:t>
            </w:r>
          </w:p>
          <w:p w14:paraId="5D00B5F2">
            <w:pPr>
              <w:spacing w:line="440" w:lineRule="exact"/>
              <w:ind w:firstLine="482" w:firstLineChars="200"/>
              <w:rPr>
                <w:sz w:val="24"/>
              </w:rPr>
            </w:pPr>
            <w:r>
              <w:rPr>
                <w:b/>
                <w:sz w:val="24"/>
              </w:rPr>
              <w:t>4</w:t>
            </w:r>
            <w:r>
              <w:rPr>
                <w:rFonts w:hint="eastAsia"/>
                <w:b/>
                <w:sz w:val="24"/>
              </w:rPr>
              <w:t>.</w:t>
            </w:r>
            <w:r>
              <w:rPr>
                <w:b/>
                <w:sz w:val="24"/>
              </w:rPr>
              <w:t>项目投资</w:t>
            </w:r>
          </w:p>
          <w:p w14:paraId="7F50E5F2">
            <w:pPr>
              <w:spacing w:line="440" w:lineRule="exact"/>
              <w:ind w:firstLine="480" w:firstLineChars="200"/>
              <w:rPr>
                <w:b/>
                <w:sz w:val="24"/>
              </w:rPr>
            </w:pPr>
            <w:r>
              <w:rPr>
                <w:sz w:val="24"/>
              </w:rPr>
              <w:t>项目总投资</w:t>
            </w:r>
            <w:r>
              <w:rPr>
                <w:rFonts w:hint="eastAsia"/>
                <w:sz w:val="24"/>
              </w:rPr>
              <w:t>705.8</w:t>
            </w:r>
            <w:r>
              <w:rPr>
                <w:sz w:val="24"/>
              </w:rPr>
              <w:t>万元，其中环保投资</w:t>
            </w:r>
            <w:r>
              <w:rPr>
                <w:rFonts w:hint="eastAsia"/>
                <w:sz w:val="24"/>
              </w:rPr>
              <w:t>25</w:t>
            </w:r>
            <w:r>
              <w:rPr>
                <w:sz w:val="24"/>
              </w:rPr>
              <w:t>万元，占总投资的</w:t>
            </w:r>
            <w:r>
              <w:rPr>
                <w:rFonts w:hint="eastAsia"/>
                <w:sz w:val="24"/>
              </w:rPr>
              <w:t>3.54</w:t>
            </w:r>
            <w:r>
              <w:rPr>
                <w:sz w:val="24"/>
              </w:rPr>
              <w:t>%。</w:t>
            </w:r>
          </w:p>
          <w:p w14:paraId="5D9262D5">
            <w:pPr>
              <w:spacing w:line="440" w:lineRule="exact"/>
              <w:ind w:firstLine="482" w:firstLineChars="200"/>
              <w:rPr>
                <w:b/>
                <w:sz w:val="24"/>
              </w:rPr>
            </w:pPr>
            <w:r>
              <w:rPr>
                <w:b/>
                <w:sz w:val="24"/>
              </w:rPr>
              <w:t>5</w:t>
            </w:r>
            <w:r>
              <w:rPr>
                <w:rFonts w:hint="eastAsia"/>
                <w:b/>
                <w:sz w:val="24"/>
              </w:rPr>
              <w:t>.</w:t>
            </w:r>
            <w:r>
              <w:rPr>
                <w:b/>
                <w:sz w:val="24"/>
              </w:rPr>
              <w:t>建设周期</w:t>
            </w:r>
          </w:p>
          <w:p w14:paraId="53E67133">
            <w:pPr>
              <w:spacing w:line="440" w:lineRule="exact"/>
              <w:ind w:firstLine="480" w:firstLineChars="200"/>
              <w:rPr>
                <w:b/>
                <w:sz w:val="24"/>
              </w:rPr>
            </w:pPr>
            <w:r>
              <w:rPr>
                <w:rFonts w:hint="eastAsia"/>
                <w:sz w:val="24"/>
              </w:rPr>
              <w:t>3.5</w:t>
            </w:r>
            <w:r>
              <w:rPr>
                <w:sz w:val="24"/>
              </w:rPr>
              <w:t>个月</w:t>
            </w:r>
          </w:p>
          <w:p w14:paraId="4A9199FA">
            <w:pPr>
              <w:spacing w:line="440" w:lineRule="exact"/>
              <w:ind w:firstLine="482" w:firstLineChars="200"/>
              <w:rPr>
                <w:b/>
                <w:sz w:val="24"/>
              </w:rPr>
            </w:pPr>
            <w:r>
              <w:rPr>
                <w:b/>
                <w:sz w:val="24"/>
              </w:rPr>
              <w:t>6</w:t>
            </w:r>
            <w:r>
              <w:rPr>
                <w:rFonts w:hint="eastAsia"/>
                <w:b/>
                <w:sz w:val="24"/>
              </w:rPr>
              <w:t>.</w:t>
            </w:r>
            <w:r>
              <w:rPr>
                <w:b/>
                <w:sz w:val="24"/>
              </w:rPr>
              <w:t>占地类型及用地现状</w:t>
            </w:r>
          </w:p>
          <w:p w14:paraId="4ECCED9A">
            <w:pPr>
              <w:spacing w:line="440" w:lineRule="exact"/>
              <w:ind w:firstLine="480" w:firstLineChars="200"/>
              <w:rPr>
                <w:bCs/>
                <w:sz w:val="24"/>
              </w:rPr>
            </w:pPr>
            <w:r>
              <w:rPr>
                <w:bCs/>
                <w:sz w:val="24"/>
              </w:rPr>
              <w:t>永久占地：项目不新增永久占地。</w:t>
            </w:r>
          </w:p>
          <w:p w14:paraId="26C4085C">
            <w:pPr>
              <w:spacing w:line="440" w:lineRule="exact"/>
              <w:ind w:firstLine="480" w:firstLineChars="200"/>
              <w:rPr>
                <w:bCs/>
                <w:sz w:val="24"/>
              </w:rPr>
            </w:pPr>
            <w:r>
              <w:rPr>
                <w:bCs/>
                <w:sz w:val="24"/>
              </w:rPr>
              <w:t>临时占地：现场不设置施工营地（施工人员及施工机械、材料存放均依托</w:t>
            </w:r>
            <w:r>
              <w:rPr>
                <w:rFonts w:hint="eastAsia"/>
                <w:bCs/>
                <w:sz w:val="24"/>
              </w:rPr>
              <w:t>伊泰化工现有厂区</w:t>
            </w:r>
            <w:r>
              <w:rPr>
                <w:bCs/>
                <w:sz w:val="24"/>
              </w:rPr>
              <w:t>），施工道路利用现有道路，不新设施工便道。临时占地</w:t>
            </w:r>
            <w:r>
              <w:rPr>
                <w:rFonts w:hint="eastAsia"/>
                <w:bCs/>
                <w:sz w:val="24"/>
              </w:rPr>
              <w:t>主要</w:t>
            </w:r>
            <w:r>
              <w:rPr>
                <w:bCs/>
                <w:sz w:val="24"/>
              </w:rPr>
              <w:t>为管道安装</w:t>
            </w:r>
            <w:r>
              <w:rPr>
                <w:rFonts w:hint="eastAsia"/>
                <w:bCs/>
                <w:sz w:val="24"/>
              </w:rPr>
              <w:t>过程中施工支架</w:t>
            </w:r>
            <w:r>
              <w:rPr>
                <w:bCs/>
                <w:sz w:val="24"/>
              </w:rPr>
              <w:t>占地，占地面积为2</w:t>
            </w:r>
            <w:r>
              <w:rPr>
                <w:rFonts w:hint="eastAsia"/>
                <w:bCs/>
                <w:sz w:val="24"/>
              </w:rPr>
              <w:t>0</w:t>
            </w:r>
            <w:r>
              <w:rPr>
                <w:bCs/>
                <w:sz w:val="24"/>
              </w:rPr>
              <w:t>0m</w:t>
            </w:r>
            <w:r>
              <w:rPr>
                <w:bCs/>
                <w:sz w:val="24"/>
                <w:vertAlign w:val="superscript"/>
              </w:rPr>
              <w:t>2</w:t>
            </w:r>
            <w:r>
              <w:rPr>
                <w:bCs/>
                <w:sz w:val="24"/>
              </w:rPr>
              <w:t>，占地类型均为</w:t>
            </w:r>
            <w:r>
              <w:rPr>
                <w:rFonts w:hint="eastAsia"/>
                <w:bCs/>
                <w:sz w:val="24"/>
              </w:rPr>
              <w:t>厂区内</w:t>
            </w:r>
            <w:r>
              <w:rPr>
                <w:bCs/>
                <w:sz w:val="24"/>
              </w:rPr>
              <w:t>建设用地。</w:t>
            </w:r>
          </w:p>
          <w:p w14:paraId="49817BFA">
            <w:pPr>
              <w:spacing w:line="440" w:lineRule="exact"/>
              <w:ind w:firstLine="482" w:firstLineChars="200"/>
              <w:rPr>
                <w:b/>
                <w:bCs/>
                <w:sz w:val="24"/>
              </w:rPr>
            </w:pPr>
            <w:r>
              <w:rPr>
                <w:rFonts w:hint="eastAsia"/>
                <w:b/>
                <w:bCs/>
                <w:sz w:val="24"/>
              </w:rPr>
              <w:t>表2-1</w:t>
            </w:r>
            <w:r>
              <w:rPr>
                <w:b/>
                <w:bCs/>
                <w:sz w:val="24"/>
              </w:rPr>
              <w:t xml:space="preserve">   </w:t>
            </w:r>
            <w:r>
              <w:rPr>
                <w:rFonts w:hint="eastAsia"/>
                <w:b/>
                <w:bCs/>
                <w:sz w:val="24"/>
              </w:rPr>
              <w:t>项目占地情况一览表</w:t>
            </w:r>
            <w:r>
              <w:rPr>
                <w:b/>
                <w:bCs/>
                <w:sz w:val="24"/>
              </w:rPr>
              <w:t xml:space="preserve">           </w:t>
            </w:r>
            <w:r>
              <w:rPr>
                <w:rFonts w:hint="eastAsia"/>
                <w:b/>
                <w:bCs/>
                <w:sz w:val="24"/>
              </w:rPr>
              <w:t xml:space="preserve">    </w:t>
            </w:r>
            <w:r>
              <w:rPr>
                <w:b/>
                <w:bCs/>
                <w:sz w:val="24"/>
              </w:rPr>
              <w:t xml:space="preserve">           </w:t>
            </w:r>
            <w:r>
              <w:rPr>
                <w:rFonts w:hint="eastAsia"/>
                <w:b/>
                <w:bCs/>
                <w:sz w:val="24"/>
              </w:rPr>
              <w:t xml:space="preserve">  单位：</w:t>
            </w:r>
            <w:r>
              <w:rPr>
                <w:bCs/>
                <w:sz w:val="24"/>
              </w:rPr>
              <w:t>m</w:t>
            </w:r>
            <w:r>
              <w:rPr>
                <w:bCs/>
                <w:sz w:val="24"/>
                <w:vertAlign w:val="superscript"/>
              </w:rPr>
              <w:t>2</w:t>
            </w:r>
          </w:p>
          <w:tbl>
            <w:tblPr>
              <w:tblStyle w:val="7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90"/>
              <w:gridCol w:w="2125"/>
              <w:gridCol w:w="2477"/>
              <w:gridCol w:w="1686"/>
            </w:tblGrid>
            <w:tr w14:paraId="059B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247" w:type="pct"/>
                  <w:tcBorders>
                    <w:top w:val="single" w:color="auto" w:sz="4" w:space="0"/>
                    <w:left w:val="single" w:color="auto" w:sz="4" w:space="0"/>
                    <w:bottom w:val="single" w:color="auto" w:sz="4" w:space="0"/>
                    <w:right w:val="single" w:color="auto" w:sz="4" w:space="0"/>
                  </w:tcBorders>
                  <w:vAlign w:val="center"/>
                </w:tcPr>
                <w:p w14:paraId="077DF566">
                  <w:pPr>
                    <w:adjustRightInd w:val="0"/>
                    <w:snapToGrid w:val="0"/>
                    <w:spacing w:line="360" w:lineRule="exact"/>
                    <w:jc w:val="center"/>
                    <w:rPr>
                      <w:szCs w:val="21"/>
                    </w:rPr>
                  </w:pPr>
                  <w:r>
                    <w:rPr>
                      <w:rFonts w:hint="eastAsia"/>
                      <w:szCs w:val="21"/>
                    </w:rPr>
                    <w:t>占地类型</w:t>
                  </w:r>
                </w:p>
              </w:tc>
              <w:tc>
                <w:tcPr>
                  <w:tcW w:w="1268" w:type="pct"/>
                  <w:tcBorders>
                    <w:top w:val="single" w:color="auto" w:sz="4" w:space="0"/>
                    <w:left w:val="single" w:color="auto" w:sz="4" w:space="0"/>
                    <w:bottom w:val="single" w:color="auto" w:sz="4" w:space="0"/>
                    <w:right w:val="single" w:color="auto" w:sz="4" w:space="0"/>
                  </w:tcBorders>
                  <w:vAlign w:val="center"/>
                </w:tcPr>
                <w:p w14:paraId="063BF9CA">
                  <w:pPr>
                    <w:adjustRightInd w:val="0"/>
                    <w:snapToGrid w:val="0"/>
                    <w:spacing w:line="360" w:lineRule="exact"/>
                    <w:jc w:val="center"/>
                    <w:rPr>
                      <w:szCs w:val="21"/>
                    </w:rPr>
                  </w:pPr>
                  <w:r>
                    <w:rPr>
                      <w:rFonts w:hint="eastAsia"/>
                      <w:szCs w:val="21"/>
                    </w:rPr>
                    <w:t>永久占地</w:t>
                  </w:r>
                </w:p>
              </w:tc>
              <w:tc>
                <w:tcPr>
                  <w:tcW w:w="1478" w:type="pct"/>
                  <w:tcBorders>
                    <w:top w:val="single" w:color="auto" w:sz="4" w:space="0"/>
                    <w:left w:val="single" w:color="auto" w:sz="4" w:space="0"/>
                    <w:bottom w:val="single" w:color="auto" w:sz="4" w:space="0"/>
                    <w:right w:val="single" w:color="auto" w:sz="4" w:space="0"/>
                  </w:tcBorders>
                  <w:vAlign w:val="center"/>
                </w:tcPr>
                <w:p w14:paraId="45EA628B">
                  <w:pPr>
                    <w:adjustRightInd w:val="0"/>
                    <w:snapToGrid w:val="0"/>
                    <w:spacing w:line="360" w:lineRule="exact"/>
                    <w:jc w:val="center"/>
                    <w:rPr>
                      <w:szCs w:val="21"/>
                    </w:rPr>
                  </w:pPr>
                  <w:r>
                    <w:rPr>
                      <w:rFonts w:hint="eastAsia"/>
                      <w:szCs w:val="21"/>
                    </w:rPr>
                    <w:t>临时占地</w:t>
                  </w:r>
                </w:p>
              </w:tc>
              <w:tc>
                <w:tcPr>
                  <w:tcW w:w="1005" w:type="pct"/>
                  <w:tcBorders>
                    <w:top w:val="single" w:color="auto" w:sz="4" w:space="0"/>
                    <w:left w:val="single" w:color="auto" w:sz="4" w:space="0"/>
                    <w:bottom w:val="single" w:color="auto" w:sz="4" w:space="0"/>
                    <w:right w:val="single" w:color="auto" w:sz="4" w:space="0"/>
                  </w:tcBorders>
                  <w:vAlign w:val="center"/>
                </w:tcPr>
                <w:p w14:paraId="4BD3561F">
                  <w:pPr>
                    <w:adjustRightInd w:val="0"/>
                    <w:snapToGrid w:val="0"/>
                    <w:spacing w:line="360" w:lineRule="exact"/>
                    <w:jc w:val="center"/>
                    <w:rPr>
                      <w:szCs w:val="21"/>
                    </w:rPr>
                  </w:pPr>
                  <w:r>
                    <w:rPr>
                      <w:rFonts w:hint="eastAsia"/>
                      <w:szCs w:val="21"/>
                    </w:rPr>
                    <w:t>小计</w:t>
                  </w:r>
                </w:p>
              </w:tc>
            </w:tr>
            <w:tr w14:paraId="51D3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247" w:type="pct"/>
                  <w:tcBorders>
                    <w:top w:val="single" w:color="auto" w:sz="4" w:space="0"/>
                    <w:left w:val="single" w:color="auto" w:sz="4" w:space="0"/>
                    <w:bottom w:val="single" w:color="auto" w:sz="4" w:space="0"/>
                    <w:right w:val="single" w:color="auto" w:sz="4" w:space="0"/>
                  </w:tcBorders>
                  <w:vAlign w:val="center"/>
                </w:tcPr>
                <w:p w14:paraId="43E5F248">
                  <w:pPr>
                    <w:adjustRightInd w:val="0"/>
                    <w:snapToGrid w:val="0"/>
                    <w:spacing w:line="360" w:lineRule="exact"/>
                    <w:jc w:val="center"/>
                    <w:rPr>
                      <w:szCs w:val="21"/>
                    </w:rPr>
                  </w:pPr>
                  <w:r>
                    <w:rPr>
                      <w:rFonts w:hint="eastAsia"/>
                      <w:szCs w:val="21"/>
                    </w:rPr>
                    <w:t>建设用地</w:t>
                  </w:r>
                </w:p>
              </w:tc>
              <w:tc>
                <w:tcPr>
                  <w:tcW w:w="1268" w:type="pct"/>
                  <w:tcBorders>
                    <w:top w:val="single" w:color="auto" w:sz="4" w:space="0"/>
                    <w:left w:val="single" w:color="auto" w:sz="4" w:space="0"/>
                    <w:bottom w:val="single" w:color="auto" w:sz="4" w:space="0"/>
                    <w:right w:val="single" w:color="auto" w:sz="4" w:space="0"/>
                  </w:tcBorders>
                  <w:vAlign w:val="center"/>
                </w:tcPr>
                <w:p w14:paraId="678C7A96">
                  <w:pPr>
                    <w:adjustRightInd w:val="0"/>
                    <w:snapToGrid w:val="0"/>
                    <w:spacing w:line="360" w:lineRule="exact"/>
                    <w:jc w:val="center"/>
                    <w:rPr>
                      <w:szCs w:val="21"/>
                    </w:rPr>
                  </w:pPr>
                  <w:r>
                    <w:rPr>
                      <w:rFonts w:hint="eastAsia"/>
                      <w:szCs w:val="21"/>
                    </w:rPr>
                    <w:t>0</w:t>
                  </w:r>
                </w:p>
              </w:tc>
              <w:tc>
                <w:tcPr>
                  <w:tcW w:w="1478" w:type="pct"/>
                  <w:tcBorders>
                    <w:top w:val="single" w:color="auto" w:sz="4" w:space="0"/>
                    <w:left w:val="single" w:color="auto" w:sz="4" w:space="0"/>
                    <w:bottom w:val="single" w:color="auto" w:sz="4" w:space="0"/>
                    <w:right w:val="single" w:color="auto" w:sz="4" w:space="0"/>
                  </w:tcBorders>
                  <w:vAlign w:val="center"/>
                </w:tcPr>
                <w:p w14:paraId="1347C2CF">
                  <w:pPr>
                    <w:adjustRightInd w:val="0"/>
                    <w:snapToGrid w:val="0"/>
                    <w:spacing w:line="360" w:lineRule="exact"/>
                    <w:jc w:val="center"/>
                    <w:rPr>
                      <w:szCs w:val="21"/>
                    </w:rPr>
                  </w:pPr>
                  <w:r>
                    <w:rPr>
                      <w:rFonts w:hint="eastAsia"/>
                      <w:szCs w:val="21"/>
                    </w:rPr>
                    <w:t>200</w:t>
                  </w:r>
                </w:p>
              </w:tc>
              <w:tc>
                <w:tcPr>
                  <w:tcW w:w="1005" w:type="pct"/>
                  <w:tcBorders>
                    <w:top w:val="single" w:color="auto" w:sz="4" w:space="0"/>
                    <w:left w:val="single" w:color="auto" w:sz="4" w:space="0"/>
                    <w:bottom w:val="single" w:color="auto" w:sz="4" w:space="0"/>
                    <w:right w:val="single" w:color="auto" w:sz="4" w:space="0"/>
                  </w:tcBorders>
                  <w:vAlign w:val="center"/>
                </w:tcPr>
                <w:p w14:paraId="43092B68">
                  <w:pPr>
                    <w:adjustRightInd w:val="0"/>
                    <w:snapToGrid w:val="0"/>
                    <w:spacing w:line="360" w:lineRule="exact"/>
                    <w:jc w:val="center"/>
                    <w:rPr>
                      <w:szCs w:val="21"/>
                    </w:rPr>
                  </w:pPr>
                  <w:r>
                    <w:rPr>
                      <w:rFonts w:hint="eastAsia"/>
                      <w:szCs w:val="21"/>
                    </w:rPr>
                    <w:t>200</w:t>
                  </w:r>
                </w:p>
              </w:tc>
            </w:tr>
            <w:tr w14:paraId="3DEF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247" w:type="pct"/>
                  <w:tcBorders>
                    <w:top w:val="single" w:color="auto" w:sz="4" w:space="0"/>
                    <w:left w:val="single" w:color="auto" w:sz="4" w:space="0"/>
                    <w:bottom w:val="single" w:color="auto" w:sz="4" w:space="0"/>
                    <w:right w:val="single" w:color="auto" w:sz="4" w:space="0"/>
                  </w:tcBorders>
                  <w:vAlign w:val="center"/>
                </w:tcPr>
                <w:p w14:paraId="29DBF050">
                  <w:pPr>
                    <w:adjustRightInd w:val="0"/>
                    <w:snapToGrid w:val="0"/>
                    <w:spacing w:line="360" w:lineRule="exact"/>
                    <w:jc w:val="center"/>
                    <w:rPr>
                      <w:szCs w:val="21"/>
                    </w:rPr>
                  </w:pPr>
                  <w:r>
                    <w:rPr>
                      <w:rFonts w:hint="eastAsia"/>
                      <w:szCs w:val="21"/>
                    </w:rPr>
                    <w:t>农用地</w:t>
                  </w:r>
                </w:p>
              </w:tc>
              <w:tc>
                <w:tcPr>
                  <w:tcW w:w="1268" w:type="pct"/>
                  <w:tcBorders>
                    <w:top w:val="single" w:color="auto" w:sz="4" w:space="0"/>
                    <w:left w:val="single" w:color="auto" w:sz="4" w:space="0"/>
                    <w:bottom w:val="single" w:color="auto" w:sz="4" w:space="0"/>
                    <w:right w:val="single" w:color="auto" w:sz="4" w:space="0"/>
                  </w:tcBorders>
                  <w:vAlign w:val="center"/>
                </w:tcPr>
                <w:p w14:paraId="759EFD4F">
                  <w:pPr>
                    <w:adjustRightInd w:val="0"/>
                    <w:snapToGrid w:val="0"/>
                    <w:spacing w:line="360" w:lineRule="exact"/>
                    <w:jc w:val="center"/>
                    <w:rPr>
                      <w:szCs w:val="21"/>
                    </w:rPr>
                  </w:pPr>
                  <w:r>
                    <w:rPr>
                      <w:rFonts w:hint="eastAsia"/>
                      <w:szCs w:val="21"/>
                    </w:rPr>
                    <w:t>0</w:t>
                  </w:r>
                </w:p>
              </w:tc>
              <w:tc>
                <w:tcPr>
                  <w:tcW w:w="1478" w:type="pct"/>
                  <w:tcBorders>
                    <w:top w:val="single" w:color="auto" w:sz="4" w:space="0"/>
                    <w:left w:val="single" w:color="auto" w:sz="4" w:space="0"/>
                    <w:bottom w:val="single" w:color="auto" w:sz="4" w:space="0"/>
                    <w:right w:val="single" w:color="auto" w:sz="4" w:space="0"/>
                  </w:tcBorders>
                  <w:vAlign w:val="center"/>
                </w:tcPr>
                <w:p w14:paraId="6F68AE24">
                  <w:pPr>
                    <w:adjustRightInd w:val="0"/>
                    <w:snapToGrid w:val="0"/>
                    <w:spacing w:line="360" w:lineRule="exact"/>
                    <w:jc w:val="center"/>
                    <w:rPr>
                      <w:szCs w:val="21"/>
                    </w:rPr>
                  </w:pPr>
                  <w:r>
                    <w:rPr>
                      <w:rFonts w:hint="eastAsia"/>
                      <w:szCs w:val="21"/>
                    </w:rPr>
                    <w:t>0</w:t>
                  </w:r>
                </w:p>
              </w:tc>
              <w:tc>
                <w:tcPr>
                  <w:tcW w:w="1005" w:type="pct"/>
                  <w:tcBorders>
                    <w:top w:val="single" w:color="auto" w:sz="4" w:space="0"/>
                    <w:left w:val="single" w:color="auto" w:sz="4" w:space="0"/>
                    <w:bottom w:val="single" w:color="auto" w:sz="4" w:space="0"/>
                    <w:right w:val="single" w:color="auto" w:sz="4" w:space="0"/>
                  </w:tcBorders>
                  <w:vAlign w:val="center"/>
                </w:tcPr>
                <w:p w14:paraId="1DED9164">
                  <w:pPr>
                    <w:adjustRightInd w:val="0"/>
                    <w:snapToGrid w:val="0"/>
                    <w:spacing w:line="360" w:lineRule="exact"/>
                    <w:jc w:val="center"/>
                    <w:rPr>
                      <w:szCs w:val="21"/>
                    </w:rPr>
                  </w:pPr>
                  <w:r>
                    <w:rPr>
                      <w:rFonts w:hint="eastAsia"/>
                      <w:szCs w:val="21"/>
                    </w:rPr>
                    <w:t>0</w:t>
                  </w:r>
                </w:p>
              </w:tc>
            </w:tr>
            <w:tr w14:paraId="044C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247" w:type="pct"/>
                  <w:tcBorders>
                    <w:top w:val="single" w:color="auto" w:sz="4" w:space="0"/>
                    <w:left w:val="single" w:color="auto" w:sz="4" w:space="0"/>
                    <w:bottom w:val="single" w:color="auto" w:sz="4" w:space="0"/>
                    <w:right w:val="single" w:color="auto" w:sz="4" w:space="0"/>
                  </w:tcBorders>
                  <w:vAlign w:val="center"/>
                </w:tcPr>
                <w:p w14:paraId="2773E6B6">
                  <w:pPr>
                    <w:adjustRightInd w:val="0"/>
                    <w:snapToGrid w:val="0"/>
                    <w:spacing w:line="360" w:lineRule="exact"/>
                    <w:jc w:val="center"/>
                    <w:rPr>
                      <w:szCs w:val="21"/>
                    </w:rPr>
                  </w:pPr>
                  <w:r>
                    <w:rPr>
                      <w:rFonts w:hint="eastAsia"/>
                      <w:szCs w:val="21"/>
                    </w:rPr>
                    <w:t>未利用地</w:t>
                  </w:r>
                </w:p>
              </w:tc>
              <w:tc>
                <w:tcPr>
                  <w:tcW w:w="1268" w:type="pct"/>
                  <w:tcBorders>
                    <w:top w:val="single" w:color="auto" w:sz="4" w:space="0"/>
                    <w:left w:val="single" w:color="auto" w:sz="4" w:space="0"/>
                    <w:bottom w:val="single" w:color="auto" w:sz="4" w:space="0"/>
                    <w:right w:val="single" w:color="auto" w:sz="4" w:space="0"/>
                  </w:tcBorders>
                  <w:vAlign w:val="center"/>
                </w:tcPr>
                <w:p w14:paraId="24669322">
                  <w:pPr>
                    <w:adjustRightInd w:val="0"/>
                    <w:snapToGrid w:val="0"/>
                    <w:spacing w:line="360" w:lineRule="exact"/>
                    <w:jc w:val="center"/>
                    <w:rPr>
                      <w:szCs w:val="21"/>
                    </w:rPr>
                  </w:pPr>
                  <w:r>
                    <w:rPr>
                      <w:rFonts w:hint="eastAsia"/>
                      <w:szCs w:val="21"/>
                    </w:rPr>
                    <w:t>0</w:t>
                  </w:r>
                </w:p>
              </w:tc>
              <w:tc>
                <w:tcPr>
                  <w:tcW w:w="1478" w:type="pct"/>
                  <w:tcBorders>
                    <w:top w:val="single" w:color="auto" w:sz="4" w:space="0"/>
                    <w:left w:val="single" w:color="auto" w:sz="4" w:space="0"/>
                    <w:bottom w:val="single" w:color="auto" w:sz="4" w:space="0"/>
                    <w:right w:val="single" w:color="auto" w:sz="4" w:space="0"/>
                  </w:tcBorders>
                  <w:vAlign w:val="center"/>
                </w:tcPr>
                <w:p w14:paraId="0E274FFA">
                  <w:pPr>
                    <w:adjustRightInd w:val="0"/>
                    <w:snapToGrid w:val="0"/>
                    <w:spacing w:line="360" w:lineRule="exact"/>
                    <w:jc w:val="center"/>
                    <w:rPr>
                      <w:szCs w:val="21"/>
                    </w:rPr>
                  </w:pPr>
                  <w:r>
                    <w:rPr>
                      <w:rFonts w:hint="eastAsia"/>
                      <w:szCs w:val="21"/>
                    </w:rPr>
                    <w:t>0</w:t>
                  </w:r>
                </w:p>
              </w:tc>
              <w:tc>
                <w:tcPr>
                  <w:tcW w:w="1005" w:type="pct"/>
                  <w:tcBorders>
                    <w:top w:val="single" w:color="auto" w:sz="4" w:space="0"/>
                    <w:left w:val="single" w:color="auto" w:sz="4" w:space="0"/>
                    <w:bottom w:val="single" w:color="auto" w:sz="4" w:space="0"/>
                    <w:right w:val="single" w:color="auto" w:sz="4" w:space="0"/>
                  </w:tcBorders>
                  <w:vAlign w:val="center"/>
                </w:tcPr>
                <w:p w14:paraId="1533EE62">
                  <w:pPr>
                    <w:adjustRightInd w:val="0"/>
                    <w:snapToGrid w:val="0"/>
                    <w:spacing w:line="360" w:lineRule="exact"/>
                    <w:jc w:val="center"/>
                    <w:rPr>
                      <w:szCs w:val="21"/>
                    </w:rPr>
                  </w:pPr>
                  <w:r>
                    <w:rPr>
                      <w:rFonts w:hint="eastAsia"/>
                      <w:szCs w:val="21"/>
                    </w:rPr>
                    <w:t>0</w:t>
                  </w:r>
                </w:p>
              </w:tc>
            </w:tr>
            <w:tr w14:paraId="08A8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247" w:type="pct"/>
                  <w:tcBorders>
                    <w:top w:val="single" w:color="auto" w:sz="4" w:space="0"/>
                    <w:left w:val="single" w:color="auto" w:sz="4" w:space="0"/>
                    <w:bottom w:val="single" w:color="auto" w:sz="4" w:space="0"/>
                    <w:right w:val="single" w:color="auto" w:sz="4" w:space="0"/>
                  </w:tcBorders>
                  <w:vAlign w:val="center"/>
                </w:tcPr>
                <w:p w14:paraId="1458B89F">
                  <w:pPr>
                    <w:adjustRightInd w:val="0"/>
                    <w:snapToGrid w:val="0"/>
                    <w:spacing w:line="360" w:lineRule="exact"/>
                    <w:jc w:val="center"/>
                    <w:rPr>
                      <w:szCs w:val="21"/>
                    </w:rPr>
                  </w:pPr>
                  <w:r>
                    <w:rPr>
                      <w:rFonts w:hint="eastAsia"/>
                      <w:szCs w:val="21"/>
                    </w:rPr>
                    <w:t>合计</w:t>
                  </w:r>
                </w:p>
              </w:tc>
              <w:tc>
                <w:tcPr>
                  <w:tcW w:w="1268" w:type="pct"/>
                  <w:tcBorders>
                    <w:top w:val="single" w:color="auto" w:sz="4" w:space="0"/>
                    <w:left w:val="single" w:color="auto" w:sz="4" w:space="0"/>
                    <w:bottom w:val="single" w:color="auto" w:sz="4" w:space="0"/>
                    <w:right w:val="single" w:color="auto" w:sz="4" w:space="0"/>
                  </w:tcBorders>
                  <w:vAlign w:val="center"/>
                </w:tcPr>
                <w:p w14:paraId="2AAF5C51">
                  <w:pPr>
                    <w:adjustRightInd w:val="0"/>
                    <w:snapToGrid w:val="0"/>
                    <w:spacing w:line="360" w:lineRule="exact"/>
                    <w:jc w:val="center"/>
                    <w:rPr>
                      <w:szCs w:val="21"/>
                    </w:rPr>
                  </w:pPr>
                  <w:r>
                    <w:rPr>
                      <w:rFonts w:hint="eastAsia"/>
                      <w:szCs w:val="21"/>
                    </w:rPr>
                    <w:t>0</w:t>
                  </w:r>
                </w:p>
              </w:tc>
              <w:tc>
                <w:tcPr>
                  <w:tcW w:w="1478" w:type="pct"/>
                  <w:tcBorders>
                    <w:top w:val="single" w:color="auto" w:sz="4" w:space="0"/>
                    <w:left w:val="single" w:color="auto" w:sz="4" w:space="0"/>
                    <w:bottom w:val="single" w:color="auto" w:sz="4" w:space="0"/>
                    <w:right w:val="single" w:color="auto" w:sz="4" w:space="0"/>
                  </w:tcBorders>
                  <w:vAlign w:val="center"/>
                </w:tcPr>
                <w:p w14:paraId="24755DE1">
                  <w:pPr>
                    <w:adjustRightInd w:val="0"/>
                    <w:snapToGrid w:val="0"/>
                    <w:spacing w:line="360" w:lineRule="exact"/>
                    <w:jc w:val="center"/>
                    <w:rPr>
                      <w:szCs w:val="21"/>
                    </w:rPr>
                  </w:pPr>
                  <w:r>
                    <w:rPr>
                      <w:rFonts w:hint="eastAsia"/>
                      <w:szCs w:val="21"/>
                    </w:rPr>
                    <w:t>200</w:t>
                  </w:r>
                </w:p>
              </w:tc>
              <w:tc>
                <w:tcPr>
                  <w:tcW w:w="1005" w:type="pct"/>
                  <w:tcBorders>
                    <w:top w:val="single" w:color="auto" w:sz="4" w:space="0"/>
                    <w:left w:val="single" w:color="auto" w:sz="4" w:space="0"/>
                    <w:bottom w:val="single" w:color="auto" w:sz="4" w:space="0"/>
                    <w:right w:val="single" w:color="auto" w:sz="4" w:space="0"/>
                  </w:tcBorders>
                  <w:vAlign w:val="center"/>
                </w:tcPr>
                <w:p w14:paraId="459F3B08">
                  <w:pPr>
                    <w:adjustRightInd w:val="0"/>
                    <w:snapToGrid w:val="0"/>
                    <w:spacing w:line="360" w:lineRule="exact"/>
                    <w:jc w:val="center"/>
                    <w:rPr>
                      <w:szCs w:val="21"/>
                    </w:rPr>
                  </w:pPr>
                  <w:r>
                    <w:rPr>
                      <w:rFonts w:hint="eastAsia"/>
                      <w:szCs w:val="21"/>
                    </w:rPr>
                    <w:t>200</w:t>
                  </w:r>
                </w:p>
              </w:tc>
            </w:tr>
          </w:tbl>
          <w:p w14:paraId="4471CB1C">
            <w:pPr>
              <w:spacing w:line="440" w:lineRule="exact"/>
              <w:ind w:firstLine="482" w:firstLineChars="200"/>
              <w:rPr>
                <w:b/>
                <w:kern w:val="0"/>
                <w:sz w:val="24"/>
              </w:rPr>
            </w:pPr>
            <w:r>
              <w:rPr>
                <w:b/>
                <w:sz w:val="24"/>
              </w:rPr>
              <w:t>7</w:t>
            </w:r>
            <w:r>
              <w:rPr>
                <w:rFonts w:hint="eastAsia"/>
                <w:b/>
                <w:sz w:val="24"/>
              </w:rPr>
              <w:t>.</w:t>
            </w:r>
            <w:r>
              <w:rPr>
                <w:b/>
                <w:kern w:val="0"/>
                <w:sz w:val="24"/>
              </w:rPr>
              <w:t>建设内容及工程量</w:t>
            </w:r>
          </w:p>
          <w:p w14:paraId="5C89BB20">
            <w:pPr>
              <w:spacing w:line="440" w:lineRule="exact"/>
              <w:ind w:firstLine="480" w:firstLineChars="200"/>
              <w:rPr>
                <w:bCs/>
                <w:kern w:val="0"/>
                <w:sz w:val="24"/>
              </w:rPr>
            </w:pPr>
            <w:r>
              <w:rPr>
                <w:rFonts w:hint="eastAsia"/>
                <w:bCs/>
                <w:kern w:val="0"/>
                <w:sz w:val="24"/>
              </w:rPr>
              <w:t>项目</w:t>
            </w:r>
            <w:r>
              <w:rPr>
                <w:bCs/>
                <w:kern w:val="0"/>
                <w:sz w:val="24"/>
              </w:rPr>
              <w:t>主要建设内容见表</w:t>
            </w:r>
            <w:r>
              <w:rPr>
                <w:rFonts w:hint="eastAsia"/>
                <w:bCs/>
                <w:kern w:val="0"/>
                <w:sz w:val="24"/>
              </w:rPr>
              <w:t>2-2</w:t>
            </w:r>
            <w:r>
              <w:rPr>
                <w:bCs/>
                <w:kern w:val="0"/>
                <w:sz w:val="24"/>
              </w:rPr>
              <w:t>。</w:t>
            </w:r>
          </w:p>
          <w:p w14:paraId="2ADC9F2E">
            <w:pPr>
              <w:spacing w:line="440" w:lineRule="exact"/>
              <w:ind w:firstLine="482" w:firstLineChars="200"/>
              <w:rPr>
                <w:b/>
                <w:kern w:val="0"/>
                <w:sz w:val="24"/>
              </w:rPr>
            </w:pPr>
            <w:r>
              <w:rPr>
                <w:b/>
                <w:sz w:val="24"/>
              </w:rPr>
              <w:t>表</w:t>
            </w:r>
            <w:r>
              <w:rPr>
                <w:rFonts w:hint="eastAsia"/>
                <w:b/>
                <w:sz w:val="24"/>
              </w:rPr>
              <w:t>2-2</w:t>
            </w:r>
            <w:r>
              <w:rPr>
                <w:b/>
                <w:sz w:val="24"/>
              </w:rPr>
              <w:t xml:space="preserve">    </w:t>
            </w:r>
            <w:r>
              <w:rPr>
                <w:b/>
                <w:kern w:val="0"/>
                <w:sz w:val="24"/>
              </w:rPr>
              <w:t>项目建设内容一览表</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8"/>
              <w:gridCol w:w="1084"/>
              <w:gridCol w:w="6766"/>
            </w:tblGrid>
            <w:tr w14:paraId="4A2E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962" w:type="pct"/>
                  <w:gridSpan w:val="2"/>
                  <w:vAlign w:val="center"/>
                </w:tcPr>
                <w:p w14:paraId="6CD37868">
                  <w:pPr>
                    <w:adjustRightInd w:val="0"/>
                    <w:snapToGrid w:val="0"/>
                    <w:spacing w:line="360" w:lineRule="exact"/>
                    <w:jc w:val="center"/>
                    <w:rPr>
                      <w:szCs w:val="21"/>
                    </w:rPr>
                  </w:pPr>
                  <w:r>
                    <w:rPr>
                      <w:szCs w:val="21"/>
                    </w:rPr>
                    <w:t>项目</w:t>
                  </w:r>
                </w:p>
              </w:tc>
              <w:tc>
                <w:tcPr>
                  <w:tcW w:w="4037" w:type="pct"/>
                  <w:vAlign w:val="center"/>
                </w:tcPr>
                <w:p w14:paraId="07BF1FAD">
                  <w:pPr>
                    <w:adjustRightInd w:val="0"/>
                    <w:snapToGrid w:val="0"/>
                    <w:spacing w:line="360" w:lineRule="exact"/>
                    <w:jc w:val="center"/>
                    <w:rPr>
                      <w:szCs w:val="21"/>
                    </w:rPr>
                  </w:pPr>
                  <w:r>
                    <w:rPr>
                      <w:szCs w:val="21"/>
                    </w:rPr>
                    <w:t>建设规模</w:t>
                  </w:r>
                </w:p>
              </w:tc>
            </w:tr>
            <w:tr w14:paraId="551D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62" w:type="pct"/>
                  <w:gridSpan w:val="2"/>
                  <w:vAlign w:val="center"/>
                </w:tcPr>
                <w:p w14:paraId="045DB29F">
                  <w:pPr>
                    <w:adjustRightInd w:val="0"/>
                    <w:snapToGrid w:val="0"/>
                    <w:spacing w:line="360" w:lineRule="exact"/>
                    <w:jc w:val="center"/>
                    <w:rPr>
                      <w:szCs w:val="21"/>
                    </w:rPr>
                  </w:pPr>
                  <w:r>
                    <w:rPr>
                      <w:szCs w:val="21"/>
                    </w:rPr>
                    <w:t>主体工程</w:t>
                  </w:r>
                </w:p>
              </w:tc>
              <w:tc>
                <w:tcPr>
                  <w:tcW w:w="4037" w:type="pct"/>
                  <w:vAlign w:val="center"/>
                </w:tcPr>
                <w:p w14:paraId="199A2ACC">
                  <w:pPr>
                    <w:adjustRightInd w:val="0"/>
                    <w:snapToGrid w:val="0"/>
                    <w:spacing w:line="360" w:lineRule="exact"/>
                    <w:rPr>
                      <w:bCs/>
                      <w:kern w:val="0"/>
                      <w:szCs w:val="21"/>
                    </w:rPr>
                  </w:pPr>
                  <w:r>
                    <w:rPr>
                      <w:rFonts w:hint="eastAsia"/>
                      <w:szCs w:val="21"/>
                    </w:rPr>
                    <w:t>（1）混合烯烃管道：混合烯烃</w:t>
                  </w:r>
                  <w:r>
                    <w:rPr>
                      <w:szCs w:val="21"/>
                    </w:rPr>
                    <w:t>来自伊泰</w:t>
                  </w:r>
                  <w:r>
                    <w:rPr>
                      <w:rFonts w:hint="eastAsia"/>
                      <w:szCs w:val="21"/>
                    </w:rPr>
                    <w:t>化工</w:t>
                  </w:r>
                  <w:r>
                    <w:rPr>
                      <w:szCs w:val="21"/>
                    </w:rPr>
                    <w:t>切分装置，已预留抽头，管道上设置远程控制球阀XV260301、流量计FIQ260301</w:t>
                  </w:r>
                  <w:r>
                    <w:rPr>
                      <w:rFonts w:hint="eastAsia"/>
                      <w:szCs w:val="21"/>
                    </w:rPr>
                    <w:t>。</w:t>
                  </w:r>
                  <w:r>
                    <w:rPr>
                      <w:bCs/>
                      <w:kern w:val="0"/>
                      <w:szCs w:val="21"/>
                    </w:rPr>
                    <w:t>混合烯烃管道长2.5km</w:t>
                  </w:r>
                  <w:r>
                    <w:rPr>
                      <w:rFonts w:hint="eastAsia"/>
                      <w:bCs/>
                      <w:kern w:val="0"/>
                      <w:szCs w:val="21"/>
                    </w:rPr>
                    <w:t>，碳钢材质，管径DN65，设计压力</w:t>
                  </w:r>
                  <w:r>
                    <w:rPr>
                      <w:bCs/>
                      <w:kern w:val="0"/>
                      <w:szCs w:val="21"/>
                    </w:rPr>
                    <w:t>0.4</w:t>
                  </w:r>
                  <w:r>
                    <w:rPr>
                      <w:rFonts w:hint="eastAsia"/>
                      <w:bCs/>
                      <w:kern w:val="0"/>
                      <w:szCs w:val="21"/>
                    </w:rPr>
                    <w:t>MPa，输送量为</w:t>
                  </w:r>
                  <w:r>
                    <w:rPr>
                      <w:bCs/>
                      <w:kern w:val="0"/>
                      <w:szCs w:val="21"/>
                    </w:rPr>
                    <w:t>13500kg/h</w:t>
                  </w:r>
                  <w:r>
                    <w:rPr>
                      <w:rFonts w:hint="eastAsia"/>
                      <w:bCs/>
                      <w:kern w:val="0"/>
                      <w:szCs w:val="21"/>
                    </w:rPr>
                    <w:t>。</w:t>
                  </w:r>
                </w:p>
                <w:p w14:paraId="4A688DF4">
                  <w:pPr>
                    <w:adjustRightInd w:val="0"/>
                    <w:snapToGrid w:val="0"/>
                    <w:spacing w:line="360" w:lineRule="exact"/>
                    <w:rPr>
                      <w:bCs/>
                      <w:kern w:val="0"/>
                      <w:szCs w:val="21"/>
                    </w:rPr>
                  </w:pPr>
                  <w:r>
                    <w:rPr>
                      <w:rFonts w:hint="eastAsia"/>
                      <w:szCs w:val="21"/>
                    </w:rPr>
                    <w:t>（2）新氢管道：新氢来自</w:t>
                  </w:r>
                  <w:r>
                    <w:rPr>
                      <w:szCs w:val="21"/>
                    </w:rPr>
                    <w:t>伊泰</w:t>
                  </w:r>
                  <w:r>
                    <w:rPr>
                      <w:rFonts w:hint="eastAsia"/>
                      <w:szCs w:val="21"/>
                    </w:rPr>
                    <w:t>化工</w:t>
                  </w:r>
                  <w:r>
                    <w:rPr>
                      <w:szCs w:val="21"/>
                    </w:rPr>
                    <w:t>N2管廊，已预留抽头，设置远程控制球阀XV260304、流量计FIQ260304</w:t>
                  </w:r>
                  <w:r>
                    <w:rPr>
                      <w:rFonts w:hint="eastAsia"/>
                      <w:szCs w:val="21"/>
                    </w:rPr>
                    <w:t>。</w:t>
                  </w:r>
                  <w:r>
                    <w:rPr>
                      <w:bCs/>
                      <w:kern w:val="0"/>
                      <w:szCs w:val="21"/>
                    </w:rPr>
                    <w:t>新氢管道长1.4km</w:t>
                  </w:r>
                  <w:r>
                    <w:rPr>
                      <w:rFonts w:hint="eastAsia"/>
                      <w:bCs/>
                      <w:kern w:val="0"/>
                      <w:szCs w:val="21"/>
                    </w:rPr>
                    <w:t>，采用不锈钢材质，管径DN40，设计压力3.4MPa，输送量为</w:t>
                  </w:r>
                  <w:r>
                    <w:rPr>
                      <w:bCs/>
                      <w:kern w:val="0"/>
                      <w:szCs w:val="21"/>
                    </w:rPr>
                    <w:t>160Nm³/h</w:t>
                  </w:r>
                  <w:r>
                    <w:rPr>
                      <w:rFonts w:hint="eastAsia"/>
                      <w:bCs/>
                      <w:kern w:val="0"/>
                      <w:szCs w:val="21"/>
                    </w:rPr>
                    <w:t>。</w:t>
                  </w:r>
                </w:p>
                <w:p w14:paraId="281AAC2C">
                  <w:pPr>
                    <w:adjustRightInd w:val="0"/>
                    <w:snapToGrid w:val="0"/>
                    <w:spacing w:line="360" w:lineRule="exact"/>
                    <w:rPr>
                      <w:bCs/>
                      <w:kern w:val="0"/>
                      <w:szCs w:val="21"/>
                    </w:rPr>
                  </w:pPr>
                  <w:r>
                    <w:rPr>
                      <w:rFonts w:hint="eastAsia"/>
                      <w:bCs/>
                      <w:kern w:val="0"/>
                      <w:szCs w:val="21"/>
                    </w:rPr>
                    <w:t>（3）烷烃返回料管道：自</w:t>
                  </w:r>
                  <w:r>
                    <w:rPr>
                      <w:bCs/>
                      <w:kern w:val="0"/>
                      <w:szCs w:val="21"/>
                    </w:rPr>
                    <w:t>伊泰</w:t>
                  </w:r>
                  <w:r>
                    <w:rPr>
                      <w:rFonts w:hint="eastAsia"/>
                      <w:bCs/>
                      <w:kern w:val="0"/>
                      <w:szCs w:val="21"/>
                    </w:rPr>
                    <w:t>化工</w:t>
                  </w:r>
                  <w:r>
                    <w:rPr>
                      <w:bCs/>
                      <w:kern w:val="0"/>
                      <w:szCs w:val="21"/>
                    </w:rPr>
                    <w:t>TK-101储罐至</w:t>
                  </w:r>
                  <w:r>
                    <w:rPr>
                      <w:rFonts w:hint="eastAsia"/>
                      <w:bCs/>
                      <w:kern w:val="0"/>
                      <w:szCs w:val="21"/>
                    </w:rPr>
                    <w:t>宏城化工</w:t>
                  </w:r>
                  <w:r>
                    <w:rPr>
                      <w:bCs/>
                      <w:kern w:val="0"/>
                      <w:szCs w:val="21"/>
                    </w:rPr>
                    <w:t>PAO装置，已预留抽头，管廊上设置远程控制球阀XV260302、流量计FIQ260302</w:t>
                  </w:r>
                  <w:r>
                    <w:rPr>
                      <w:rFonts w:hint="eastAsia"/>
                      <w:bCs/>
                      <w:kern w:val="0"/>
                      <w:szCs w:val="21"/>
                    </w:rPr>
                    <w:t>。</w:t>
                  </w:r>
                  <w:r>
                    <w:rPr>
                      <w:bCs/>
                      <w:kern w:val="0"/>
                      <w:szCs w:val="21"/>
                    </w:rPr>
                    <w:t>烷烃返回料管道长1.2km，</w:t>
                  </w:r>
                  <w:r>
                    <w:rPr>
                      <w:rFonts w:hint="eastAsia"/>
                      <w:bCs/>
                      <w:kern w:val="0"/>
                      <w:szCs w:val="21"/>
                    </w:rPr>
                    <w:t>碳钢材质，管径DN65，设计压力0.5MPa，输送量为</w:t>
                  </w:r>
                  <w:r>
                    <w:rPr>
                      <w:bCs/>
                      <w:kern w:val="0"/>
                      <w:szCs w:val="21"/>
                    </w:rPr>
                    <w:t>10000kg/h</w:t>
                  </w:r>
                  <w:r>
                    <w:rPr>
                      <w:rFonts w:hint="eastAsia"/>
                      <w:bCs/>
                      <w:kern w:val="0"/>
                      <w:szCs w:val="21"/>
                    </w:rPr>
                    <w:t>。</w:t>
                  </w:r>
                </w:p>
                <w:p w14:paraId="224BE85B">
                  <w:pPr>
                    <w:adjustRightInd w:val="0"/>
                    <w:snapToGrid w:val="0"/>
                    <w:spacing w:line="360" w:lineRule="exact"/>
                    <w:rPr>
                      <w:bCs/>
                      <w:kern w:val="0"/>
                      <w:szCs w:val="21"/>
                    </w:rPr>
                  </w:pPr>
                  <w:r>
                    <w:rPr>
                      <w:rFonts w:hint="eastAsia"/>
                      <w:bCs/>
                      <w:kern w:val="0"/>
                      <w:szCs w:val="21"/>
                    </w:rPr>
                    <w:t>（4）排放气管道：主要输送PAO装置事故工况下产生的排放气，</w:t>
                  </w:r>
                  <w:r>
                    <w:rPr>
                      <w:bCs/>
                      <w:kern w:val="0"/>
                      <w:szCs w:val="21"/>
                    </w:rPr>
                    <w:t>已预留抽头，位于</w:t>
                  </w:r>
                  <w:r>
                    <w:rPr>
                      <w:rFonts w:hint="eastAsia"/>
                      <w:bCs/>
                      <w:kern w:val="0"/>
                      <w:szCs w:val="21"/>
                    </w:rPr>
                    <w:t>伊泰化工</w:t>
                  </w:r>
                  <w:r>
                    <w:rPr>
                      <w:bCs/>
                      <w:kern w:val="0"/>
                      <w:szCs w:val="21"/>
                    </w:rPr>
                    <w:t>N3管廊。排放气管道长0.62km</w:t>
                  </w:r>
                  <w:r>
                    <w:rPr>
                      <w:rFonts w:hint="eastAsia"/>
                      <w:bCs/>
                      <w:kern w:val="0"/>
                      <w:szCs w:val="21"/>
                    </w:rPr>
                    <w:t>，碳钢材质，管径DN200，设计压力0.1MPa，事故工况下最大产生量为</w:t>
                  </w:r>
                  <w:bookmarkStart w:id="20" w:name="OLE_LINK33"/>
                  <w:r>
                    <w:rPr>
                      <w:bCs/>
                      <w:kern w:val="0"/>
                      <w:szCs w:val="21"/>
                    </w:rPr>
                    <w:t>1169Nm³/h（6.97 t/h）</w:t>
                  </w:r>
                  <w:bookmarkEnd w:id="20"/>
                  <w:r>
                    <w:rPr>
                      <w:rFonts w:hint="eastAsia"/>
                      <w:bCs/>
                      <w:kern w:val="0"/>
                      <w:szCs w:val="21"/>
                    </w:rPr>
                    <w:t>。</w:t>
                  </w:r>
                </w:p>
              </w:tc>
            </w:tr>
            <w:tr w14:paraId="7391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restart"/>
                  <w:vAlign w:val="center"/>
                </w:tcPr>
                <w:p w14:paraId="6F5FDC85">
                  <w:pPr>
                    <w:adjustRightInd w:val="0"/>
                    <w:snapToGrid w:val="0"/>
                    <w:spacing w:line="360" w:lineRule="exact"/>
                    <w:jc w:val="center"/>
                    <w:rPr>
                      <w:szCs w:val="21"/>
                    </w:rPr>
                  </w:pPr>
                  <w:r>
                    <w:rPr>
                      <w:szCs w:val="21"/>
                    </w:rPr>
                    <w:t>辅助工程</w:t>
                  </w:r>
                </w:p>
              </w:tc>
              <w:tc>
                <w:tcPr>
                  <w:tcW w:w="646" w:type="pct"/>
                  <w:vAlign w:val="center"/>
                </w:tcPr>
                <w:p w14:paraId="4B9BD9EB">
                  <w:pPr>
                    <w:adjustRightInd w:val="0"/>
                    <w:snapToGrid w:val="0"/>
                    <w:spacing w:line="360" w:lineRule="exact"/>
                    <w:jc w:val="center"/>
                    <w:rPr>
                      <w:szCs w:val="21"/>
                    </w:rPr>
                  </w:pPr>
                  <w:r>
                    <w:rPr>
                      <w:szCs w:val="21"/>
                    </w:rPr>
                    <w:t>保温</w:t>
                  </w:r>
                </w:p>
              </w:tc>
              <w:tc>
                <w:tcPr>
                  <w:tcW w:w="4037" w:type="pct"/>
                  <w:vAlign w:val="center"/>
                </w:tcPr>
                <w:p w14:paraId="3503F319">
                  <w:pPr>
                    <w:adjustRightInd w:val="0"/>
                    <w:snapToGrid w:val="0"/>
                    <w:spacing w:line="360" w:lineRule="exact"/>
                    <w:rPr>
                      <w:bCs/>
                      <w:kern w:val="0"/>
                      <w:szCs w:val="21"/>
                    </w:rPr>
                  </w:pPr>
                  <w:r>
                    <w:rPr>
                      <w:rFonts w:hint="eastAsia"/>
                      <w:bCs/>
                      <w:kern w:val="0"/>
                      <w:szCs w:val="21"/>
                    </w:rPr>
                    <w:t>项目保温工程均为现场施工，其中混合烯烃管道、烷烃返回料管道、新氢管道采用敷设保温棉+铝材；排放气管道采用裸管。</w:t>
                  </w:r>
                </w:p>
              </w:tc>
            </w:tr>
            <w:tr w14:paraId="10B7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continue"/>
                  <w:vAlign w:val="center"/>
                </w:tcPr>
                <w:p w14:paraId="3E735077">
                  <w:pPr>
                    <w:adjustRightInd w:val="0"/>
                    <w:snapToGrid w:val="0"/>
                    <w:spacing w:line="360" w:lineRule="exact"/>
                    <w:jc w:val="center"/>
                    <w:rPr>
                      <w:szCs w:val="21"/>
                    </w:rPr>
                  </w:pPr>
                </w:p>
              </w:tc>
              <w:tc>
                <w:tcPr>
                  <w:tcW w:w="646" w:type="pct"/>
                  <w:vAlign w:val="center"/>
                </w:tcPr>
                <w:p w14:paraId="68E2CD9A">
                  <w:pPr>
                    <w:adjustRightInd w:val="0"/>
                    <w:snapToGrid w:val="0"/>
                    <w:spacing w:line="360" w:lineRule="exact"/>
                    <w:jc w:val="center"/>
                    <w:rPr>
                      <w:szCs w:val="21"/>
                    </w:rPr>
                  </w:pPr>
                  <w:r>
                    <w:rPr>
                      <w:szCs w:val="21"/>
                    </w:rPr>
                    <w:t>防腐</w:t>
                  </w:r>
                </w:p>
              </w:tc>
              <w:tc>
                <w:tcPr>
                  <w:tcW w:w="4037" w:type="pct"/>
                  <w:vAlign w:val="center"/>
                </w:tcPr>
                <w:p w14:paraId="5FF68E1F">
                  <w:pPr>
                    <w:adjustRightInd w:val="0"/>
                    <w:snapToGrid w:val="0"/>
                    <w:spacing w:line="360" w:lineRule="exact"/>
                    <w:rPr>
                      <w:szCs w:val="21"/>
                    </w:rPr>
                  </w:pPr>
                  <w:r>
                    <w:rPr>
                      <w:szCs w:val="21"/>
                    </w:rPr>
                    <w:t>管道采用外防腐层，进场吊管前已</w:t>
                  </w:r>
                  <w:r>
                    <w:rPr>
                      <w:rFonts w:hint="eastAsia"/>
                      <w:szCs w:val="21"/>
                    </w:rPr>
                    <w:t>在厂家进行</w:t>
                  </w:r>
                  <w:r>
                    <w:rPr>
                      <w:szCs w:val="21"/>
                    </w:rPr>
                    <w:t>防腐。</w:t>
                  </w:r>
                </w:p>
              </w:tc>
            </w:tr>
            <w:tr w14:paraId="0749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restart"/>
                  <w:vAlign w:val="center"/>
                </w:tcPr>
                <w:p w14:paraId="5B8BCE49">
                  <w:pPr>
                    <w:adjustRightInd w:val="0"/>
                    <w:snapToGrid w:val="0"/>
                    <w:spacing w:line="360" w:lineRule="exact"/>
                    <w:jc w:val="center"/>
                    <w:rPr>
                      <w:szCs w:val="21"/>
                    </w:rPr>
                  </w:pPr>
                  <w:r>
                    <w:rPr>
                      <w:szCs w:val="21"/>
                    </w:rPr>
                    <w:t>临时工程</w:t>
                  </w:r>
                </w:p>
              </w:tc>
              <w:tc>
                <w:tcPr>
                  <w:tcW w:w="646" w:type="pct"/>
                  <w:vAlign w:val="center"/>
                </w:tcPr>
                <w:p w14:paraId="1D75BFFB">
                  <w:pPr>
                    <w:adjustRightInd w:val="0"/>
                    <w:snapToGrid w:val="0"/>
                    <w:spacing w:line="360" w:lineRule="exact"/>
                    <w:jc w:val="center"/>
                    <w:rPr>
                      <w:szCs w:val="21"/>
                    </w:rPr>
                  </w:pPr>
                  <w:r>
                    <w:rPr>
                      <w:szCs w:val="21"/>
                    </w:rPr>
                    <w:t>施工营地</w:t>
                  </w:r>
                </w:p>
              </w:tc>
              <w:tc>
                <w:tcPr>
                  <w:tcW w:w="4037" w:type="pct"/>
                  <w:vAlign w:val="center"/>
                </w:tcPr>
                <w:p w14:paraId="4952C485">
                  <w:pPr>
                    <w:adjustRightInd w:val="0"/>
                    <w:snapToGrid w:val="0"/>
                    <w:spacing w:line="360" w:lineRule="exact"/>
                    <w:jc w:val="left"/>
                    <w:rPr>
                      <w:szCs w:val="21"/>
                    </w:rPr>
                  </w:pPr>
                  <w:r>
                    <w:rPr>
                      <w:szCs w:val="21"/>
                    </w:rPr>
                    <w:t>现场不设置施工营地</w:t>
                  </w:r>
                  <w:r>
                    <w:rPr>
                      <w:rFonts w:hint="eastAsia"/>
                      <w:szCs w:val="21"/>
                    </w:rPr>
                    <w:t>。</w:t>
                  </w:r>
                </w:p>
              </w:tc>
            </w:tr>
            <w:tr w14:paraId="229B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continue"/>
                  <w:vAlign w:val="center"/>
                </w:tcPr>
                <w:p w14:paraId="3A6172F7">
                  <w:pPr>
                    <w:adjustRightInd w:val="0"/>
                    <w:snapToGrid w:val="0"/>
                    <w:spacing w:line="360" w:lineRule="exact"/>
                    <w:jc w:val="center"/>
                    <w:rPr>
                      <w:szCs w:val="21"/>
                    </w:rPr>
                  </w:pPr>
                </w:p>
              </w:tc>
              <w:tc>
                <w:tcPr>
                  <w:tcW w:w="646" w:type="pct"/>
                  <w:vAlign w:val="center"/>
                </w:tcPr>
                <w:p w14:paraId="47844386">
                  <w:pPr>
                    <w:adjustRightInd w:val="0"/>
                    <w:snapToGrid w:val="0"/>
                    <w:spacing w:line="360" w:lineRule="exact"/>
                    <w:jc w:val="center"/>
                    <w:rPr>
                      <w:szCs w:val="21"/>
                    </w:rPr>
                  </w:pPr>
                  <w:r>
                    <w:rPr>
                      <w:rFonts w:hint="eastAsia"/>
                      <w:szCs w:val="21"/>
                    </w:rPr>
                    <w:t>临时占地</w:t>
                  </w:r>
                </w:p>
              </w:tc>
              <w:tc>
                <w:tcPr>
                  <w:tcW w:w="4037" w:type="pct"/>
                  <w:vAlign w:val="center"/>
                </w:tcPr>
                <w:p w14:paraId="381F44B2">
                  <w:pPr>
                    <w:adjustRightInd w:val="0"/>
                    <w:snapToGrid w:val="0"/>
                    <w:spacing w:line="360" w:lineRule="exact"/>
                    <w:jc w:val="left"/>
                    <w:rPr>
                      <w:szCs w:val="21"/>
                    </w:rPr>
                  </w:pPr>
                  <w:r>
                    <w:rPr>
                      <w:rFonts w:hint="eastAsia"/>
                      <w:szCs w:val="21"/>
                    </w:rPr>
                    <w:t>主要为施工支架临时占地，全部占用厂区已硬化土地，不涉及占用植被等。</w:t>
                  </w:r>
                </w:p>
              </w:tc>
            </w:tr>
            <w:tr w14:paraId="325E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continue"/>
                  <w:vAlign w:val="center"/>
                </w:tcPr>
                <w:p w14:paraId="36E9C681">
                  <w:pPr>
                    <w:adjustRightInd w:val="0"/>
                    <w:snapToGrid w:val="0"/>
                    <w:spacing w:line="360" w:lineRule="exact"/>
                    <w:jc w:val="center"/>
                    <w:rPr>
                      <w:szCs w:val="21"/>
                    </w:rPr>
                  </w:pPr>
                </w:p>
              </w:tc>
              <w:tc>
                <w:tcPr>
                  <w:tcW w:w="646" w:type="pct"/>
                  <w:vAlign w:val="center"/>
                </w:tcPr>
                <w:p w14:paraId="41710CF8">
                  <w:pPr>
                    <w:adjustRightInd w:val="0"/>
                    <w:snapToGrid w:val="0"/>
                    <w:spacing w:line="360" w:lineRule="exact"/>
                    <w:jc w:val="center"/>
                    <w:rPr>
                      <w:szCs w:val="21"/>
                    </w:rPr>
                  </w:pPr>
                  <w:r>
                    <w:rPr>
                      <w:szCs w:val="21"/>
                    </w:rPr>
                    <w:t>临时道路</w:t>
                  </w:r>
                </w:p>
              </w:tc>
              <w:tc>
                <w:tcPr>
                  <w:tcW w:w="4037" w:type="pct"/>
                  <w:vAlign w:val="center"/>
                </w:tcPr>
                <w:p w14:paraId="290B5239">
                  <w:pPr>
                    <w:adjustRightInd w:val="0"/>
                    <w:snapToGrid w:val="0"/>
                    <w:spacing w:line="360" w:lineRule="exact"/>
                    <w:jc w:val="left"/>
                    <w:rPr>
                      <w:szCs w:val="21"/>
                    </w:rPr>
                  </w:pPr>
                  <w:r>
                    <w:rPr>
                      <w:szCs w:val="21"/>
                    </w:rPr>
                    <w:t>施工道路利用现有道路，不新</w:t>
                  </w:r>
                  <w:r>
                    <w:rPr>
                      <w:rFonts w:hint="eastAsia"/>
                      <w:szCs w:val="21"/>
                    </w:rPr>
                    <w:t>建</w:t>
                  </w:r>
                  <w:r>
                    <w:rPr>
                      <w:szCs w:val="21"/>
                    </w:rPr>
                    <w:t>施工便道</w:t>
                  </w:r>
                  <w:r>
                    <w:rPr>
                      <w:rFonts w:hint="eastAsia"/>
                      <w:szCs w:val="21"/>
                    </w:rPr>
                    <w:t>。</w:t>
                  </w:r>
                </w:p>
              </w:tc>
            </w:tr>
            <w:tr w14:paraId="479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restart"/>
                  <w:vAlign w:val="center"/>
                </w:tcPr>
                <w:p w14:paraId="5F91A089">
                  <w:pPr>
                    <w:adjustRightInd w:val="0"/>
                    <w:snapToGrid w:val="0"/>
                    <w:spacing w:line="360" w:lineRule="exact"/>
                    <w:jc w:val="center"/>
                    <w:rPr>
                      <w:szCs w:val="21"/>
                    </w:rPr>
                  </w:pPr>
                  <w:r>
                    <w:rPr>
                      <w:szCs w:val="21"/>
                    </w:rPr>
                    <w:t>环保工程</w:t>
                  </w:r>
                </w:p>
              </w:tc>
              <w:tc>
                <w:tcPr>
                  <w:tcW w:w="646" w:type="pct"/>
                  <w:vAlign w:val="center"/>
                </w:tcPr>
                <w:p w14:paraId="70C87E29">
                  <w:pPr>
                    <w:adjustRightInd w:val="0"/>
                    <w:snapToGrid w:val="0"/>
                    <w:spacing w:line="360" w:lineRule="exact"/>
                    <w:jc w:val="center"/>
                    <w:rPr>
                      <w:szCs w:val="21"/>
                    </w:rPr>
                  </w:pPr>
                  <w:r>
                    <w:rPr>
                      <w:szCs w:val="21"/>
                    </w:rPr>
                    <w:t>施工期</w:t>
                  </w:r>
                </w:p>
              </w:tc>
              <w:tc>
                <w:tcPr>
                  <w:tcW w:w="4037" w:type="pct"/>
                  <w:vAlign w:val="center"/>
                </w:tcPr>
                <w:p w14:paraId="569CD54B">
                  <w:pPr>
                    <w:adjustRightInd w:val="0"/>
                    <w:snapToGrid w:val="0"/>
                    <w:spacing w:line="360" w:lineRule="exact"/>
                    <w:rPr>
                      <w:szCs w:val="21"/>
                    </w:rPr>
                  </w:pPr>
                  <w:r>
                    <w:rPr>
                      <w:szCs w:val="21"/>
                    </w:rPr>
                    <w:t>生态：合理规划，减少</w:t>
                  </w:r>
                  <w:r>
                    <w:rPr>
                      <w:rFonts w:hint="eastAsia"/>
                      <w:szCs w:val="21"/>
                    </w:rPr>
                    <w:t>施工支架</w:t>
                  </w:r>
                  <w:r>
                    <w:rPr>
                      <w:szCs w:val="21"/>
                    </w:rPr>
                    <w:t>临时占地</w:t>
                  </w:r>
                  <w:r>
                    <w:rPr>
                      <w:rFonts w:hint="eastAsia"/>
                      <w:szCs w:val="21"/>
                    </w:rPr>
                    <w:t>。</w:t>
                  </w:r>
                </w:p>
                <w:p w14:paraId="59AF7563">
                  <w:pPr>
                    <w:adjustRightInd w:val="0"/>
                    <w:snapToGrid w:val="0"/>
                    <w:spacing w:line="360" w:lineRule="exact"/>
                    <w:rPr>
                      <w:szCs w:val="21"/>
                    </w:rPr>
                  </w:pPr>
                  <w:r>
                    <w:rPr>
                      <w:szCs w:val="21"/>
                    </w:rPr>
                    <w:t>废水：</w:t>
                  </w:r>
                  <w:bookmarkStart w:id="21" w:name="OLE_LINK22"/>
                  <w:r>
                    <w:rPr>
                      <w:rFonts w:hint="eastAsia"/>
                      <w:szCs w:val="21"/>
                    </w:rPr>
                    <w:t>施工人员</w:t>
                  </w:r>
                  <w:r>
                    <w:rPr>
                      <w:szCs w:val="21"/>
                    </w:rPr>
                    <w:t>盥洗废水</w:t>
                  </w:r>
                  <w:r>
                    <w:rPr>
                      <w:rFonts w:hint="eastAsia"/>
                      <w:szCs w:val="21"/>
                    </w:rPr>
                    <w:t>依托伊泰化工现有生活污水处理设施。</w:t>
                  </w:r>
                  <w:bookmarkEnd w:id="21"/>
                </w:p>
                <w:p w14:paraId="3B373A52">
                  <w:pPr>
                    <w:adjustRightInd w:val="0"/>
                    <w:snapToGrid w:val="0"/>
                    <w:spacing w:line="360" w:lineRule="exact"/>
                    <w:rPr>
                      <w:szCs w:val="21"/>
                    </w:rPr>
                  </w:pPr>
                  <w:r>
                    <w:rPr>
                      <w:szCs w:val="21"/>
                    </w:rPr>
                    <w:t>噪声：选用低噪设备，合理安排施工时间</w:t>
                  </w:r>
                  <w:r>
                    <w:rPr>
                      <w:rFonts w:hint="eastAsia"/>
                      <w:szCs w:val="21"/>
                    </w:rPr>
                    <w:t>。</w:t>
                  </w:r>
                </w:p>
                <w:p w14:paraId="50C53015">
                  <w:pPr>
                    <w:adjustRightInd w:val="0"/>
                    <w:snapToGrid w:val="0"/>
                    <w:spacing w:line="360" w:lineRule="exact"/>
                    <w:rPr>
                      <w:szCs w:val="21"/>
                    </w:rPr>
                  </w:pPr>
                  <w:r>
                    <w:rPr>
                      <w:rFonts w:hint="eastAsia"/>
                      <w:szCs w:val="21"/>
                    </w:rPr>
                    <w:t>废气</w:t>
                  </w:r>
                  <w:r>
                    <w:rPr>
                      <w:szCs w:val="21"/>
                    </w:rPr>
                    <w:t>：</w:t>
                  </w:r>
                  <w:r>
                    <w:rPr>
                      <w:rFonts w:hint="eastAsia"/>
                      <w:szCs w:val="21"/>
                    </w:rPr>
                    <w:t>严格</w:t>
                  </w:r>
                  <w:r>
                    <w:rPr>
                      <w:szCs w:val="21"/>
                    </w:rPr>
                    <w:t>采取限制</w:t>
                  </w:r>
                  <w:r>
                    <w:rPr>
                      <w:rFonts w:hint="eastAsia"/>
                      <w:szCs w:val="21"/>
                    </w:rPr>
                    <w:t>超载</w:t>
                  </w:r>
                  <w:r>
                    <w:rPr>
                      <w:szCs w:val="21"/>
                    </w:rPr>
                    <w:t>、限制超速</w:t>
                  </w:r>
                  <w:r>
                    <w:rPr>
                      <w:rFonts w:hint="eastAsia"/>
                      <w:szCs w:val="21"/>
                    </w:rPr>
                    <w:t>措施；施工场地泼洒抑尘；选用高固体份低VOCs防腐漆。</w:t>
                  </w:r>
                </w:p>
                <w:p w14:paraId="37D27CBB">
                  <w:pPr>
                    <w:adjustRightInd w:val="0"/>
                    <w:snapToGrid w:val="0"/>
                    <w:spacing w:line="360" w:lineRule="exact"/>
                    <w:rPr>
                      <w:szCs w:val="21"/>
                    </w:rPr>
                  </w:pPr>
                  <w:r>
                    <w:rPr>
                      <w:szCs w:val="21"/>
                    </w:rPr>
                    <w:t>固废：</w:t>
                  </w:r>
                  <w:r>
                    <w:rPr>
                      <w:rFonts w:hint="eastAsia"/>
                      <w:szCs w:val="21"/>
                    </w:rPr>
                    <w:t>施工废料</w:t>
                  </w:r>
                  <w:bookmarkStart w:id="22" w:name="OLE_LINK16"/>
                  <w:r>
                    <w:rPr>
                      <w:rFonts w:hint="eastAsia"/>
                      <w:szCs w:val="21"/>
                    </w:rPr>
                    <w:t>收集后运送至市政指定地点</w:t>
                  </w:r>
                  <w:bookmarkEnd w:id="22"/>
                  <w:r>
                    <w:rPr>
                      <w:rFonts w:hint="eastAsia"/>
                      <w:szCs w:val="21"/>
                    </w:rPr>
                    <w:t>；废油漆桶暂存于伊泰化工危废间，交由有资质的单位处置。</w:t>
                  </w:r>
                </w:p>
                <w:p w14:paraId="2107E961">
                  <w:pPr>
                    <w:adjustRightInd w:val="0"/>
                    <w:snapToGrid w:val="0"/>
                    <w:spacing w:line="360" w:lineRule="exact"/>
                    <w:rPr>
                      <w:szCs w:val="21"/>
                    </w:rPr>
                  </w:pPr>
                  <w:r>
                    <w:rPr>
                      <w:rFonts w:hint="eastAsia"/>
                      <w:szCs w:val="21"/>
                    </w:rPr>
                    <w:t>生活垃圾经收集后由环卫部门统一处理。</w:t>
                  </w:r>
                </w:p>
              </w:tc>
            </w:tr>
            <w:tr w14:paraId="492E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continue"/>
                  <w:vAlign w:val="center"/>
                </w:tcPr>
                <w:p w14:paraId="1C0A9CD6">
                  <w:pPr>
                    <w:adjustRightInd w:val="0"/>
                    <w:snapToGrid w:val="0"/>
                    <w:spacing w:line="360" w:lineRule="exact"/>
                    <w:jc w:val="center"/>
                    <w:rPr>
                      <w:szCs w:val="21"/>
                    </w:rPr>
                  </w:pPr>
                </w:p>
              </w:tc>
              <w:tc>
                <w:tcPr>
                  <w:tcW w:w="646" w:type="pct"/>
                  <w:vAlign w:val="center"/>
                </w:tcPr>
                <w:p w14:paraId="5E2F7FFA">
                  <w:pPr>
                    <w:adjustRightInd w:val="0"/>
                    <w:snapToGrid w:val="0"/>
                    <w:spacing w:line="360" w:lineRule="exact"/>
                    <w:jc w:val="center"/>
                    <w:rPr>
                      <w:szCs w:val="21"/>
                    </w:rPr>
                  </w:pPr>
                  <w:r>
                    <w:rPr>
                      <w:szCs w:val="21"/>
                    </w:rPr>
                    <w:t>运营期</w:t>
                  </w:r>
                </w:p>
              </w:tc>
              <w:tc>
                <w:tcPr>
                  <w:tcW w:w="4037" w:type="pct"/>
                  <w:vAlign w:val="center"/>
                </w:tcPr>
                <w:p w14:paraId="5F4D8989">
                  <w:pPr>
                    <w:adjustRightInd w:val="0"/>
                    <w:snapToGrid w:val="0"/>
                    <w:spacing w:line="360" w:lineRule="exact"/>
                    <w:rPr>
                      <w:szCs w:val="21"/>
                    </w:rPr>
                  </w:pPr>
                  <w:r>
                    <w:rPr>
                      <w:rFonts w:hint="eastAsia"/>
                      <w:szCs w:val="21"/>
                    </w:rPr>
                    <w:t>废气：运营期无废气产生。</w:t>
                  </w:r>
                </w:p>
                <w:p w14:paraId="3CA2464E">
                  <w:pPr>
                    <w:adjustRightInd w:val="0"/>
                    <w:snapToGrid w:val="0"/>
                    <w:spacing w:line="360" w:lineRule="exact"/>
                    <w:rPr>
                      <w:szCs w:val="21"/>
                    </w:rPr>
                  </w:pPr>
                  <w:r>
                    <w:rPr>
                      <w:rFonts w:hint="eastAsia"/>
                      <w:szCs w:val="21"/>
                    </w:rPr>
                    <w:t>废水：运营期不涉及生产废水；无新增劳动定员，不新增生活污水。</w:t>
                  </w:r>
                </w:p>
                <w:p w14:paraId="386FE9A4">
                  <w:pPr>
                    <w:adjustRightInd w:val="0"/>
                    <w:snapToGrid w:val="0"/>
                    <w:spacing w:line="360" w:lineRule="exact"/>
                    <w:rPr>
                      <w:szCs w:val="21"/>
                    </w:rPr>
                  </w:pPr>
                  <w:r>
                    <w:rPr>
                      <w:rFonts w:hint="eastAsia"/>
                      <w:szCs w:val="21"/>
                    </w:rPr>
                    <w:t>噪声：</w:t>
                  </w:r>
                  <w:r>
                    <w:rPr>
                      <w:szCs w:val="21"/>
                    </w:rPr>
                    <w:t>依托现有输送泵</w:t>
                  </w:r>
                  <w:r>
                    <w:rPr>
                      <w:rFonts w:hint="eastAsia"/>
                      <w:szCs w:val="21"/>
                    </w:rPr>
                    <w:t>，不涉及新增噪声源</w:t>
                  </w:r>
                  <w:r>
                    <w:rPr>
                      <w:szCs w:val="21"/>
                    </w:rPr>
                    <w:t>。</w:t>
                  </w:r>
                </w:p>
                <w:p w14:paraId="3863011C">
                  <w:pPr>
                    <w:adjustRightInd w:val="0"/>
                    <w:snapToGrid w:val="0"/>
                    <w:spacing w:line="360" w:lineRule="exact"/>
                    <w:rPr>
                      <w:szCs w:val="21"/>
                    </w:rPr>
                  </w:pPr>
                  <w:r>
                    <w:rPr>
                      <w:rFonts w:hint="eastAsia"/>
                      <w:szCs w:val="21"/>
                    </w:rPr>
                    <w:t>生态环境风险：严格按照相关要求进行设计、施工、管理和维护。管线采用法兰连接和焊接方式，项目管道架空敷设，设置流量计用于计量结算，管线末端设置手动切断阀组。在物料输出端和接收端设置中控系统和紧急切断阀，阀门和仪表的控制信号接入伊泰化工公司</w:t>
                  </w:r>
                  <w:r>
                    <w:rPr>
                      <w:szCs w:val="21"/>
                    </w:rPr>
                    <w:t>DCS</w:t>
                  </w:r>
                  <w:r>
                    <w:rPr>
                      <w:rFonts w:hint="eastAsia"/>
                      <w:szCs w:val="21"/>
                    </w:rPr>
                    <w:t>系统。项目依托内蒙古伊泰化工有限责任公司提供应急物资，详见生态环境风险专项评价。</w:t>
                  </w:r>
                </w:p>
              </w:tc>
            </w:tr>
            <w:tr w14:paraId="2E0E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restart"/>
                  <w:vAlign w:val="center"/>
                </w:tcPr>
                <w:p w14:paraId="13827525">
                  <w:pPr>
                    <w:adjustRightInd w:val="0"/>
                    <w:snapToGrid w:val="0"/>
                    <w:spacing w:line="360" w:lineRule="exact"/>
                    <w:jc w:val="center"/>
                    <w:rPr>
                      <w:szCs w:val="21"/>
                    </w:rPr>
                  </w:pPr>
                  <w:r>
                    <w:rPr>
                      <w:rFonts w:hint="eastAsia"/>
                      <w:szCs w:val="21"/>
                    </w:rPr>
                    <w:t>依托工程</w:t>
                  </w:r>
                </w:p>
              </w:tc>
              <w:tc>
                <w:tcPr>
                  <w:tcW w:w="646" w:type="pct"/>
                  <w:vAlign w:val="center"/>
                </w:tcPr>
                <w:p w14:paraId="0ED4D0DB">
                  <w:pPr>
                    <w:adjustRightInd w:val="0"/>
                    <w:snapToGrid w:val="0"/>
                    <w:spacing w:line="360" w:lineRule="exact"/>
                    <w:jc w:val="center"/>
                    <w:rPr>
                      <w:szCs w:val="21"/>
                    </w:rPr>
                  </w:pPr>
                  <w:r>
                    <w:rPr>
                      <w:rFonts w:hint="eastAsia"/>
                      <w:szCs w:val="21"/>
                    </w:rPr>
                    <w:t>管廊工程</w:t>
                  </w:r>
                </w:p>
              </w:tc>
              <w:tc>
                <w:tcPr>
                  <w:tcW w:w="4037" w:type="pct"/>
                  <w:vAlign w:val="center"/>
                </w:tcPr>
                <w:p w14:paraId="155D0ED1">
                  <w:pPr>
                    <w:adjustRightInd w:val="0"/>
                    <w:snapToGrid w:val="0"/>
                    <w:spacing w:line="360" w:lineRule="exact"/>
                    <w:jc w:val="left"/>
                    <w:rPr>
                      <w:szCs w:val="21"/>
                    </w:rPr>
                  </w:pPr>
                  <w:r>
                    <w:rPr>
                      <w:szCs w:val="21"/>
                    </w:rPr>
                    <w:t>所有管道利用</w:t>
                  </w:r>
                  <w:r>
                    <w:rPr>
                      <w:rFonts w:hint="eastAsia"/>
                      <w:szCs w:val="21"/>
                    </w:rPr>
                    <w:t>伊泰化工厂区内</w:t>
                  </w:r>
                  <w:r>
                    <w:rPr>
                      <w:szCs w:val="21"/>
                    </w:rPr>
                    <w:t>现有管廊，</w:t>
                  </w:r>
                  <w:r>
                    <w:rPr>
                      <w:rFonts w:hint="eastAsia"/>
                      <w:szCs w:val="21"/>
                    </w:rPr>
                    <w:t>伊泰化工在现有管廊的基础上通过加固、加两层的方式，采用架空的方式将物料管道布置在改造后的管廊，并将物料输送至宏城化工PAO装置界区，给每条管线设置用于物料结算计量的流量计，以及相配套的自控系统。</w:t>
                  </w:r>
                </w:p>
              </w:tc>
            </w:tr>
            <w:tr w14:paraId="1BF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15" w:type="pct"/>
                  <w:vMerge w:val="continue"/>
                  <w:vAlign w:val="center"/>
                </w:tcPr>
                <w:p w14:paraId="72546103">
                  <w:pPr>
                    <w:adjustRightInd w:val="0"/>
                    <w:snapToGrid w:val="0"/>
                    <w:spacing w:line="360" w:lineRule="exact"/>
                    <w:jc w:val="center"/>
                    <w:rPr>
                      <w:szCs w:val="21"/>
                    </w:rPr>
                  </w:pPr>
                </w:p>
              </w:tc>
              <w:tc>
                <w:tcPr>
                  <w:tcW w:w="646" w:type="pct"/>
                  <w:vAlign w:val="center"/>
                </w:tcPr>
                <w:p w14:paraId="2A1AABF3">
                  <w:pPr>
                    <w:adjustRightInd w:val="0"/>
                    <w:snapToGrid w:val="0"/>
                    <w:spacing w:line="360" w:lineRule="exact"/>
                    <w:jc w:val="center"/>
                    <w:rPr>
                      <w:szCs w:val="21"/>
                    </w:rPr>
                  </w:pPr>
                  <w:r>
                    <w:rPr>
                      <w:szCs w:val="21"/>
                    </w:rPr>
                    <w:t>现有工程风险防范措施</w:t>
                  </w:r>
                </w:p>
              </w:tc>
              <w:tc>
                <w:tcPr>
                  <w:tcW w:w="4037" w:type="pct"/>
                  <w:vAlign w:val="center"/>
                </w:tcPr>
                <w:p w14:paraId="5C43467E">
                  <w:pPr>
                    <w:adjustRightInd w:val="0"/>
                    <w:snapToGrid w:val="0"/>
                    <w:spacing w:line="360" w:lineRule="exact"/>
                    <w:rPr>
                      <w:szCs w:val="21"/>
                    </w:rPr>
                  </w:pPr>
                  <w:r>
                    <w:rPr>
                      <w:szCs w:val="21"/>
                    </w:rPr>
                    <w:t>保证施工质量，避免或减少事故的发生。运营期间及时对管道进行</w:t>
                  </w:r>
                  <w:r>
                    <w:rPr>
                      <w:rFonts w:hint="eastAsia"/>
                      <w:szCs w:val="21"/>
                    </w:rPr>
                    <w:t>泄漏</w:t>
                  </w:r>
                  <w:r>
                    <w:rPr>
                      <w:szCs w:val="21"/>
                    </w:rPr>
                    <w:t>性检查，若发现</w:t>
                  </w:r>
                  <w:r>
                    <w:rPr>
                      <w:rFonts w:hint="eastAsia"/>
                      <w:szCs w:val="21"/>
                    </w:rPr>
                    <w:t>泄漏</w:t>
                  </w:r>
                  <w:r>
                    <w:rPr>
                      <w:szCs w:val="21"/>
                    </w:rPr>
                    <w:t>及时修复，建立完善的泄漏检查制度。如突发火灾，应迅速按应急预案紧急处理。制定严格的消防管理制度，厂区内配备泡沫炮、灭火栓、干粉灭火器</w:t>
                  </w:r>
                  <w:r>
                    <w:rPr>
                      <w:rFonts w:hint="eastAsia"/>
                      <w:szCs w:val="21"/>
                    </w:rPr>
                    <w:t>和</w:t>
                  </w:r>
                  <w:r>
                    <w:rPr>
                      <w:szCs w:val="21"/>
                    </w:rPr>
                    <w:t>灭火沙箱等消防器材，定期组织消防演练。</w:t>
                  </w:r>
                </w:p>
              </w:tc>
            </w:tr>
            <w:tr w14:paraId="3855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15" w:type="pct"/>
                  <w:vMerge w:val="restart"/>
                  <w:vAlign w:val="center"/>
                </w:tcPr>
                <w:p w14:paraId="033A8333">
                  <w:pPr>
                    <w:adjustRightInd w:val="0"/>
                    <w:snapToGrid w:val="0"/>
                    <w:spacing w:line="360" w:lineRule="exact"/>
                    <w:jc w:val="center"/>
                    <w:rPr>
                      <w:szCs w:val="21"/>
                    </w:rPr>
                  </w:pPr>
                  <w:r>
                    <w:rPr>
                      <w:szCs w:val="21"/>
                    </w:rPr>
                    <w:t>衔接工程</w:t>
                  </w:r>
                </w:p>
              </w:tc>
              <w:tc>
                <w:tcPr>
                  <w:tcW w:w="646" w:type="pct"/>
                  <w:vAlign w:val="center"/>
                </w:tcPr>
                <w:p w14:paraId="76C7EDBA">
                  <w:pPr>
                    <w:adjustRightInd w:val="0"/>
                    <w:snapToGrid w:val="0"/>
                    <w:spacing w:line="360" w:lineRule="exact"/>
                    <w:jc w:val="center"/>
                    <w:rPr>
                      <w:szCs w:val="21"/>
                    </w:rPr>
                  </w:pPr>
                  <w:r>
                    <w:rPr>
                      <w:rFonts w:hint="eastAsia"/>
                      <w:szCs w:val="21"/>
                    </w:rPr>
                    <w:t>伊泰化工厂区</w:t>
                  </w:r>
                </w:p>
              </w:tc>
              <w:tc>
                <w:tcPr>
                  <w:tcW w:w="4037" w:type="pct"/>
                  <w:vAlign w:val="center"/>
                </w:tcPr>
                <w:p w14:paraId="6EF7ED3C">
                  <w:pPr>
                    <w:adjustRightInd w:val="0"/>
                    <w:snapToGrid w:val="0"/>
                    <w:spacing w:line="360" w:lineRule="exact"/>
                    <w:rPr>
                      <w:szCs w:val="21"/>
                    </w:rPr>
                  </w:pPr>
                  <w:r>
                    <w:rPr>
                      <w:szCs w:val="21"/>
                    </w:rPr>
                    <w:t>伊泰化工120万吨/年精细化学品示范项目主要产品为LPG、正构稳定轻烃、1#粗液蜡、稳定轻烃、2#粗液蜡等</w:t>
                  </w:r>
                  <w:r>
                    <w:rPr>
                      <w:rFonts w:hint="eastAsia"/>
                      <w:szCs w:val="21"/>
                    </w:rPr>
                    <w:t>。</w:t>
                  </w:r>
                  <w:r>
                    <w:rPr>
                      <w:rFonts w:hint="eastAsia"/>
                    </w:rPr>
                    <w:t>厂区建设内容</w:t>
                  </w:r>
                  <w:r>
                    <w:rPr>
                      <w:rFonts w:hint="eastAsia"/>
                      <w:szCs w:val="21"/>
                    </w:rPr>
                    <w:t>不属于本项目评价范围</w:t>
                  </w:r>
                  <w:r>
                    <w:rPr>
                      <w:szCs w:val="21"/>
                    </w:rPr>
                    <w:t>。</w:t>
                  </w:r>
                </w:p>
              </w:tc>
            </w:tr>
            <w:tr w14:paraId="78DD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315" w:type="pct"/>
                  <w:vMerge w:val="continue"/>
                  <w:vAlign w:val="center"/>
                </w:tcPr>
                <w:p w14:paraId="3001D38C">
                  <w:pPr>
                    <w:adjustRightInd w:val="0"/>
                    <w:snapToGrid w:val="0"/>
                    <w:spacing w:line="360" w:lineRule="exact"/>
                    <w:jc w:val="center"/>
                    <w:rPr>
                      <w:szCs w:val="21"/>
                    </w:rPr>
                  </w:pPr>
                </w:p>
              </w:tc>
              <w:tc>
                <w:tcPr>
                  <w:tcW w:w="646" w:type="pct"/>
                  <w:vAlign w:val="center"/>
                </w:tcPr>
                <w:p w14:paraId="511D648B">
                  <w:pPr>
                    <w:adjustRightInd w:val="0"/>
                    <w:snapToGrid w:val="0"/>
                    <w:spacing w:line="360" w:lineRule="exact"/>
                    <w:jc w:val="center"/>
                    <w:rPr>
                      <w:szCs w:val="21"/>
                    </w:rPr>
                  </w:pPr>
                  <w:r>
                    <w:rPr>
                      <w:szCs w:val="21"/>
                    </w:rPr>
                    <w:t>伊泰宏城</w:t>
                  </w:r>
                  <w:r>
                    <w:rPr>
                      <w:rFonts w:hint="eastAsia"/>
                      <w:szCs w:val="21"/>
                    </w:rPr>
                    <w:t>厂区</w:t>
                  </w:r>
                </w:p>
              </w:tc>
              <w:tc>
                <w:tcPr>
                  <w:tcW w:w="4037" w:type="pct"/>
                  <w:vAlign w:val="center"/>
                </w:tcPr>
                <w:p w14:paraId="6FA71BA9">
                  <w:pPr>
                    <w:adjustRightInd w:val="0"/>
                    <w:snapToGrid w:val="0"/>
                    <w:spacing w:line="360" w:lineRule="exact"/>
                    <w:rPr>
                      <w:szCs w:val="21"/>
                    </w:rPr>
                  </w:pPr>
                  <w:r>
                    <w:rPr>
                      <w:rFonts w:hint="eastAsia"/>
                      <w:szCs w:val="21"/>
                    </w:rPr>
                    <w:t>内蒙古伊泰宏城化学有限公司 10000吨/年聚a-烯烃（PAO）示范项目</w:t>
                  </w:r>
                  <w:r>
                    <w:rPr>
                      <w:szCs w:val="21"/>
                    </w:rPr>
                    <w:t>通过不同系列聚合催化剂和聚合工艺调节工艺参数，生产不同型号的聚α-烯烃（PAO）。</w:t>
                  </w:r>
                  <w:r>
                    <w:rPr>
                      <w:rFonts w:hint="eastAsia"/>
                    </w:rPr>
                    <w:t>厂区建设内容</w:t>
                  </w:r>
                  <w:r>
                    <w:rPr>
                      <w:rFonts w:hint="eastAsia"/>
                      <w:szCs w:val="21"/>
                    </w:rPr>
                    <w:t>不属于本项目评价范围。</w:t>
                  </w:r>
                </w:p>
              </w:tc>
            </w:tr>
            <w:tr w14:paraId="3FBD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962" w:type="pct"/>
                  <w:gridSpan w:val="2"/>
                  <w:vAlign w:val="center"/>
                </w:tcPr>
                <w:p w14:paraId="51D0AF71">
                  <w:pPr>
                    <w:adjustRightInd w:val="0"/>
                    <w:snapToGrid w:val="0"/>
                    <w:spacing w:line="360" w:lineRule="exact"/>
                    <w:jc w:val="center"/>
                    <w:rPr>
                      <w:szCs w:val="21"/>
                    </w:rPr>
                  </w:pPr>
                  <w:r>
                    <w:rPr>
                      <w:rFonts w:hint="eastAsia"/>
                      <w:szCs w:val="21"/>
                    </w:rPr>
                    <w:t>穿越（跨越）工程</w:t>
                  </w:r>
                </w:p>
              </w:tc>
              <w:tc>
                <w:tcPr>
                  <w:tcW w:w="4037" w:type="pct"/>
                  <w:vAlign w:val="center"/>
                </w:tcPr>
                <w:p w14:paraId="4DE75BE4">
                  <w:pPr>
                    <w:adjustRightInd w:val="0"/>
                    <w:snapToGrid w:val="0"/>
                    <w:spacing w:line="360" w:lineRule="exact"/>
                    <w:rPr>
                      <w:szCs w:val="21"/>
                    </w:rPr>
                  </w:pPr>
                  <w:r>
                    <w:rPr>
                      <w:rFonts w:hint="eastAsia"/>
                      <w:szCs w:val="21"/>
                    </w:rPr>
                    <w:t>伊泰化工、伊泰宏城厂区相邻，不涉及穿越（跨越）工程。</w:t>
                  </w:r>
                </w:p>
              </w:tc>
            </w:tr>
          </w:tbl>
          <w:p w14:paraId="526F06E3">
            <w:pPr>
              <w:spacing w:line="440" w:lineRule="exact"/>
              <w:ind w:firstLine="482" w:firstLineChars="200"/>
              <w:rPr>
                <w:b/>
                <w:bCs/>
                <w:sz w:val="24"/>
              </w:rPr>
            </w:pPr>
            <w:r>
              <w:rPr>
                <w:rFonts w:hint="eastAsia"/>
                <w:b/>
                <w:bCs/>
                <w:sz w:val="24"/>
              </w:rPr>
              <w:t>8.</w:t>
            </w:r>
            <w:r>
              <w:rPr>
                <w:b/>
                <w:bCs/>
                <w:sz w:val="24"/>
              </w:rPr>
              <w:t>运输方案</w:t>
            </w:r>
          </w:p>
          <w:p w14:paraId="0868270F">
            <w:pPr>
              <w:spacing w:line="440" w:lineRule="exact"/>
              <w:ind w:firstLine="480" w:firstLineChars="200"/>
              <w:rPr>
                <w:bCs/>
                <w:sz w:val="24"/>
              </w:rPr>
            </w:pPr>
            <w:r>
              <w:rPr>
                <w:bCs/>
                <w:sz w:val="24"/>
              </w:rPr>
              <w:t>各物料</w:t>
            </w:r>
            <w:r>
              <w:rPr>
                <w:rFonts w:hint="eastAsia"/>
                <w:bCs/>
                <w:sz w:val="24"/>
              </w:rPr>
              <w:t>输送</w:t>
            </w:r>
            <w:r>
              <w:rPr>
                <w:bCs/>
                <w:sz w:val="24"/>
              </w:rPr>
              <w:t>情况</w:t>
            </w:r>
            <w:r>
              <w:rPr>
                <w:rFonts w:hint="eastAsia"/>
                <w:bCs/>
                <w:sz w:val="24"/>
              </w:rPr>
              <w:t>、主要</w:t>
            </w:r>
            <w:r>
              <w:rPr>
                <w:bCs/>
                <w:sz w:val="24"/>
              </w:rPr>
              <w:t>理化性质</w:t>
            </w:r>
            <w:r>
              <w:rPr>
                <w:rFonts w:hint="eastAsia"/>
                <w:bCs/>
                <w:sz w:val="24"/>
              </w:rPr>
              <w:t>、主要</w:t>
            </w:r>
            <w:r>
              <w:rPr>
                <w:bCs/>
                <w:sz w:val="24"/>
              </w:rPr>
              <w:t>物料成分</w:t>
            </w:r>
            <w:r>
              <w:rPr>
                <w:rFonts w:hint="eastAsia"/>
                <w:bCs/>
                <w:sz w:val="24"/>
              </w:rPr>
              <w:t>见下表</w:t>
            </w:r>
            <w:r>
              <w:rPr>
                <w:bCs/>
                <w:sz w:val="24"/>
              </w:rPr>
              <w:t>。</w:t>
            </w:r>
          </w:p>
          <w:p w14:paraId="1EAF0FD7">
            <w:pPr>
              <w:spacing w:line="440" w:lineRule="exact"/>
              <w:ind w:firstLine="482" w:firstLineChars="200"/>
              <w:rPr>
                <w:b/>
                <w:kern w:val="0"/>
                <w:sz w:val="24"/>
              </w:rPr>
            </w:pPr>
            <w:r>
              <w:rPr>
                <w:b/>
                <w:sz w:val="24"/>
              </w:rPr>
              <w:t>表</w:t>
            </w:r>
            <w:r>
              <w:rPr>
                <w:rFonts w:hint="eastAsia"/>
                <w:b/>
                <w:sz w:val="24"/>
              </w:rPr>
              <w:t>2-3</w:t>
            </w:r>
            <w:r>
              <w:rPr>
                <w:b/>
                <w:sz w:val="24"/>
              </w:rPr>
              <w:t xml:space="preserve">    </w:t>
            </w:r>
            <w:r>
              <w:rPr>
                <w:b/>
                <w:kern w:val="0"/>
                <w:sz w:val="24"/>
              </w:rPr>
              <w:t>各物料</w:t>
            </w:r>
            <w:r>
              <w:rPr>
                <w:rFonts w:hint="eastAsia"/>
                <w:b/>
                <w:kern w:val="0"/>
                <w:sz w:val="24"/>
              </w:rPr>
              <w:t>输送</w:t>
            </w:r>
            <w:r>
              <w:rPr>
                <w:b/>
                <w:kern w:val="0"/>
                <w:sz w:val="24"/>
              </w:rPr>
              <w:t>情况一览表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476"/>
              <w:gridCol w:w="957"/>
              <w:gridCol w:w="1615"/>
              <w:gridCol w:w="583"/>
              <w:gridCol w:w="876"/>
              <w:gridCol w:w="876"/>
              <w:gridCol w:w="730"/>
              <w:gridCol w:w="730"/>
              <w:gridCol w:w="1525"/>
            </w:tblGrid>
            <w:tr w14:paraId="06373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85" w:type="pct"/>
                  <w:vAlign w:val="center"/>
                </w:tcPr>
                <w:p w14:paraId="3CFF7715">
                  <w:pPr>
                    <w:spacing w:line="320" w:lineRule="exact"/>
                    <w:jc w:val="center"/>
                    <w:rPr>
                      <w:sz w:val="18"/>
                      <w:szCs w:val="18"/>
                    </w:rPr>
                  </w:pPr>
                  <w:r>
                    <w:rPr>
                      <w:rFonts w:hint="eastAsia"/>
                      <w:sz w:val="18"/>
                      <w:szCs w:val="18"/>
                    </w:rPr>
                    <w:t>序号</w:t>
                  </w:r>
                </w:p>
              </w:tc>
              <w:tc>
                <w:tcPr>
                  <w:tcW w:w="572" w:type="pct"/>
                  <w:vAlign w:val="center"/>
                </w:tcPr>
                <w:p w14:paraId="2F884183">
                  <w:pPr>
                    <w:spacing w:line="320" w:lineRule="exact"/>
                    <w:jc w:val="center"/>
                    <w:rPr>
                      <w:sz w:val="18"/>
                      <w:szCs w:val="18"/>
                    </w:rPr>
                  </w:pPr>
                  <w:r>
                    <w:rPr>
                      <w:rFonts w:hint="eastAsia"/>
                      <w:sz w:val="18"/>
                      <w:szCs w:val="18"/>
                    </w:rPr>
                    <w:t>输送</w:t>
                  </w:r>
                  <w:r>
                    <w:rPr>
                      <w:sz w:val="18"/>
                      <w:szCs w:val="18"/>
                    </w:rPr>
                    <w:t>物料</w:t>
                  </w:r>
                </w:p>
              </w:tc>
              <w:tc>
                <w:tcPr>
                  <w:tcW w:w="965" w:type="pct"/>
                  <w:vAlign w:val="center"/>
                </w:tcPr>
                <w:p w14:paraId="1946131D">
                  <w:pPr>
                    <w:spacing w:line="320" w:lineRule="exact"/>
                    <w:jc w:val="center"/>
                    <w:rPr>
                      <w:sz w:val="18"/>
                      <w:szCs w:val="18"/>
                    </w:rPr>
                  </w:pPr>
                  <w:r>
                    <w:rPr>
                      <w:rFonts w:hint="eastAsia"/>
                      <w:sz w:val="18"/>
                      <w:szCs w:val="18"/>
                    </w:rPr>
                    <w:t>管道起点</w:t>
                  </w:r>
                </w:p>
              </w:tc>
              <w:tc>
                <w:tcPr>
                  <w:tcW w:w="348" w:type="pct"/>
                  <w:vAlign w:val="center"/>
                </w:tcPr>
                <w:p w14:paraId="3057EED1">
                  <w:pPr>
                    <w:spacing w:line="320" w:lineRule="exact"/>
                    <w:jc w:val="center"/>
                    <w:rPr>
                      <w:sz w:val="18"/>
                      <w:szCs w:val="18"/>
                    </w:rPr>
                  </w:pPr>
                  <w:r>
                    <w:rPr>
                      <w:rFonts w:hint="eastAsia"/>
                      <w:sz w:val="18"/>
                      <w:szCs w:val="18"/>
                    </w:rPr>
                    <w:t>管道终点</w:t>
                  </w:r>
                </w:p>
              </w:tc>
              <w:tc>
                <w:tcPr>
                  <w:tcW w:w="523" w:type="pct"/>
                  <w:vAlign w:val="center"/>
                </w:tcPr>
                <w:p w14:paraId="38719301">
                  <w:pPr>
                    <w:spacing w:line="320" w:lineRule="exact"/>
                    <w:jc w:val="center"/>
                    <w:rPr>
                      <w:sz w:val="18"/>
                      <w:szCs w:val="18"/>
                    </w:rPr>
                  </w:pPr>
                  <w:r>
                    <w:rPr>
                      <w:rFonts w:hint="eastAsia"/>
                      <w:sz w:val="18"/>
                      <w:szCs w:val="18"/>
                    </w:rPr>
                    <w:t>管径</w:t>
                  </w:r>
                </w:p>
              </w:tc>
              <w:tc>
                <w:tcPr>
                  <w:tcW w:w="523" w:type="pct"/>
                  <w:vAlign w:val="center"/>
                </w:tcPr>
                <w:p w14:paraId="78216759">
                  <w:pPr>
                    <w:spacing w:line="320" w:lineRule="exact"/>
                    <w:jc w:val="center"/>
                    <w:rPr>
                      <w:sz w:val="18"/>
                      <w:szCs w:val="18"/>
                    </w:rPr>
                  </w:pPr>
                  <w:r>
                    <w:rPr>
                      <w:rFonts w:hint="eastAsia"/>
                      <w:sz w:val="18"/>
                      <w:szCs w:val="18"/>
                    </w:rPr>
                    <w:t>管道压力MPa</w:t>
                  </w:r>
                </w:p>
              </w:tc>
              <w:tc>
                <w:tcPr>
                  <w:tcW w:w="436" w:type="pct"/>
                  <w:vAlign w:val="center"/>
                </w:tcPr>
                <w:p w14:paraId="3486C74E">
                  <w:pPr>
                    <w:spacing w:line="320" w:lineRule="exact"/>
                    <w:jc w:val="center"/>
                    <w:rPr>
                      <w:sz w:val="18"/>
                      <w:szCs w:val="18"/>
                    </w:rPr>
                  </w:pPr>
                  <w:r>
                    <w:rPr>
                      <w:rFonts w:hint="eastAsia"/>
                      <w:sz w:val="18"/>
                      <w:szCs w:val="18"/>
                    </w:rPr>
                    <w:t>管道</w:t>
                  </w:r>
                </w:p>
                <w:p w14:paraId="3198CC7C">
                  <w:pPr>
                    <w:spacing w:line="320" w:lineRule="exact"/>
                    <w:jc w:val="center"/>
                    <w:rPr>
                      <w:sz w:val="18"/>
                      <w:szCs w:val="18"/>
                    </w:rPr>
                  </w:pPr>
                  <w:r>
                    <w:rPr>
                      <w:rFonts w:hint="eastAsia"/>
                      <w:sz w:val="18"/>
                      <w:szCs w:val="18"/>
                    </w:rPr>
                    <w:t>材质</w:t>
                  </w:r>
                </w:p>
              </w:tc>
              <w:tc>
                <w:tcPr>
                  <w:tcW w:w="436" w:type="pct"/>
                  <w:vAlign w:val="center"/>
                </w:tcPr>
                <w:p w14:paraId="4DE98005">
                  <w:pPr>
                    <w:spacing w:line="320" w:lineRule="exact"/>
                    <w:jc w:val="center"/>
                    <w:rPr>
                      <w:sz w:val="18"/>
                      <w:szCs w:val="18"/>
                    </w:rPr>
                  </w:pPr>
                  <w:r>
                    <w:rPr>
                      <w:rFonts w:hint="eastAsia"/>
                      <w:sz w:val="18"/>
                      <w:szCs w:val="18"/>
                    </w:rPr>
                    <w:t>长度/km</w:t>
                  </w:r>
                </w:p>
              </w:tc>
              <w:tc>
                <w:tcPr>
                  <w:tcW w:w="911" w:type="pct"/>
                  <w:vAlign w:val="center"/>
                </w:tcPr>
                <w:p w14:paraId="11E12AE4">
                  <w:pPr>
                    <w:spacing w:line="320" w:lineRule="exact"/>
                    <w:jc w:val="center"/>
                    <w:rPr>
                      <w:sz w:val="18"/>
                      <w:szCs w:val="18"/>
                    </w:rPr>
                  </w:pPr>
                  <w:r>
                    <w:rPr>
                      <w:sz w:val="18"/>
                      <w:szCs w:val="18"/>
                    </w:rPr>
                    <w:t>输送</w:t>
                  </w:r>
                  <w:r>
                    <w:rPr>
                      <w:rFonts w:hint="eastAsia"/>
                      <w:sz w:val="18"/>
                      <w:szCs w:val="18"/>
                    </w:rPr>
                    <w:t>量</w:t>
                  </w:r>
                </w:p>
              </w:tc>
            </w:tr>
            <w:tr w14:paraId="5C777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85" w:type="pct"/>
                  <w:vAlign w:val="center"/>
                </w:tcPr>
                <w:p w14:paraId="0F1DDCA3">
                  <w:pPr>
                    <w:adjustRightInd w:val="0"/>
                    <w:snapToGrid w:val="0"/>
                    <w:spacing w:line="360" w:lineRule="exact"/>
                    <w:jc w:val="center"/>
                    <w:rPr>
                      <w:sz w:val="18"/>
                      <w:szCs w:val="18"/>
                    </w:rPr>
                  </w:pPr>
                  <w:r>
                    <w:rPr>
                      <w:rFonts w:hint="eastAsia"/>
                      <w:sz w:val="18"/>
                      <w:szCs w:val="18"/>
                    </w:rPr>
                    <w:t>1</w:t>
                  </w:r>
                </w:p>
              </w:tc>
              <w:tc>
                <w:tcPr>
                  <w:tcW w:w="572" w:type="pct"/>
                  <w:vAlign w:val="center"/>
                </w:tcPr>
                <w:p w14:paraId="07A60A85">
                  <w:pPr>
                    <w:adjustRightInd w:val="0"/>
                    <w:snapToGrid w:val="0"/>
                    <w:spacing w:line="360" w:lineRule="exact"/>
                    <w:jc w:val="center"/>
                    <w:rPr>
                      <w:sz w:val="18"/>
                      <w:szCs w:val="18"/>
                    </w:rPr>
                  </w:pPr>
                  <w:r>
                    <w:rPr>
                      <w:rFonts w:hint="eastAsia"/>
                      <w:sz w:val="18"/>
                      <w:szCs w:val="18"/>
                    </w:rPr>
                    <w:t>混合烯烃</w:t>
                  </w:r>
                </w:p>
              </w:tc>
              <w:tc>
                <w:tcPr>
                  <w:tcW w:w="965" w:type="pct"/>
                  <w:vAlign w:val="center"/>
                </w:tcPr>
                <w:p w14:paraId="07EE57BA">
                  <w:pPr>
                    <w:spacing w:line="360" w:lineRule="exact"/>
                    <w:jc w:val="center"/>
                    <w:rPr>
                      <w:sz w:val="18"/>
                      <w:szCs w:val="18"/>
                    </w:rPr>
                  </w:pPr>
                  <w:r>
                    <w:rPr>
                      <w:rFonts w:hint="eastAsia"/>
                      <w:sz w:val="18"/>
                      <w:szCs w:val="18"/>
                    </w:rPr>
                    <w:t>伊泰化工切分装置</w:t>
                  </w:r>
                </w:p>
              </w:tc>
              <w:tc>
                <w:tcPr>
                  <w:tcW w:w="348" w:type="pct"/>
                  <w:vMerge w:val="restart"/>
                  <w:vAlign w:val="center"/>
                </w:tcPr>
                <w:p w14:paraId="5DA83204">
                  <w:pPr>
                    <w:spacing w:line="360" w:lineRule="exact"/>
                    <w:jc w:val="center"/>
                    <w:rPr>
                      <w:sz w:val="18"/>
                      <w:szCs w:val="18"/>
                    </w:rPr>
                  </w:pPr>
                  <w:r>
                    <w:rPr>
                      <w:rFonts w:hint="eastAsia"/>
                      <w:sz w:val="18"/>
                      <w:szCs w:val="18"/>
                    </w:rPr>
                    <w:t>伊泰宏城PAO装置</w:t>
                  </w:r>
                </w:p>
              </w:tc>
              <w:tc>
                <w:tcPr>
                  <w:tcW w:w="523" w:type="pct"/>
                  <w:vAlign w:val="center"/>
                </w:tcPr>
                <w:p w14:paraId="1893AD2E">
                  <w:pPr>
                    <w:spacing w:line="360" w:lineRule="exact"/>
                    <w:jc w:val="center"/>
                    <w:rPr>
                      <w:sz w:val="18"/>
                      <w:szCs w:val="18"/>
                    </w:rPr>
                  </w:pPr>
                  <w:r>
                    <w:rPr>
                      <w:rFonts w:hint="eastAsia"/>
                      <w:sz w:val="18"/>
                      <w:szCs w:val="18"/>
                    </w:rPr>
                    <w:t>DN65</w:t>
                  </w:r>
                </w:p>
              </w:tc>
              <w:tc>
                <w:tcPr>
                  <w:tcW w:w="523" w:type="pct"/>
                  <w:vAlign w:val="center"/>
                </w:tcPr>
                <w:p w14:paraId="74677C7F">
                  <w:pPr>
                    <w:spacing w:line="360" w:lineRule="exact"/>
                    <w:jc w:val="center"/>
                    <w:rPr>
                      <w:sz w:val="18"/>
                      <w:szCs w:val="18"/>
                    </w:rPr>
                  </w:pPr>
                  <w:r>
                    <w:rPr>
                      <w:rFonts w:hint="eastAsia"/>
                      <w:sz w:val="18"/>
                      <w:szCs w:val="18"/>
                    </w:rPr>
                    <w:t>0.4</w:t>
                  </w:r>
                </w:p>
              </w:tc>
              <w:tc>
                <w:tcPr>
                  <w:tcW w:w="436" w:type="pct"/>
                  <w:vAlign w:val="center"/>
                </w:tcPr>
                <w:p w14:paraId="41201C95">
                  <w:pPr>
                    <w:spacing w:line="360" w:lineRule="exact"/>
                    <w:jc w:val="center"/>
                    <w:rPr>
                      <w:sz w:val="18"/>
                      <w:szCs w:val="18"/>
                    </w:rPr>
                  </w:pPr>
                  <w:r>
                    <w:rPr>
                      <w:rFonts w:hint="eastAsia"/>
                      <w:sz w:val="18"/>
                      <w:szCs w:val="18"/>
                    </w:rPr>
                    <w:t>碳钢</w:t>
                  </w:r>
                </w:p>
              </w:tc>
              <w:tc>
                <w:tcPr>
                  <w:tcW w:w="436" w:type="pct"/>
                  <w:vAlign w:val="center"/>
                </w:tcPr>
                <w:p w14:paraId="07F55121">
                  <w:pPr>
                    <w:spacing w:line="360" w:lineRule="exact"/>
                    <w:jc w:val="center"/>
                    <w:rPr>
                      <w:sz w:val="18"/>
                      <w:szCs w:val="18"/>
                    </w:rPr>
                  </w:pPr>
                  <w:r>
                    <w:rPr>
                      <w:rFonts w:hint="eastAsia"/>
                      <w:sz w:val="18"/>
                      <w:szCs w:val="18"/>
                    </w:rPr>
                    <w:t>2.5</w:t>
                  </w:r>
                </w:p>
              </w:tc>
              <w:tc>
                <w:tcPr>
                  <w:tcW w:w="911" w:type="pct"/>
                  <w:vAlign w:val="center"/>
                </w:tcPr>
                <w:p w14:paraId="69362006">
                  <w:pPr>
                    <w:spacing w:line="360" w:lineRule="exact"/>
                    <w:jc w:val="center"/>
                    <w:rPr>
                      <w:sz w:val="18"/>
                      <w:szCs w:val="18"/>
                    </w:rPr>
                  </w:pPr>
                  <w:r>
                    <w:rPr>
                      <w:rFonts w:hint="eastAsia"/>
                      <w:sz w:val="18"/>
                      <w:szCs w:val="18"/>
                    </w:rPr>
                    <w:t>13500</w:t>
                  </w:r>
                  <w:r>
                    <w:rPr>
                      <w:sz w:val="18"/>
                      <w:szCs w:val="18"/>
                    </w:rPr>
                    <w:t xml:space="preserve"> kg/h</w:t>
                  </w:r>
                </w:p>
              </w:tc>
            </w:tr>
            <w:tr w14:paraId="119926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85" w:type="pct"/>
                  <w:vAlign w:val="center"/>
                </w:tcPr>
                <w:p w14:paraId="6E7CC584">
                  <w:pPr>
                    <w:adjustRightInd w:val="0"/>
                    <w:snapToGrid w:val="0"/>
                    <w:spacing w:line="360" w:lineRule="exact"/>
                    <w:jc w:val="center"/>
                    <w:rPr>
                      <w:sz w:val="18"/>
                      <w:szCs w:val="18"/>
                    </w:rPr>
                  </w:pPr>
                  <w:r>
                    <w:rPr>
                      <w:rFonts w:hint="eastAsia"/>
                      <w:sz w:val="18"/>
                      <w:szCs w:val="18"/>
                    </w:rPr>
                    <w:t>2</w:t>
                  </w:r>
                </w:p>
              </w:tc>
              <w:tc>
                <w:tcPr>
                  <w:tcW w:w="572" w:type="pct"/>
                  <w:vAlign w:val="center"/>
                </w:tcPr>
                <w:p w14:paraId="43B244A0">
                  <w:pPr>
                    <w:adjustRightInd w:val="0"/>
                    <w:snapToGrid w:val="0"/>
                    <w:spacing w:line="360" w:lineRule="exact"/>
                    <w:jc w:val="center"/>
                    <w:rPr>
                      <w:sz w:val="18"/>
                      <w:szCs w:val="18"/>
                    </w:rPr>
                  </w:pPr>
                  <w:r>
                    <w:rPr>
                      <w:rFonts w:hint="eastAsia"/>
                      <w:sz w:val="18"/>
                      <w:szCs w:val="18"/>
                    </w:rPr>
                    <w:t>新氢</w:t>
                  </w:r>
                </w:p>
              </w:tc>
              <w:tc>
                <w:tcPr>
                  <w:tcW w:w="965" w:type="pct"/>
                  <w:vAlign w:val="center"/>
                </w:tcPr>
                <w:p w14:paraId="28FF88B7">
                  <w:pPr>
                    <w:spacing w:line="360" w:lineRule="exact"/>
                    <w:jc w:val="center"/>
                    <w:rPr>
                      <w:sz w:val="18"/>
                      <w:szCs w:val="18"/>
                    </w:rPr>
                  </w:pPr>
                  <w:r>
                    <w:rPr>
                      <w:rFonts w:hint="eastAsia"/>
                      <w:sz w:val="18"/>
                      <w:szCs w:val="18"/>
                    </w:rPr>
                    <w:t>伊泰化工N2管廊</w:t>
                  </w:r>
                </w:p>
              </w:tc>
              <w:tc>
                <w:tcPr>
                  <w:tcW w:w="348" w:type="pct"/>
                  <w:vMerge w:val="continue"/>
                  <w:vAlign w:val="center"/>
                </w:tcPr>
                <w:p w14:paraId="6E2C9F1B">
                  <w:pPr>
                    <w:spacing w:line="360" w:lineRule="exact"/>
                    <w:jc w:val="center"/>
                    <w:rPr>
                      <w:sz w:val="18"/>
                      <w:szCs w:val="18"/>
                    </w:rPr>
                  </w:pPr>
                </w:p>
              </w:tc>
              <w:tc>
                <w:tcPr>
                  <w:tcW w:w="523" w:type="pct"/>
                  <w:vAlign w:val="center"/>
                </w:tcPr>
                <w:p w14:paraId="40E0CBB7">
                  <w:pPr>
                    <w:spacing w:line="360" w:lineRule="exact"/>
                    <w:jc w:val="center"/>
                    <w:rPr>
                      <w:sz w:val="18"/>
                      <w:szCs w:val="18"/>
                    </w:rPr>
                  </w:pPr>
                  <w:r>
                    <w:rPr>
                      <w:rFonts w:hint="eastAsia"/>
                      <w:sz w:val="18"/>
                      <w:szCs w:val="18"/>
                    </w:rPr>
                    <w:t>DN40</w:t>
                  </w:r>
                </w:p>
              </w:tc>
              <w:tc>
                <w:tcPr>
                  <w:tcW w:w="523" w:type="pct"/>
                  <w:vAlign w:val="center"/>
                </w:tcPr>
                <w:p w14:paraId="0AF3FD88">
                  <w:pPr>
                    <w:spacing w:line="360" w:lineRule="exact"/>
                    <w:jc w:val="center"/>
                    <w:rPr>
                      <w:sz w:val="18"/>
                      <w:szCs w:val="18"/>
                    </w:rPr>
                  </w:pPr>
                  <w:r>
                    <w:rPr>
                      <w:rFonts w:hint="eastAsia"/>
                      <w:sz w:val="18"/>
                      <w:szCs w:val="18"/>
                    </w:rPr>
                    <w:t>3.4</w:t>
                  </w:r>
                </w:p>
              </w:tc>
              <w:tc>
                <w:tcPr>
                  <w:tcW w:w="436" w:type="pct"/>
                  <w:vAlign w:val="center"/>
                </w:tcPr>
                <w:p w14:paraId="4D51F9E9">
                  <w:pPr>
                    <w:spacing w:line="360" w:lineRule="exact"/>
                    <w:jc w:val="center"/>
                    <w:rPr>
                      <w:sz w:val="18"/>
                      <w:szCs w:val="18"/>
                    </w:rPr>
                  </w:pPr>
                  <w:r>
                    <w:rPr>
                      <w:rFonts w:hint="eastAsia"/>
                      <w:sz w:val="18"/>
                      <w:szCs w:val="18"/>
                    </w:rPr>
                    <w:t>不锈钢</w:t>
                  </w:r>
                </w:p>
              </w:tc>
              <w:tc>
                <w:tcPr>
                  <w:tcW w:w="436" w:type="pct"/>
                  <w:vAlign w:val="center"/>
                </w:tcPr>
                <w:p w14:paraId="5CED3FA0">
                  <w:pPr>
                    <w:spacing w:line="360" w:lineRule="exact"/>
                    <w:jc w:val="center"/>
                    <w:rPr>
                      <w:sz w:val="18"/>
                      <w:szCs w:val="18"/>
                    </w:rPr>
                  </w:pPr>
                  <w:r>
                    <w:rPr>
                      <w:rFonts w:hint="eastAsia"/>
                      <w:sz w:val="18"/>
                      <w:szCs w:val="18"/>
                    </w:rPr>
                    <w:t>1.4</w:t>
                  </w:r>
                </w:p>
              </w:tc>
              <w:tc>
                <w:tcPr>
                  <w:tcW w:w="911" w:type="pct"/>
                  <w:vAlign w:val="center"/>
                </w:tcPr>
                <w:p w14:paraId="14AED11E">
                  <w:pPr>
                    <w:spacing w:line="360" w:lineRule="exact"/>
                    <w:jc w:val="center"/>
                    <w:rPr>
                      <w:sz w:val="18"/>
                      <w:szCs w:val="18"/>
                    </w:rPr>
                  </w:pPr>
                  <w:r>
                    <w:rPr>
                      <w:sz w:val="18"/>
                      <w:szCs w:val="18"/>
                    </w:rPr>
                    <w:t>160 Nm³/h</w:t>
                  </w:r>
                </w:p>
              </w:tc>
            </w:tr>
            <w:tr w14:paraId="466075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85" w:type="pct"/>
                  <w:vAlign w:val="center"/>
                </w:tcPr>
                <w:p w14:paraId="3B5DEBA6">
                  <w:pPr>
                    <w:spacing w:line="360" w:lineRule="exact"/>
                    <w:jc w:val="center"/>
                    <w:rPr>
                      <w:sz w:val="18"/>
                      <w:szCs w:val="18"/>
                    </w:rPr>
                  </w:pPr>
                  <w:r>
                    <w:rPr>
                      <w:rFonts w:hint="eastAsia"/>
                      <w:sz w:val="18"/>
                      <w:szCs w:val="18"/>
                    </w:rPr>
                    <w:t>3</w:t>
                  </w:r>
                </w:p>
              </w:tc>
              <w:tc>
                <w:tcPr>
                  <w:tcW w:w="572" w:type="pct"/>
                  <w:vAlign w:val="center"/>
                </w:tcPr>
                <w:p w14:paraId="1D261D31">
                  <w:pPr>
                    <w:spacing w:line="360" w:lineRule="exact"/>
                    <w:jc w:val="center"/>
                    <w:rPr>
                      <w:sz w:val="18"/>
                      <w:szCs w:val="18"/>
                    </w:rPr>
                  </w:pPr>
                  <w:r>
                    <w:rPr>
                      <w:rFonts w:hint="eastAsia"/>
                      <w:sz w:val="18"/>
                      <w:szCs w:val="18"/>
                    </w:rPr>
                    <w:t>烷烃返</w:t>
                  </w:r>
                </w:p>
                <w:p w14:paraId="5A3AAB21">
                  <w:pPr>
                    <w:spacing w:line="360" w:lineRule="exact"/>
                    <w:jc w:val="center"/>
                    <w:rPr>
                      <w:sz w:val="18"/>
                      <w:szCs w:val="18"/>
                    </w:rPr>
                  </w:pPr>
                  <w:r>
                    <w:rPr>
                      <w:rFonts w:hint="eastAsia"/>
                      <w:sz w:val="18"/>
                      <w:szCs w:val="18"/>
                    </w:rPr>
                    <w:t>回料</w:t>
                  </w:r>
                </w:p>
              </w:tc>
              <w:tc>
                <w:tcPr>
                  <w:tcW w:w="965" w:type="pct"/>
                  <w:vAlign w:val="center"/>
                </w:tcPr>
                <w:p w14:paraId="17C3F206">
                  <w:pPr>
                    <w:spacing w:line="360" w:lineRule="exact"/>
                    <w:jc w:val="center"/>
                    <w:rPr>
                      <w:sz w:val="18"/>
                      <w:szCs w:val="18"/>
                    </w:rPr>
                  </w:pPr>
                  <w:r>
                    <w:rPr>
                      <w:rFonts w:hint="eastAsia"/>
                      <w:sz w:val="18"/>
                      <w:szCs w:val="18"/>
                    </w:rPr>
                    <w:t>伊泰化工TK-101储罐</w:t>
                  </w:r>
                </w:p>
              </w:tc>
              <w:tc>
                <w:tcPr>
                  <w:tcW w:w="348" w:type="pct"/>
                  <w:vMerge w:val="continue"/>
                  <w:vAlign w:val="center"/>
                </w:tcPr>
                <w:p w14:paraId="53288C45">
                  <w:pPr>
                    <w:spacing w:line="320" w:lineRule="exact"/>
                    <w:jc w:val="center"/>
                    <w:rPr>
                      <w:sz w:val="18"/>
                      <w:szCs w:val="18"/>
                    </w:rPr>
                  </w:pPr>
                </w:p>
              </w:tc>
              <w:tc>
                <w:tcPr>
                  <w:tcW w:w="523" w:type="pct"/>
                  <w:vAlign w:val="center"/>
                </w:tcPr>
                <w:p w14:paraId="559A26D4">
                  <w:pPr>
                    <w:spacing w:line="360" w:lineRule="exact"/>
                    <w:jc w:val="center"/>
                    <w:rPr>
                      <w:sz w:val="18"/>
                      <w:szCs w:val="18"/>
                    </w:rPr>
                  </w:pPr>
                  <w:r>
                    <w:rPr>
                      <w:rFonts w:hint="eastAsia"/>
                      <w:sz w:val="18"/>
                      <w:szCs w:val="18"/>
                    </w:rPr>
                    <w:t>DN65</w:t>
                  </w:r>
                </w:p>
              </w:tc>
              <w:tc>
                <w:tcPr>
                  <w:tcW w:w="523" w:type="pct"/>
                  <w:vAlign w:val="center"/>
                </w:tcPr>
                <w:p w14:paraId="15D08536">
                  <w:pPr>
                    <w:spacing w:line="360" w:lineRule="exact"/>
                    <w:jc w:val="center"/>
                    <w:rPr>
                      <w:sz w:val="18"/>
                      <w:szCs w:val="18"/>
                    </w:rPr>
                  </w:pPr>
                  <w:r>
                    <w:rPr>
                      <w:rFonts w:hint="eastAsia"/>
                      <w:sz w:val="18"/>
                      <w:szCs w:val="18"/>
                    </w:rPr>
                    <w:t>0.5</w:t>
                  </w:r>
                </w:p>
              </w:tc>
              <w:tc>
                <w:tcPr>
                  <w:tcW w:w="436" w:type="pct"/>
                  <w:vAlign w:val="center"/>
                </w:tcPr>
                <w:p w14:paraId="7B931532">
                  <w:pPr>
                    <w:spacing w:line="360" w:lineRule="exact"/>
                    <w:jc w:val="center"/>
                    <w:rPr>
                      <w:sz w:val="18"/>
                      <w:szCs w:val="18"/>
                    </w:rPr>
                  </w:pPr>
                  <w:r>
                    <w:rPr>
                      <w:rFonts w:hint="eastAsia"/>
                      <w:sz w:val="18"/>
                      <w:szCs w:val="18"/>
                    </w:rPr>
                    <w:t>碳钢</w:t>
                  </w:r>
                </w:p>
              </w:tc>
              <w:tc>
                <w:tcPr>
                  <w:tcW w:w="436" w:type="pct"/>
                  <w:vAlign w:val="center"/>
                </w:tcPr>
                <w:p w14:paraId="54A1224A">
                  <w:pPr>
                    <w:spacing w:line="360" w:lineRule="exact"/>
                    <w:jc w:val="center"/>
                    <w:rPr>
                      <w:sz w:val="18"/>
                      <w:szCs w:val="18"/>
                    </w:rPr>
                  </w:pPr>
                  <w:r>
                    <w:rPr>
                      <w:rFonts w:hint="eastAsia"/>
                      <w:sz w:val="18"/>
                      <w:szCs w:val="18"/>
                    </w:rPr>
                    <w:t>1.2</w:t>
                  </w:r>
                </w:p>
              </w:tc>
              <w:tc>
                <w:tcPr>
                  <w:tcW w:w="911" w:type="pct"/>
                  <w:vAlign w:val="center"/>
                </w:tcPr>
                <w:p w14:paraId="44AD45ED">
                  <w:pPr>
                    <w:spacing w:line="360" w:lineRule="exact"/>
                    <w:jc w:val="center"/>
                    <w:rPr>
                      <w:sz w:val="18"/>
                      <w:szCs w:val="18"/>
                    </w:rPr>
                  </w:pPr>
                  <w:r>
                    <w:rPr>
                      <w:sz w:val="18"/>
                      <w:szCs w:val="18"/>
                    </w:rPr>
                    <w:t>10000 kg/h</w:t>
                  </w:r>
                </w:p>
              </w:tc>
            </w:tr>
            <w:tr w14:paraId="62B93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85" w:type="pct"/>
                  <w:vAlign w:val="center"/>
                </w:tcPr>
                <w:p w14:paraId="7D7B541F">
                  <w:pPr>
                    <w:spacing w:line="360" w:lineRule="exact"/>
                    <w:jc w:val="center"/>
                    <w:rPr>
                      <w:sz w:val="18"/>
                      <w:szCs w:val="18"/>
                    </w:rPr>
                  </w:pPr>
                  <w:r>
                    <w:rPr>
                      <w:rFonts w:hint="eastAsia"/>
                      <w:sz w:val="18"/>
                      <w:szCs w:val="18"/>
                    </w:rPr>
                    <w:t>4</w:t>
                  </w:r>
                </w:p>
              </w:tc>
              <w:tc>
                <w:tcPr>
                  <w:tcW w:w="572" w:type="pct"/>
                  <w:vAlign w:val="center"/>
                </w:tcPr>
                <w:p w14:paraId="7F572C3C">
                  <w:pPr>
                    <w:spacing w:line="360" w:lineRule="exact"/>
                    <w:jc w:val="center"/>
                    <w:rPr>
                      <w:sz w:val="18"/>
                      <w:szCs w:val="18"/>
                    </w:rPr>
                  </w:pPr>
                  <w:r>
                    <w:rPr>
                      <w:rFonts w:hint="eastAsia"/>
                      <w:sz w:val="18"/>
                      <w:szCs w:val="18"/>
                    </w:rPr>
                    <w:t>排放气</w:t>
                  </w:r>
                </w:p>
              </w:tc>
              <w:tc>
                <w:tcPr>
                  <w:tcW w:w="965" w:type="pct"/>
                  <w:vAlign w:val="center"/>
                </w:tcPr>
                <w:p w14:paraId="4E48E71E">
                  <w:pPr>
                    <w:spacing w:line="360" w:lineRule="exact"/>
                    <w:jc w:val="center"/>
                    <w:rPr>
                      <w:sz w:val="18"/>
                      <w:szCs w:val="18"/>
                    </w:rPr>
                  </w:pPr>
                  <w:r>
                    <w:rPr>
                      <w:rFonts w:hint="eastAsia"/>
                      <w:sz w:val="18"/>
                      <w:szCs w:val="18"/>
                    </w:rPr>
                    <w:t>伊泰化工N3管廊</w:t>
                  </w:r>
                </w:p>
              </w:tc>
              <w:tc>
                <w:tcPr>
                  <w:tcW w:w="348" w:type="pct"/>
                  <w:vMerge w:val="continue"/>
                  <w:vAlign w:val="center"/>
                </w:tcPr>
                <w:p w14:paraId="5DD74456">
                  <w:pPr>
                    <w:spacing w:line="360" w:lineRule="exact"/>
                    <w:jc w:val="center"/>
                    <w:rPr>
                      <w:sz w:val="18"/>
                      <w:szCs w:val="18"/>
                    </w:rPr>
                  </w:pPr>
                </w:p>
              </w:tc>
              <w:tc>
                <w:tcPr>
                  <w:tcW w:w="523" w:type="pct"/>
                  <w:vAlign w:val="center"/>
                </w:tcPr>
                <w:p w14:paraId="26657A4D">
                  <w:pPr>
                    <w:spacing w:line="360" w:lineRule="exact"/>
                    <w:jc w:val="center"/>
                    <w:rPr>
                      <w:sz w:val="18"/>
                      <w:szCs w:val="18"/>
                    </w:rPr>
                  </w:pPr>
                  <w:r>
                    <w:rPr>
                      <w:rFonts w:hint="eastAsia"/>
                      <w:sz w:val="18"/>
                      <w:szCs w:val="18"/>
                    </w:rPr>
                    <w:t>DN200</w:t>
                  </w:r>
                </w:p>
              </w:tc>
              <w:tc>
                <w:tcPr>
                  <w:tcW w:w="523" w:type="pct"/>
                  <w:vAlign w:val="center"/>
                </w:tcPr>
                <w:p w14:paraId="1E119465">
                  <w:pPr>
                    <w:spacing w:line="360" w:lineRule="exact"/>
                    <w:jc w:val="center"/>
                    <w:rPr>
                      <w:sz w:val="18"/>
                      <w:szCs w:val="18"/>
                    </w:rPr>
                  </w:pPr>
                  <w:r>
                    <w:rPr>
                      <w:rFonts w:hint="eastAsia"/>
                      <w:sz w:val="18"/>
                      <w:szCs w:val="18"/>
                    </w:rPr>
                    <w:t>0.1</w:t>
                  </w:r>
                </w:p>
              </w:tc>
              <w:tc>
                <w:tcPr>
                  <w:tcW w:w="436" w:type="pct"/>
                  <w:vAlign w:val="center"/>
                </w:tcPr>
                <w:p w14:paraId="2376B7EA">
                  <w:pPr>
                    <w:spacing w:line="360" w:lineRule="exact"/>
                    <w:jc w:val="center"/>
                    <w:rPr>
                      <w:sz w:val="18"/>
                      <w:szCs w:val="18"/>
                    </w:rPr>
                  </w:pPr>
                  <w:r>
                    <w:rPr>
                      <w:rFonts w:hint="eastAsia"/>
                      <w:sz w:val="18"/>
                      <w:szCs w:val="18"/>
                    </w:rPr>
                    <w:t>碳钢</w:t>
                  </w:r>
                </w:p>
              </w:tc>
              <w:tc>
                <w:tcPr>
                  <w:tcW w:w="436" w:type="pct"/>
                  <w:vAlign w:val="center"/>
                </w:tcPr>
                <w:p w14:paraId="1C7A61F4">
                  <w:pPr>
                    <w:spacing w:line="360" w:lineRule="exact"/>
                    <w:jc w:val="center"/>
                    <w:rPr>
                      <w:sz w:val="18"/>
                      <w:szCs w:val="18"/>
                    </w:rPr>
                  </w:pPr>
                  <w:r>
                    <w:rPr>
                      <w:rFonts w:hint="eastAsia"/>
                      <w:sz w:val="18"/>
                      <w:szCs w:val="18"/>
                    </w:rPr>
                    <w:t>0.62</w:t>
                  </w:r>
                </w:p>
              </w:tc>
              <w:tc>
                <w:tcPr>
                  <w:tcW w:w="911" w:type="pct"/>
                  <w:vAlign w:val="center"/>
                </w:tcPr>
                <w:p w14:paraId="1E0C8E3B">
                  <w:pPr>
                    <w:spacing w:line="360" w:lineRule="exact"/>
                    <w:rPr>
                      <w:sz w:val="18"/>
                      <w:szCs w:val="18"/>
                    </w:rPr>
                  </w:pPr>
                  <w:bookmarkStart w:id="23" w:name="OLE_LINK24"/>
                  <w:r>
                    <w:rPr>
                      <w:rFonts w:hint="eastAsia"/>
                      <w:sz w:val="18"/>
                      <w:szCs w:val="18"/>
                    </w:rPr>
                    <w:t>1169Nm³/h（6.97 t/h，事故状态下）</w:t>
                  </w:r>
                  <w:bookmarkEnd w:id="23"/>
                </w:p>
              </w:tc>
            </w:tr>
          </w:tbl>
          <w:p w14:paraId="767D764B">
            <w:pPr>
              <w:spacing w:line="460" w:lineRule="exact"/>
              <w:ind w:firstLine="482" w:firstLineChars="200"/>
              <w:rPr>
                <w:sz w:val="24"/>
                <w:szCs w:val="20"/>
              </w:rPr>
            </w:pPr>
            <w:r>
              <w:rPr>
                <w:b/>
                <w:sz w:val="24"/>
              </w:rPr>
              <w:t>表</w:t>
            </w:r>
            <w:r>
              <w:rPr>
                <w:rFonts w:hint="eastAsia"/>
                <w:b/>
                <w:sz w:val="24"/>
              </w:rPr>
              <w:t>2-4</w:t>
            </w:r>
            <w:r>
              <w:rPr>
                <w:b/>
                <w:sz w:val="24"/>
              </w:rPr>
              <w:t xml:space="preserve">    主要</w:t>
            </w:r>
            <w:r>
              <w:rPr>
                <w:rFonts w:hint="eastAsia"/>
                <w:b/>
                <w:sz w:val="24"/>
              </w:rPr>
              <w:t>物料</w:t>
            </w:r>
            <w:r>
              <w:rPr>
                <w:b/>
                <w:sz w:val="24"/>
              </w:rPr>
              <w:t>理化性质一览表</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48"/>
              <w:gridCol w:w="984"/>
              <w:gridCol w:w="6746"/>
            </w:tblGrid>
            <w:tr w14:paraId="51FF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87" w:type="pct"/>
                  <w:vAlign w:val="center"/>
                </w:tcPr>
                <w:p w14:paraId="463004AC">
                  <w:pPr>
                    <w:spacing w:line="350" w:lineRule="exact"/>
                    <w:jc w:val="center"/>
                    <w:rPr>
                      <w:szCs w:val="21"/>
                    </w:rPr>
                  </w:pPr>
                  <w:r>
                    <w:rPr>
                      <w:szCs w:val="21"/>
                    </w:rPr>
                    <w:t>序号</w:t>
                  </w:r>
                </w:p>
              </w:tc>
              <w:tc>
                <w:tcPr>
                  <w:tcW w:w="587" w:type="pct"/>
                  <w:vAlign w:val="center"/>
                </w:tcPr>
                <w:p w14:paraId="3B3003D7">
                  <w:pPr>
                    <w:spacing w:line="350" w:lineRule="exact"/>
                    <w:jc w:val="center"/>
                    <w:rPr>
                      <w:szCs w:val="21"/>
                    </w:rPr>
                  </w:pPr>
                  <w:r>
                    <w:rPr>
                      <w:szCs w:val="21"/>
                    </w:rPr>
                    <w:t>物料</w:t>
                  </w:r>
                </w:p>
              </w:tc>
              <w:tc>
                <w:tcPr>
                  <w:tcW w:w="4026" w:type="pct"/>
                  <w:vAlign w:val="center"/>
                </w:tcPr>
                <w:p w14:paraId="3C102247">
                  <w:pPr>
                    <w:spacing w:line="350" w:lineRule="exact"/>
                    <w:jc w:val="center"/>
                    <w:rPr>
                      <w:szCs w:val="21"/>
                    </w:rPr>
                  </w:pPr>
                  <w:r>
                    <w:rPr>
                      <w:szCs w:val="21"/>
                    </w:rPr>
                    <w:t>理化性质</w:t>
                  </w:r>
                </w:p>
              </w:tc>
            </w:tr>
            <w:tr w14:paraId="7E2E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87" w:type="pct"/>
                  <w:vAlign w:val="center"/>
                </w:tcPr>
                <w:p w14:paraId="5CD28C9C">
                  <w:pPr>
                    <w:spacing w:line="350" w:lineRule="exact"/>
                    <w:jc w:val="center"/>
                    <w:rPr>
                      <w:szCs w:val="21"/>
                    </w:rPr>
                  </w:pPr>
                  <w:r>
                    <w:rPr>
                      <w:szCs w:val="21"/>
                    </w:rPr>
                    <w:t>1</w:t>
                  </w:r>
                </w:p>
              </w:tc>
              <w:tc>
                <w:tcPr>
                  <w:tcW w:w="587" w:type="pct"/>
                  <w:vAlign w:val="center"/>
                </w:tcPr>
                <w:p w14:paraId="14693649">
                  <w:pPr>
                    <w:adjustRightInd w:val="0"/>
                    <w:snapToGrid w:val="0"/>
                    <w:spacing w:line="350" w:lineRule="exact"/>
                    <w:jc w:val="center"/>
                    <w:rPr>
                      <w:szCs w:val="21"/>
                    </w:rPr>
                  </w:pPr>
                  <w:r>
                    <w:rPr>
                      <w:rFonts w:hint="eastAsia"/>
                      <w:szCs w:val="21"/>
                    </w:rPr>
                    <w:t>混合烯烃</w:t>
                  </w:r>
                </w:p>
              </w:tc>
              <w:tc>
                <w:tcPr>
                  <w:tcW w:w="4026" w:type="pct"/>
                  <w:vAlign w:val="center"/>
                </w:tcPr>
                <w:p w14:paraId="23543A6E">
                  <w:pPr>
                    <w:spacing w:line="350" w:lineRule="exact"/>
                    <w:rPr>
                      <w:bCs/>
                    </w:rPr>
                  </w:pPr>
                  <w:r>
                    <w:rPr>
                      <w:rFonts w:hint="eastAsia"/>
                      <w:bCs/>
                    </w:rPr>
                    <w:t>淡黄色液体，分子量142，熔点-60℃，沸点160℃，</w:t>
                  </w:r>
                  <w:bookmarkStart w:id="24" w:name="OLE_LINK19"/>
                  <w:r>
                    <w:rPr>
                      <w:rFonts w:hint="eastAsia"/>
                      <w:bCs/>
                    </w:rPr>
                    <w:t>密度729</w:t>
                  </w:r>
                  <w:r>
                    <w:rPr>
                      <w:bCs/>
                    </w:rPr>
                    <w:t>kg/m³</w:t>
                  </w:r>
                  <w:bookmarkEnd w:id="24"/>
                  <w:r>
                    <w:rPr>
                      <w:rFonts w:hint="eastAsia"/>
                      <w:bCs/>
                    </w:rPr>
                    <w:t>，不溶于水，不溶于酸，溶于苯、汽油、热乙醇、氯仿、二硫化碳。</w:t>
                  </w:r>
                </w:p>
                <w:p w14:paraId="7152525E">
                  <w:pPr>
                    <w:spacing w:line="350" w:lineRule="exact"/>
                    <w:rPr>
                      <w:bCs/>
                    </w:rPr>
                  </w:pPr>
                  <w:r>
                    <w:rPr>
                      <w:bCs/>
                    </w:rPr>
                    <w:t>LD50:50446</w:t>
                  </w:r>
                  <w:r>
                    <w:rPr>
                      <w:rFonts w:hint="eastAsia"/>
                      <w:bCs/>
                    </w:rPr>
                    <w:t>mg/kg（小鼠经口）。</w:t>
                  </w:r>
                </w:p>
              </w:tc>
            </w:tr>
            <w:tr w14:paraId="713E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87" w:type="pct"/>
                  <w:vAlign w:val="center"/>
                </w:tcPr>
                <w:p w14:paraId="66731919">
                  <w:pPr>
                    <w:spacing w:line="350" w:lineRule="exact"/>
                    <w:jc w:val="center"/>
                    <w:rPr>
                      <w:szCs w:val="21"/>
                    </w:rPr>
                  </w:pPr>
                  <w:r>
                    <w:rPr>
                      <w:szCs w:val="21"/>
                    </w:rPr>
                    <w:t>2</w:t>
                  </w:r>
                </w:p>
              </w:tc>
              <w:tc>
                <w:tcPr>
                  <w:tcW w:w="587" w:type="pct"/>
                  <w:vAlign w:val="center"/>
                </w:tcPr>
                <w:p w14:paraId="6896D0B0">
                  <w:pPr>
                    <w:adjustRightInd w:val="0"/>
                    <w:snapToGrid w:val="0"/>
                    <w:spacing w:line="350" w:lineRule="exact"/>
                    <w:jc w:val="center"/>
                    <w:rPr>
                      <w:szCs w:val="21"/>
                    </w:rPr>
                  </w:pPr>
                  <w:r>
                    <w:rPr>
                      <w:rFonts w:hint="eastAsia"/>
                      <w:szCs w:val="21"/>
                    </w:rPr>
                    <w:t>新氢</w:t>
                  </w:r>
                </w:p>
              </w:tc>
              <w:tc>
                <w:tcPr>
                  <w:tcW w:w="4026" w:type="pct"/>
                  <w:vAlign w:val="center"/>
                </w:tcPr>
                <w:p w14:paraId="7CD0CC65">
                  <w:pPr>
                    <w:spacing w:line="350" w:lineRule="exact"/>
                    <w:rPr>
                      <w:szCs w:val="21"/>
                    </w:rPr>
                  </w:pPr>
                  <w:r>
                    <w:rPr>
                      <w:szCs w:val="21"/>
                      <w:lang w:bidi="ar"/>
                    </w:rPr>
                    <w:t>无色、无臭、无味、无毒的可燃性气体，熔点-259.2℃，沸点-252.88℃，密度0.089g/L，蒸汽压13.33kPa，与空气混合能形成爆炸性混合物，遇热或明火即会发生爆炸。</w:t>
                  </w:r>
                </w:p>
              </w:tc>
            </w:tr>
            <w:tr w14:paraId="3498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87" w:type="pct"/>
                  <w:vAlign w:val="center"/>
                </w:tcPr>
                <w:p w14:paraId="7CD45F5D">
                  <w:pPr>
                    <w:spacing w:line="350" w:lineRule="exact"/>
                    <w:jc w:val="center"/>
                    <w:rPr>
                      <w:szCs w:val="21"/>
                    </w:rPr>
                  </w:pPr>
                  <w:r>
                    <w:rPr>
                      <w:rFonts w:hint="eastAsia"/>
                      <w:szCs w:val="21"/>
                    </w:rPr>
                    <w:t>3</w:t>
                  </w:r>
                </w:p>
              </w:tc>
              <w:tc>
                <w:tcPr>
                  <w:tcW w:w="587" w:type="pct"/>
                  <w:vAlign w:val="center"/>
                </w:tcPr>
                <w:p w14:paraId="7A5B7B87">
                  <w:pPr>
                    <w:adjustRightInd w:val="0"/>
                    <w:snapToGrid w:val="0"/>
                    <w:spacing w:line="350" w:lineRule="exact"/>
                    <w:jc w:val="center"/>
                    <w:rPr>
                      <w:szCs w:val="21"/>
                    </w:rPr>
                  </w:pPr>
                  <w:r>
                    <w:rPr>
                      <w:rFonts w:hint="eastAsia"/>
                      <w:szCs w:val="21"/>
                    </w:rPr>
                    <w:t>烷烃返</w:t>
                  </w:r>
                </w:p>
                <w:p w14:paraId="229ED6EA">
                  <w:pPr>
                    <w:adjustRightInd w:val="0"/>
                    <w:snapToGrid w:val="0"/>
                    <w:spacing w:line="350" w:lineRule="exact"/>
                    <w:jc w:val="center"/>
                    <w:rPr>
                      <w:szCs w:val="21"/>
                    </w:rPr>
                  </w:pPr>
                  <w:r>
                    <w:rPr>
                      <w:rFonts w:hint="eastAsia"/>
                      <w:szCs w:val="21"/>
                    </w:rPr>
                    <w:t>回料</w:t>
                  </w:r>
                </w:p>
              </w:tc>
              <w:tc>
                <w:tcPr>
                  <w:tcW w:w="4026" w:type="pct"/>
                  <w:vAlign w:val="center"/>
                </w:tcPr>
                <w:p w14:paraId="42A7A600">
                  <w:pPr>
                    <w:spacing w:line="350" w:lineRule="exact"/>
                    <w:rPr>
                      <w:szCs w:val="21"/>
                    </w:rPr>
                  </w:pPr>
                  <w:r>
                    <w:rPr>
                      <w:szCs w:val="21"/>
                    </w:rPr>
                    <w:t>以C</w:t>
                  </w:r>
                  <w:r>
                    <w:rPr>
                      <w:rFonts w:hint="eastAsia"/>
                      <w:szCs w:val="21"/>
                    </w:rPr>
                    <w:t>9、</w:t>
                  </w:r>
                  <w:r>
                    <w:rPr>
                      <w:szCs w:val="21"/>
                    </w:rPr>
                    <w:t>C10</w:t>
                  </w:r>
                  <w:bookmarkStart w:id="25" w:name="OLE_LINK28"/>
                  <w:r>
                    <w:rPr>
                      <w:rFonts w:hint="eastAsia"/>
                      <w:szCs w:val="21"/>
                    </w:rPr>
                    <w:t>烷</w:t>
                  </w:r>
                  <w:bookmarkEnd w:id="25"/>
                  <w:r>
                    <w:rPr>
                      <w:szCs w:val="21"/>
                    </w:rPr>
                    <w:t>烃为主要成分的混合</w:t>
                  </w:r>
                  <w:r>
                    <w:rPr>
                      <w:rFonts w:hint="eastAsia"/>
                      <w:szCs w:val="21"/>
                    </w:rPr>
                    <w:t>烷</w:t>
                  </w:r>
                  <w:r>
                    <w:rPr>
                      <w:szCs w:val="21"/>
                    </w:rPr>
                    <w:t>烃，无色透明液体，</w:t>
                  </w:r>
                  <w:r>
                    <w:rPr>
                      <w:rFonts w:hint="eastAsia"/>
                      <w:bCs/>
                    </w:rPr>
                    <w:t>密度729</w:t>
                  </w:r>
                  <w:r>
                    <w:rPr>
                      <w:bCs/>
                    </w:rPr>
                    <w:t>kg/m³</w:t>
                  </w:r>
                  <w:r>
                    <w:rPr>
                      <w:rFonts w:hint="eastAsia"/>
                      <w:bCs/>
                    </w:rPr>
                    <w:t>，</w:t>
                  </w:r>
                  <w:r>
                    <w:rPr>
                      <w:szCs w:val="21"/>
                    </w:rPr>
                    <w:t>不含砷、硫、汞及其他有害杂质，沸程：150~200℃，不溶于水，溶于乙醇、苯。</w:t>
                  </w:r>
                </w:p>
              </w:tc>
            </w:tr>
            <w:tr w14:paraId="4FE2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87" w:type="pct"/>
                  <w:vAlign w:val="center"/>
                </w:tcPr>
                <w:p w14:paraId="4B939C68">
                  <w:pPr>
                    <w:spacing w:line="350" w:lineRule="exact"/>
                    <w:jc w:val="center"/>
                    <w:rPr>
                      <w:szCs w:val="21"/>
                    </w:rPr>
                  </w:pPr>
                  <w:r>
                    <w:rPr>
                      <w:rFonts w:hint="eastAsia"/>
                      <w:szCs w:val="21"/>
                    </w:rPr>
                    <w:t>4</w:t>
                  </w:r>
                </w:p>
              </w:tc>
              <w:tc>
                <w:tcPr>
                  <w:tcW w:w="587" w:type="pct"/>
                  <w:vAlign w:val="center"/>
                </w:tcPr>
                <w:p w14:paraId="78E42821">
                  <w:pPr>
                    <w:adjustRightInd w:val="0"/>
                    <w:snapToGrid w:val="0"/>
                    <w:spacing w:line="350" w:lineRule="exact"/>
                    <w:jc w:val="center"/>
                    <w:rPr>
                      <w:szCs w:val="21"/>
                    </w:rPr>
                  </w:pPr>
                  <w:r>
                    <w:rPr>
                      <w:rFonts w:hint="eastAsia"/>
                      <w:szCs w:val="21"/>
                    </w:rPr>
                    <w:t>排放气</w:t>
                  </w:r>
                </w:p>
              </w:tc>
              <w:tc>
                <w:tcPr>
                  <w:tcW w:w="4026" w:type="pct"/>
                  <w:vAlign w:val="center"/>
                </w:tcPr>
                <w:p w14:paraId="63E47ED6">
                  <w:pPr>
                    <w:spacing w:line="350" w:lineRule="exact"/>
                    <w:rPr>
                      <w:szCs w:val="21"/>
                    </w:rPr>
                  </w:pPr>
                  <w:r>
                    <w:rPr>
                      <w:rFonts w:hint="eastAsia"/>
                      <w:szCs w:val="21"/>
                    </w:rPr>
                    <w:t>主要为宏城化工PAO装置阀门误关闭/出口堵塞或调节阀故障等非正常工况下产生的混合烯烃C9-C12、氢气等。</w:t>
                  </w:r>
                </w:p>
              </w:tc>
            </w:tr>
          </w:tbl>
          <w:p w14:paraId="470E2F70">
            <w:pPr>
              <w:spacing w:line="440" w:lineRule="exact"/>
              <w:ind w:firstLine="482" w:firstLineChars="200"/>
              <w:jc w:val="left"/>
              <w:rPr>
                <w:b/>
                <w:bCs/>
                <w:sz w:val="24"/>
              </w:rPr>
            </w:pPr>
            <w:r>
              <w:rPr>
                <w:rFonts w:hint="eastAsia"/>
                <w:b/>
                <w:bCs/>
                <w:sz w:val="24"/>
              </w:rPr>
              <w:t>表2-5   混合烯烃主要成分一览表</w:t>
            </w:r>
          </w:p>
          <w:tbl>
            <w:tblPr>
              <w:tblStyle w:val="7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428"/>
              <w:gridCol w:w="3415"/>
              <w:gridCol w:w="2012"/>
              <w:gridCol w:w="1523"/>
            </w:tblGrid>
            <w:tr w14:paraId="27C3F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Align w:val="center"/>
                </w:tcPr>
                <w:p w14:paraId="063EBD06">
                  <w:pPr>
                    <w:pStyle w:val="519"/>
                    <w:spacing w:before="15" w:line="360" w:lineRule="exact"/>
                    <w:ind w:left="340"/>
                    <w:rPr>
                      <w:sz w:val="21"/>
                      <w:szCs w:val="21"/>
                    </w:rPr>
                  </w:pPr>
                  <w:r>
                    <w:rPr>
                      <w:sz w:val="21"/>
                      <w:szCs w:val="21"/>
                    </w:rPr>
                    <w:t>名称</w:t>
                  </w:r>
                </w:p>
              </w:tc>
              <w:tc>
                <w:tcPr>
                  <w:tcW w:w="2038" w:type="pct"/>
                  <w:vAlign w:val="center"/>
                </w:tcPr>
                <w:p w14:paraId="2FE640C9">
                  <w:pPr>
                    <w:pStyle w:val="519"/>
                    <w:spacing w:before="15" w:line="360" w:lineRule="exact"/>
                    <w:ind w:left="59" w:right="57"/>
                    <w:jc w:val="center"/>
                    <w:rPr>
                      <w:sz w:val="21"/>
                      <w:szCs w:val="21"/>
                    </w:rPr>
                  </w:pPr>
                  <w:r>
                    <w:rPr>
                      <w:sz w:val="21"/>
                      <w:szCs w:val="21"/>
                    </w:rPr>
                    <w:t>成分</w:t>
                  </w:r>
                </w:p>
              </w:tc>
              <w:tc>
                <w:tcPr>
                  <w:tcW w:w="1201" w:type="pct"/>
                  <w:vAlign w:val="center"/>
                </w:tcPr>
                <w:p w14:paraId="2F501BF0">
                  <w:pPr>
                    <w:pStyle w:val="519"/>
                    <w:spacing w:before="15" w:line="360" w:lineRule="exact"/>
                    <w:ind w:left="73" w:right="70"/>
                    <w:jc w:val="center"/>
                    <w:rPr>
                      <w:sz w:val="21"/>
                      <w:szCs w:val="21"/>
                    </w:rPr>
                  </w:pPr>
                  <w:r>
                    <w:rPr>
                      <w:sz w:val="21"/>
                      <w:szCs w:val="21"/>
                    </w:rPr>
                    <w:t>组成</w:t>
                  </w:r>
                </w:p>
              </w:tc>
              <w:tc>
                <w:tcPr>
                  <w:tcW w:w="910" w:type="pct"/>
                  <w:vAlign w:val="center"/>
                </w:tcPr>
                <w:p w14:paraId="2F4C9384">
                  <w:pPr>
                    <w:pStyle w:val="519"/>
                    <w:spacing w:before="15" w:line="360" w:lineRule="exact"/>
                    <w:ind w:left="141"/>
                    <w:jc w:val="center"/>
                    <w:rPr>
                      <w:sz w:val="21"/>
                      <w:szCs w:val="21"/>
                    </w:rPr>
                  </w:pPr>
                  <w:bookmarkStart w:id="26" w:name="OLE_LINK31"/>
                  <w:r>
                    <w:rPr>
                      <w:sz w:val="21"/>
                      <w:szCs w:val="21"/>
                    </w:rPr>
                    <w:t>输送特性</w:t>
                  </w:r>
                  <w:bookmarkEnd w:id="26"/>
                </w:p>
              </w:tc>
            </w:tr>
            <w:tr w14:paraId="0BE48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73" w:hRule="atLeast"/>
              </w:trPr>
              <w:tc>
                <w:tcPr>
                  <w:tcW w:w="852" w:type="pct"/>
                  <w:vMerge w:val="restart"/>
                  <w:vAlign w:val="center"/>
                </w:tcPr>
                <w:p w14:paraId="236D49A2">
                  <w:pPr>
                    <w:pStyle w:val="519"/>
                    <w:spacing w:before="173" w:line="360" w:lineRule="exact"/>
                    <w:ind w:left="110" w:right="101"/>
                    <w:jc w:val="center"/>
                    <w:rPr>
                      <w:sz w:val="21"/>
                      <w:szCs w:val="21"/>
                    </w:rPr>
                  </w:pPr>
                  <w:r>
                    <w:rPr>
                      <w:sz w:val="21"/>
                      <w:szCs w:val="21"/>
                    </w:rPr>
                    <w:t>混合烯烃</w:t>
                  </w:r>
                </w:p>
                <w:p w14:paraId="32AE81E0">
                  <w:pPr>
                    <w:pStyle w:val="519"/>
                    <w:spacing w:line="360" w:lineRule="exact"/>
                    <w:ind w:left="110" w:right="99"/>
                    <w:jc w:val="center"/>
                    <w:rPr>
                      <w:sz w:val="21"/>
                      <w:szCs w:val="21"/>
                    </w:rPr>
                  </w:pPr>
                  <w:r>
                    <w:rPr>
                      <w:sz w:val="21"/>
                      <w:szCs w:val="21"/>
                    </w:rPr>
                    <w:t>C9~12</w:t>
                  </w:r>
                </w:p>
              </w:tc>
              <w:tc>
                <w:tcPr>
                  <w:tcW w:w="2038" w:type="pct"/>
                  <w:vAlign w:val="center"/>
                </w:tcPr>
                <w:p w14:paraId="6BB946CA">
                  <w:pPr>
                    <w:pStyle w:val="519"/>
                    <w:spacing w:before="3" w:line="360" w:lineRule="exact"/>
                    <w:ind w:left="60" w:right="57"/>
                    <w:jc w:val="center"/>
                    <w:rPr>
                      <w:sz w:val="21"/>
                      <w:szCs w:val="21"/>
                    </w:rPr>
                  </w:pPr>
                  <w:r>
                    <w:rPr>
                      <w:sz w:val="21"/>
                      <w:szCs w:val="21"/>
                    </w:rPr>
                    <w:t>＜C9（1-壬烯）</w:t>
                  </w:r>
                </w:p>
              </w:tc>
              <w:tc>
                <w:tcPr>
                  <w:tcW w:w="1201" w:type="pct"/>
                  <w:vAlign w:val="center"/>
                </w:tcPr>
                <w:p w14:paraId="3DDD9A1C">
                  <w:pPr>
                    <w:pStyle w:val="519"/>
                    <w:spacing w:before="24" w:line="360" w:lineRule="exact"/>
                    <w:ind w:left="73" w:right="70"/>
                    <w:jc w:val="center"/>
                    <w:rPr>
                      <w:sz w:val="21"/>
                      <w:szCs w:val="21"/>
                    </w:rPr>
                  </w:pPr>
                  <w:r>
                    <w:rPr>
                      <w:sz w:val="21"/>
                      <w:szCs w:val="21"/>
                    </w:rPr>
                    <w:t>1.00</w:t>
                  </w:r>
                  <w:r>
                    <w:rPr>
                      <w:spacing w:val="-13"/>
                      <w:sz w:val="21"/>
                      <w:szCs w:val="21"/>
                    </w:rPr>
                    <w:t>%</w:t>
                  </w:r>
                </w:p>
              </w:tc>
              <w:tc>
                <w:tcPr>
                  <w:tcW w:w="910" w:type="pct"/>
                  <w:vMerge w:val="restart"/>
                  <w:vAlign w:val="center"/>
                </w:tcPr>
                <w:p w14:paraId="796DFF35">
                  <w:pPr>
                    <w:pStyle w:val="519"/>
                    <w:spacing w:line="360" w:lineRule="exact"/>
                    <w:jc w:val="center"/>
                    <w:rPr>
                      <w:sz w:val="21"/>
                      <w:szCs w:val="21"/>
                    </w:rPr>
                  </w:pPr>
                  <w:r>
                    <w:rPr>
                      <w:sz w:val="21"/>
                      <w:szCs w:val="21"/>
                    </w:rPr>
                    <w:t>连续</w:t>
                  </w:r>
                </w:p>
              </w:tc>
            </w:tr>
            <w:tr w14:paraId="000FF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595CD2A1">
                  <w:pPr>
                    <w:spacing w:line="360" w:lineRule="exact"/>
                    <w:jc w:val="center"/>
                    <w:rPr>
                      <w:szCs w:val="21"/>
                    </w:rPr>
                  </w:pPr>
                </w:p>
              </w:tc>
              <w:tc>
                <w:tcPr>
                  <w:tcW w:w="2038" w:type="pct"/>
                  <w:vAlign w:val="center"/>
                </w:tcPr>
                <w:p w14:paraId="59094CA5">
                  <w:pPr>
                    <w:pStyle w:val="519"/>
                    <w:spacing w:before="15" w:line="360" w:lineRule="exact"/>
                    <w:ind w:left="59" w:right="57"/>
                    <w:jc w:val="center"/>
                    <w:rPr>
                      <w:sz w:val="21"/>
                      <w:szCs w:val="21"/>
                    </w:rPr>
                  </w:pPr>
                  <w:r>
                    <w:rPr>
                      <w:sz w:val="21"/>
                      <w:szCs w:val="21"/>
                    </w:rPr>
                    <w:t>NC9（正壬烷）</w:t>
                  </w:r>
                </w:p>
              </w:tc>
              <w:tc>
                <w:tcPr>
                  <w:tcW w:w="1201" w:type="pct"/>
                  <w:vAlign w:val="center"/>
                </w:tcPr>
                <w:p w14:paraId="54CE2DD5">
                  <w:pPr>
                    <w:pStyle w:val="519"/>
                    <w:spacing w:before="53" w:line="360" w:lineRule="exact"/>
                    <w:ind w:left="73" w:right="70"/>
                    <w:jc w:val="center"/>
                    <w:rPr>
                      <w:sz w:val="21"/>
                      <w:szCs w:val="21"/>
                    </w:rPr>
                  </w:pPr>
                  <w:r>
                    <w:rPr>
                      <w:sz w:val="21"/>
                      <w:szCs w:val="21"/>
                    </w:rPr>
                    <w:t>6.64</w:t>
                  </w:r>
                  <w:r>
                    <w:rPr>
                      <w:spacing w:val="-13"/>
                      <w:sz w:val="21"/>
                      <w:szCs w:val="21"/>
                    </w:rPr>
                    <w:t>%</w:t>
                  </w:r>
                </w:p>
              </w:tc>
              <w:tc>
                <w:tcPr>
                  <w:tcW w:w="910" w:type="pct"/>
                  <w:vMerge w:val="continue"/>
                  <w:tcBorders>
                    <w:top w:val="nil"/>
                  </w:tcBorders>
                  <w:vAlign w:val="center"/>
                </w:tcPr>
                <w:p w14:paraId="04C120B2">
                  <w:pPr>
                    <w:spacing w:line="360" w:lineRule="exact"/>
                    <w:jc w:val="center"/>
                    <w:rPr>
                      <w:szCs w:val="21"/>
                    </w:rPr>
                  </w:pPr>
                </w:p>
              </w:tc>
            </w:tr>
            <w:tr w14:paraId="1056F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7FA0453B">
                  <w:pPr>
                    <w:spacing w:line="360" w:lineRule="exact"/>
                    <w:jc w:val="center"/>
                    <w:rPr>
                      <w:szCs w:val="21"/>
                    </w:rPr>
                  </w:pPr>
                </w:p>
              </w:tc>
              <w:tc>
                <w:tcPr>
                  <w:tcW w:w="2038" w:type="pct"/>
                  <w:vAlign w:val="center"/>
                </w:tcPr>
                <w:p w14:paraId="428CE963">
                  <w:pPr>
                    <w:pStyle w:val="519"/>
                    <w:spacing w:before="15" w:line="360" w:lineRule="exact"/>
                    <w:ind w:left="61" w:right="57"/>
                    <w:jc w:val="center"/>
                    <w:rPr>
                      <w:sz w:val="21"/>
                      <w:szCs w:val="21"/>
                    </w:rPr>
                  </w:pPr>
                  <w:r>
                    <w:rPr>
                      <w:sz w:val="21"/>
                      <w:szCs w:val="21"/>
                    </w:rPr>
                    <w:t>C9（1-壬烯）</w:t>
                  </w:r>
                </w:p>
              </w:tc>
              <w:tc>
                <w:tcPr>
                  <w:tcW w:w="1201" w:type="pct"/>
                  <w:vAlign w:val="center"/>
                </w:tcPr>
                <w:p w14:paraId="32E2534E">
                  <w:pPr>
                    <w:pStyle w:val="519"/>
                    <w:spacing w:before="53" w:line="360" w:lineRule="exact"/>
                    <w:ind w:left="73" w:right="70"/>
                    <w:jc w:val="center"/>
                    <w:rPr>
                      <w:sz w:val="21"/>
                      <w:szCs w:val="21"/>
                    </w:rPr>
                  </w:pPr>
                  <w:r>
                    <w:rPr>
                      <w:sz w:val="21"/>
                      <w:szCs w:val="21"/>
                    </w:rPr>
                    <w:t>20.17</w:t>
                  </w:r>
                  <w:r>
                    <w:rPr>
                      <w:spacing w:val="-13"/>
                      <w:sz w:val="21"/>
                      <w:szCs w:val="21"/>
                    </w:rPr>
                    <w:t>%</w:t>
                  </w:r>
                </w:p>
              </w:tc>
              <w:tc>
                <w:tcPr>
                  <w:tcW w:w="910" w:type="pct"/>
                  <w:vMerge w:val="continue"/>
                  <w:tcBorders>
                    <w:top w:val="nil"/>
                  </w:tcBorders>
                  <w:vAlign w:val="center"/>
                </w:tcPr>
                <w:p w14:paraId="2FA2B718">
                  <w:pPr>
                    <w:spacing w:line="360" w:lineRule="exact"/>
                    <w:jc w:val="center"/>
                    <w:rPr>
                      <w:szCs w:val="21"/>
                    </w:rPr>
                  </w:pPr>
                </w:p>
              </w:tc>
            </w:tr>
            <w:tr w14:paraId="54B99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02" w:hRule="atLeast"/>
              </w:trPr>
              <w:tc>
                <w:tcPr>
                  <w:tcW w:w="852" w:type="pct"/>
                  <w:vMerge w:val="continue"/>
                  <w:tcBorders>
                    <w:top w:val="nil"/>
                  </w:tcBorders>
                  <w:vAlign w:val="center"/>
                </w:tcPr>
                <w:p w14:paraId="72AD8F91">
                  <w:pPr>
                    <w:spacing w:line="360" w:lineRule="exact"/>
                    <w:jc w:val="center"/>
                    <w:rPr>
                      <w:szCs w:val="21"/>
                    </w:rPr>
                  </w:pPr>
                </w:p>
              </w:tc>
              <w:tc>
                <w:tcPr>
                  <w:tcW w:w="2038" w:type="pct"/>
                  <w:vAlign w:val="center"/>
                </w:tcPr>
                <w:p w14:paraId="07699980">
                  <w:pPr>
                    <w:pStyle w:val="519"/>
                    <w:spacing w:before="15" w:line="360" w:lineRule="exact"/>
                    <w:ind w:left="59" w:right="57"/>
                    <w:jc w:val="center"/>
                    <w:rPr>
                      <w:sz w:val="21"/>
                      <w:szCs w:val="21"/>
                    </w:rPr>
                  </w:pPr>
                  <w:r>
                    <w:rPr>
                      <w:sz w:val="21"/>
                      <w:szCs w:val="21"/>
                    </w:rPr>
                    <w:t>NC10（正癸烷）</w:t>
                  </w:r>
                </w:p>
              </w:tc>
              <w:tc>
                <w:tcPr>
                  <w:tcW w:w="1201" w:type="pct"/>
                  <w:vAlign w:val="center"/>
                </w:tcPr>
                <w:p w14:paraId="793285A9">
                  <w:pPr>
                    <w:pStyle w:val="519"/>
                    <w:spacing w:before="53" w:line="360" w:lineRule="exact"/>
                    <w:ind w:left="73" w:right="70"/>
                    <w:jc w:val="center"/>
                    <w:rPr>
                      <w:sz w:val="21"/>
                      <w:szCs w:val="21"/>
                    </w:rPr>
                  </w:pPr>
                  <w:r>
                    <w:rPr>
                      <w:sz w:val="21"/>
                      <w:szCs w:val="21"/>
                    </w:rPr>
                    <w:t>6.48</w:t>
                  </w:r>
                  <w:r>
                    <w:rPr>
                      <w:spacing w:val="-13"/>
                      <w:sz w:val="21"/>
                      <w:szCs w:val="21"/>
                    </w:rPr>
                    <w:t>%</w:t>
                  </w:r>
                </w:p>
              </w:tc>
              <w:tc>
                <w:tcPr>
                  <w:tcW w:w="910" w:type="pct"/>
                  <w:vMerge w:val="continue"/>
                  <w:tcBorders>
                    <w:top w:val="nil"/>
                  </w:tcBorders>
                  <w:vAlign w:val="center"/>
                </w:tcPr>
                <w:p w14:paraId="223E8D25">
                  <w:pPr>
                    <w:spacing w:line="360" w:lineRule="exact"/>
                    <w:jc w:val="center"/>
                    <w:rPr>
                      <w:szCs w:val="21"/>
                    </w:rPr>
                  </w:pPr>
                </w:p>
              </w:tc>
            </w:tr>
            <w:tr w14:paraId="5BDE6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00" w:hRule="atLeast"/>
              </w:trPr>
              <w:tc>
                <w:tcPr>
                  <w:tcW w:w="852" w:type="pct"/>
                  <w:vMerge w:val="continue"/>
                  <w:tcBorders>
                    <w:top w:val="nil"/>
                  </w:tcBorders>
                  <w:vAlign w:val="center"/>
                </w:tcPr>
                <w:p w14:paraId="6F9E05F7">
                  <w:pPr>
                    <w:spacing w:line="360" w:lineRule="exact"/>
                    <w:jc w:val="center"/>
                    <w:rPr>
                      <w:szCs w:val="21"/>
                    </w:rPr>
                  </w:pPr>
                </w:p>
              </w:tc>
              <w:tc>
                <w:tcPr>
                  <w:tcW w:w="2038" w:type="pct"/>
                  <w:vAlign w:val="center"/>
                </w:tcPr>
                <w:p w14:paraId="1C57BEE8">
                  <w:pPr>
                    <w:pStyle w:val="519"/>
                    <w:spacing w:before="16" w:line="360" w:lineRule="exact"/>
                    <w:ind w:left="61" w:right="57"/>
                    <w:jc w:val="center"/>
                    <w:rPr>
                      <w:sz w:val="21"/>
                      <w:szCs w:val="21"/>
                    </w:rPr>
                  </w:pPr>
                  <w:r>
                    <w:rPr>
                      <w:sz w:val="21"/>
                      <w:szCs w:val="21"/>
                    </w:rPr>
                    <w:t>C10（1-癸烯）</w:t>
                  </w:r>
                </w:p>
              </w:tc>
              <w:tc>
                <w:tcPr>
                  <w:tcW w:w="1201" w:type="pct"/>
                  <w:vAlign w:val="center"/>
                </w:tcPr>
                <w:p w14:paraId="6D438C97">
                  <w:pPr>
                    <w:pStyle w:val="519"/>
                    <w:spacing w:before="51" w:line="360" w:lineRule="exact"/>
                    <w:ind w:left="73" w:right="70"/>
                    <w:jc w:val="center"/>
                    <w:rPr>
                      <w:sz w:val="21"/>
                      <w:szCs w:val="21"/>
                    </w:rPr>
                  </w:pPr>
                  <w:r>
                    <w:rPr>
                      <w:sz w:val="21"/>
                      <w:szCs w:val="21"/>
                    </w:rPr>
                    <w:t>20.08</w:t>
                  </w:r>
                  <w:r>
                    <w:rPr>
                      <w:spacing w:val="-13"/>
                      <w:sz w:val="21"/>
                      <w:szCs w:val="21"/>
                    </w:rPr>
                    <w:t>%</w:t>
                  </w:r>
                </w:p>
              </w:tc>
              <w:tc>
                <w:tcPr>
                  <w:tcW w:w="910" w:type="pct"/>
                  <w:vMerge w:val="continue"/>
                  <w:tcBorders>
                    <w:top w:val="nil"/>
                  </w:tcBorders>
                  <w:vAlign w:val="center"/>
                </w:tcPr>
                <w:p w14:paraId="5375738B">
                  <w:pPr>
                    <w:spacing w:line="360" w:lineRule="exact"/>
                    <w:jc w:val="center"/>
                    <w:rPr>
                      <w:szCs w:val="21"/>
                    </w:rPr>
                  </w:pPr>
                </w:p>
              </w:tc>
            </w:tr>
            <w:tr w14:paraId="13AE8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7EAA4889">
                  <w:pPr>
                    <w:spacing w:line="360" w:lineRule="exact"/>
                    <w:jc w:val="center"/>
                    <w:rPr>
                      <w:szCs w:val="21"/>
                    </w:rPr>
                  </w:pPr>
                </w:p>
              </w:tc>
              <w:tc>
                <w:tcPr>
                  <w:tcW w:w="2038" w:type="pct"/>
                  <w:vAlign w:val="center"/>
                </w:tcPr>
                <w:p w14:paraId="65AD9B24">
                  <w:pPr>
                    <w:pStyle w:val="519"/>
                    <w:spacing w:before="15" w:line="360" w:lineRule="exact"/>
                    <w:ind w:left="59" w:right="57"/>
                    <w:jc w:val="center"/>
                    <w:rPr>
                      <w:sz w:val="21"/>
                      <w:szCs w:val="21"/>
                    </w:rPr>
                  </w:pPr>
                  <w:r>
                    <w:rPr>
                      <w:sz w:val="21"/>
                      <w:szCs w:val="21"/>
                    </w:rPr>
                    <w:t>NC11（正十一烷）</w:t>
                  </w:r>
                </w:p>
              </w:tc>
              <w:tc>
                <w:tcPr>
                  <w:tcW w:w="1201" w:type="pct"/>
                  <w:vAlign w:val="center"/>
                </w:tcPr>
                <w:p w14:paraId="50259928">
                  <w:pPr>
                    <w:pStyle w:val="519"/>
                    <w:spacing w:before="51" w:line="360" w:lineRule="exact"/>
                    <w:ind w:left="73" w:right="70"/>
                    <w:jc w:val="center"/>
                    <w:rPr>
                      <w:sz w:val="21"/>
                      <w:szCs w:val="21"/>
                    </w:rPr>
                  </w:pPr>
                  <w:r>
                    <w:rPr>
                      <w:sz w:val="21"/>
                      <w:szCs w:val="21"/>
                    </w:rPr>
                    <w:t>5.46</w:t>
                  </w:r>
                  <w:r>
                    <w:rPr>
                      <w:spacing w:val="-13"/>
                      <w:sz w:val="21"/>
                      <w:szCs w:val="21"/>
                    </w:rPr>
                    <w:t>%</w:t>
                  </w:r>
                </w:p>
              </w:tc>
              <w:tc>
                <w:tcPr>
                  <w:tcW w:w="910" w:type="pct"/>
                  <w:vMerge w:val="continue"/>
                  <w:tcBorders>
                    <w:top w:val="nil"/>
                  </w:tcBorders>
                  <w:vAlign w:val="center"/>
                </w:tcPr>
                <w:p w14:paraId="4D716EA5">
                  <w:pPr>
                    <w:spacing w:line="360" w:lineRule="exact"/>
                    <w:jc w:val="center"/>
                    <w:rPr>
                      <w:szCs w:val="21"/>
                    </w:rPr>
                  </w:pPr>
                </w:p>
              </w:tc>
            </w:tr>
            <w:tr w14:paraId="177FA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2930979B">
                  <w:pPr>
                    <w:spacing w:line="360" w:lineRule="exact"/>
                    <w:jc w:val="center"/>
                    <w:rPr>
                      <w:szCs w:val="21"/>
                    </w:rPr>
                  </w:pPr>
                </w:p>
              </w:tc>
              <w:tc>
                <w:tcPr>
                  <w:tcW w:w="2038" w:type="pct"/>
                  <w:vAlign w:val="center"/>
                </w:tcPr>
                <w:p w14:paraId="4834E9E7">
                  <w:pPr>
                    <w:pStyle w:val="519"/>
                    <w:spacing w:before="15" w:line="360" w:lineRule="exact"/>
                    <w:ind w:left="61" w:right="57"/>
                    <w:jc w:val="center"/>
                    <w:rPr>
                      <w:sz w:val="21"/>
                      <w:szCs w:val="21"/>
                    </w:rPr>
                  </w:pPr>
                  <w:r>
                    <w:rPr>
                      <w:sz w:val="21"/>
                      <w:szCs w:val="21"/>
                    </w:rPr>
                    <w:t>C11（1-十一烯）</w:t>
                  </w:r>
                </w:p>
              </w:tc>
              <w:tc>
                <w:tcPr>
                  <w:tcW w:w="1201" w:type="pct"/>
                  <w:vAlign w:val="center"/>
                </w:tcPr>
                <w:p w14:paraId="30FE1F88">
                  <w:pPr>
                    <w:pStyle w:val="519"/>
                    <w:spacing w:before="51" w:line="360" w:lineRule="exact"/>
                    <w:ind w:left="73" w:right="70"/>
                    <w:jc w:val="center"/>
                    <w:rPr>
                      <w:sz w:val="21"/>
                      <w:szCs w:val="21"/>
                    </w:rPr>
                  </w:pPr>
                  <w:r>
                    <w:rPr>
                      <w:sz w:val="21"/>
                      <w:szCs w:val="21"/>
                    </w:rPr>
                    <w:t>16.50</w:t>
                  </w:r>
                  <w:r>
                    <w:rPr>
                      <w:spacing w:val="-13"/>
                      <w:sz w:val="21"/>
                      <w:szCs w:val="21"/>
                    </w:rPr>
                    <w:t>%</w:t>
                  </w:r>
                </w:p>
              </w:tc>
              <w:tc>
                <w:tcPr>
                  <w:tcW w:w="910" w:type="pct"/>
                  <w:vMerge w:val="continue"/>
                  <w:tcBorders>
                    <w:top w:val="nil"/>
                  </w:tcBorders>
                  <w:vAlign w:val="center"/>
                </w:tcPr>
                <w:p w14:paraId="200C6B5E">
                  <w:pPr>
                    <w:spacing w:line="360" w:lineRule="exact"/>
                    <w:jc w:val="center"/>
                    <w:rPr>
                      <w:szCs w:val="21"/>
                    </w:rPr>
                  </w:pPr>
                </w:p>
              </w:tc>
            </w:tr>
            <w:tr w14:paraId="15EF4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1788F2E5">
                  <w:pPr>
                    <w:spacing w:line="360" w:lineRule="exact"/>
                    <w:jc w:val="center"/>
                    <w:rPr>
                      <w:szCs w:val="21"/>
                    </w:rPr>
                  </w:pPr>
                </w:p>
              </w:tc>
              <w:tc>
                <w:tcPr>
                  <w:tcW w:w="2038" w:type="pct"/>
                  <w:vAlign w:val="center"/>
                </w:tcPr>
                <w:p w14:paraId="7BDAF7BB">
                  <w:pPr>
                    <w:pStyle w:val="519"/>
                    <w:spacing w:before="15" w:line="360" w:lineRule="exact"/>
                    <w:ind w:left="62" w:right="57"/>
                    <w:jc w:val="center"/>
                    <w:rPr>
                      <w:sz w:val="21"/>
                      <w:szCs w:val="21"/>
                    </w:rPr>
                  </w:pPr>
                  <w:r>
                    <w:rPr>
                      <w:sz w:val="21"/>
                      <w:szCs w:val="21"/>
                    </w:rPr>
                    <w:t>NC12（</w:t>
                  </w:r>
                  <w:bookmarkStart w:id="27" w:name="OLE_LINK17"/>
                  <w:r>
                    <w:rPr>
                      <w:sz w:val="21"/>
                      <w:szCs w:val="21"/>
                    </w:rPr>
                    <w:t>正十二烷</w:t>
                  </w:r>
                  <w:bookmarkEnd w:id="27"/>
                  <w:r>
                    <w:rPr>
                      <w:sz w:val="21"/>
                      <w:szCs w:val="21"/>
                    </w:rPr>
                    <w:t>）</w:t>
                  </w:r>
                </w:p>
              </w:tc>
              <w:tc>
                <w:tcPr>
                  <w:tcW w:w="1201" w:type="pct"/>
                  <w:vAlign w:val="center"/>
                </w:tcPr>
                <w:p w14:paraId="1A5EB826">
                  <w:pPr>
                    <w:pStyle w:val="519"/>
                    <w:spacing w:before="53" w:line="360" w:lineRule="exact"/>
                    <w:ind w:left="73" w:right="70"/>
                    <w:jc w:val="center"/>
                    <w:rPr>
                      <w:sz w:val="21"/>
                      <w:szCs w:val="21"/>
                    </w:rPr>
                  </w:pPr>
                  <w:r>
                    <w:rPr>
                      <w:sz w:val="21"/>
                      <w:szCs w:val="21"/>
                    </w:rPr>
                    <w:t>4.93</w:t>
                  </w:r>
                  <w:r>
                    <w:rPr>
                      <w:spacing w:val="-13"/>
                      <w:sz w:val="21"/>
                      <w:szCs w:val="21"/>
                    </w:rPr>
                    <w:t>%</w:t>
                  </w:r>
                </w:p>
              </w:tc>
              <w:tc>
                <w:tcPr>
                  <w:tcW w:w="910" w:type="pct"/>
                  <w:vMerge w:val="continue"/>
                  <w:tcBorders>
                    <w:top w:val="nil"/>
                  </w:tcBorders>
                  <w:vAlign w:val="center"/>
                </w:tcPr>
                <w:p w14:paraId="3ECB3CFB">
                  <w:pPr>
                    <w:spacing w:line="360" w:lineRule="exact"/>
                    <w:jc w:val="center"/>
                    <w:rPr>
                      <w:szCs w:val="21"/>
                    </w:rPr>
                  </w:pPr>
                </w:p>
              </w:tc>
            </w:tr>
            <w:tr w14:paraId="398B8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17442AD8">
                  <w:pPr>
                    <w:spacing w:line="360" w:lineRule="exact"/>
                    <w:jc w:val="center"/>
                    <w:rPr>
                      <w:szCs w:val="21"/>
                    </w:rPr>
                  </w:pPr>
                </w:p>
              </w:tc>
              <w:tc>
                <w:tcPr>
                  <w:tcW w:w="2038" w:type="pct"/>
                  <w:vAlign w:val="center"/>
                </w:tcPr>
                <w:p w14:paraId="2D2C6D32">
                  <w:pPr>
                    <w:pStyle w:val="519"/>
                    <w:spacing w:before="15" w:line="360" w:lineRule="exact"/>
                    <w:ind w:left="61" w:right="57"/>
                    <w:jc w:val="center"/>
                    <w:rPr>
                      <w:sz w:val="21"/>
                      <w:szCs w:val="21"/>
                    </w:rPr>
                  </w:pPr>
                  <w:r>
                    <w:rPr>
                      <w:sz w:val="21"/>
                      <w:szCs w:val="21"/>
                    </w:rPr>
                    <w:t>C12（1-十二烯）</w:t>
                  </w:r>
                </w:p>
              </w:tc>
              <w:tc>
                <w:tcPr>
                  <w:tcW w:w="1201" w:type="pct"/>
                  <w:vAlign w:val="center"/>
                </w:tcPr>
                <w:p w14:paraId="1C65F101">
                  <w:pPr>
                    <w:pStyle w:val="519"/>
                    <w:spacing w:before="53" w:line="360" w:lineRule="exact"/>
                    <w:ind w:left="73" w:right="70"/>
                    <w:jc w:val="center"/>
                    <w:rPr>
                      <w:sz w:val="21"/>
                      <w:szCs w:val="21"/>
                    </w:rPr>
                  </w:pPr>
                  <w:r>
                    <w:rPr>
                      <w:sz w:val="21"/>
                      <w:szCs w:val="21"/>
                    </w:rPr>
                    <w:t>13.74</w:t>
                  </w:r>
                  <w:r>
                    <w:rPr>
                      <w:spacing w:val="-13"/>
                      <w:sz w:val="21"/>
                      <w:szCs w:val="21"/>
                    </w:rPr>
                    <w:t>%</w:t>
                  </w:r>
                </w:p>
              </w:tc>
              <w:tc>
                <w:tcPr>
                  <w:tcW w:w="910" w:type="pct"/>
                  <w:vMerge w:val="continue"/>
                  <w:tcBorders>
                    <w:top w:val="nil"/>
                  </w:tcBorders>
                  <w:vAlign w:val="center"/>
                </w:tcPr>
                <w:p w14:paraId="0DDB850A">
                  <w:pPr>
                    <w:spacing w:line="360" w:lineRule="exact"/>
                    <w:jc w:val="center"/>
                    <w:rPr>
                      <w:szCs w:val="21"/>
                    </w:rPr>
                  </w:pPr>
                </w:p>
              </w:tc>
            </w:tr>
            <w:tr w14:paraId="4D2C4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01" w:hRule="atLeast"/>
              </w:trPr>
              <w:tc>
                <w:tcPr>
                  <w:tcW w:w="852" w:type="pct"/>
                  <w:vMerge w:val="continue"/>
                  <w:tcBorders>
                    <w:top w:val="nil"/>
                  </w:tcBorders>
                  <w:vAlign w:val="center"/>
                </w:tcPr>
                <w:p w14:paraId="3846B89F">
                  <w:pPr>
                    <w:spacing w:line="360" w:lineRule="exact"/>
                    <w:jc w:val="center"/>
                    <w:rPr>
                      <w:szCs w:val="21"/>
                    </w:rPr>
                  </w:pPr>
                </w:p>
              </w:tc>
              <w:tc>
                <w:tcPr>
                  <w:tcW w:w="2038" w:type="pct"/>
                  <w:vAlign w:val="center"/>
                </w:tcPr>
                <w:p w14:paraId="0C257785">
                  <w:pPr>
                    <w:pStyle w:val="519"/>
                    <w:spacing w:before="15" w:line="360" w:lineRule="exact"/>
                    <w:ind w:left="84" w:right="55"/>
                    <w:jc w:val="center"/>
                    <w:rPr>
                      <w:sz w:val="21"/>
                      <w:szCs w:val="21"/>
                    </w:rPr>
                  </w:pPr>
                  <w:r>
                    <w:rPr>
                      <w:sz w:val="21"/>
                      <w:szCs w:val="21"/>
                    </w:rPr>
                    <w:t>＞C12（1-十二烯）</w:t>
                  </w:r>
                </w:p>
              </w:tc>
              <w:tc>
                <w:tcPr>
                  <w:tcW w:w="1201" w:type="pct"/>
                  <w:vAlign w:val="center"/>
                </w:tcPr>
                <w:p w14:paraId="1466CEEF">
                  <w:pPr>
                    <w:pStyle w:val="519"/>
                    <w:spacing w:before="53" w:line="360" w:lineRule="exact"/>
                    <w:ind w:left="73" w:right="70"/>
                    <w:jc w:val="center"/>
                    <w:rPr>
                      <w:sz w:val="21"/>
                      <w:szCs w:val="21"/>
                    </w:rPr>
                  </w:pPr>
                  <w:r>
                    <w:rPr>
                      <w:sz w:val="21"/>
                      <w:szCs w:val="21"/>
                    </w:rPr>
                    <w:t>1.00</w:t>
                  </w:r>
                  <w:r>
                    <w:rPr>
                      <w:spacing w:val="-13"/>
                      <w:sz w:val="21"/>
                      <w:szCs w:val="21"/>
                    </w:rPr>
                    <w:t>%</w:t>
                  </w:r>
                </w:p>
              </w:tc>
              <w:tc>
                <w:tcPr>
                  <w:tcW w:w="910" w:type="pct"/>
                  <w:vMerge w:val="continue"/>
                  <w:tcBorders>
                    <w:top w:val="nil"/>
                  </w:tcBorders>
                  <w:vAlign w:val="center"/>
                </w:tcPr>
                <w:p w14:paraId="471D6158">
                  <w:pPr>
                    <w:spacing w:line="360" w:lineRule="exact"/>
                    <w:jc w:val="center"/>
                    <w:rPr>
                      <w:szCs w:val="21"/>
                    </w:rPr>
                  </w:pPr>
                </w:p>
              </w:tc>
            </w:tr>
            <w:tr w14:paraId="6EAE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99" w:hRule="atLeast"/>
              </w:trPr>
              <w:tc>
                <w:tcPr>
                  <w:tcW w:w="852" w:type="pct"/>
                  <w:vMerge w:val="continue"/>
                  <w:tcBorders>
                    <w:top w:val="nil"/>
                  </w:tcBorders>
                  <w:vAlign w:val="center"/>
                </w:tcPr>
                <w:p w14:paraId="35D92E0E">
                  <w:pPr>
                    <w:spacing w:line="360" w:lineRule="exact"/>
                    <w:jc w:val="center"/>
                    <w:rPr>
                      <w:szCs w:val="21"/>
                    </w:rPr>
                  </w:pPr>
                </w:p>
              </w:tc>
              <w:tc>
                <w:tcPr>
                  <w:tcW w:w="2038" w:type="pct"/>
                  <w:vAlign w:val="center"/>
                </w:tcPr>
                <w:p w14:paraId="67C89A29">
                  <w:pPr>
                    <w:pStyle w:val="519"/>
                    <w:spacing w:before="15" w:line="360" w:lineRule="exact"/>
                    <w:ind w:left="61" w:right="57"/>
                    <w:jc w:val="center"/>
                    <w:rPr>
                      <w:sz w:val="21"/>
                      <w:szCs w:val="21"/>
                    </w:rPr>
                  </w:pPr>
                  <w:r>
                    <w:rPr>
                      <w:sz w:val="21"/>
                      <w:szCs w:val="21"/>
                    </w:rPr>
                    <w:t>含氧化合物</w:t>
                  </w:r>
                </w:p>
              </w:tc>
              <w:tc>
                <w:tcPr>
                  <w:tcW w:w="1201" w:type="pct"/>
                  <w:vAlign w:val="center"/>
                </w:tcPr>
                <w:p w14:paraId="15CF1740">
                  <w:pPr>
                    <w:pStyle w:val="519"/>
                    <w:spacing w:before="51" w:line="360" w:lineRule="exact"/>
                    <w:ind w:left="73" w:right="70"/>
                    <w:jc w:val="center"/>
                    <w:rPr>
                      <w:sz w:val="21"/>
                      <w:szCs w:val="21"/>
                    </w:rPr>
                  </w:pPr>
                  <w:r>
                    <w:rPr>
                      <w:sz w:val="21"/>
                      <w:szCs w:val="21"/>
                    </w:rPr>
                    <w:t>4.00</w:t>
                  </w:r>
                  <w:r>
                    <w:rPr>
                      <w:spacing w:val="-13"/>
                      <w:sz w:val="21"/>
                      <w:szCs w:val="21"/>
                    </w:rPr>
                    <w:t>%</w:t>
                  </w:r>
                </w:p>
              </w:tc>
              <w:tc>
                <w:tcPr>
                  <w:tcW w:w="910" w:type="pct"/>
                  <w:vMerge w:val="continue"/>
                  <w:tcBorders>
                    <w:top w:val="nil"/>
                  </w:tcBorders>
                  <w:vAlign w:val="center"/>
                </w:tcPr>
                <w:p w14:paraId="44BBAB7F">
                  <w:pPr>
                    <w:spacing w:line="360" w:lineRule="exact"/>
                    <w:jc w:val="center"/>
                    <w:rPr>
                      <w:szCs w:val="21"/>
                    </w:rPr>
                  </w:pPr>
                </w:p>
              </w:tc>
            </w:tr>
          </w:tbl>
          <w:p w14:paraId="4977D77E">
            <w:pPr>
              <w:spacing w:line="440" w:lineRule="exact"/>
              <w:ind w:firstLine="482" w:firstLineChars="200"/>
              <w:jc w:val="left"/>
              <w:rPr>
                <w:sz w:val="24"/>
              </w:rPr>
            </w:pPr>
            <w:r>
              <w:rPr>
                <w:rFonts w:hint="eastAsia"/>
                <w:b/>
                <w:bCs/>
                <w:sz w:val="24"/>
              </w:rPr>
              <w:t>表2-6   烷烃返回料主要成分一览表</w:t>
            </w:r>
          </w:p>
          <w:tbl>
            <w:tblPr>
              <w:tblStyle w:val="78"/>
              <w:tblW w:w="4999" w:type="pct"/>
              <w:tblInd w:w="0" w:type="dxa"/>
              <w:tblLayout w:type="autofit"/>
              <w:tblCellMar>
                <w:top w:w="0" w:type="dxa"/>
                <w:left w:w="108" w:type="dxa"/>
                <w:bottom w:w="0" w:type="dxa"/>
                <w:right w:w="108" w:type="dxa"/>
              </w:tblCellMar>
            </w:tblPr>
            <w:tblGrid>
              <w:gridCol w:w="2747"/>
              <w:gridCol w:w="2263"/>
              <w:gridCol w:w="3376"/>
            </w:tblGrid>
            <w:tr w14:paraId="3645C3B6">
              <w:tblPrEx>
                <w:tblCellMar>
                  <w:top w:w="0" w:type="dxa"/>
                  <w:left w:w="108" w:type="dxa"/>
                  <w:bottom w:w="0" w:type="dxa"/>
                  <w:right w:w="108" w:type="dxa"/>
                </w:tblCellMar>
              </w:tblPrEx>
              <w:trPr>
                <w:trHeight w:val="288" w:hRule="atLeast"/>
              </w:trPr>
              <w:tc>
                <w:tcPr>
                  <w:tcW w:w="1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E800">
                  <w:pPr>
                    <w:widowControl/>
                    <w:jc w:val="center"/>
                    <w:textAlignment w:val="bottom"/>
                    <w:rPr>
                      <w:szCs w:val="21"/>
                    </w:rPr>
                  </w:pPr>
                  <w:r>
                    <w:rPr>
                      <w:kern w:val="0"/>
                      <w:szCs w:val="21"/>
                      <w:lang w:bidi="ar"/>
                    </w:rPr>
                    <w:t>组分</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F8B4">
                  <w:pPr>
                    <w:widowControl/>
                    <w:jc w:val="center"/>
                    <w:textAlignment w:val="bottom"/>
                    <w:rPr>
                      <w:szCs w:val="21"/>
                    </w:rPr>
                  </w:pPr>
                  <w:r>
                    <w:rPr>
                      <w:kern w:val="0"/>
                      <w:szCs w:val="21"/>
                      <w:lang w:bidi="ar"/>
                    </w:rPr>
                    <w:t>比例</w:t>
                  </w:r>
                </w:p>
              </w:tc>
              <w:tc>
                <w:tcPr>
                  <w:tcW w:w="2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EDC7">
                  <w:pPr>
                    <w:widowControl/>
                    <w:jc w:val="center"/>
                    <w:textAlignment w:val="bottom"/>
                    <w:rPr>
                      <w:szCs w:val="21"/>
                    </w:rPr>
                  </w:pPr>
                  <w:r>
                    <w:rPr>
                      <w:szCs w:val="21"/>
                    </w:rPr>
                    <w:t>输送特性</w:t>
                  </w:r>
                </w:p>
              </w:tc>
            </w:tr>
            <w:tr w14:paraId="68EAF171">
              <w:tblPrEx>
                <w:tblCellMar>
                  <w:top w:w="0" w:type="dxa"/>
                  <w:left w:w="108" w:type="dxa"/>
                  <w:bottom w:w="0" w:type="dxa"/>
                  <w:right w:w="108" w:type="dxa"/>
                </w:tblCellMar>
              </w:tblPrEx>
              <w:trPr>
                <w:trHeight w:val="288" w:hRule="atLeast"/>
              </w:trPr>
              <w:tc>
                <w:tcPr>
                  <w:tcW w:w="1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DD7B">
                  <w:pPr>
                    <w:widowControl/>
                    <w:jc w:val="center"/>
                    <w:textAlignment w:val="bottom"/>
                    <w:rPr>
                      <w:szCs w:val="21"/>
                    </w:rPr>
                  </w:pPr>
                  <w:r>
                    <w:rPr>
                      <w:kern w:val="0"/>
                      <w:szCs w:val="21"/>
                      <w:lang w:bidi="ar"/>
                    </w:rPr>
                    <w:t>C9</w:t>
                  </w:r>
                  <w:r>
                    <w:rPr>
                      <w:rFonts w:hint="eastAsia"/>
                      <w:kern w:val="0"/>
                      <w:szCs w:val="21"/>
                      <w:lang w:bidi="ar"/>
                    </w:rPr>
                    <w:t>（</w:t>
                  </w:r>
                  <w:r>
                    <w:rPr>
                      <w:kern w:val="0"/>
                      <w:szCs w:val="21"/>
                      <w:lang w:bidi="ar"/>
                    </w:rPr>
                    <w:t>正壬烷</w:t>
                  </w:r>
                  <w:r>
                    <w:rPr>
                      <w:rFonts w:hint="eastAsia"/>
                      <w:kern w:val="0"/>
                      <w:szCs w:val="21"/>
                      <w:lang w:bidi="ar"/>
                    </w:rPr>
                    <w:t>）</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92A7">
                  <w:pPr>
                    <w:widowControl/>
                    <w:jc w:val="center"/>
                    <w:textAlignment w:val="bottom"/>
                    <w:rPr>
                      <w:szCs w:val="21"/>
                    </w:rPr>
                  </w:pPr>
                  <w:r>
                    <w:rPr>
                      <w:kern w:val="0"/>
                      <w:szCs w:val="21"/>
                      <w:lang w:bidi="ar"/>
                    </w:rPr>
                    <w:t>28%</w:t>
                  </w:r>
                </w:p>
              </w:tc>
              <w:tc>
                <w:tcPr>
                  <w:tcW w:w="2013" w:type="pct"/>
                  <w:vMerge w:val="restart"/>
                  <w:tcBorders>
                    <w:top w:val="single" w:color="000000" w:sz="4" w:space="0"/>
                    <w:left w:val="single" w:color="000000" w:sz="4" w:space="0"/>
                    <w:right w:val="single" w:color="000000" w:sz="4" w:space="0"/>
                  </w:tcBorders>
                  <w:shd w:val="clear" w:color="auto" w:fill="auto"/>
                  <w:noWrap/>
                  <w:vAlign w:val="center"/>
                </w:tcPr>
                <w:p w14:paraId="3BE8B16A">
                  <w:pPr>
                    <w:widowControl/>
                    <w:jc w:val="center"/>
                    <w:textAlignment w:val="bottom"/>
                    <w:rPr>
                      <w:szCs w:val="21"/>
                    </w:rPr>
                  </w:pPr>
                  <w:r>
                    <w:rPr>
                      <w:rFonts w:hint="eastAsia"/>
                      <w:szCs w:val="21"/>
                    </w:rPr>
                    <w:t>连续</w:t>
                  </w:r>
                </w:p>
              </w:tc>
            </w:tr>
            <w:tr w14:paraId="462D60A6">
              <w:tblPrEx>
                <w:tblCellMar>
                  <w:top w:w="0" w:type="dxa"/>
                  <w:left w:w="108" w:type="dxa"/>
                  <w:bottom w:w="0" w:type="dxa"/>
                  <w:right w:w="108" w:type="dxa"/>
                </w:tblCellMar>
              </w:tblPrEx>
              <w:trPr>
                <w:trHeight w:val="288" w:hRule="atLeast"/>
              </w:trPr>
              <w:tc>
                <w:tcPr>
                  <w:tcW w:w="1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7643">
                  <w:pPr>
                    <w:widowControl/>
                    <w:jc w:val="center"/>
                    <w:textAlignment w:val="bottom"/>
                    <w:rPr>
                      <w:szCs w:val="21"/>
                    </w:rPr>
                  </w:pPr>
                  <w:r>
                    <w:rPr>
                      <w:kern w:val="0"/>
                      <w:szCs w:val="21"/>
                      <w:lang w:bidi="ar"/>
                    </w:rPr>
                    <w:t>C10</w:t>
                  </w:r>
                  <w:r>
                    <w:rPr>
                      <w:rFonts w:hint="eastAsia"/>
                      <w:kern w:val="0"/>
                      <w:szCs w:val="21"/>
                      <w:lang w:bidi="ar"/>
                    </w:rPr>
                    <w:t>（</w:t>
                  </w:r>
                  <w:r>
                    <w:rPr>
                      <w:kern w:val="0"/>
                      <w:szCs w:val="21"/>
                      <w:lang w:bidi="ar"/>
                    </w:rPr>
                    <w:t>正癸烷</w:t>
                  </w:r>
                  <w:r>
                    <w:rPr>
                      <w:rFonts w:hint="eastAsia"/>
                      <w:kern w:val="0"/>
                      <w:szCs w:val="21"/>
                      <w:lang w:bidi="ar"/>
                    </w:rPr>
                    <w:t>）</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A5A3">
                  <w:pPr>
                    <w:widowControl/>
                    <w:jc w:val="center"/>
                    <w:textAlignment w:val="bottom"/>
                    <w:rPr>
                      <w:szCs w:val="21"/>
                    </w:rPr>
                  </w:pPr>
                  <w:r>
                    <w:rPr>
                      <w:kern w:val="0"/>
                      <w:szCs w:val="21"/>
                      <w:lang w:bidi="ar"/>
                    </w:rPr>
                    <w:t>28%</w:t>
                  </w:r>
                </w:p>
              </w:tc>
              <w:tc>
                <w:tcPr>
                  <w:tcW w:w="2013" w:type="pct"/>
                  <w:vMerge w:val="continue"/>
                  <w:tcBorders>
                    <w:left w:val="single" w:color="000000" w:sz="4" w:space="0"/>
                    <w:right w:val="single" w:color="000000" w:sz="4" w:space="0"/>
                  </w:tcBorders>
                  <w:shd w:val="clear" w:color="auto" w:fill="auto"/>
                  <w:noWrap/>
                  <w:vAlign w:val="center"/>
                </w:tcPr>
                <w:p w14:paraId="465501A8">
                  <w:pPr>
                    <w:widowControl/>
                    <w:jc w:val="center"/>
                    <w:textAlignment w:val="bottom"/>
                    <w:rPr>
                      <w:szCs w:val="21"/>
                    </w:rPr>
                  </w:pPr>
                </w:p>
              </w:tc>
            </w:tr>
            <w:tr w14:paraId="64ED63E3">
              <w:tblPrEx>
                <w:tblCellMar>
                  <w:top w:w="0" w:type="dxa"/>
                  <w:left w:w="108" w:type="dxa"/>
                  <w:bottom w:w="0" w:type="dxa"/>
                  <w:right w:w="108" w:type="dxa"/>
                </w:tblCellMar>
              </w:tblPrEx>
              <w:trPr>
                <w:trHeight w:val="288" w:hRule="atLeast"/>
              </w:trPr>
              <w:tc>
                <w:tcPr>
                  <w:tcW w:w="1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993E">
                  <w:pPr>
                    <w:widowControl/>
                    <w:jc w:val="center"/>
                    <w:textAlignment w:val="bottom"/>
                    <w:rPr>
                      <w:szCs w:val="21"/>
                    </w:rPr>
                  </w:pPr>
                  <w:r>
                    <w:rPr>
                      <w:kern w:val="0"/>
                      <w:szCs w:val="21"/>
                      <w:lang w:bidi="ar"/>
                    </w:rPr>
                    <w:t>C11</w:t>
                  </w:r>
                  <w:r>
                    <w:rPr>
                      <w:rFonts w:hint="eastAsia"/>
                      <w:kern w:val="0"/>
                      <w:szCs w:val="21"/>
                      <w:lang w:bidi="ar"/>
                    </w:rPr>
                    <w:t>（</w:t>
                  </w:r>
                  <w:r>
                    <w:rPr>
                      <w:kern w:val="0"/>
                      <w:szCs w:val="21"/>
                      <w:lang w:bidi="ar"/>
                    </w:rPr>
                    <w:t>正十一烷</w:t>
                  </w:r>
                  <w:r>
                    <w:rPr>
                      <w:rFonts w:hint="eastAsia"/>
                      <w:kern w:val="0"/>
                      <w:szCs w:val="21"/>
                      <w:lang w:bidi="ar"/>
                    </w:rPr>
                    <w:t>）</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D0AA">
                  <w:pPr>
                    <w:widowControl/>
                    <w:jc w:val="center"/>
                    <w:textAlignment w:val="bottom"/>
                    <w:rPr>
                      <w:szCs w:val="21"/>
                    </w:rPr>
                  </w:pPr>
                  <w:r>
                    <w:rPr>
                      <w:kern w:val="0"/>
                      <w:szCs w:val="21"/>
                      <w:lang w:bidi="ar"/>
                    </w:rPr>
                    <w:t>23%</w:t>
                  </w:r>
                </w:p>
              </w:tc>
              <w:tc>
                <w:tcPr>
                  <w:tcW w:w="2013" w:type="pct"/>
                  <w:vMerge w:val="continue"/>
                  <w:tcBorders>
                    <w:left w:val="single" w:color="000000" w:sz="4" w:space="0"/>
                    <w:right w:val="single" w:color="000000" w:sz="4" w:space="0"/>
                  </w:tcBorders>
                  <w:shd w:val="clear" w:color="auto" w:fill="auto"/>
                  <w:noWrap/>
                  <w:vAlign w:val="center"/>
                </w:tcPr>
                <w:p w14:paraId="6211EE3C">
                  <w:pPr>
                    <w:widowControl/>
                    <w:jc w:val="center"/>
                    <w:textAlignment w:val="bottom"/>
                    <w:rPr>
                      <w:szCs w:val="21"/>
                    </w:rPr>
                  </w:pPr>
                </w:p>
              </w:tc>
            </w:tr>
            <w:tr w14:paraId="7EC7395D">
              <w:tblPrEx>
                <w:tblCellMar>
                  <w:top w:w="0" w:type="dxa"/>
                  <w:left w:w="108" w:type="dxa"/>
                  <w:bottom w:w="0" w:type="dxa"/>
                  <w:right w:w="108" w:type="dxa"/>
                </w:tblCellMar>
              </w:tblPrEx>
              <w:trPr>
                <w:trHeight w:val="288" w:hRule="atLeast"/>
              </w:trPr>
              <w:tc>
                <w:tcPr>
                  <w:tcW w:w="1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DF17B">
                  <w:pPr>
                    <w:widowControl/>
                    <w:jc w:val="center"/>
                    <w:textAlignment w:val="bottom"/>
                    <w:rPr>
                      <w:szCs w:val="21"/>
                    </w:rPr>
                  </w:pPr>
                  <w:r>
                    <w:rPr>
                      <w:kern w:val="0"/>
                      <w:szCs w:val="21"/>
                      <w:lang w:bidi="ar"/>
                    </w:rPr>
                    <w:t>C12</w:t>
                  </w:r>
                  <w:r>
                    <w:rPr>
                      <w:rFonts w:hint="eastAsia"/>
                      <w:kern w:val="0"/>
                      <w:szCs w:val="21"/>
                      <w:lang w:bidi="ar"/>
                    </w:rPr>
                    <w:t>（</w:t>
                  </w:r>
                  <w:r>
                    <w:rPr>
                      <w:kern w:val="0"/>
                      <w:szCs w:val="21"/>
                      <w:lang w:bidi="ar"/>
                    </w:rPr>
                    <w:t>正十二烷</w:t>
                  </w:r>
                  <w:r>
                    <w:rPr>
                      <w:rFonts w:hint="eastAsia"/>
                      <w:kern w:val="0"/>
                      <w:szCs w:val="21"/>
                      <w:lang w:bidi="ar"/>
                    </w:rPr>
                    <w:t>）</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B261">
                  <w:pPr>
                    <w:widowControl/>
                    <w:jc w:val="center"/>
                    <w:textAlignment w:val="bottom"/>
                    <w:rPr>
                      <w:szCs w:val="21"/>
                    </w:rPr>
                  </w:pPr>
                  <w:r>
                    <w:rPr>
                      <w:kern w:val="0"/>
                      <w:szCs w:val="21"/>
                      <w:lang w:bidi="ar"/>
                    </w:rPr>
                    <w:t>21%</w:t>
                  </w:r>
                </w:p>
              </w:tc>
              <w:tc>
                <w:tcPr>
                  <w:tcW w:w="2013" w:type="pct"/>
                  <w:vMerge w:val="continue"/>
                  <w:tcBorders>
                    <w:left w:val="single" w:color="000000" w:sz="4" w:space="0"/>
                    <w:bottom w:val="single" w:color="000000" w:sz="4" w:space="0"/>
                    <w:right w:val="single" w:color="000000" w:sz="4" w:space="0"/>
                  </w:tcBorders>
                  <w:shd w:val="clear" w:color="auto" w:fill="auto"/>
                  <w:noWrap/>
                  <w:vAlign w:val="center"/>
                </w:tcPr>
                <w:p w14:paraId="28592402">
                  <w:pPr>
                    <w:widowControl/>
                    <w:jc w:val="center"/>
                    <w:textAlignment w:val="bottom"/>
                    <w:rPr>
                      <w:szCs w:val="21"/>
                    </w:rPr>
                  </w:pPr>
                </w:p>
              </w:tc>
            </w:tr>
          </w:tbl>
          <w:p w14:paraId="3BF0A06B">
            <w:pPr>
              <w:spacing w:line="440" w:lineRule="exact"/>
              <w:ind w:firstLine="482" w:firstLineChars="200"/>
              <w:jc w:val="left"/>
              <w:rPr>
                <w:sz w:val="24"/>
                <w:szCs w:val="20"/>
              </w:rPr>
            </w:pPr>
            <w:r>
              <w:rPr>
                <w:rFonts w:hint="eastAsia"/>
                <w:b/>
                <w:bCs/>
                <w:sz w:val="24"/>
              </w:rPr>
              <w:t>9.</w:t>
            </w:r>
            <w:r>
              <w:rPr>
                <w:b/>
                <w:bCs/>
                <w:sz w:val="24"/>
                <w:szCs w:val="20"/>
              </w:rPr>
              <w:t>土石方平衡</w:t>
            </w:r>
          </w:p>
          <w:p w14:paraId="1946F7A0">
            <w:pPr>
              <w:spacing w:line="440" w:lineRule="exact"/>
              <w:ind w:firstLine="480" w:firstLineChars="200"/>
              <w:rPr>
                <w:sz w:val="24"/>
                <w:szCs w:val="20"/>
              </w:rPr>
            </w:pPr>
            <w:r>
              <w:rPr>
                <w:rFonts w:hint="eastAsia"/>
                <w:sz w:val="24"/>
                <w:szCs w:val="20"/>
              </w:rPr>
              <w:t>管道采用管廊架空敷设，本次</w:t>
            </w:r>
            <w:r>
              <w:rPr>
                <w:rFonts w:hint="eastAsia"/>
                <w:sz w:val="24"/>
                <w:szCs w:val="20"/>
                <w:lang w:eastAsia="zh-CN"/>
              </w:rPr>
              <w:t>对</w:t>
            </w:r>
            <w:r>
              <w:rPr>
                <w:rFonts w:hint="eastAsia"/>
                <w:sz w:val="24"/>
                <w:szCs w:val="20"/>
              </w:rPr>
              <w:t>管廊进行加固、加两层改造，不涉及土石方。</w:t>
            </w:r>
          </w:p>
          <w:p w14:paraId="529664EE">
            <w:pPr>
              <w:spacing w:line="440" w:lineRule="exact"/>
              <w:ind w:firstLine="482" w:firstLineChars="200"/>
              <w:rPr>
                <w:b/>
                <w:sz w:val="24"/>
                <w:szCs w:val="20"/>
              </w:rPr>
            </w:pPr>
            <w:r>
              <w:rPr>
                <w:rFonts w:hint="eastAsia"/>
                <w:b/>
                <w:sz w:val="24"/>
                <w:szCs w:val="20"/>
              </w:rPr>
              <w:t>10.</w:t>
            </w:r>
            <w:r>
              <w:rPr>
                <w:b/>
                <w:sz w:val="24"/>
                <w:szCs w:val="20"/>
              </w:rPr>
              <w:t>劳动定员</w:t>
            </w:r>
          </w:p>
          <w:p w14:paraId="6EAAD3F4">
            <w:pPr>
              <w:spacing w:line="440" w:lineRule="exact"/>
              <w:ind w:firstLine="480" w:firstLineChars="200"/>
              <w:rPr>
                <w:bCs/>
                <w:sz w:val="24"/>
              </w:rPr>
            </w:pPr>
            <w:r>
              <w:rPr>
                <w:bCs/>
                <w:sz w:val="24"/>
              </w:rPr>
              <w:t>项目</w:t>
            </w:r>
            <w:r>
              <w:rPr>
                <w:rFonts w:hint="eastAsia"/>
                <w:bCs/>
                <w:sz w:val="24"/>
              </w:rPr>
              <w:t>运营后</w:t>
            </w:r>
            <w:r>
              <w:rPr>
                <w:bCs/>
                <w:sz w:val="24"/>
              </w:rPr>
              <w:t>不新增劳动定员</w:t>
            </w:r>
            <w:r>
              <w:rPr>
                <w:rFonts w:hint="eastAsia"/>
                <w:bCs/>
                <w:sz w:val="24"/>
              </w:rPr>
              <w:t>，依托内蒙古伊泰化工有限责任公司现有员工，进行巡检</w:t>
            </w:r>
            <w:r>
              <w:rPr>
                <w:bCs/>
                <w:sz w:val="24"/>
              </w:rPr>
              <w:t>。</w:t>
            </w:r>
          </w:p>
          <w:p w14:paraId="2A921B26">
            <w:pPr>
              <w:spacing w:line="440" w:lineRule="exact"/>
              <w:ind w:firstLine="482" w:firstLineChars="200"/>
              <w:rPr>
                <w:b/>
                <w:bCs/>
                <w:sz w:val="24"/>
              </w:rPr>
            </w:pPr>
            <w:r>
              <w:rPr>
                <w:rFonts w:hint="eastAsia"/>
                <w:b/>
                <w:bCs/>
                <w:sz w:val="24"/>
              </w:rPr>
              <w:t>11.工艺流程及排污节点</w:t>
            </w:r>
          </w:p>
          <w:p w14:paraId="42283CAC">
            <w:pPr>
              <w:spacing w:line="440" w:lineRule="exact"/>
              <w:ind w:firstLine="480" w:firstLineChars="200"/>
              <w:rPr>
                <w:bCs/>
                <w:sz w:val="24"/>
              </w:rPr>
            </w:pPr>
            <w:r>
              <w:rPr>
                <w:rFonts w:hint="eastAsia"/>
                <w:bCs/>
                <w:sz w:val="24"/>
              </w:rPr>
              <w:t>（1）物料输送</w:t>
            </w:r>
          </w:p>
          <w:p w14:paraId="1CAC7159">
            <w:pPr>
              <w:spacing w:line="440" w:lineRule="exact"/>
              <w:ind w:firstLine="480" w:firstLineChars="200"/>
              <w:rPr>
                <w:sz w:val="24"/>
              </w:rPr>
            </w:pPr>
            <w:r>
              <w:rPr>
                <w:rFonts w:hint="eastAsia"/>
                <w:bCs/>
                <w:sz w:val="24"/>
              </w:rPr>
              <w:t>项目物料管道</w:t>
            </w:r>
            <w:r>
              <w:rPr>
                <w:rFonts w:hint="eastAsia"/>
                <w:sz w:val="24"/>
              </w:rPr>
              <w:t>日常输送物料时，打开阀门，物料经本次新建管道输送至对面厂区。</w:t>
            </w:r>
          </w:p>
          <w:p w14:paraId="1E851529">
            <w:pPr>
              <w:spacing w:line="440" w:lineRule="exact"/>
              <w:ind w:firstLine="480" w:firstLineChars="200"/>
              <w:rPr>
                <w:sz w:val="24"/>
              </w:rPr>
            </w:pPr>
            <w:r>
              <w:rPr>
                <w:sz w:val="24"/>
              </w:rPr>
              <mc:AlternateContent>
                <mc:Choice Requires="wps">
                  <w:drawing>
                    <wp:anchor distT="0" distB="0" distL="114300" distR="114300" simplePos="0" relativeHeight="251664384" behindDoc="0" locked="0" layoutInCell="1" allowOverlap="1">
                      <wp:simplePos x="0" y="0"/>
                      <wp:positionH relativeFrom="column">
                        <wp:posOffset>2301240</wp:posOffset>
                      </wp:positionH>
                      <wp:positionV relativeFrom="paragraph">
                        <wp:posOffset>153035</wp:posOffset>
                      </wp:positionV>
                      <wp:extent cx="642620" cy="430530"/>
                      <wp:effectExtent l="0" t="0" r="24765" b="26670"/>
                      <wp:wrapNone/>
                      <wp:docPr id="967" name="矩形 1363"/>
                      <wp:cNvGraphicFramePr/>
                      <a:graphic xmlns:a="http://schemas.openxmlformats.org/drawingml/2006/main">
                        <a:graphicData uri="http://schemas.microsoft.com/office/word/2010/wordprocessingShape">
                          <wps:wsp>
                            <wps:cNvSpPr>
                              <a:spLocks noChangeArrowheads="1"/>
                            </wps:cNvSpPr>
                            <wps:spPr bwMode="auto">
                              <a:xfrm>
                                <a:off x="0" y="0"/>
                                <a:ext cx="642374" cy="430530"/>
                              </a:xfrm>
                              <a:prstGeom prst="rect">
                                <a:avLst/>
                              </a:prstGeom>
                              <a:solidFill>
                                <a:srgbClr val="FFFFFF"/>
                              </a:solidFill>
                              <a:ln w="9525">
                                <a:solidFill>
                                  <a:srgbClr val="FF0000"/>
                                </a:solidFill>
                                <a:miter lim="800000"/>
                              </a:ln>
                            </wps:spPr>
                            <wps:txbx>
                              <w:txbxContent>
                                <w:p w14:paraId="4D135CA2">
                                  <w:pPr>
                                    <w:jc w:val="center"/>
                                    <w:rPr>
                                      <w:color w:val="FF0000"/>
                                    </w:rPr>
                                  </w:pPr>
                                  <w:r>
                                    <w:rPr>
                                      <w:rFonts w:hint="eastAsia"/>
                                      <w:color w:val="FF0000"/>
                                    </w:rPr>
                                    <w:t>本次新建管道</w:t>
                                  </w:r>
                                </w:p>
                              </w:txbxContent>
                            </wps:txbx>
                            <wps:bodyPr rot="0" vert="horz" wrap="square" lIns="91440" tIns="45720" rIns="91440" bIns="45720" anchor="t" anchorCtr="0" upright="1">
                              <a:noAutofit/>
                            </wps:bodyPr>
                          </wps:wsp>
                        </a:graphicData>
                      </a:graphic>
                    </wp:anchor>
                  </w:drawing>
                </mc:Choice>
                <mc:Fallback>
                  <w:pict>
                    <v:rect id="矩形 1363" o:spid="_x0000_s1026" o:spt="1" style="position:absolute;left:0pt;margin-left:181.2pt;margin-top:12.05pt;height:33.9pt;width:50.6pt;z-index:251664384;mso-width-relative:page;mso-height-relative:page;" fillcolor="#FFFFFF" filled="t" stroked="t" coordsize="21600,21600" o:gfxdata="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MW23tcAAAAJAQAADwAAAAAAAAABACAAAAAiAAAAZHJz&#10;L2Rvd25yZXYueG1sUEsBAhQAFAAAAAgAh07iQDVAZdc+AgAAfgQAAA4AAAAAAAAAAQAgAAAAJgEA&#10;AGRycy9lMm9Eb2MueG1sUEsFBgAAAAAGAAYAWQEAANYFAAAAAA==&#10;">
                      <v:fill on="t" focussize="0,0"/>
                      <v:stroke color="#FF0000" miterlimit="8" joinstyle="miter"/>
                      <v:imagedata o:title=""/>
                      <o:lock v:ext="edit" aspectratio="f"/>
                      <v:textbox>
                        <w:txbxContent>
                          <w:p w14:paraId="4D135CA2">
                            <w:pPr>
                              <w:jc w:val="center"/>
                              <w:rPr>
                                <w:color w:val="FF0000"/>
                              </w:rPr>
                            </w:pPr>
                            <w:r>
                              <w:rPr>
                                <w:rFonts w:hint="eastAsia"/>
                                <w:color w:val="FF0000"/>
                              </w:rPr>
                              <w:t>本次新建管道</w:t>
                            </w:r>
                          </w:p>
                        </w:txbxContent>
                      </v:textbox>
                    </v:rect>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69850</wp:posOffset>
                      </wp:positionH>
                      <wp:positionV relativeFrom="paragraph">
                        <wp:posOffset>94615</wp:posOffset>
                      </wp:positionV>
                      <wp:extent cx="662940" cy="599440"/>
                      <wp:effectExtent l="0" t="0" r="22860" b="10160"/>
                      <wp:wrapNone/>
                      <wp:docPr id="968" name="矩形 1365"/>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wps:spPr>
                            <wps:txbx>
                              <w:txbxContent>
                                <w:p w14:paraId="6D639565">
                                  <w:pPr>
                                    <w:jc w:val="center"/>
                                  </w:pPr>
                                  <w:r>
                                    <w:rPr>
                                      <w:rFonts w:hint="eastAsia"/>
                                    </w:rPr>
                                    <w:t>伊泰化工切分装置</w:t>
                                  </w:r>
                                </w:p>
                              </w:txbxContent>
                            </wps:txbx>
                            <wps:bodyPr rot="0" vert="horz" wrap="square" lIns="91440" tIns="45720" rIns="91440" bIns="45720" anchor="t" anchorCtr="0" upright="1">
                              <a:noAutofit/>
                            </wps:bodyPr>
                          </wps:wsp>
                        </a:graphicData>
                      </a:graphic>
                    </wp:anchor>
                  </w:drawing>
                </mc:Choice>
                <mc:Fallback>
                  <w:pict>
                    <v:rect id="矩形 1365" o:spid="_x0000_s1026" o:spt="1" style="position:absolute;left:0pt;margin-left:5.5pt;margin-top:7.45pt;height:47.2pt;width:52.2pt;z-index:251665408;mso-width-relative:page;mso-height-relative:page;" fillcolor="#FFFFFF" filled="t" stroked="t" coordsize="21600,21600" o:gfxdata="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1uWbDXAAAACQEAAA8AAAAAAAAAAQAgAAAAIgAAAGRycy9k&#10;b3ducmV2LnhtbFBLAQIUABQAAAAIAIdO4kDX5AvgPAIAAH4EAAAOAAAAAAAAAAEAIAAAACYBAABk&#10;cnMvZTJvRG9jLnhtbFBLBQYAAAAABgAGAFkBAADUBQAAAAA=&#10;">
                      <v:fill on="t" focussize="0,0"/>
                      <v:stroke color="#000000" miterlimit="8" joinstyle="miter"/>
                      <v:imagedata o:title=""/>
                      <o:lock v:ext="edit" aspectratio="f"/>
                      <v:textbox>
                        <w:txbxContent>
                          <w:p w14:paraId="6D639565">
                            <w:pPr>
                              <w:jc w:val="center"/>
                            </w:pPr>
                            <w:r>
                              <w:rPr>
                                <w:rFonts w:hint="eastAsia"/>
                              </w:rPr>
                              <w:t>伊泰化工切分装置</w:t>
                            </w:r>
                          </w:p>
                        </w:txbxContent>
                      </v:textbox>
                    </v:rect>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4414520</wp:posOffset>
                      </wp:positionH>
                      <wp:positionV relativeFrom="paragraph">
                        <wp:posOffset>58420</wp:posOffset>
                      </wp:positionV>
                      <wp:extent cx="662940" cy="599440"/>
                      <wp:effectExtent l="0" t="0" r="22860" b="10160"/>
                      <wp:wrapNone/>
                      <wp:docPr id="969" name="矩形 1389"/>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wps:spPr>
                            <wps:txbx>
                              <w:txbxContent>
                                <w:p w14:paraId="2FE1B0C6">
                                  <w:pPr>
                                    <w:jc w:val="center"/>
                                  </w:pPr>
                                  <w:r>
                                    <w:rPr>
                                      <w:rFonts w:hint="eastAsia"/>
                                    </w:rPr>
                                    <w:t>宏城化工PAO装置</w:t>
                                  </w:r>
                                </w:p>
                              </w:txbxContent>
                            </wps:txbx>
                            <wps:bodyPr rot="0" vert="horz" wrap="square" lIns="91440" tIns="45720" rIns="91440" bIns="45720" anchor="t" anchorCtr="0" upright="1">
                              <a:noAutofit/>
                            </wps:bodyPr>
                          </wps:wsp>
                        </a:graphicData>
                      </a:graphic>
                    </wp:anchor>
                  </w:drawing>
                </mc:Choice>
                <mc:Fallback>
                  <w:pict>
                    <v:rect id="矩形 1389" o:spid="_x0000_s1026" o:spt="1" style="position:absolute;left:0pt;margin-left:347.6pt;margin-top:4.6pt;height:47.2pt;width:52.2pt;z-index:251666432;mso-width-relative:page;mso-height-relative:page;" fillcolor="#FFFFFF" filled="t" stroked="t" coordsize="21600,21600" o:gfxdata="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bjuQHXAAAACQEAAA8AAAAAAAAAAQAgAAAAIgAAAGRycy9k&#10;b3ducmV2LnhtbFBLAQIUABQAAAAIAIdO4kByLJz2PAIAAH4EAAAOAAAAAAAAAAEAIAAAACYBAABk&#10;cnMvZTJvRG9jLnhtbFBLBQYAAAAABgAGAFkBAADUBQAAAAA=&#10;">
                      <v:fill on="t" focussize="0,0"/>
                      <v:stroke color="#000000" miterlimit="8" joinstyle="miter"/>
                      <v:imagedata o:title=""/>
                      <o:lock v:ext="edit" aspectratio="f"/>
                      <v:textbox>
                        <w:txbxContent>
                          <w:p w14:paraId="2FE1B0C6">
                            <w:pPr>
                              <w:jc w:val="center"/>
                            </w:pPr>
                            <w:r>
                              <w:rPr>
                                <w:rFonts w:hint="eastAsia"/>
                              </w:rPr>
                              <w:t>宏城化工PAO装置</w:t>
                            </w:r>
                          </w:p>
                        </w:txbxContent>
                      </v:textbox>
                    </v:rect>
                  </w:pict>
                </mc:Fallback>
              </mc:AlternateContent>
            </w:r>
          </w:p>
          <w:p w14:paraId="728997B7">
            <w:pPr>
              <w:spacing w:line="440" w:lineRule="exact"/>
              <w:ind w:firstLine="480" w:firstLineChars="200"/>
              <w:rPr>
                <w:sz w:val="24"/>
              </w:rPr>
            </w:pPr>
            <w:r>
              <w:rPr>
                <w:sz w:val="24"/>
              </w:rPr>
              <mc:AlternateContent>
                <mc:Choice Requires="wps">
                  <w:drawing>
                    <wp:anchor distT="0" distB="0" distL="114300" distR="114300" simplePos="0" relativeHeight="251680768" behindDoc="0" locked="0" layoutInCell="1" allowOverlap="1">
                      <wp:simplePos x="0" y="0"/>
                      <wp:positionH relativeFrom="column">
                        <wp:posOffset>2943225</wp:posOffset>
                      </wp:positionH>
                      <wp:positionV relativeFrom="paragraph">
                        <wp:posOffset>66040</wp:posOffset>
                      </wp:positionV>
                      <wp:extent cx="1472565" cy="0"/>
                      <wp:effectExtent l="38100" t="76200" r="13335" b="95250"/>
                      <wp:wrapNone/>
                      <wp:docPr id="971" name="直接连接符 971"/>
                      <wp:cNvGraphicFramePr/>
                      <a:graphic xmlns:a="http://schemas.openxmlformats.org/drawingml/2006/main">
                        <a:graphicData uri="http://schemas.microsoft.com/office/word/2010/wordprocessingShape">
                          <wps:wsp>
                            <wps:cNvCnPr/>
                            <wps:spPr>
                              <a:xfrm>
                                <a:off x="0" y="0"/>
                                <a:ext cx="1472565"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1.75pt;margin-top:5.2pt;height:0pt;width:115.95pt;z-index:251680768;mso-width-relative:page;mso-height-relative:page;" filled="f" stroked="t" coordsize="21600,21600" o:gfxdata="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j5vMnXAAAACQEAAA8AAAAAAAAAAQAgAAAAIgAA&#10;AGRycy9kb3ducmV2LnhtbFBLAQIUABQAAAAIAIdO4kBNb8DACQIAABEEAAAOAAAAAAAAAAEAIAAA&#10;ACYBAABkcnMvZTJvRG9jLnhtbFBLBQYAAAAABgAGAFkBAAChBQAAAAA=&#10;">
                      <v:fill on="f" focussize="0,0"/>
                      <v:stroke weight="0.5pt" color="#000000 [3213]" miterlimit="8" joinstyle="miter" startarrow="block" endarrow="block"/>
                      <v:imagedata o:title=""/>
                      <o:lock v:ext="edit" aspectratio="f"/>
                    </v:lin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732790</wp:posOffset>
                      </wp:positionH>
                      <wp:positionV relativeFrom="paragraph">
                        <wp:posOffset>77470</wp:posOffset>
                      </wp:positionV>
                      <wp:extent cx="1553210" cy="0"/>
                      <wp:effectExtent l="38100" t="76200" r="9525" b="95250"/>
                      <wp:wrapNone/>
                      <wp:docPr id="963" name="自选图形 1364"/>
                      <wp:cNvGraphicFramePr/>
                      <a:graphic xmlns:a="http://schemas.openxmlformats.org/drawingml/2006/main">
                        <a:graphicData uri="http://schemas.microsoft.com/office/word/2010/wordprocessingShape">
                          <wps:wsp>
                            <wps:cNvCnPr>
                              <a:cxnSpLocks noChangeShapeType="1"/>
                            </wps:cNvCnPr>
                            <wps:spPr bwMode="auto">
                              <a:xfrm>
                                <a:off x="0" y="0"/>
                                <a:ext cx="1553079" cy="0"/>
                              </a:xfrm>
                              <a:prstGeom prst="straightConnector1">
                                <a:avLst/>
                              </a:prstGeom>
                              <a:noFill/>
                              <a:ln w="9525">
                                <a:solidFill>
                                  <a:srgbClr val="000000"/>
                                </a:solidFill>
                                <a:round/>
                                <a:headEnd type="triangle" w="med" len="med"/>
                                <a:tailEnd type="triangle" w="med" len="med"/>
                              </a:ln>
                            </wps:spPr>
                            <wps:bodyPr/>
                          </wps:wsp>
                        </a:graphicData>
                      </a:graphic>
                    </wp:anchor>
                  </w:drawing>
                </mc:Choice>
                <mc:Fallback>
                  <w:pict>
                    <v:shape id="自选图形 1364" o:spid="_x0000_s1026" o:spt="32" type="#_x0000_t32" style="position:absolute;left:0pt;margin-left:57.7pt;margin-top:6.1pt;height:0pt;width:122.3pt;z-index:251667456;mso-width-relative:page;mso-height-relative:page;" filled="f" stroked="t" coordsize="21600,21600" o:gfxdata="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1C5XtYAAAAJAQAADwAAAAAAAAAB&#10;ACAAAAAiAAAAZHJzL2Rvd25yZXYueG1sUEsBAhQAFAAAAAgAh07iQJnp7EQSAgAAFgQAAA4AAAAA&#10;AAAAAQAgAAAAJQEAAGRycy9lMm9Eb2MueG1sUEsFBgAAAAAGAAYAWQEAAKkFAAAAAA==&#10;">
                      <v:fill on="f" focussize="0,0"/>
                      <v:stroke color="#000000" joinstyle="round" startarrow="block" endarrow="block"/>
                      <v:imagedata o:title=""/>
                      <o:lock v:ext="edit" aspectratio="f"/>
                    </v:shape>
                  </w:pict>
                </mc:Fallback>
              </mc:AlternateContent>
            </w:r>
          </w:p>
          <w:p w14:paraId="238E2ECF">
            <w:pPr>
              <w:spacing w:line="440" w:lineRule="exact"/>
              <w:ind w:firstLine="480" w:firstLineChars="200"/>
              <w:rPr>
                <w:sz w:val="24"/>
              </w:rPr>
            </w:pPr>
            <w:r>
              <w:rPr>
                <w:sz w:val="24"/>
              </w:rPr>
              <mc:AlternateContent>
                <mc:Choice Requires="wps">
                  <w:drawing>
                    <wp:anchor distT="0" distB="0" distL="114300" distR="114300" simplePos="0" relativeHeight="251670528" behindDoc="0" locked="0" layoutInCell="1" allowOverlap="1">
                      <wp:simplePos x="0" y="0"/>
                      <wp:positionH relativeFrom="column">
                        <wp:posOffset>4435475</wp:posOffset>
                      </wp:positionH>
                      <wp:positionV relativeFrom="paragraph">
                        <wp:posOffset>259715</wp:posOffset>
                      </wp:positionV>
                      <wp:extent cx="662940" cy="599440"/>
                      <wp:effectExtent l="0" t="0" r="22860" b="10160"/>
                      <wp:wrapNone/>
                      <wp:docPr id="956" name="矩形 1389"/>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wps:spPr>
                            <wps:txbx>
                              <w:txbxContent>
                                <w:p w14:paraId="4EDD0AFD">
                                  <w:pPr>
                                    <w:jc w:val="center"/>
                                  </w:pPr>
                                  <w:r>
                                    <w:rPr>
                                      <w:rFonts w:hint="eastAsia"/>
                                    </w:rPr>
                                    <w:t>宏城化工</w:t>
                                  </w:r>
                                  <w:r>
                                    <w:t>PAO</w:t>
                                  </w:r>
                                  <w:r>
                                    <w:rPr>
                                      <w:rFonts w:hint="eastAsia"/>
                                    </w:rPr>
                                    <w:t>装置</w:t>
                                  </w:r>
                                </w:p>
                              </w:txbxContent>
                            </wps:txbx>
                            <wps:bodyPr rot="0" vert="horz" wrap="square" lIns="91440" tIns="45720" rIns="91440" bIns="45720" anchor="t" anchorCtr="0" upright="1">
                              <a:noAutofit/>
                            </wps:bodyPr>
                          </wps:wsp>
                        </a:graphicData>
                      </a:graphic>
                    </wp:anchor>
                  </w:drawing>
                </mc:Choice>
                <mc:Fallback>
                  <w:pict>
                    <v:rect id="矩形 1389" o:spid="_x0000_s1026" o:spt="1" style="position:absolute;left:0pt;margin-left:349.25pt;margin-top:20.45pt;height:47.2pt;width:52.2pt;z-index:251670528;mso-width-relative:page;mso-height-relative:page;" fillcolor="#FFFFFF" filled="t" stroked="t" coordsize="21600,21600" o:gfxdata="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FQNHXYAAAACgEAAA8AAAAAAAAAAQAgAAAAIgAAAGRycy9k&#10;b3ducmV2LnhtbFBLAQIUABQAAAAIAIdO4kDB1Ec9OwIAAH4EAAAOAAAAAAAAAAEAIAAAACcBAABk&#10;cnMvZTJvRG9jLnhtbFBLBQYAAAAABgAGAFkBAADUBQAAAAA=&#10;">
                      <v:fill on="t" focussize="0,0"/>
                      <v:stroke color="#000000" miterlimit="8" joinstyle="miter"/>
                      <v:imagedata o:title=""/>
                      <o:lock v:ext="edit" aspectratio="f"/>
                      <v:textbox>
                        <w:txbxContent>
                          <w:p w14:paraId="4EDD0AFD">
                            <w:pPr>
                              <w:jc w:val="center"/>
                            </w:pPr>
                            <w:r>
                              <w:rPr>
                                <w:rFonts w:hint="eastAsia"/>
                              </w:rPr>
                              <w:t>宏城化工</w:t>
                            </w:r>
                            <w:r>
                              <w:t>PAO</w:t>
                            </w:r>
                            <w:r>
                              <w:rPr>
                                <w:rFonts w:hint="eastAsia"/>
                              </w:rPr>
                              <w:t>装置</w:t>
                            </w:r>
                          </w:p>
                        </w:txbxContent>
                      </v:textbox>
                    </v:rect>
                  </w:pict>
                </mc:Fallback>
              </mc:AlternateContent>
            </w:r>
          </w:p>
          <w:p w14:paraId="20A68142">
            <w:pPr>
              <w:spacing w:line="440" w:lineRule="exact"/>
              <w:ind w:firstLine="480" w:firstLineChars="200"/>
              <w:rPr>
                <w:sz w:val="24"/>
              </w:rPr>
            </w:pPr>
            <w:r>
              <w:rPr>
                <w:sz w:val="24"/>
              </w:rPr>
              <mc:AlternateContent>
                <mc:Choice Requires="wps">
                  <w:drawing>
                    <wp:anchor distT="0" distB="0" distL="114300" distR="114300" simplePos="0" relativeHeight="251668480" behindDoc="0" locked="0" layoutInCell="1" allowOverlap="1">
                      <wp:simplePos x="0" y="0"/>
                      <wp:positionH relativeFrom="column">
                        <wp:posOffset>2322195</wp:posOffset>
                      </wp:positionH>
                      <wp:positionV relativeFrom="paragraph">
                        <wp:posOffset>75565</wp:posOffset>
                      </wp:positionV>
                      <wp:extent cx="642620" cy="430530"/>
                      <wp:effectExtent l="0" t="0" r="24765" b="26670"/>
                      <wp:wrapNone/>
                      <wp:docPr id="959" name="矩形 1363"/>
                      <wp:cNvGraphicFramePr/>
                      <a:graphic xmlns:a="http://schemas.openxmlformats.org/drawingml/2006/main">
                        <a:graphicData uri="http://schemas.microsoft.com/office/word/2010/wordprocessingShape">
                          <wps:wsp>
                            <wps:cNvSpPr>
                              <a:spLocks noChangeArrowheads="1"/>
                            </wps:cNvSpPr>
                            <wps:spPr bwMode="auto">
                              <a:xfrm>
                                <a:off x="0" y="0"/>
                                <a:ext cx="642374" cy="430530"/>
                              </a:xfrm>
                              <a:prstGeom prst="rect">
                                <a:avLst/>
                              </a:prstGeom>
                              <a:solidFill>
                                <a:srgbClr val="FFFFFF"/>
                              </a:solidFill>
                              <a:ln w="9525">
                                <a:solidFill>
                                  <a:srgbClr val="FF0000"/>
                                </a:solidFill>
                                <a:miter lim="800000"/>
                              </a:ln>
                            </wps:spPr>
                            <wps:txbx>
                              <w:txbxContent>
                                <w:p w14:paraId="1ABA116F">
                                  <w:pPr>
                                    <w:jc w:val="center"/>
                                    <w:rPr>
                                      <w:color w:val="FF0000"/>
                                    </w:rPr>
                                  </w:pPr>
                                  <w:r>
                                    <w:rPr>
                                      <w:rFonts w:hint="eastAsia"/>
                                      <w:color w:val="FF0000"/>
                                    </w:rPr>
                                    <w:t>本次新建管道</w:t>
                                  </w:r>
                                </w:p>
                              </w:txbxContent>
                            </wps:txbx>
                            <wps:bodyPr rot="0" vert="horz" wrap="square" lIns="91440" tIns="45720" rIns="91440" bIns="45720" anchor="t" anchorCtr="0" upright="1">
                              <a:noAutofit/>
                            </wps:bodyPr>
                          </wps:wsp>
                        </a:graphicData>
                      </a:graphic>
                    </wp:anchor>
                  </w:drawing>
                </mc:Choice>
                <mc:Fallback>
                  <w:pict>
                    <v:rect id="矩形 1363" o:spid="_x0000_s1026" o:spt="1" style="position:absolute;left:0pt;margin-left:182.85pt;margin-top:5.95pt;height:33.9pt;width:50.6pt;z-index:251668480;mso-width-relative:page;mso-height-relative:page;" fillcolor="#FFFFFF" filled="t" stroked="t" coordsize="21600,21600" o:gfxdata="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D9eWLYAAAACQEAAA8AAAAAAAAAAQAgAAAAIgAAAGRy&#10;cy9kb3ducmV2LnhtbFBLAQIUABQAAAAIAIdO4kAuhQ15PgIAAH4EAAAOAAAAAAAAAAEAIAAAACcB&#10;AABkcnMvZTJvRG9jLnhtbFBLBQYAAAAABgAGAFkBAADXBQAAAAA=&#10;">
                      <v:fill on="t" focussize="0,0"/>
                      <v:stroke color="#FF0000" miterlimit="8" joinstyle="miter"/>
                      <v:imagedata o:title=""/>
                      <o:lock v:ext="edit" aspectratio="f"/>
                      <v:textbox>
                        <w:txbxContent>
                          <w:p w14:paraId="1ABA116F">
                            <w:pPr>
                              <w:jc w:val="center"/>
                              <w:rPr>
                                <w:color w:val="FF0000"/>
                              </w:rPr>
                            </w:pPr>
                            <w:r>
                              <w:rPr>
                                <w:rFonts w:hint="eastAsia"/>
                                <w:color w:val="FF0000"/>
                              </w:rPr>
                              <w:t>本次新建管道</w:t>
                            </w:r>
                          </w:p>
                        </w:txbxContent>
                      </v:textbox>
                    </v:rect>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90805</wp:posOffset>
                      </wp:positionH>
                      <wp:positionV relativeFrom="paragraph">
                        <wp:posOffset>17145</wp:posOffset>
                      </wp:positionV>
                      <wp:extent cx="662940" cy="599440"/>
                      <wp:effectExtent l="0" t="0" r="22860" b="10160"/>
                      <wp:wrapNone/>
                      <wp:docPr id="960" name="矩形 1365"/>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wps:spPr>
                            <wps:txbx>
                              <w:txbxContent>
                                <w:p w14:paraId="5DCA2DF5">
                                  <w:pPr>
                                    <w:jc w:val="center"/>
                                  </w:pPr>
                                  <w:r>
                                    <w:rPr>
                                      <w:rFonts w:hint="eastAsia"/>
                                    </w:rPr>
                                    <w:t>伊泰化工N2管廊</w:t>
                                  </w:r>
                                </w:p>
                              </w:txbxContent>
                            </wps:txbx>
                            <wps:bodyPr rot="0" vert="horz" wrap="square" lIns="91440" tIns="45720" rIns="91440" bIns="45720" anchor="t" anchorCtr="0" upright="1">
                              <a:noAutofit/>
                            </wps:bodyPr>
                          </wps:wsp>
                        </a:graphicData>
                      </a:graphic>
                    </wp:anchor>
                  </w:drawing>
                </mc:Choice>
                <mc:Fallback>
                  <w:pict>
                    <v:rect id="矩形 1365" o:spid="_x0000_s1026" o:spt="1" style="position:absolute;left:0pt;margin-left:7.15pt;margin-top:1.35pt;height:47.2pt;width:52.2pt;z-index:251669504;mso-width-relative:page;mso-height-relative:page;" fillcolor="#FFFFFF" filled="t" stroked="t" coordsize="21600,21600" o:gfxdata="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TlwP3UAAAABwEAAA8AAAAAAAAAAQAgAAAAIgAAAGRycy9kb3du&#10;cmV2LnhtbFBLAQIUABQAAAAIAIdO4kAVBXB7PAIAAH4EAAAOAAAAAAAAAAEAIAAAACMBAABkcnMv&#10;ZTJvRG9jLnhtbFBLBQYAAAAABgAGAFkBAADRBQAAAAA=&#10;">
                      <v:fill on="t" focussize="0,0"/>
                      <v:stroke color="#000000" miterlimit="8" joinstyle="miter"/>
                      <v:imagedata o:title=""/>
                      <o:lock v:ext="edit" aspectratio="f"/>
                      <v:textbox>
                        <w:txbxContent>
                          <w:p w14:paraId="5DCA2DF5">
                            <w:pPr>
                              <w:jc w:val="center"/>
                            </w:pPr>
                            <w:r>
                              <w:rPr>
                                <w:rFonts w:hint="eastAsia"/>
                              </w:rPr>
                              <w:t>伊泰化工N2管廊</w:t>
                            </w:r>
                          </w:p>
                        </w:txbxContent>
                      </v:textbox>
                    </v:rect>
                  </w:pict>
                </mc:Fallback>
              </mc:AlternateContent>
            </w:r>
          </w:p>
          <w:p w14:paraId="2EB99473">
            <w:pPr>
              <w:spacing w:line="440" w:lineRule="exact"/>
              <w:ind w:firstLine="480" w:firstLineChars="200"/>
              <w:rPr>
                <w:sz w:val="24"/>
              </w:rPr>
            </w:pPr>
            <w:r>
              <w:rPr>
                <w:sz w:val="24"/>
              </w:rPr>
              <mc:AlternateContent>
                <mc:Choice Requires="wps">
                  <w:drawing>
                    <wp:anchor distT="0" distB="0" distL="114300" distR="114300" simplePos="0" relativeHeight="251682816" behindDoc="0" locked="0" layoutInCell="1" allowOverlap="1">
                      <wp:simplePos x="0" y="0"/>
                      <wp:positionH relativeFrom="column">
                        <wp:posOffset>2962275</wp:posOffset>
                      </wp:positionH>
                      <wp:positionV relativeFrom="paragraph">
                        <wp:posOffset>18415</wp:posOffset>
                      </wp:positionV>
                      <wp:extent cx="1472565" cy="0"/>
                      <wp:effectExtent l="38100" t="76200" r="13335" b="95250"/>
                      <wp:wrapNone/>
                      <wp:docPr id="974" name="直接连接符 974"/>
                      <wp:cNvGraphicFramePr/>
                      <a:graphic xmlns:a="http://schemas.openxmlformats.org/drawingml/2006/main">
                        <a:graphicData uri="http://schemas.microsoft.com/office/word/2010/wordprocessingShape">
                          <wps:wsp>
                            <wps:cNvCnPr/>
                            <wps:spPr>
                              <a:xfrm>
                                <a:off x="0" y="0"/>
                                <a:ext cx="1472565"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3.25pt;margin-top:1.45pt;height:0pt;width:115.95pt;z-index:251682816;mso-width-relative:page;mso-height-relative:page;" filled="f" stroked="t" coordsize="21600,21600" o:gfxdata="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LbcEtYAAAAHAQAADwAAAAAAAAABACAAAAAiAAAA&#10;ZHJzL2Rvd25yZXYueG1sUEsBAhQAFAAAAAgAh07iQDfeb2oJAgAAEQQAAA4AAAAAAAAAAQAgAAAA&#10;JQEAAGRycy9lMm9Eb2MueG1sUEsFBgAAAAAGAAYAWQEAAKAFAAAAAA==&#10;">
                      <v:fill on="f" focussize="0,0"/>
                      <v:stroke weight="0.5pt" color="#000000 [3213]" miterlimit="8" joinstyle="miter" startarrow="block" endarrow="block"/>
                      <v:imagedata o:title=""/>
                      <o:lock v:ext="edit" aspectratio="f"/>
                    </v:line>
                  </w:pict>
                </mc:Fallback>
              </mc:AlternateContent>
            </w:r>
            <w:r>
              <w:rPr>
                <w:sz w:val="24"/>
              </w:rPr>
              <mc:AlternateContent>
                <mc:Choice Requires="wps">
                  <w:drawing>
                    <wp:anchor distT="0" distB="0" distL="114300" distR="114300" simplePos="0" relativeHeight="251681792" behindDoc="0" locked="0" layoutInCell="1" allowOverlap="1">
                      <wp:simplePos x="0" y="0"/>
                      <wp:positionH relativeFrom="column">
                        <wp:posOffset>754380</wp:posOffset>
                      </wp:positionH>
                      <wp:positionV relativeFrom="paragraph">
                        <wp:posOffset>27940</wp:posOffset>
                      </wp:positionV>
                      <wp:extent cx="1575435" cy="0"/>
                      <wp:effectExtent l="38100" t="76200" r="24765" b="95250"/>
                      <wp:wrapNone/>
                      <wp:docPr id="973" name="直接连接符 973"/>
                      <wp:cNvGraphicFramePr/>
                      <a:graphic xmlns:a="http://schemas.openxmlformats.org/drawingml/2006/main">
                        <a:graphicData uri="http://schemas.microsoft.com/office/word/2010/wordprocessingShape">
                          <wps:wsp>
                            <wps:cNvCnPr/>
                            <wps:spPr>
                              <a:xfrm>
                                <a:off x="0" y="0"/>
                                <a:ext cx="1575435"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4pt;margin-top:2.2pt;height:0pt;width:124.05pt;z-index:251681792;mso-width-relative:page;mso-height-relative:page;" filled="f" stroked="t" coordsize="21600,21600" o:gfxdata="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&#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Qkab11QAAAAcBAAAPAAAAAAAAAAEAIAAAACIAAABk&#10;cnMvZG93bnJldi54bWxQSwECFAAUAAAACACHTuJAg21hTwkCAAARBAAADgAAAAAAAAABACAAAAAk&#10;AQAAZHJzL2Uyb0RvYy54bWxQSwUGAAAAAAYABgBZAQAAnwUAAAAA&#10;">
                      <v:fill on="f" focussize="0,0"/>
                      <v:stroke weight="0.5pt" color="#000000 [3213]" miterlimit="8" joinstyle="miter" startarrow="block" endarrow="block"/>
                      <v:imagedata o:title=""/>
                      <o:lock v:ext="edit" aspectratio="f"/>
                    </v:line>
                  </w:pict>
                </mc:Fallback>
              </mc:AlternateContent>
            </w:r>
          </w:p>
          <w:p w14:paraId="2080C098">
            <w:pPr>
              <w:spacing w:line="440" w:lineRule="exact"/>
              <w:ind w:firstLine="480" w:firstLineChars="200"/>
              <w:rPr>
                <w:sz w:val="24"/>
              </w:rPr>
            </w:pPr>
            <w:r>
              <w:rPr>
                <w:sz w:val="24"/>
              </w:rPr>
              <mc:AlternateContent>
                <mc:Choice Requires="wps">
                  <w:drawing>
                    <wp:anchor distT="0" distB="0" distL="114300" distR="114300" simplePos="0" relativeHeight="251673600" behindDoc="0" locked="0" layoutInCell="1" allowOverlap="1">
                      <wp:simplePos x="0" y="0"/>
                      <wp:positionH relativeFrom="column">
                        <wp:posOffset>4387850</wp:posOffset>
                      </wp:positionH>
                      <wp:positionV relativeFrom="paragraph">
                        <wp:posOffset>171450</wp:posOffset>
                      </wp:positionV>
                      <wp:extent cx="742950" cy="599440"/>
                      <wp:effectExtent l="0" t="0" r="19050" b="10160"/>
                      <wp:wrapNone/>
                      <wp:docPr id="951" name="矩形 1389"/>
                      <wp:cNvGraphicFramePr/>
                      <a:graphic xmlns:a="http://schemas.openxmlformats.org/drawingml/2006/main">
                        <a:graphicData uri="http://schemas.microsoft.com/office/word/2010/wordprocessingShape">
                          <wps:wsp>
                            <wps:cNvSpPr>
                              <a:spLocks noChangeArrowheads="1"/>
                            </wps:cNvSpPr>
                            <wps:spPr bwMode="auto">
                              <a:xfrm>
                                <a:off x="0" y="0"/>
                                <a:ext cx="742950" cy="599440"/>
                              </a:xfrm>
                              <a:prstGeom prst="rect">
                                <a:avLst/>
                              </a:prstGeom>
                              <a:solidFill>
                                <a:srgbClr val="FFFFFF"/>
                              </a:solidFill>
                              <a:ln w="9525">
                                <a:solidFill>
                                  <a:srgbClr val="000000"/>
                                </a:solidFill>
                                <a:miter lim="800000"/>
                              </a:ln>
                            </wps:spPr>
                            <wps:txbx>
                              <w:txbxContent>
                                <w:p w14:paraId="5168166F">
                                  <w:pPr>
                                    <w:jc w:val="center"/>
                                  </w:pPr>
                                  <w:r>
                                    <w:rPr>
                                      <w:rFonts w:hint="eastAsia"/>
                                    </w:rPr>
                                    <w:t>伊泰化工TK-101储罐</w:t>
                                  </w:r>
                                </w:p>
                              </w:txbxContent>
                            </wps:txbx>
                            <wps:bodyPr rot="0" vert="horz" wrap="square" lIns="91440" tIns="45720" rIns="91440" bIns="45720" anchor="t" anchorCtr="0" upright="1">
                              <a:noAutofit/>
                            </wps:bodyPr>
                          </wps:wsp>
                        </a:graphicData>
                      </a:graphic>
                    </wp:anchor>
                  </w:drawing>
                </mc:Choice>
                <mc:Fallback>
                  <w:pict>
                    <v:rect id="矩形 1389" o:spid="_x0000_s1026" o:spt="1" style="position:absolute;left:0pt;margin-left:345.5pt;margin-top:13.5pt;height:47.2pt;width:58.5pt;z-index:251673600;mso-width-relative:page;mso-height-relative:page;" fillcolor="#FFFFFF" filled="t" stroked="t" coordsize="21600,21600" o:gfxdata="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5hh8vYAAAACgEAAA8AAAAAAAAAAQAgAAAAIgAAAGRycy9k&#10;b3ducmV2LnhtbFBLAQIUABQAAAAIAIdO4kCBl3y7OwIAAH4EAAAOAAAAAAAAAAEAIAAAACcBAABk&#10;cnMvZTJvRG9jLnhtbFBLBQYAAAAABgAGAFkBAADUBQAAAAA=&#10;">
                      <v:fill on="t" focussize="0,0"/>
                      <v:stroke color="#000000" miterlimit="8" joinstyle="miter"/>
                      <v:imagedata o:title=""/>
                      <o:lock v:ext="edit" aspectratio="f"/>
                      <v:textbox>
                        <w:txbxContent>
                          <w:p w14:paraId="5168166F">
                            <w:pPr>
                              <w:jc w:val="center"/>
                            </w:pPr>
                            <w:r>
                              <w:rPr>
                                <w:rFonts w:hint="eastAsia"/>
                              </w:rPr>
                              <w:t>伊泰化工TK-101储罐</w:t>
                            </w:r>
                          </w:p>
                        </w:txbxContent>
                      </v:textbox>
                    </v:rect>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2321560</wp:posOffset>
                      </wp:positionH>
                      <wp:positionV relativeFrom="paragraph">
                        <wp:posOffset>266065</wp:posOffset>
                      </wp:positionV>
                      <wp:extent cx="642620" cy="430530"/>
                      <wp:effectExtent l="0" t="0" r="24765" b="26670"/>
                      <wp:wrapNone/>
                      <wp:docPr id="943" name="矩形 1363"/>
                      <wp:cNvGraphicFramePr/>
                      <a:graphic xmlns:a="http://schemas.openxmlformats.org/drawingml/2006/main">
                        <a:graphicData uri="http://schemas.microsoft.com/office/word/2010/wordprocessingShape">
                          <wps:wsp>
                            <wps:cNvSpPr>
                              <a:spLocks noChangeArrowheads="1"/>
                            </wps:cNvSpPr>
                            <wps:spPr bwMode="auto">
                              <a:xfrm>
                                <a:off x="0" y="0"/>
                                <a:ext cx="642374" cy="430530"/>
                              </a:xfrm>
                              <a:prstGeom prst="rect">
                                <a:avLst/>
                              </a:prstGeom>
                              <a:solidFill>
                                <a:srgbClr val="FFFFFF"/>
                              </a:solidFill>
                              <a:ln w="9525">
                                <a:solidFill>
                                  <a:srgbClr val="FF0000"/>
                                </a:solidFill>
                                <a:miter lim="800000"/>
                              </a:ln>
                            </wps:spPr>
                            <wps:txbx>
                              <w:txbxContent>
                                <w:p w14:paraId="02846ACC">
                                  <w:pPr>
                                    <w:jc w:val="center"/>
                                    <w:rPr>
                                      <w:color w:val="FF0000"/>
                                    </w:rPr>
                                  </w:pPr>
                                  <w:r>
                                    <w:rPr>
                                      <w:rFonts w:hint="eastAsia"/>
                                      <w:color w:val="FF0000"/>
                                    </w:rPr>
                                    <w:t>本次新建管道</w:t>
                                  </w:r>
                                </w:p>
                              </w:txbxContent>
                            </wps:txbx>
                            <wps:bodyPr rot="0" vert="horz" wrap="square" lIns="91440" tIns="45720" rIns="91440" bIns="45720" anchor="t" anchorCtr="0" upright="1">
                              <a:noAutofit/>
                            </wps:bodyPr>
                          </wps:wsp>
                        </a:graphicData>
                      </a:graphic>
                    </wp:anchor>
                  </w:drawing>
                </mc:Choice>
                <mc:Fallback>
                  <w:pict>
                    <v:rect id="矩形 1363" o:spid="_x0000_s1026" o:spt="1" style="position:absolute;left:0pt;margin-left:182.8pt;margin-top:20.95pt;height:33.9pt;width:50.6pt;z-index:251671552;mso-width-relative:page;mso-height-relative:page;" fillcolor="#FFFFFF" filled="t" stroked="t" coordsize="21600,21600" o:gfxdata="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&#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6P1y7XAAAACgEAAA8AAAAAAAAAAQAgAAAAIgAAAGRy&#10;cy9kb3ducmV2LnhtbFBLAQIUABQAAAAIAIdO4kBbh3jxPwIAAH4EAAAOAAAAAAAAAAEAIAAAACYB&#10;AABkcnMvZTJvRG9jLnhtbFBLBQYAAAAABgAGAFkBAADXBQAAAAA=&#10;">
                      <v:fill on="t" focussize="0,0"/>
                      <v:stroke color="#FF0000" miterlimit="8" joinstyle="miter"/>
                      <v:imagedata o:title=""/>
                      <o:lock v:ext="edit" aspectratio="f"/>
                      <v:textbox>
                        <w:txbxContent>
                          <w:p w14:paraId="02846ACC">
                            <w:pPr>
                              <w:jc w:val="center"/>
                              <w:rPr>
                                <w:color w:val="FF0000"/>
                              </w:rPr>
                            </w:pPr>
                            <w:r>
                              <w:rPr>
                                <w:rFonts w:hint="eastAsia"/>
                                <w:color w:val="FF0000"/>
                              </w:rPr>
                              <w:t>本次新建管道</w:t>
                            </w:r>
                          </w:p>
                        </w:txbxContent>
                      </v:textbox>
                    </v:rect>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90170</wp:posOffset>
                      </wp:positionH>
                      <wp:positionV relativeFrom="paragraph">
                        <wp:posOffset>208280</wp:posOffset>
                      </wp:positionV>
                      <wp:extent cx="662940" cy="599440"/>
                      <wp:effectExtent l="0" t="0" r="22860" b="10160"/>
                      <wp:wrapNone/>
                      <wp:docPr id="950" name="矩形 1365"/>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wps:spPr>
                            <wps:txbx>
                              <w:txbxContent>
                                <w:p w14:paraId="35BD74EA">
                                  <w:pPr>
                                    <w:jc w:val="center"/>
                                  </w:pPr>
                                  <w:r>
                                    <w:rPr>
                                      <w:rFonts w:hint="eastAsia"/>
                                    </w:rPr>
                                    <w:t>宏城化工</w:t>
                                  </w:r>
                                  <w:r>
                                    <w:t>PAO</w:t>
                                  </w:r>
                                  <w:r>
                                    <w:rPr>
                                      <w:rFonts w:hint="eastAsia"/>
                                    </w:rPr>
                                    <w:t>装置</w:t>
                                  </w:r>
                                </w:p>
                              </w:txbxContent>
                            </wps:txbx>
                            <wps:bodyPr rot="0" vert="horz" wrap="square" lIns="91440" tIns="45720" rIns="91440" bIns="45720" anchor="t" anchorCtr="0" upright="1">
                              <a:noAutofit/>
                            </wps:bodyPr>
                          </wps:wsp>
                        </a:graphicData>
                      </a:graphic>
                    </wp:anchor>
                  </w:drawing>
                </mc:Choice>
                <mc:Fallback>
                  <w:pict>
                    <v:rect id="矩形 1365" o:spid="_x0000_s1026" o:spt="1" style="position:absolute;left:0pt;margin-left:7.1pt;margin-top:16.4pt;height:47.2pt;width:52.2pt;z-index:251672576;mso-width-relative:page;mso-height-relative:page;" fillcolor="#FFFFFF" filled="t" stroked="t" coordsize="21600,21600" o:gfxdata="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WhahC1gAAAAkBAAAPAAAAAAAAAAEAIAAAACIAAABkcnMvZG93&#10;bnJldi54bWxQSwECFAAUAAAACACHTuJAfaq4yDsCAAB+BAAADgAAAAAAAAABACAAAAAlAQAAZHJz&#10;L2Uyb0RvYy54bWxQSwUGAAAAAAYABgBZAQAA0gUAAAAA&#10;">
                      <v:fill on="t" focussize="0,0"/>
                      <v:stroke color="#000000" miterlimit="8" joinstyle="miter"/>
                      <v:imagedata o:title=""/>
                      <o:lock v:ext="edit" aspectratio="f"/>
                      <v:textbox>
                        <w:txbxContent>
                          <w:p w14:paraId="35BD74EA">
                            <w:pPr>
                              <w:jc w:val="center"/>
                            </w:pPr>
                            <w:r>
                              <w:rPr>
                                <w:rFonts w:hint="eastAsia"/>
                              </w:rPr>
                              <w:t>宏城化工</w:t>
                            </w:r>
                            <w:r>
                              <w:t>PAO</w:t>
                            </w:r>
                            <w:r>
                              <w:rPr>
                                <w:rFonts w:hint="eastAsia"/>
                              </w:rPr>
                              <w:t>装置</w:t>
                            </w:r>
                          </w:p>
                        </w:txbxContent>
                      </v:textbox>
                    </v:rect>
                  </w:pict>
                </mc:Fallback>
              </mc:AlternateContent>
            </w:r>
          </w:p>
          <w:p w14:paraId="06693F45">
            <w:pPr>
              <w:spacing w:line="440" w:lineRule="exact"/>
              <w:ind w:firstLine="480" w:firstLineChars="200"/>
              <w:rPr>
                <w:sz w:val="24"/>
              </w:rPr>
            </w:pPr>
            <w:r>
              <w:rPr>
                <w:sz w:val="24"/>
              </w:rPr>
              <mc:AlternateContent>
                <mc:Choice Requires="wps">
                  <w:drawing>
                    <wp:anchor distT="0" distB="0" distL="114300" distR="114300" simplePos="0" relativeHeight="251684864" behindDoc="0" locked="0" layoutInCell="1" allowOverlap="1">
                      <wp:simplePos x="0" y="0"/>
                      <wp:positionH relativeFrom="column">
                        <wp:posOffset>2962275</wp:posOffset>
                      </wp:positionH>
                      <wp:positionV relativeFrom="paragraph">
                        <wp:posOffset>202565</wp:posOffset>
                      </wp:positionV>
                      <wp:extent cx="1434465" cy="0"/>
                      <wp:effectExtent l="38100" t="76200" r="13335" b="95250"/>
                      <wp:wrapNone/>
                      <wp:docPr id="976" name="直接连接符 976"/>
                      <wp:cNvGraphicFramePr/>
                      <a:graphic xmlns:a="http://schemas.openxmlformats.org/drawingml/2006/main">
                        <a:graphicData uri="http://schemas.microsoft.com/office/word/2010/wordprocessingShape">
                          <wps:wsp>
                            <wps:cNvCnPr/>
                            <wps:spPr>
                              <a:xfrm>
                                <a:off x="0" y="0"/>
                                <a:ext cx="1434465"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3.25pt;margin-top:15.95pt;height:0pt;width:112.95pt;z-index:251684864;mso-width-relative:page;mso-height-relative:page;" filled="f" stroked="t" coordsize="21600,21600" o:gfxdata="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W9HCm2AAAAAkBAAAPAAAAAAAAAAEAIAAAACIA&#10;AABkcnMvZG93bnJldi54bWxQSwECFAAUAAAACACHTuJA7mKHxgkCAAARBAAADgAAAAAAAAABACAA&#10;AAAnAQAAZHJzL2Uyb0RvYy54bWxQSwUGAAAAAAYABgBZAQAAogUAAAAA&#10;">
                      <v:fill on="f" focussize="0,0"/>
                      <v:stroke weight="0.5pt" color="#000000 [3213]" miterlimit="8" joinstyle="miter" startarrow="block" endarrow="block"/>
                      <v:imagedata o:title=""/>
                      <o:lock v:ext="edit" aspectratio="f"/>
                    </v:line>
                  </w:pict>
                </mc:Fallback>
              </mc:AlternateContent>
            </w:r>
            <w:r>
              <w:rPr>
                <w:sz w:val="24"/>
              </w:rPr>
              <mc:AlternateContent>
                <mc:Choice Requires="wps">
                  <w:drawing>
                    <wp:anchor distT="0" distB="0" distL="114300" distR="114300" simplePos="0" relativeHeight="251683840" behindDoc="0" locked="0" layoutInCell="1" allowOverlap="1">
                      <wp:simplePos x="0" y="0"/>
                      <wp:positionH relativeFrom="column">
                        <wp:posOffset>758825</wp:posOffset>
                      </wp:positionH>
                      <wp:positionV relativeFrom="paragraph">
                        <wp:posOffset>221615</wp:posOffset>
                      </wp:positionV>
                      <wp:extent cx="1562100" cy="0"/>
                      <wp:effectExtent l="38100" t="76200" r="19050" b="95250"/>
                      <wp:wrapNone/>
                      <wp:docPr id="975" name="直接连接符 975"/>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75pt;margin-top:17.45pt;height:0pt;width:123pt;z-index:251683840;mso-width-relative:page;mso-height-relative:page;" filled="f" stroked="t" coordsize="21600,21600" o:gfxdata="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&#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FToLr1wAAAAkBAAAPAAAAAAAAAAEAIAAAACIAAABk&#10;cnMvZG93bnJldi54bWxQSwECFAAUAAAACACHTuJArqzbxAcCAAARBAAADgAAAAAAAAABACAAAAAm&#10;AQAAZHJzL2Uyb0RvYy54bWxQSwUGAAAAAAYABgBZAQAAnwUAAAAA&#10;">
                      <v:fill on="f" focussize="0,0"/>
                      <v:stroke weight="0.5pt" color="#000000 [3213]" miterlimit="8" joinstyle="miter" startarrow="block" endarrow="block"/>
                      <v:imagedata o:title=""/>
                      <o:lock v:ext="edit" aspectratio="f"/>
                    </v:line>
                  </w:pict>
                </mc:Fallback>
              </mc:AlternateContent>
            </w:r>
          </w:p>
          <w:p w14:paraId="0EACE873">
            <w:pPr>
              <w:spacing w:line="440" w:lineRule="exact"/>
              <w:ind w:firstLine="480" w:firstLineChars="200"/>
              <w:rPr>
                <w:sz w:val="24"/>
              </w:rPr>
            </w:pPr>
          </w:p>
          <w:p w14:paraId="1A5E47F7">
            <w:pPr>
              <w:spacing w:line="440" w:lineRule="exact"/>
              <w:ind w:firstLine="480" w:firstLineChars="200"/>
              <w:rPr>
                <w:sz w:val="24"/>
              </w:rPr>
            </w:pPr>
            <w:r>
              <w:rPr>
                <w:sz w:val="24"/>
              </w:rPr>
              <mc:AlternateContent>
                <mc:Choice Requires="wps">
                  <w:drawing>
                    <wp:anchor distT="0" distB="0" distL="114300" distR="114300" simplePos="0" relativeHeight="251663360" behindDoc="0" locked="0" layoutInCell="1" allowOverlap="1">
                      <wp:simplePos x="0" y="0"/>
                      <wp:positionH relativeFrom="column">
                        <wp:posOffset>4412615</wp:posOffset>
                      </wp:positionH>
                      <wp:positionV relativeFrom="paragraph">
                        <wp:posOffset>113665</wp:posOffset>
                      </wp:positionV>
                      <wp:extent cx="727710" cy="452755"/>
                      <wp:effectExtent l="0" t="0" r="15240" b="23495"/>
                      <wp:wrapNone/>
                      <wp:docPr id="942" name="矩形 1389"/>
                      <wp:cNvGraphicFramePr/>
                      <a:graphic xmlns:a="http://schemas.openxmlformats.org/drawingml/2006/main">
                        <a:graphicData uri="http://schemas.microsoft.com/office/word/2010/wordprocessingShape">
                          <wps:wsp>
                            <wps:cNvSpPr>
                              <a:spLocks noChangeArrowheads="1"/>
                            </wps:cNvSpPr>
                            <wps:spPr bwMode="auto">
                              <a:xfrm>
                                <a:off x="0" y="0"/>
                                <a:ext cx="727710" cy="452755"/>
                              </a:xfrm>
                              <a:prstGeom prst="rect">
                                <a:avLst/>
                              </a:prstGeom>
                              <a:solidFill>
                                <a:srgbClr val="FFFFFF"/>
                              </a:solidFill>
                              <a:ln w="9525">
                                <a:solidFill>
                                  <a:srgbClr val="000000"/>
                                </a:solidFill>
                                <a:miter lim="800000"/>
                              </a:ln>
                              <a:effectLst/>
                            </wps:spPr>
                            <wps:txbx>
                              <w:txbxContent>
                                <w:p w14:paraId="30A7BB31">
                                  <w:pPr>
                                    <w:jc w:val="center"/>
                                  </w:pPr>
                                  <w:r>
                                    <w:rPr>
                                      <w:rFonts w:hint="eastAsia"/>
                                    </w:rPr>
                                    <w:t>伊泰化工N3管廊</w:t>
                                  </w:r>
                                </w:p>
                              </w:txbxContent>
                            </wps:txbx>
                            <wps:bodyPr rot="0" vert="horz" wrap="square" lIns="91440" tIns="45720" rIns="91440" bIns="45720" anchor="t" anchorCtr="0" upright="1">
                              <a:noAutofit/>
                            </wps:bodyPr>
                          </wps:wsp>
                        </a:graphicData>
                      </a:graphic>
                    </wp:anchor>
                  </w:drawing>
                </mc:Choice>
                <mc:Fallback>
                  <w:pict>
                    <v:rect id="矩形 1389" o:spid="_x0000_s1026" o:spt="1" style="position:absolute;left:0pt;margin-left:347.45pt;margin-top:8.95pt;height:35.65pt;width:57.3pt;z-index:251663360;mso-width-relative:page;mso-height-relative:page;" fillcolor="#FFFFFF" filled="t" stroked="t" coordsize="21600,21600" o:gfxdata="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THGaNcAAAAJAQAADwAAAAAAAAABACAAAAAiAAAA&#10;ZHJzL2Rvd25yZXYueG1sUEsBAhQAFAAAAAgAh07iQKEkTOBBAgAAjAQAAA4AAAAAAAAAAQAgAAAA&#10;JgEAAGRycy9lMm9Eb2MueG1sUEsFBgAAAAAGAAYAWQEAANkFAAAAAA==&#10;">
                      <v:fill on="t" focussize="0,0"/>
                      <v:stroke color="#000000" miterlimit="8" joinstyle="miter"/>
                      <v:imagedata o:title=""/>
                      <o:lock v:ext="edit" aspectratio="f"/>
                      <v:textbox>
                        <w:txbxContent>
                          <w:p w14:paraId="30A7BB31">
                            <w:pPr>
                              <w:jc w:val="center"/>
                            </w:pPr>
                            <w:r>
                              <w:rPr>
                                <w:rFonts w:hint="eastAsia"/>
                              </w:rPr>
                              <w:t>伊泰化工N3管廊</w:t>
                            </w:r>
                          </w:p>
                        </w:txbxContent>
                      </v:textbox>
                    </v: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2344420</wp:posOffset>
                      </wp:positionH>
                      <wp:positionV relativeFrom="paragraph">
                        <wp:posOffset>157480</wp:posOffset>
                      </wp:positionV>
                      <wp:extent cx="642620" cy="430530"/>
                      <wp:effectExtent l="0" t="0" r="24765" b="26670"/>
                      <wp:wrapNone/>
                      <wp:docPr id="940" name="矩形 1363"/>
                      <wp:cNvGraphicFramePr/>
                      <a:graphic xmlns:a="http://schemas.openxmlformats.org/drawingml/2006/main">
                        <a:graphicData uri="http://schemas.microsoft.com/office/word/2010/wordprocessingShape">
                          <wps:wsp>
                            <wps:cNvSpPr>
                              <a:spLocks noChangeArrowheads="1"/>
                            </wps:cNvSpPr>
                            <wps:spPr bwMode="auto">
                              <a:xfrm>
                                <a:off x="0" y="0"/>
                                <a:ext cx="642374" cy="430530"/>
                              </a:xfrm>
                              <a:prstGeom prst="rect">
                                <a:avLst/>
                              </a:prstGeom>
                              <a:solidFill>
                                <a:srgbClr val="FFFFFF"/>
                              </a:solidFill>
                              <a:ln w="9525">
                                <a:solidFill>
                                  <a:srgbClr val="FF0000"/>
                                </a:solidFill>
                                <a:miter lim="800000"/>
                              </a:ln>
                              <a:effectLst/>
                            </wps:spPr>
                            <wps:txbx>
                              <w:txbxContent>
                                <w:p w14:paraId="7D2BF4A3">
                                  <w:pPr>
                                    <w:jc w:val="center"/>
                                    <w:rPr>
                                      <w:color w:val="FF0000"/>
                                    </w:rPr>
                                  </w:pPr>
                                  <w:r>
                                    <w:rPr>
                                      <w:rFonts w:hint="eastAsia"/>
                                      <w:color w:val="FF0000"/>
                                    </w:rPr>
                                    <w:t>本次新建管道</w:t>
                                  </w:r>
                                </w:p>
                              </w:txbxContent>
                            </wps:txbx>
                            <wps:bodyPr rot="0" vert="horz" wrap="square" lIns="91440" tIns="45720" rIns="91440" bIns="45720" anchor="t" anchorCtr="0" upright="1">
                              <a:noAutofit/>
                            </wps:bodyPr>
                          </wps:wsp>
                        </a:graphicData>
                      </a:graphic>
                    </wp:anchor>
                  </w:drawing>
                </mc:Choice>
                <mc:Fallback>
                  <w:pict>
                    <v:rect id="矩形 1363" o:spid="_x0000_s1026" o:spt="1" style="position:absolute;left:0pt;margin-left:184.6pt;margin-top:12.4pt;height:33.9pt;width:50.6pt;z-index:251661312;mso-width-relative:page;mso-height-relative:page;" fillcolor="#FFFFFF" filled="t" stroked="t" coordsize="21600,21600" o:gfxdata="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4LUy01wAAAAkBAAAPAAAAAAAAAAEAIAAAACIA&#10;AABkcnMvZG93bnJldi54bWxQSwECFAAUAAAACACHTuJAQLhPEkMCAACMBAAADgAAAAAAAAABACAA&#10;AAAmAQAAZHJzL2Uyb0RvYy54bWxQSwUGAAAAAAYABgBZAQAA2wUAAAAA&#10;">
                      <v:fill on="t" focussize="0,0"/>
                      <v:stroke color="#FF0000" miterlimit="8" joinstyle="miter"/>
                      <v:imagedata o:title=""/>
                      <o:lock v:ext="edit" aspectratio="f"/>
                      <v:textbox>
                        <w:txbxContent>
                          <w:p w14:paraId="7D2BF4A3">
                            <w:pPr>
                              <w:jc w:val="center"/>
                              <w:rPr>
                                <w:color w:val="FF0000"/>
                              </w:rPr>
                            </w:pPr>
                            <w:r>
                              <w:rPr>
                                <w:rFonts w:hint="eastAsia"/>
                                <w:color w:val="FF0000"/>
                              </w:rPr>
                              <w:t>本次新建管道</w:t>
                            </w:r>
                          </w:p>
                        </w:txbxContent>
                      </v:textbox>
                    </v:rect>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113030</wp:posOffset>
                      </wp:positionH>
                      <wp:positionV relativeFrom="paragraph">
                        <wp:posOffset>99060</wp:posOffset>
                      </wp:positionV>
                      <wp:extent cx="662940" cy="599440"/>
                      <wp:effectExtent l="0" t="0" r="22860" b="10160"/>
                      <wp:wrapNone/>
                      <wp:docPr id="941" name="矩形 1365"/>
                      <wp:cNvGraphicFramePr/>
                      <a:graphic xmlns:a="http://schemas.openxmlformats.org/drawingml/2006/main">
                        <a:graphicData uri="http://schemas.microsoft.com/office/word/2010/wordprocessingShape">
                          <wps:wsp>
                            <wps:cNvSpPr>
                              <a:spLocks noChangeArrowheads="1"/>
                            </wps:cNvSpPr>
                            <wps:spPr bwMode="auto">
                              <a:xfrm>
                                <a:off x="0" y="0"/>
                                <a:ext cx="663195" cy="599557"/>
                              </a:xfrm>
                              <a:prstGeom prst="rect">
                                <a:avLst/>
                              </a:prstGeom>
                              <a:solidFill>
                                <a:srgbClr val="FFFFFF"/>
                              </a:solidFill>
                              <a:ln w="9525">
                                <a:solidFill>
                                  <a:srgbClr val="000000"/>
                                </a:solidFill>
                                <a:miter lim="800000"/>
                              </a:ln>
                              <a:effectLst/>
                            </wps:spPr>
                            <wps:txbx>
                              <w:txbxContent>
                                <w:p w14:paraId="4B39B6D3">
                                  <w:pPr>
                                    <w:jc w:val="center"/>
                                  </w:pPr>
                                  <w:r>
                                    <w:rPr>
                                      <w:rFonts w:hint="eastAsia"/>
                                    </w:rPr>
                                    <w:t>宏城化工</w:t>
                                  </w:r>
                                  <w:r>
                                    <w:t>PAO</w:t>
                                  </w:r>
                                  <w:r>
                                    <w:rPr>
                                      <w:rFonts w:hint="eastAsia"/>
                                    </w:rPr>
                                    <w:t>装置</w:t>
                                  </w:r>
                                </w:p>
                              </w:txbxContent>
                            </wps:txbx>
                            <wps:bodyPr rot="0" vert="horz" wrap="square" lIns="91440" tIns="45720" rIns="91440" bIns="45720" anchor="t" anchorCtr="0" upright="1">
                              <a:noAutofit/>
                            </wps:bodyPr>
                          </wps:wsp>
                        </a:graphicData>
                      </a:graphic>
                    </wp:anchor>
                  </w:drawing>
                </mc:Choice>
                <mc:Fallback>
                  <w:pict>
                    <v:rect id="矩形 1365" o:spid="_x0000_s1026" o:spt="1" style="position:absolute;left:0pt;margin-left:8.9pt;margin-top:7.8pt;height:47.2pt;width:52.2pt;z-index:251662336;mso-width-relative:page;mso-height-relative:page;" fillcolor="#FFFFFF" filled="t" stroked="t" coordsize="21600,21600" o:gfxdata="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qTLGXVAAAACQEAAA8AAAAAAAAAAQAgAAAAIgAAAGRy&#10;cy9kb3ducmV2LnhtbFBLAQIUABQAAAAIAIdO4kDp7iZQQQIAAIwEAAAOAAAAAAAAAAEAIAAAACQB&#10;AABkcnMvZTJvRG9jLnhtbFBLBQYAAAAABgAGAFkBAADXBQAAAAA=&#10;">
                      <v:fill on="t" focussize="0,0"/>
                      <v:stroke color="#000000" miterlimit="8" joinstyle="miter"/>
                      <v:imagedata o:title=""/>
                      <o:lock v:ext="edit" aspectratio="f"/>
                      <v:textbox>
                        <w:txbxContent>
                          <w:p w14:paraId="4B39B6D3">
                            <w:pPr>
                              <w:jc w:val="center"/>
                            </w:pPr>
                            <w:r>
                              <w:rPr>
                                <w:rFonts w:hint="eastAsia"/>
                              </w:rPr>
                              <w:t>宏城化工</w:t>
                            </w:r>
                            <w:r>
                              <w:t>PAO</w:t>
                            </w:r>
                            <w:r>
                              <w:rPr>
                                <w:rFonts w:hint="eastAsia"/>
                              </w:rPr>
                              <w:t>装置</w:t>
                            </w:r>
                          </w:p>
                        </w:txbxContent>
                      </v:textbox>
                    </v:rect>
                  </w:pict>
                </mc:Fallback>
              </mc:AlternateContent>
            </w:r>
          </w:p>
          <w:p w14:paraId="2DFB8D72">
            <w:pPr>
              <w:spacing w:line="440" w:lineRule="exact"/>
              <w:ind w:firstLine="480" w:firstLineChars="200"/>
              <w:rPr>
                <w:sz w:val="24"/>
              </w:rPr>
            </w:pPr>
            <w:r>
              <w:rPr>
                <w:sz w:val="24"/>
              </w:rPr>
              <mc:AlternateContent>
                <mc:Choice Requires="wps">
                  <w:drawing>
                    <wp:anchor distT="0" distB="0" distL="114300" distR="114300" simplePos="0" relativeHeight="251686912" behindDoc="0" locked="0" layoutInCell="1" allowOverlap="1">
                      <wp:simplePos x="0" y="0"/>
                      <wp:positionH relativeFrom="column">
                        <wp:posOffset>2962275</wp:posOffset>
                      </wp:positionH>
                      <wp:positionV relativeFrom="paragraph">
                        <wp:posOffset>88265</wp:posOffset>
                      </wp:positionV>
                      <wp:extent cx="1449705" cy="0"/>
                      <wp:effectExtent l="38100" t="76200" r="17145" b="95250"/>
                      <wp:wrapNone/>
                      <wp:docPr id="978" name="直接连接符 978"/>
                      <wp:cNvGraphicFramePr/>
                      <a:graphic xmlns:a="http://schemas.openxmlformats.org/drawingml/2006/main">
                        <a:graphicData uri="http://schemas.microsoft.com/office/word/2010/wordprocessingShape">
                          <wps:wsp>
                            <wps:cNvCnPr/>
                            <wps:spPr>
                              <a:xfrm>
                                <a:off x="0" y="0"/>
                                <a:ext cx="1449705"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3.25pt;margin-top:6.95pt;height:0pt;width:114.15pt;z-index:251686912;mso-width-relative:page;mso-height-relative:page;" filled="f" stroked="t" coordsize="21600,21600" o:gfxdata="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OX0NNcAAAAJAQAADwAAAAAAAAABACAAAAAiAAAA&#10;ZHJzL2Rvd25yZXYueG1sUEsBAhQAFAAAAAgAh07iQFY2h5UIAgAAEQQAAA4AAAAAAAAAAQAgAAAA&#10;JgEAAGRycy9lMm9Eb2MueG1sUEsFBgAAAAAGAAYAWQEAAKAFAAAAAA==&#10;">
                      <v:fill on="f" focussize="0,0"/>
                      <v:stroke weight="0.5pt" color="#000000 [3213]" miterlimit="8" joinstyle="miter" startarrow="block" endarrow="block"/>
                      <v:imagedata o:title=""/>
                      <o:lock v:ext="edit" aspectratio="f"/>
                    </v:line>
                  </w:pict>
                </mc:Fallback>
              </mc:AlternateContent>
            </w:r>
            <w:r>
              <w:rPr>
                <w:sz w:val="24"/>
              </w:rPr>
              <mc:AlternateContent>
                <mc:Choice Requires="wps">
                  <w:drawing>
                    <wp:anchor distT="0" distB="0" distL="114300" distR="114300" simplePos="0" relativeHeight="251685888" behindDoc="0" locked="0" layoutInCell="1" allowOverlap="1">
                      <wp:simplePos x="0" y="0"/>
                      <wp:positionH relativeFrom="column">
                        <wp:posOffset>774065</wp:posOffset>
                      </wp:positionH>
                      <wp:positionV relativeFrom="paragraph">
                        <wp:posOffset>107315</wp:posOffset>
                      </wp:positionV>
                      <wp:extent cx="1565910" cy="0"/>
                      <wp:effectExtent l="38100" t="76200" r="15240" b="95250"/>
                      <wp:wrapNone/>
                      <wp:docPr id="977" name="直接连接符 977"/>
                      <wp:cNvGraphicFramePr/>
                      <a:graphic xmlns:a="http://schemas.openxmlformats.org/drawingml/2006/main">
                        <a:graphicData uri="http://schemas.microsoft.com/office/word/2010/wordprocessingShape">
                          <wps:wsp>
                            <wps:cNvCnPr/>
                            <wps:spPr>
                              <a:xfrm>
                                <a:off x="0" y="0"/>
                                <a:ext cx="156591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0.95pt;margin-top:8.45pt;height:0pt;width:123.3pt;z-index:251685888;mso-width-relative:page;mso-height-relative:page;" filled="f" stroked="t" coordsize="21600,21600" o:gfxdata="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&#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TUmGvWAAAACQEAAA8AAAAAAAAAAQAgAAAAIgAAAGRy&#10;cy9kb3ducmV2LnhtbFBLAQIUABQAAAAIAIdO4kCtj9L9BwIAABEEAAAOAAAAAAAAAAEAIAAAACUB&#10;AABkcnMvZTJvRG9jLnhtbFBLBQYAAAAABgAGAFkBAACeBQAAAAA=&#10;">
                      <v:fill on="f" focussize="0,0"/>
                      <v:stroke weight="0.5pt" color="#000000 [3213]" miterlimit="8" joinstyle="miter" startarrow="block" endarrow="block"/>
                      <v:imagedata o:title=""/>
                      <o:lock v:ext="edit" aspectratio="f"/>
                    </v:line>
                  </w:pict>
                </mc:Fallback>
              </mc:AlternateContent>
            </w:r>
          </w:p>
          <w:p w14:paraId="266E2987">
            <w:pPr>
              <w:spacing w:line="440" w:lineRule="exact"/>
              <w:ind w:firstLine="480" w:firstLineChars="200"/>
              <w:rPr>
                <w:sz w:val="24"/>
              </w:rPr>
            </w:pPr>
          </w:p>
          <w:p w14:paraId="6B3BF516">
            <w:pPr>
              <w:spacing w:line="440" w:lineRule="exact"/>
              <w:ind w:firstLine="480" w:firstLineChars="200"/>
              <w:rPr>
                <w:sz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1624330</wp:posOffset>
                      </wp:positionH>
                      <wp:positionV relativeFrom="paragraph">
                        <wp:posOffset>15240</wp:posOffset>
                      </wp:positionV>
                      <wp:extent cx="2237740" cy="299720"/>
                      <wp:effectExtent l="0" t="0" r="1270" b="0"/>
                      <wp:wrapNone/>
                      <wp:docPr id="933" name="矩形 1368"/>
                      <wp:cNvGraphicFramePr/>
                      <a:graphic xmlns:a="http://schemas.openxmlformats.org/drawingml/2006/main">
                        <a:graphicData uri="http://schemas.microsoft.com/office/word/2010/wordprocessingShape">
                          <wps:wsp>
                            <wps:cNvSpPr>
                              <a:spLocks noChangeArrowheads="1"/>
                            </wps:cNvSpPr>
                            <wps:spPr bwMode="auto">
                              <a:xfrm>
                                <a:off x="0" y="0"/>
                                <a:ext cx="2237740" cy="299720"/>
                              </a:xfrm>
                              <a:prstGeom prst="rect">
                                <a:avLst/>
                              </a:prstGeom>
                              <a:noFill/>
                              <a:ln>
                                <a:noFill/>
                              </a:ln>
                              <a:effectLst/>
                            </wps:spPr>
                            <wps:txbx>
                              <w:txbxContent>
                                <w:p w14:paraId="094F56C0">
                                  <w:pPr>
                                    <w:jc w:val="center"/>
                                    <w:rPr>
                                      <w:b/>
                                      <w:sz w:val="24"/>
                                    </w:rPr>
                                  </w:pPr>
                                  <w:r>
                                    <w:rPr>
                                      <w:rFonts w:hint="eastAsia"/>
                                      <w:b/>
                                      <w:sz w:val="24"/>
                                    </w:rPr>
                                    <w:t>图2-1    输送工艺流程</w:t>
                                  </w:r>
                                </w:p>
                              </w:txbxContent>
                            </wps:txbx>
                            <wps:bodyPr rot="0" vert="horz" wrap="square" lIns="91440" tIns="45720" rIns="91440" bIns="45720" anchor="t" anchorCtr="0" upright="1">
                              <a:noAutofit/>
                            </wps:bodyPr>
                          </wps:wsp>
                        </a:graphicData>
                      </a:graphic>
                    </wp:anchor>
                  </w:drawing>
                </mc:Choice>
                <mc:Fallback>
                  <w:pict>
                    <v:rect id="矩形 1368" o:spid="_x0000_s1026" o:spt="1" style="position:absolute;left:0pt;margin-left:127.9pt;margin-top:1.2pt;height:23.6pt;width:176.2pt;z-index:251659264;mso-width-relative:page;mso-height-relative:page;" filled="f" stroked="f" coordsize="21600,21600" o:gfxdata="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8asHtkAAAAIAQAADwAA&#10;AAAAAAABACAAAAAiAAAAZHJzL2Rvd25yZXYueG1sUEsBAhQAFAAAAAgAh07iQNfJdiMVAgAAGwQA&#10;AA4AAAAAAAAAAQAgAAAAKAEAAGRycy9lMm9Eb2MueG1sUEsFBgAAAAAGAAYAWQEAAK8FAAAAAA==&#10;">
                      <v:fill on="f" focussize="0,0"/>
                      <v:stroke on="f"/>
                      <v:imagedata o:title=""/>
                      <o:lock v:ext="edit" aspectratio="f"/>
                      <v:textbox>
                        <w:txbxContent>
                          <w:p w14:paraId="094F56C0">
                            <w:pPr>
                              <w:jc w:val="center"/>
                              <w:rPr>
                                <w:b/>
                                <w:sz w:val="24"/>
                              </w:rPr>
                            </w:pPr>
                            <w:r>
                              <w:rPr>
                                <w:rFonts w:hint="eastAsia"/>
                                <w:b/>
                                <w:sz w:val="24"/>
                              </w:rPr>
                              <w:t>图2-1    输送工艺流程</w:t>
                            </w:r>
                          </w:p>
                        </w:txbxContent>
                      </v:textbox>
                    </v:rect>
                  </w:pict>
                </mc:Fallback>
              </mc:AlternateContent>
            </w:r>
          </w:p>
          <w:p w14:paraId="76362D0C">
            <w:pPr>
              <w:spacing w:line="440" w:lineRule="exact"/>
              <w:ind w:firstLine="482" w:firstLineChars="200"/>
              <w:rPr>
                <w:b/>
                <w:bCs/>
                <w:sz w:val="24"/>
              </w:rPr>
            </w:pPr>
            <w:r>
              <w:rPr>
                <w:rFonts w:hint="eastAsia"/>
                <w:b/>
                <w:bCs/>
                <w:sz w:val="24"/>
              </w:rPr>
              <w:t>12.</w:t>
            </w:r>
            <w:r>
              <w:rPr>
                <w:b/>
                <w:bCs/>
                <w:sz w:val="24"/>
              </w:rPr>
              <w:t>依托工程</w:t>
            </w:r>
          </w:p>
          <w:p w14:paraId="176B2078">
            <w:pPr>
              <w:spacing w:line="440" w:lineRule="exact"/>
              <w:ind w:firstLine="480" w:firstLineChars="200"/>
              <w:rPr>
                <w:bCs/>
                <w:sz w:val="24"/>
              </w:rPr>
            </w:pPr>
            <w:r>
              <w:rPr>
                <w:bCs/>
                <w:sz w:val="24"/>
              </w:rPr>
              <w:t>（1）管廊</w:t>
            </w:r>
          </w:p>
          <w:p w14:paraId="03C95FDC">
            <w:pPr>
              <w:spacing w:line="440" w:lineRule="exact"/>
              <w:ind w:firstLine="480" w:firstLineChars="200"/>
              <w:rPr>
                <w:bCs/>
                <w:sz w:val="24"/>
              </w:rPr>
            </w:pPr>
            <w:r>
              <w:rPr>
                <w:bCs/>
                <w:sz w:val="24"/>
              </w:rPr>
              <w:t>项目管道架空依托</w:t>
            </w:r>
            <w:r>
              <w:rPr>
                <w:rFonts w:hint="eastAsia"/>
                <w:bCs/>
                <w:sz w:val="24"/>
              </w:rPr>
              <w:t>现有伊泰化工</w:t>
            </w:r>
            <w:r>
              <w:rPr>
                <w:bCs/>
                <w:sz w:val="24"/>
              </w:rPr>
              <w:t>管廊，管廊具体情况如下：</w:t>
            </w:r>
          </w:p>
          <w:p w14:paraId="5F6F1A3E">
            <w:pPr>
              <w:spacing w:line="440" w:lineRule="exact"/>
              <w:ind w:firstLine="480" w:firstLineChars="200"/>
              <w:rPr>
                <w:kern w:val="0"/>
                <w:sz w:val="24"/>
              </w:rPr>
            </w:pPr>
            <w:r>
              <w:rPr>
                <w:rFonts w:hint="eastAsia"/>
                <w:kern w:val="0"/>
                <w:sz w:val="24"/>
              </w:rPr>
              <w:t>共二</w:t>
            </w:r>
            <w:r>
              <w:rPr>
                <w:kern w:val="0"/>
                <w:sz w:val="24"/>
              </w:rPr>
              <w:t>层，宽度均为</w:t>
            </w:r>
            <w:r>
              <w:rPr>
                <w:rFonts w:hint="eastAsia"/>
                <w:kern w:val="0"/>
                <w:sz w:val="24"/>
              </w:rPr>
              <w:t>1.5</w:t>
            </w:r>
            <w:r>
              <w:rPr>
                <w:kern w:val="0"/>
                <w:sz w:val="24"/>
              </w:rPr>
              <w:t>m，一层高9m，</w:t>
            </w:r>
            <w:r>
              <w:rPr>
                <w:rFonts w:hint="eastAsia"/>
                <w:kern w:val="0"/>
                <w:sz w:val="24"/>
              </w:rPr>
              <w:t>管道已铺满</w:t>
            </w:r>
            <w:r>
              <w:rPr>
                <w:kern w:val="0"/>
                <w:sz w:val="24"/>
              </w:rPr>
              <w:t>；二层高12m，布设</w:t>
            </w:r>
            <w:r>
              <w:rPr>
                <w:rFonts w:hint="eastAsia"/>
                <w:kern w:val="0"/>
                <w:sz w:val="24"/>
              </w:rPr>
              <w:t>混合烯烃、烷烃返回料、排放气、新氢管道。</w:t>
            </w:r>
          </w:p>
          <w:p w14:paraId="444E9384">
            <w:pPr>
              <w:spacing w:line="440" w:lineRule="exact"/>
              <w:ind w:firstLine="480" w:firstLineChars="200"/>
              <w:rPr>
                <w:bCs/>
                <w:sz w:val="24"/>
              </w:rPr>
            </w:pPr>
            <w:r>
              <w:rPr>
                <w:rFonts w:hint="eastAsia"/>
                <w:bCs/>
                <w:sz w:val="24"/>
              </w:rPr>
              <w:t>伊泰化工</w:t>
            </w:r>
            <w:r>
              <w:rPr>
                <w:bCs/>
                <w:sz w:val="24"/>
              </w:rPr>
              <w:t>管廊上拟布置的管道情况如下：</w:t>
            </w:r>
          </w:p>
          <w:p w14:paraId="157E0460">
            <w:pPr>
              <w:spacing w:line="440" w:lineRule="exact"/>
              <w:ind w:firstLine="480" w:firstLineChars="200"/>
              <w:rPr>
                <w:bCs/>
                <w:sz w:val="24"/>
              </w:rPr>
            </w:pPr>
          </w:p>
          <w:p w14:paraId="1E7A8D0D">
            <w:pPr>
              <w:spacing w:line="440" w:lineRule="exact"/>
              <w:ind w:firstLine="480" w:firstLineChars="200"/>
              <w:rPr>
                <w:bCs/>
                <w:sz w:val="24"/>
              </w:rPr>
            </w:pPr>
          </w:p>
          <w:p w14:paraId="5E81EBB6">
            <w:pPr>
              <w:spacing w:line="440" w:lineRule="exact"/>
              <w:ind w:firstLine="480" w:firstLineChars="200"/>
              <w:rPr>
                <w:bCs/>
                <w:sz w:val="24"/>
              </w:rPr>
            </w:pPr>
          </w:p>
          <w:p w14:paraId="393C839A">
            <w:pPr>
              <w:spacing w:line="440" w:lineRule="exact"/>
              <w:ind w:firstLine="480" w:firstLineChars="200"/>
              <w:rPr>
                <w:bCs/>
                <w:sz w:val="24"/>
              </w:rPr>
            </w:pPr>
          </w:p>
          <w:p w14:paraId="619186A8">
            <w:pPr>
              <w:spacing w:line="440" w:lineRule="exact"/>
              <w:ind w:firstLine="480" w:firstLineChars="200"/>
              <w:rPr>
                <w:bCs/>
                <w:sz w:val="24"/>
              </w:rPr>
            </w:pPr>
          </w:p>
          <w:p w14:paraId="26E7C176">
            <w:pPr>
              <w:jc w:val="center"/>
            </w:pPr>
            <w:r>
              <w:rPr>
                <w:rFonts w:hint="eastAsia"/>
              </w:rPr>
              <w:object>
                <v:shape id="_x0000_i1025" o:spt="75" type="#_x0000_t75" style="height:226.5pt;width:405.75pt;" o:ole="t" filled="f" o:preferrelative="t" stroked="f" coordsize="21600,21600">
                  <v:path/>
                  <v:fill on="f" focussize="0,0"/>
                  <v:stroke on="f" joinstyle="miter"/>
                  <v:imagedata r:id="rId9" o:title=""/>
                  <o:lock v:ext="edit" aspectratio="t"/>
                  <w10:wrap type="none"/>
                  <w10:anchorlock/>
                </v:shape>
                <o:OLEObject Type="Embed" ProgID="Visio.Drawing.11" ShapeID="_x0000_i1025" DrawAspect="Content" ObjectID="_1468075725" r:id="rId8">
                  <o:LockedField>false</o:LockedField>
                </o:OLEObject>
              </w:object>
            </w:r>
          </w:p>
          <w:p w14:paraId="23F58AF5">
            <w:pPr>
              <w:rPr>
                <w:b/>
                <w:bCs/>
                <w:sz w:val="24"/>
              </w:rPr>
            </w:pPr>
            <w:r>
              <w:rPr>
                <w:rFonts w:hint="eastAsia"/>
                <w:b/>
                <w:bCs/>
              </w:rPr>
              <w:t>注：红色为本项目涉及的管道，黑色为现有管道。</w:t>
            </w:r>
          </w:p>
          <w:p w14:paraId="1DE0B099">
            <w:pPr>
              <w:spacing w:line="440" w:lineRule="exact"/>
              <w:ind w:firstLine="480" w:firstLineChars="200"/>
              <w:rPr>
                <w:bCs/>
                <w:sz w:val="24"/>
              </w:rPr>
            </w:pPr>
            <w:r>
              <w:rPr>
                <w:kern w:val="0"/>
                <w:sz w:val="24"/>
              </w:rPr>
              <mc:AlternateContent>
                <mc:Choice Requires="wps">
                  <w:drawing>
                    <wp:anchor distT="0" distB="0" distL="114300" distR="114300" simplePos="0" relativeHeight="251660288" behindDoc="0" locked="0" layoutInCell="1" allowOverlap="1">
                      <wp:simplePos x="0" y="0"/>
                      <wp:positionH relativeFrom="column">
                        <wp:posOffset>1425575</wp:posOffset>
                      </wp:positionH>
                      <wp:positionV relativeFrom="paragraph">
                        <wp:posOffset>22225</wp:posOffset>
                      </wp:positionV>
                      <wp:extent cx="2371725" cy="299720"/>
                      <wp:effectExtent l="0" t="635" r="635" b="4445"/>
                      <wp:wrapNone/>
                      <wp:docPr id="844" name="矩形 94"/>
                      <wp:cNvGraphicFramePr/>
                      <a:graphic xmlns:a="http://schemas.openxmlformats.org/drawingml/2006/main">
                        <a:graphicData uri="http://schemas.microsoft.com/office/word/2010/wordprocessingShape">
                          <wps:wsp>
                            <wps:cNvSpPr>
                              <a:spLocks noChangeArrowheads="1"/>
                            </wps:cNvSpPr>
                            <wps:spPr bwMode="auto">
                              <a:xfrm>
                                <a:off x="0" y="0"/>
                                <a:ext cx="2371725" cy="299720"/>
                              </a:xfrm>
                              <a:prstGeom prst="rect">
                                <a:avLst/>
                              </a:prstGeom>
                              <a:noFill/>
                              <a:ln>
                                <a:noFill/>
                              </a:ln>
                            </wps:spPr>
                            <wps:txbx>
                              <w:txbxContent>
                                <w:p w14:paraId="2F26D220">
                                  <w:pPr>
                                    <w:rPr>
                                      <w:b/>
                                      <w:sz w:val="24"/>
                                    </w:rPr>
                                  </w:pPr>
                                  <w:r>
                                    <w:rPr>
                                      <w:rFonts w:hint="eastAsia"/>
                                      <w:b/>
                                      <w:sz w:val="24"/>
                                    </w:rPr>
                                    <w:t>图2-2    管道布局截面示意图</w:t>
                                  </w:r>
                                </w:p>
                              </w:txbxContent>
                            </wps:txbx>
                            <wps:bodyPr rot="0" vert="horz" wrap="square" lIns="91440" tIns="45720" rIns="91440" bIns="45720" anchor="t" anchorCtr="0" upright="1">
                              <a:noAutofit/>
                            </wps:bodyPr>
                          </wps:wsp>
                        </a:graphicData>
                      </a:graphic>
                    </wp:anchor>
                  </w:drawing>
                </mc:Choice>
                <mc:Fallback>
                  <w:pict>
                    <v:rect id="矩形 94" o:spid="_x0000_s1026" o:spt="1" style="position:absolute;left:0pt;margin-left:112.25pt;margin-top:1.75pt;height:23.6pt;width:186.75pt;z-index:251660288;mso-width-relative:page;mso-height-relative:page;" filled="f" stroked="f" coordsize="21600,21600" o:gfxdata="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afw8zZAAAACAEAAA8AAAAAAAAA&#10;AQAgAAAAIgAAAGRycy9kb3ducmV2LnhtbFBLAQIUABQAAAAIAIdO4kAf3GZ8EAIAAAsEAAAOAAAA&#10;AAAAAAEAIAAAACgBAABkcnMvZTJvRG9jLnhtbFBLBQYAAAAABgAGAFkBAACqBQAAAAA=&#10;">
                      <v:fill on="f" focussize="0,0"/>
                      <v:stroke on="f"/>
                      <v:imagedata o:title=""/>
                      <o:lock v:ext="edit" aspectratio="f"/>
                      <v:textbox>
                        <w:txbxContent>
                          <w:p w14:paraId="2F26D220">
                            <w:pPr>
                              <w:rPr>
                                <w:b/>
                                <w:sz w:val="24"/>
                              </w:rPr>
                            </w:pPr>
                            <w:r>
                              <w:rPr>
                                <w:rFonts w:hint="eastAsia"/>
                                <w:b/>
                                <w:sz w:val="24"/>
                              </w:rPr>
                              <w:t>图2-2    管道布局截面示意图</w:t>
                            </w:r>
                          </w:p>
                        </w:txbxContent>
                      </v:textbox>
                    </v:rect>
                  </w:pict>
                </mc:Fallback>
              </mc:AlternateContent>
            </w:r>
          </w:p>
          <w:p w14:paraId="4FE39E05">
            <w:pPr>
              <w:spacing w:line="360" w:lineRule="auto"/>
              <w:jc w:val="center"/>
              <w:rPr>
                <w:bCs/>
                <w:sz w:val="24"/>
              </w:rPr>
            </w:pPr>
            <w:r>
              <w:rPr>
                <w:bCs/>
                <w:sz w:val="24"/>
              </w:rPr>
              <w:drawing>
                <wp:inline distT="0" distB="0" distL="0" distR="0">
                  <wp:extent cx="4105275" cy="2308860"/>
                  <wp:effectExtent l="0" t="0" r="0" b="0"/>
                  <wp:docPr id="944" name="图片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图片 9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111365" cy="2312760"/>
                          </a:xfrm>
                          <a:prstGeom prst="rect">
                            <a:avLst/>
                          </a:prstGeom>
                          <a:noFill/>
                          <a:ln>
                            <a:noFill/>
                          </a:ln>
                        </pic:spPr>
                      </pic:pic>
                    </a:graphicData>
                  </a:graphic>
                </wp:inline>
              </w:drawing>
            </w:r>
          </w:p>
          <w:p w14:paraId="6A3207BF">
            <w:pPr>
              <w:spacing w:line="360" w:lineRule="auto"/>
              <w:jc w:val="center"/>
              <w:rPr>
                <w:bCs/>
                <w:sz w:val="24"/>
              </w:rPr>
            </w:pPr>
            <w:r>
              <w:rPr>
                <w:bCs/>
                <w:sz w:val="24"/>
              </w:rPr>
              <w:drawing>
                <wp:inline distT="0" distB="0" distL="0" distR="0">
                  <wp:extent cx="4076700" cy="2292985"/>
                  <wp:effectExtent l="0" t="0" r="0" b="0"/>
                  <wp:docPr id="945" name="图片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 name="图片 94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081047" cy="2295704"/>
                          </a:xfrm>
                          <a:prstGeom prst="rect">
                            <a:avLst/>
                          </a:prstGeom>
                          <a:noFill/>
                          <a:ln>
                            <a:noFill/>
                          </a:ln>
                        </pic:spPr>
                      </pic:pic>
                    </a:graphicData>
                  </a:graphic>
                </wp:inline>
              </w:drawing>
            </w:r>
          </w:p>
          <w:p w14:paraId="1C6013BD">
            <w:pPr>
              <w:spacing w:line="440" w:lineRule="exact"/>
              <w:jc w:val="center"/>
              <w:rPr>
                <w:b/>
                <w:sz w:val="24"/>
              </w:rPr>
            </w:pPr>
            <w:r>
              <w:rPr>
                <w:rFonts w:hint="eastAsia"/>
                <w:b/>
                <w:sz w:val="24"/>
              </w:rPr>
              <w:t>图2-3  现有管廊</w:t>
            </w:r>
          </w:p>
          <w:p w14:paraId="2CE1FBF9">
            <w:pPr>
              <w:numPr>
                <w:ilvl w:val="0"/>
                <w:numId w:val="3"/>
              </w:numPr>
              <w:spacing w:line="440" w:lineRule="exact"/>
              <w:ind w:firstLine="480" w:firstLineChars="200"/>
              <w:rPr>
                <w:bCs/>
                <w:sz w:val="24"/>
              </w:rPr>
            </w:pPr>
            <w:r>
              <w:rPr>
                <w:bCs/>
                <w:sz w:val="24"/>
              </w:rPr>
              <w:t>风险防范措施</w:t>
            </w:r>
          </w:p>
          <w:p w14:paraId="748C4FC7">
            <w:pPr>
              <w:spacing w:line="440" w:lineRule="exact"/>
              <w:ind w:firstLine="480" w:firstLineChars="200"/>
              <w:rPr>
                <w:bCs/>
                <w:sz w:val="24"/>
              </w:rPr>
            </w:pPr>
            <w:r>
              <w:rPr>
                <w:rFonts w:hint="eastAsia"/>
                <w:bCs/>
                <w:sz w:val="24"/>
              </w:rPr>
              <w:t>项目建成后依托内蒙古伊泰化工有限责任公司采取</w:t>
            </w:r>
            <w:r>
              <w:rPr>
                <w:bCs/>
                <w:sz w:val="24"/>
              </w:rPr>
              <w:t>风险防范措施</w:t>
            </w:r>
            <w:r>
              <w:rPr>
                <w:rFonts w:hint="eastAsia"/>
                <w:bCs/>
                <w:sz w:val="24"/>
              </w:rPr>
              <w:t>，措施计划</w:t>
            </w:r>
            <w:r>
              <w:rPr>
                <w:bCs/>
                <w:sz w:val="24"/>
              </w:rPr>
              <w:t>情况如下：</w:t>
            </w:r>
          </w:p>
          <w:p w14:paraId="45DD7AB5">
            <w:pPr>
              <w:spacing w:line="440" w:lineRule="exact"/>
              <w:ind w:firstLine="480" w:firstLineChars="200"/>
              <w:rPr>
                <w:bCs/>
                <w:sz w:val="24"/>
              </w:rPr>
            </w:pPr>
            <w:r>
              <w:rPr>
                <w:rFonts w:hint="eastAsia" w:ascii="宋体" w:hAnsi="宋体"/>
                <w:bCs/>
                <w:sz w:val="24"/>
              </w:rPr>
              <w:t>①</w:t>
            </w:r>
            <w:r>
              <w:rPr>
                <w:rFonts w:hint="eastAsia"/>
                <w:bCs/>
                <w:sz w:val="24"/>
              </w:rPr>
              <w:t>在物料输出端和接收端设置中控系统和紧急切断阀，阀门和仪表的控制信号接入伊泰化工公司DCS系统。项目所有阀门、法兰全部安装在装置区内，不涉及装置区以外占地。</w:t>
            </w:r>
          </w:p>
          <w:p w14:paraId="5CB93D81">
            <w:pPr>
              <w:spacing w:line="440" w:lineRule="exact"/>
              <w:ind w:firstLine="480" w:firstLineChars="200"/>
              <w:rPr>
                <w:bCs/>
                <w:sz w:val="24"/>
              </w:rPr>
            </w:pPr>
            <w:r>
              <w:rPr>
                <w:rFonts w:hint="eastAsia" w:ascii="宋体" w:hAnsi="宋体"/>
                <w:bCs/>
                <w:sz w:val="24"/>
              </w:rPr>
              <w:t>②</w:t>
            </w:r>
            <w:r>
              <w:rPr>
                <w:rFonts w:hint="eastAsia"/>
                <w:bCs/>
                <w:sz w:val="24"/>
              </w:rPr>
              <w:t>并入内蒙古伊泰化工有限责任公司已建立的环境风险防控体系；制定完整的安全管理机构和严格的安全管理制度。装置和班组设有专职或兼职的安全员，负责日常的安全生产管理监督工作。</w:t>
            </w:r>
          </w:p>
          <w:p w14:paraId="49797034">
            <w:pPr>
              <w:spacing w:line="440" w:lineRule="exact"/>
              <w:ind w:firstLine="480" w:firstLineChars="200"/>
              <w:rPr>
                <w:bCs/>
                <w:sz w:val="24"/>
              </w:rPr>
            </w:pPr>
            <w:r>
              <w:rPr>
                <w:rFonts w:hint="eastAsia" w:ascii="宋体" w:hAnsi="宋体"/>
                <w:bCs/>
                <w:sz w:val="24"/>
              </w:rPr>
              <w:t>③</w:t>
            </w:r>
            <w:r>
              <w:rPr>
                <w:rFonts w:hint="eastAsia"/>
                <w:bCs/>
                <w:sz w:val="24"/>
              </w:rPr>
              <w:t>依托内蒙古伊泰化工有限责任公司配备的应急物资，同时与工业区及地方政府成立突发环境事件应急预案指挥与协调领导小组。与邻近企业签订应急救援合作协议，建立定期交流机制，充分发挥信息互通、资源共享的区域联防优势，提高应急响应效率，有效控制</w:t>
            </w:r>
            <w:r>
              <w:rPr>
                <w:rFonts w:hint="eastAsia"/>
                <w:bCs/>
                <w:sz w:val="24"/>
                <w:lang w:eastAsia="zh-CN"/>
              </w:rPr>
              <w:t>突发</w:t>
            </w:r>
            <w:r>
              <w:rPr>
                <w:rFonts w:hint="eastAsia"/>
                <w:bCs/>
                <w:sz w:val="24"/>
              </w:rPr>
              <w:t>环境事件的扩大。</w:t>
            </w:r>
          </w:p>
        </w:tc>
      </w:tr>
      <w:tr w14:paraId="32AA28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18" w:hRule="atLeast"/>
          <w:jc w:val="center"/>
        </w:trPr>
        <w:tc>
          <w:tcPr>
            <w:tcW w:w="251" w:type="pct"/>
            <w:vAlign w:val="center"/>
          </w:tcPr>
          <w:p w14:paraId="6B178F72">
            <w:pPr>
              <w:adjustRightInd w:val="0"/>
              <w:snapToGrid w:val="0"/>
              <w:spacing w:line="400" w:lineRule="exact"/>
              <w:jc w:val="center"/>
              <w:rPr>
                <w:kern w:val="0"/>
                <w:sz w:val="24"/>
              </w:rPr>
            </w:pPr>
            <w:r>
              <w:rPr>
                <w:kern w:val="0"/>
                <w:sz w:val="24"/>
              </w:rPr>
              <w:t>总平面及现场布置</w:t>
            </w:r>
          </w:p>
        </w:tc>
        <w:tc>
          <w:tcPr>
            <w:tcW w:w="4748" w:type="pct"/>
            <w:vAlign w:val="center"/>
          </w:tcPr>
          <w:p w14:paraId="01E7046D">
            <w:pPr>
              <w:spacing w:line="440" w:lineRule="exact"/>
              <w:ind w:firstLine="480" w:firstLineChars="200"/>
              <w:rPr>
                <w:sz w:val="24"/>
              </w:rPr>
            </w:pPr>
            <w:r>
              <w:rPr>
                <w:rFonts w:hint="eastAsia"/>
                <w:sz w:val="24"/>
              </w:rPr>
              <w:t>项目不设置施工营地，不进行土方施工，管线沿线不设置临时材料堆场，施工前管线运至并堆放在伊泰化工现有厂区空地内，施工过程中由车运至施工现场，现用现运，不在沿线临时堆放。施工过程主要由吊车并配合人工将管道放在相应位置。</w:t>
            </w:r>
          </w:p>
          <w:p w14:paraId="16A16E64">
            <w:pPr>
              <w:spacing w:line="440" w:lineRule="exact"/>
              <w:ind w:firstLine="480" w:firstLineChars="200"/>
              <w:rPr>
                <w:sz w:val="24"/>
              </w:rPr>
            </w:pPr>
            <w:r>
              <w:rPr>
                <w:rFonts w:hint="eastAsia"/>
                <w:sz w:val="24"/>
              </w:rPr>
              <w:t>施工现场平面布置原则：</w:t>
            </w:r>
          </w:p>
          <w:p w14:paraId="4A14ACED">
            <w:pPr>
              <w:spacing w:line="440" w:lineRule="exact"/>
              <w:ind w:firstLine="480" w:firstLineChars="200"/>
              <w:rPr>
                <w:sz w:val="24"/>
              </w:rPr>
            </w:pPr>
            <w:r>
              <w:rPr>
                <w:rFonts w:hint="eastAsia"/>
                <w:sz w:val="24"/>
              </w:rPr>
              <w:t>（1）现场施工平面布置，根据本工程布局特征，按照现场生产、生活的实际需要，结合文明施工和标准化工地施工管理的要求进行布置。既要满足施工需求，方便施工管理，又要确保施工质量、安全、进度和环保的要求。</w:t>
            </w:r>
          </w:p>
          <w:p w14:paraId="163ACC3A">
            <w:pPr>
              <w:spacing w:line="440" w:lineRule="exact"/>
              <w:ind w:firstLine="480" w:firstLineChars="200"/>
              <w:rPr>
                <w:sz w:val="24"/>
              </w:rPr>
            </w:pPr>
            <w:r>
              <w:rPr>
                <w:rFonts w:hint="eastAsia"/>
                <w:sz w:val="24"/>
              </w:rPr>
              <w:t>（2）应在允许的施工用地范围内布置，避免扩大用地范围，合理安排施工程序，分期进行施工场地规划，将现有场地的作用发挥到最大化。</w:t>
            </w:r>
          </w:p>
          <w:p w14:paraId="68B99586">
            <w:pPr>
              <w:spacing w:line="440" w:lineRule="exact"/>
              <w:ind w:firstLine="480" w:firstLineChars="200"/>
              <w:rPr>
                <w:sz w:val="24"/>
              </w:rPr>
            </w:pPr>
            <w:r>
              <w:rPr>
                <w:rFonts w:hint="eastAsia"/>
                <w:sz w:val="24"/>
              </w:rPr>
              <w:t>（3）施工布置需整洁、有序，同时做好排放措施、防尘、防噪声措施，创建文明施工工地。</w:t>
            </w:r>
          </w:p>
        </w:tc>
      </w:tr>
      <w:tr w14:paraId="6B811E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1" w:type="pct"/>
            <w:vAlign w:val="center"/>
          </w:tcPr>
          <w:p w14:paraId="44D9A82E">
            <w:pPr>
              <w:adjustRightInd w:val="0"/>
              <w:snapToGrid w:val="0"/>
              <w:spacing w:line="440" w:lineRule="exact"/>
              <w:jc w:val="center"/>
              <w:rPr>
                <w:kern w:val="0"/>
                <w:sz w:val="24"/>
              </w:rPr>
            </w:pPr>
            <w:r>
              <w:rPr>
                <w:kern w:val="0"/>
                <w:sz w:val="24"/>
              </w:rPr>
              <w:t>施工方案</w:t>
            </w:r>
          </w:p>
        </w:tc>
        <w:tc>
          <w:tcPr>
            <w:tcW w:w="4748" w:type="pct"/>
          </w:tcPr>
          <w:p w14:paraId="6D15D71B">
            <w:pPr>
              <w:spacing w:line="440" w:lineRule="exact"/>
              <w:ind w:firstLine="482" w:firstLineChars="200"/>
              <w:jc w:val="left"/>
              <w:rPr>
                <w:b/>
                <w:sz w:val="24"/>
              </w:rPr>
            </w:pPr>
            <w:r>
              <w:rPr>
                <w:rFonts w:hint="eastAsia"/>
                <w:b/>
                <w:sz w:val="24"/>
              </w:rPr>
              <w:t>1.施工工艺</w:t>
            </w:r>
          </w:p>
          <w:p w14:paraId="79EA244F">
            <w:pPr>
              <w:spacing w:line="440" w:lineRule="exact"/>
              <w:ind w:firstLine="482" w:firstLineChars="200"/>
              <w:jc w:val="left"/>
              <w:rPr>
                <w:b/>
                <w:sz w:val="24"/>
              </w:rPr>
            </w:pPr>
            <w:r>
              <w:rPr>
                <w:rFonts w:hint="eastAsia"/>
                <w:b/>
                <w:sz w:val="24"/>
              </w:rPr>
              <w:t>项目施工主要为管道敷设（管廊架空），施工工艺简述如下：</w:t>
            </w:r>
          </w:p>
          <w:p w14:paraId="267FF47F">
            <w:pPr>
              <w:spacing w:line="440" w:lineRule="exact"/>
              <w:ind w:firstLine="480" w:firstLineChars="200"/>
              <w:rPr>
                <w:sz w:val="24"/>
              </w:rPr>
            </w:pPr>
            <w:r>
              <w:rPr>
                <w:rFonts w:hint="eastAsia"/>
                <w:sz w:val="24"/>
              </w:rPr>
              <w:t>本项目管道敷设依托现有管廊直接敷设，本次评价不涉及管廊施工。</w:t>
            </w:r>
          </w:p>
          <w:p w14:paraId="15D3611D">
            <w:pPr>
              <w:spacing w:line="440" w:lineRule="exact"/>
              <w:ind w:firstLine="480" w:firstLineChars="200"/>
              <w:jc w:val="left"/>
              <w:rPr>
                <w:sz w:val="24"/>
              </w:rPr>
            </w:pPr>
            <w:r>
              <w:rPr>
                <w:sz w:val="24"/>
              </w:rPr>
              <w:fldChar w:fldCharType="begin"/>
            </w:r>
            <w:r>
              <w:rPr>
                <w:sz w:val="24"/>
              </w:rPr>
              <w:instrText xml:space="preserve"> = 1 \* GB3 </w:instrText>
            </w:r>
            <w:r>
              <w:rPr>
                <w:sz w:val="24"/>
              </w:rPr>
              <w:fldChar w:fldCharType="separate"/>
            </w:r>
            <w:r>
              <w:rPr>
                <w:rFonts w:ascii="宋体"/>
                <w:sz w:val="24"/>
              </w:rPr>
              <w:t>①</w:t>
            </w:r>
            <w:r>
              <w:rPr>
                <w:sz w:val="24"/>
              </w:rPr>
              <w:fldChar w:fldCharType="end"/>
            </w:r>
            <w:r>
              <w:rPr>
                <w:rFonts w:hint="eastAsia"/>
                <w:sz w:val="24"/>
              </w:rPr>
              <w:t>现有管廊加固、加两层</w:t>
            </w:r>
          </w:p>
          <w:p w14:paraId="6941591E">
            <w:pPr>
              <w:spacing w:line="440" w:lineRule="exact"/>
              <w:ind w:firstLine="480" w:firstLineChars="200"/>
              <w:rPr>
                <w:sz w:val="24"/>
              </w:rPr>
            </w:pPr>
            <w:r>
              <w:rPr>
                <w:rFonts w:hint="eastAsia"/>
                <w:sz w:val="24"/>
              </w:rPr>
              <w:t>项目管道敷设前，需先对现有廊柱、主梁进行加固，再在上方新增二层管廊桁架，承载输送管道、桥架。</w:t>
            </w:r>
          </w:p>
          <w:p w14:paraId="0B04CDF6">
            <w:pPr>
              <w:spacing w:line="440" w:lineRule="exact"/>
              <w:ind w:firstLine="480" w:firstLineChars="200"/>
              <w:jc w:val="left"/>
              <w:rPr>
                <w:sz w:val="24"/>
              </w:rPr>
            </w:pPr>
            <w:r>
              <w:rPr>
                <w:rFonts w:hint="eastAsia" w:ascii="宋体" w:hAnsi="宋体"/>
                <w:sz w:val="24"/>
              </w:rPr>
              <w:t>②</w:t>
            </w:r>
            <w:r>
              <w:rPr>
                <w:sz w:val="24"/>
              </w:rPr>
              <w:t>安装前检查</w:t>
            </w:r>
          </w:p>
          <w:p w14:paraId="525E05B9">
            <w:pPr>
              <w:spacing w:line="440" w:lineRule="exact"/>
              <w:ind w:firstLine="480" w:firstLineChars="200"/>
              <w:rPr>
                <w:sz w:val="24"/>
              </w:rPr>
            </w:pPr>
            <w:r>
              <w:rPr>
                <w:sz w:val="24"/>
              </w:rPr>
              <w:t>项目安装的管道均在</w:t>
            </w:r>
            <w:r>
              <w:rPr>
                <w:rFonts w:hint="eastAsia"/>
                <w:sz w:val="24"/>
              </w:rPr>
              <w:t>生产</w:t>
            </w:r>
            <w:r>
              <w:rPr>
                <w:sz w:val="24"/>
              </w:rPr>
              <w:t>厂家完成打磨</w:t>
            </w:r>
            <w:r>
              <w:rPr>
                <w:rFonts w:hint="eastAsia"/>
                <w:sz w:val="24"/>
              </w:rPr>
              <w:t>及</w:t>
            </w:r>
            <w:r>
              <w:rPr>
                <w:sz w:val="24"/>
              </w:rPr>
              <w:t>喷漆、防腐等工程，运至现场直接进行安装，安装前检查各类管线、管件、阀门的规格，检查管线、管件等是否清理干净，无杂物，检测不合格配件直接退回厂家。</w:t>
            </w:r>
          </w:p>
          <w:p w14:paraId="7C0E5C40">
            <w:pPr>
              <w:spacing w:line="440" w:lineRule="exact"/>
              <w:ind w:firstLine="480" w:firstLineChars="200"/>
              <w:rPr>
                <w:sz w:val="24"/>
              </w:rPr>
            </w:pPr>
            <w:r>
              <w:rPr>
                <w:sz w:val="24"/>
              </w:rPr>
              <w:fldChar w:fldCharType="begin"/>
            </w:r>
            <w:r>
              <w:rPr>
                <w:sz w:val="24"/>
              </w:rPr>
              <w:instrText xml:space="preserve"> = 3 \* GB3 </w:instrText>
            </w:r>
            <w:r>
              <w:rPr>
                <w:sz w:val="24"/>
              </w:rPr>
              <w:fldChar w:fldCharType="separate"/>
            </w:r>
            <w:r>
              <w:rPr>
                <w:rFonts w:ascii="宋体"/>
                <w:sz w:val="24"/>
              </w:rPr>
              <w:t>③</w:t>
            </w:r>
            <w:r>
              <w:rPr>
                <w:sz w:val="24"/>
              </w:rPr>
              <w:fldChar w:fldCharType="end"/>
            </w:r>
            <w:r>
              <w:rPr>
                <w:sz w:val="24"/>
              </w:rPr>
              <w:t>现场吊装</w:t>
            </w:r>
          </w:p>
          <w:p w14:paraId="4DF5FF7B">
            <w:pPr>
              <w:spacing w:line="440" w:lineRule="exact"/>
              <w:ind w:firstLine="480" w:firstLineChars="200"/>
              <w:rPr>
                <w:sz w:val="24"/>
              </w:rPr>
            </w:pPr>
            <w:r>
              <w:rPr>
                <w:sz w:val="24"/>
              </w:rPr>
              <w:t>用吊车将经过检查的管线、管件等吊到所需安装的高度，并摆放到位。</w:t>
            </w:r>
          </w:p>
          <w:p w14:paraId="7156F1D0">
            <w:pPr>
              <w:spacing w:line="440" w:lineRule="exact"/>
              <w:ind w:firstLine="480" w:firstLineChars="200"/>
              <w:rPr>
                <w:sz w:val="24"/>
              </w:rPr>
            </w:pPr>
            <w:r>
              <w:rPr>
                <w:sz w:val="24"/>
              </w:rPr>
              <w:fldChar w:fldCharType="begin"/>
            </w:r>
            <w:r>
              <w:rPr>
                <w:sz w:val="24"/>
              </w:rPr>
              <w:instrText xml:space="preserve"> = 4 \* GB3 </w:instrText>
            </w:r>
            <w:r>
              <w:rPr>
                <w:sz w:val="24"/>
              </w:rPr>
              <w:fldChar w:fldCharType="separate"/>
            </w:r>
            <w:r>
              <w:rPr>
                <w:rFonts w:ascii="宋体"/>
                <w:sz w:val="24"/>
              </w:rPr>
              <w:t>④</w:t>
            </w:r>
            <w:r>
              <w:rPr>
                <w:sz w:val="24"/>
              </w:rPr>
              <w:fldChar w:fldCharType="end"/>
            </w:r>
            <w:r>
              <w:rPr>
                <w:sz w:val="24"/>
              </w:rPr>
              <w:t>管线焊接</w:t>
            </w:r>
          </w:p>
          <w:p w14:paraId="2F87BA7D">
            <w:pPr>
              <w:spacing w:line="440" w:lineRule="exact"/>
              <w:ind w:firstLine="480" w:firstLineChars="200"/>
              <w:rPr>
                <w:sz w:val="24"/>
              </w:rPr>
            </w:pPr>
            <w:r>
              <w:rPr>
                <w:sz w:val="24"/>
              </w:rPr>
              <w:t>将管线进行焊接，低温管线的单面焊接接头，采用氩弧焊进行根部焊接。管线安装过程中及安装后，采用严格措施防止焊渣、铁锈及可燃物等进入或遗留在管内。</w:t>
            </w:r>
          </w:p>
          <w:p w14:paraId="050A260E">
            <w:pPr>
              <w:spacing w:line="440" w:lineRule="exact"/>
              <w:ind w:firstLine="480" w:firstLineChars="200"/>
              <w:rPr>
                <w:sz w:val="24"/>
              </w:rPr>
            </w:pPr>
            <w:r>
              <w:rPr>
                <w:rFonts w:hint="eastAsia" w:ascii="宋体" w:hAnsi="宋体"/>
                <w:sz w:val="24"/>
              </w:rPr>
              <w:t>⑤</w:t>
            </w:r>
            <w:r>
              <w:rPr>
                <w:rFonts w:hint="eastAsia"/>
                <w:sz w:val="24"/>
              </w:rPr>
              <w:t>管道清管、试压</w:t>
            </w:r>
          </w:p>
          <w:p w14:paraId="716295FD">
            <w:pPr>
              <w:spacing w:line="440" w:lineRule="exact"/>
              <w:ind w:firstLine="480" w:firstLineChars="200"/>
              <w:rPr>
                <w:sz w:val="24"/>
              </w:rPr>
            </w:pPr>
            <w:r>
              <w:rPr>
                <w:rFonts w:hint="eastAsia"/>
                <w:sz w:val="24"/>
              </w:rPr>
              <w:t>项目采用氮气吹扫，将管道内杂质吹出，然后采用氮气试压。强度试验压力为1.5倍工作压力（最低不小于0.2MPa），试压时间保证5min稳定不变。 严密性试验压力为工作压力（最低不小于0.2MPa），检查时间不小于1h；在规定时间内，压力下降不大于严密性试验压力的5%，各焊缝及管道附件不渗漏为合格。</w:t>
            </w:r>
          </w:p>
          <w:p w14:paraId="6E20FFDF">
            <w:pPr>
              <w:spacing w:line="440" w:lineRule="exact"/>
              <w:ind w:firstLine="480" w:firstLineChars="200"/>
              <w:jc w:val="left"/>
              <w:rPr>
                <w:sz w:val="24"/>
              </w:rPr>
            </w:pPr>
            <w:r>
              <w:rPr>
                <w:sz w:val="24"/>
              </w:rPr>
              <w:fldChar w:fldCharType="begin"/>
            </w:r>
            <w:r>
              <w:rPr>
                <w:sz w:val="24"/>
              </w:rPr>
              <w:instrText xml:space="preserve"> = 6 \* GB3 </w:instrText>
            </w:r>
            <w:r>
              <w:rPr>
                <w:sz w:val="24"/>
              </w:rPr>
              <w:fldChar w:fldCharType="separate"/>
            </w:r>
            <w:r>
              <w:rPr>
                <w:sz w:val="24"/>
              </w:rPr>
              <w:t>⑥</w:t>
            </w:r>
            <w:r>
              <w:rPr>
                <w:sz w:val="24"/>
              </w:rPr>
              <w:fldChar w:fldCharType="end"/>
            </w:r>
            <w:r>
              <w:rPr>
                <w:rFonts w:hint="eastAsia"/>
                <w:sz w:val="24"/>
              </w:rPr>
              <w:t>保温层施工</w:t>
            </w:r>
          </w:p>
          <w:p w14:paraId="0304FCAF">
            <w:pPr>
              <w:spacing w:line="440" w:lineRule="exact"/>
              <w:ind w:firstLine="480" w:firstLineChars="200"/>
              <w:rPr>
                <w:sz w:val="24"/>
              </w:rPr>
            </w:pPr>
            <w:r>
              <w:rPr>
                <w:rFonts w:hint="eastAsia"/>
                <w:sz w:val="24"/>
              </w:rPr>
              <w:t>管道试压完成后，现场进行保温层施工。保温施工前先清除管道表面的灰尘，并保持管道表面干燥，再进行保温层的敷设。需要保温的</w:t>
            </w:r>
            <w:r>
              <w:rPr>
                <w:rFonts w:hint="eastAsia" w:ascii="宋体" w:hAnsi="宋体"/>
                <w:sz w:val="24"/>
              </w:rPr>
              <w:t>采用双层隔热结构（保温棉+铝材）。施工时采用捆扎、拼砌、缠绕法施工，先将保温材料（保温棉）附在管道表面，之后再敷设铝材保护保温棉。</w:t>
            </w:r>
          </w:p>
          <w:p w14:paraId="715E83FD">
            <w:pPr>
              <w:spacing w:line="440" w:lineRule="exact"/>
              <w:ind w:firstLine="480" w:firstLineChars="200"/>
              <w:jc w:val="left"/>
              <w:rPr>
                <w:sz w:val="24"/>
              </w:rPr>
            </w:pPr>
            <w:r>
              <w:rPr>
                <w:rFonts w:hint="eastAsia" w:ascii="宋体" w:hAnsi="宋体"/>
                <w:sz w:val="24"/>
              </w:rPr>
              <w:t>⑦</w:t>
            </w:r>
            <w:r>
              <w:rPr>
                <w:sz w:val="24"/>
              </w:rPr>
              <w:t>管线防腐处理</w:t>
            </w:r>
          </w:p>
          <w:p w14:paraId="51FA6684">
            <w:pPr>
              <w:spacing w:line="440" w:lineRule="exact"/>
              <w:ind w:firstLine="480" w:firstLineChars="200"/>
              <w:rPr>
                <w:sz w:val="24"/>
              </w:rPr>
            </w:pPr>
            <w:r>
              <w:rPr>
                <w:sz w:val="24"/>
              </w:rPr>
              <w:t>管线防腐材料需符合《石油化工设备和管道涂料防腐蚀技术规范》（SH/T 3022-2019）的规定。</w:t>
            </w:r>
            <w:bookmarkStart w:id="28" w:name="OLE_LINK13"/>
            <w:r>
              <w:rPr>
                <w:sz w:val="24"/>
              </w:rPr>
              <w:t>管线来料已在厂家完成底漆及面漆喷涂工序，现场不进行喷漆。但是</w:t>
            </w:r>
            <w:r>
              <w:rPr>
                <w:rFonts w:hint="eastAsia"/>
                <w:sz w:val="24"/>
              </w:rPr>
              <w:t>在管道</w:t>
            </w:r>
            <w:r>
              <w:rPr>
                <w:sz w:val="24"/>
              </w:rPr>
              <w:t>焊接接口处需要重新补漆，补涂的面积小，产生的涂漆废气量较少。</w:t>
            </w:r>
            <w:bookmarkEnd w:id="28"/>
          </w:p>
          <w:p w14:paraId="0E3BAC33">
            <w:pPr>
              <w:spacing w:line="440" w:lineRule="exact"/>
              <w:ind w:firstLine="482" w:firstLineChars="200"/>
              <w:rPr>
                <w:b/>
                <w:bCs/>
                <w:sz w:val="24"/>
              </w:rPr>
            </w:pPr>
            <w:r>
              <w:rPr>
                <w:b/>
                <w:bCs/>
                <w:sz w:val="24"/>
              </w:rPr>
              <w:t>架空管道施工主要污染源：</w:t>
            </w:r>
          </w:p>
          <w:p w14:paraId="2249D6A1">
            <w:pPr>
              <w:spacing w:line="440" w:lineRule="exact"/>
              <w:ind w:firstLine="480" w:firstLineChars="200"/>
              <w:rPr>
                <w:sz w:val="24"/>
              </w:rPr>
            </w:pPr>
            <w:r>
              <w:rPr>
                <w:rFonts w:hint="eastAsia"/>
                <w:sz w:val="24"/>
              </w:rPr>
              <w:t>废气污染源主要为施工扬尘及施工机械设备尾气、焊接烟气、喷漆废气（焊缝焊接处）；</w:t>
            </w:r>
            <w:r>
              <w:rPr>
                <w:sz w:val="24"/>
              </w:rPr>
              <w:t>噪声污染源主要</w:t>
            </w:r>
            <w:r>
              <w:rPr>
                <w:rFonts w:hint="eastAsia"/>
                <w:sz w:val="24"/>
              </w:rPr>
              <w:t>为</w:t>
            </w:r>
            <w:r>
              <w:rPr>
                <w:sz w:val="24"/>
              </w:rPr>
              <w:t>施工机械产生的噪声；固体废物主要为</w:t>
            </w:r>
            <w:r>
              <w:rPr>
                <w:rFonts w:hint="eastAsia"/>
                <w:sz w:val="24"/>
              </w:rPr>
              <w:t>施工废料、</w:t>
            </w:r>
            <w:r>
              <w:rPr>
                <w:sz w:val="24"/>
              </w:rPr>
              <w:t>焊接口补</w:t>
            </w:r>
            <w:r>
              <w:rPr>
                <w:rFonts w:hint="eastAsia"/>
                <w:sz w:val="24"/>
              </w:rPr>
              <w:t>涂</w:t>
            </w:r>
            <w:r>
              <w:rPr>
                <w:sz w:val="24"/>
              </w:rPr>
              <w:t>产生的废</w:t>
            </w:r>
            <w:r>
              <w:rPr>
                <w:rFonts w:hint="eastAsia"/>
                <w:sz w:val="24"/>
              </w:rPr>
              <w:t>油漆</w:t>
            </w:r>
            <w:r>
              <w:rPr>
                <w:sz w:val="24"/>
              </w:rPr>
              <w:t>桶。</w:t>
            </w:r>
          </w:p>
          <w:p w14:paraId="05BB9783">
            <w:pPr>
              <w:spacing w:line="440" w:lineRule="exact"/>
              <w:ind w:firstLine="482" w:firstLineChars="200"/>
              <w:jc w:val="left"/>
              <w:rPr>
                <w:b/>
                <w:sz w:val="24"/>
              </w:rPr>
            </w:pPr>
            <w:r>
              <w:rPr>
                <w:b/>
                <w:sz w:val="24"/>
              </w:rPr>
              <w:t>2</w:t>
            </w:r>
            <w:r>
              <w:rPr>
                <w:rFonts w:hint="eastAsia"/>
                <w:b/>
                <w:sz w:val="24"/>
              </w:rPr>
              <w:t>.</w:t>
            </w:r>
            <w:r>
              <w:rPr>
                <w:b/>
                <w:sz w:val="24"/>
              </w:rPr>
              <w:t>施工时序</w:t>
            </w:r>
          </w:p>
          <w:p w14:paraId="08B038D6">
            <w:pPr>
              <w:spacing w:line="440" w:lineRule="exact"/>
              <w:ind w:firstLine="480" w:firstLineChars="200"/>
              <w:rPr>
                <w:sz w:val="24"/>
              </w:rPr>
            </w:pPr>
            <w:r>
              <w:rPr>
                <w:rFonts w:hint="eastAsia"/>
                <w:sz w:val="24"/>
              </w:rPr>
              <w:t>施工工期3.5个月。</w:t>
            </w:r>
          </w:p>
        </w:tc>
      </w:tr>
      <w:tr w14:paraId="45AA91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09" w:hRule="atLeast"/>
          <w:jc w:val="center"/>
        </w:trPr>
        <w:tc>
          <w:tcPr>
            <w:tcW w:w="251" w:type="pct"/>
            <w:vAlign w:val="center"/>
          </w:tcPr>
          <w:p w14:paraId="53843C6E">
            <w:pPr>
              <w:adjustRightInd w:val="0"/>
              <w:snapToGrid w:val="0"/>
              <w:spacing w:line="440" w:lineRule="exact"/>
              <w:jc w:val="center"/>
              <w:rPr>
                <w:kern w:val="0"/>
                <w:sz w:val="24"/>
              </w:rPr>
            </w:pPr>
            <w:r>
              <w:rPr>
                <w:rFonts w:hint="eastAsia"/>
                <w:kern w:val="0"/>
                <w:sz w:val="24"/>
              </w:rPr>
              <w:t>其他</w:t>
            </w:r>
          </w:p>
        </w:tc>
        <w:tc>
          <w:tcPr>
            <w:tcW w:w="4748" w:type="pct"/>
            <w:vAlign w:val="center"/>
          </w:tcPr>
          <w:p w14:paraId="130F1BCF">
            <w:pPr>
              <w:spacing w:line="440" w:lineRule="exact"/>
              <w:jc w:val="center"/>
              <w:rPr>
                <w:sz w:val="24"/>
              </w:rPr>
            </w:pPr>
            <w:r>
              <w:rPr>
                <w:rFonts w:hint="eastAsia"/>
                <w:sz w:val="24"/>
              </w:rPr>
              <w:t>无。</w:t>
            </w:r>
          </w:p>
        </w:tc>
      </w:tr>
    </w:tbl>
    <w:p w14:paraId="3B9C5894">
      <w:pPr>
        <w:sectPr>
          <w:footerReference r:id="rId5" w:type="default"/>
          <w:pgSz w:w="11906" w:h="16838"/>
          <w:pgMar w:top="1701" w:right="1531" w:bottom="1701" w:left="1531" w:header="851" w:footer="1077" w:gutter="0"/>
          <w:cols w:space="720" w:num="1"/>
          <w:docGrid w:linePitch="312" w:charSpace="0"/>
        </w:sectPr>
      </w:pPr>
    </w:p>
    <w:p w14:paraId="77FEFC61">
      <w:pPr>
        <w:pStyle w:val="72"/>
        <w:jc w:val="center"/>
        <w:outlineLvl w:val="0"/>
        <w:rPr>
          <w:rFonts w:ascii="Times New Roman" w:hAnsi="Times New Roman"/>
          <w:b/>
          <w:bCs/>
          <w:snapToGrid w:val="0"/>
          <w:sz w:val="30"/>
          <w:szCs w:val="30"/>
        </w:rPr>
      </w:pPr>
      <w:r>
        <w:rPr>
          <w:rFonts w:ascii="Times New Roman" w:hAnsi="Times New Roman"/>
          <w:b/>
          <w:bCs/>
          <w:snapToGrid w:val="0"/>
          <w:sz w:val="30"/>
          <w:szCs w:val="30"/>
        </w:rPr>
        <w:t>三、生态环境现状、保护目标及评价标准</w:t>
      </w:r>
    </w:p>
    <w:tbl>
      <w:tblPr>
        <w:tblStyle w:val="78"/>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8545"/>
      </w:tblGrid>
      <w:tr w14:paraId="73DC05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717" w:type="dxa"/>
            <w:vAlign w:val="center"/>
          </w:tcPr>
          <w:p w14:paraId="0C25148C">
            <w:pPr>
              <w:adjustRightInd w:val="0"/>
              <w:snapToGrid w:val="0"/>
              <w:jc w:val="center"/>
              <w:rPr>
                <w:kern w:val="0"/>
                <w:szCs w:val="21"/>
              </w:rPr>
            </w:pPr>
            <w:r>
              <w:rPr>
                <w:kern w:val="0"/>
                <w:sz w:val="24"/>
              </w:rPr>
              <w:t>生态环境现状</w:t>
            </w:r>
          </w:p>
        </w:tc>
        <w:tc>
          <w:tcPr>
            <w:tcW w:w="7440" w:type="dxa"/>
            <w:vAlign w:val="center"/>
          </w:tcPr>
          <w:p w14:paraId="0591E35A">
            <w:pPr>
              <w:spacing w:line="440" w:lineRule="exact"/>
              <w:ind w:firstLine="482"/>
              <w:textAlignment w:val="baseline"/>
              <w:rPr>
                <w:b/>
                <w:kern w:val="24"/>
                <w:sz w:val="24"/>
                <w:szCs w:val="20"/>
              </w:rPr>
            </w:pPr>
            <w:bookmarkStart w:id="29" w:name="_Toc181101889"/>
            <w:bookmarkStart w:id="30" w:name="_Toc182978297"/>
            <w:bookmarkStart w:id="31" w:name="_Toc176318832"/>
            <w:r>
              <w:rPr>
                <w:rFonts w:hint="eastAsia"/>
                <w:b/>
                <w:kern w:val="24"/>
                <w:sz w:val="24"/>
                <w:szCs w:val="20"/>
              </w:rPr>
              <w:t>1.主体功能区规划和生态功能区划情况</w:t>
            </w:r>
          </w:p>
          <w:p w14:paraId="48CBB8C7">
            <w:pPr>
              <w:spacing w:line="440" w:lineRule="exact"/>
              <w:ind w:firstLine="482"/>
              <w:textAlignment w:val="baseline"/>
              <w:rPr>
                <w:sz w:val="24"/>
              </w:rPr>
            </w:pPr>
            <w:r>
              <w:rPr>
                <w:rFonts w:hint="eastAsia"/>
                <w:sz w:val="24"/>
              </w:rPr>
              <w:t>（1）主体功能区划</w:t>
            </w:r>
          </w:p>
          <w:p w14:paraId="4A7C9644">
            <w:pPr>
              <w:spacing w:line="440" w:lineRule="exact"/>
              <w:ind w:firstLine="482"/>
              <w:textAlignment w:val="baseline"/>
              <w:rPr>
                <w:kern w:val="0"/>
                <w:sz w:val="24"/>
              </w:rPr>
            </w:pPr>
            <w:r>
              <w:rPr>
                <w:rFonts w:hint="eastAsia"/>
                <w:sz w:val="24"/>
              </w:rPr>
              <w:t>依据《内蒙古自治区主体功能区划》，杭锦旗属于呼包鄂地区国家级重点开发区域，项目在内蒙古自治区主体功能区划图中的位置见图3-1。</w:t>
            </w:r>
          </w:p>
          <w:p w14:paraId="289D7EBA">
            <w:pPr>
              <w:keepNext/>
              <w:spacing w:line="360" w:lineRule="auto"/>
              <w:jc w:val="center"/>
              <w:rPr>
                <w:kern w:val="0"/>
                <w:sz w:val="24"/>
              </w:rPr>
            </w:pPr>
            <w:r>
              <w:rPr>
                <w:kern w:val="0"/>
                <w:sz w:val="24"/>
              </w:rPr>
              <w:drawing>
                <wp:inline distT="0" distB="0" distL="114300" distR="114300">
                  <wp:extent cx="5220335" cy="4124325"/>
                  <wp:effectExtent l="0" t="0" r="1841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20335" cy="4124325"/>
                          </a:xfrm>
                          <a:prstGeom prst="rect">
                            <a:avLst/>
                          </a:prstGeom>
                          <a:noFill/>
                          <a:ln>
                            <a:noFill/>
                          </a:ln>
                        </pic:spPr>
                      </pic:pic>
                    </a:graphicData>
                  </a:graphic>
                </wp:inline>
              </w:drawing>
            </w:r>
          </w:p>
          <w:p w14:paraId="3D137F1C">
            <w:pPr>
              <w:keepNext/>
              <w:spacing w:line="360" w:lineRule="auto"/>
              <w:ind w:firstLine="482" w:firstLineChars="200"/>
              <w:jc w:val="center"/>
              <w:rPr>
                <w:b/>
                <w:bCs/>
                <w:kern w:val="0"/>
                <w:szCs w:val="21"/>
              </w:rPr>
            </w:pPr>
            <w:r>
              <w:rPr>
                <w:b/>
                <w:bCs/>
                <w:kern w:val="0"/>
                <w:sz w:val="24"/>
              </w:rPr>
              <w:t>图3-1   内蒙古自治区主体功能区划图</w:t>
            </w:r>
          </w:p>
          <w:p w14:paraId="30003156">
            <w:pPr>
              <w:spacing w:line="440" w:lineRule="exact"/>
              <w:ind w:firstLine="482"/>
              <w:textAlignment w:val="baseline"/>
              <w:rPr>
                <w:sz w:val="24"/>
              </w:rPr>
            </w:pPr>
            <w:r>
              <w:rPr>
                <w:rFonts w:hint="eastAsia"/>
                <w:sz w:val="24"/>
              </w:rPr>
              <w:t>（2）生态功能区划</w:t>
            </w:r>
          </w:p>
          <w:p w14:paraId="127173C1">
            <w:pPr>
              <w:spacing w:line="440" w:lineRule="exact"/>
              <w:ind w:firstLine="482"/>
              <w:textAlignment w:val="baseline"/>
              <w:rPr>
                <w:sz w:val="24"/>
              </w:rPr>
            </w:pPr>
            <w:r>
              <w:rPr>
                <w:rFonts w:hint="eastAsia"/>
                <w:sz w:val="24"/>
              </w:rPr>
              <w:t>项目建设地点位于</w:t>
            </w:r>
            <w:r>
              <w:rPr>
                <w:sz w:val="24"/>
              </w:rPr>
              <w:t>内蒙古自治区鄂尔多斯市杭锦旗独贵塔拉工业园区</w:t>
            </w:r>
            <w:r>
              <w:rPr>
                <w:rFonts w:hint="eastAsia"/>
                <w:sz w:val="24"/>
              </w:rPr>
              <w:t>内，根据《内蒙古自治区生态功能区划图》，项目区位于西鄂尔多斯高原荒漠草原沙漠化控制生态功能区</w:t>
            </w:r>
            <w:r>
              <w:rPr>
                <w:sz w:val="24"/>
              </w:rPr>
              <w:t>（ⅠV-3-1），</w:t>
            </w:r>
            <w:r>
              <w:rPr>
                <w:rFonts w:hint="eastAsia"/>
                <w:sz w:val="24"/>
              </w:rPr>
              <w:t>项目在内蒙古自治区生态功能区划图的位置见图3-2。</w:t>
            </w:r>
          </w:p>
          <w:p w14:paraId="25727FD8">
            <w:pPr>
              <w:spacing w:line="440" w:lineRule="exact"/>
              <w:ind w:firstLine="482"/>
              <w:textAlignment w:val="baseline"/>
              <w:rPr>
                <w:sz w:val="24"/>
              </w:rPr>
            </w:pPr>
          </w:p>
          <w:p w14:paraId="349F34F2">
            <w:pPr>
              <w:spacing w:line="440" w:lineRule="exact"/>
              <w:ind w:firstLine="482"/>
              <w:textAlignment w:val="baseline"/>
              <w:rPr>
                <w:sz w:val="24"/>
              </w:rPr>
            </w:pPr>
          </w:p>
          <w:p w14:paraId="5ABEF996">
            <w:pPr>
              <w:spacing w:line="440" w:lineRule="exact"/>
              <w:ind w:firstLine="482"/>
              <w:textAlignment w:val="baseline"/>
              <w:rPr>
                <w:sz w:val="24"/>
              </w:rPr>
            </w:pPr>
          </w:p>
          <w:p w14:paraId="6B79C8E1">
            <w:pPr>
              <w:jc w:val="center"/>
              <w:textAlignment w:val="baseline"/>
              <w:rPr>
                <w:sz w:val="24"/>
              </w:rPr>
            </w:pPr>
            <w:r>
              <w:drawing>
                <wp:inline distT="0" distB="0" distL="114300" distR="114300">
                  <wp:extent cx="5048250" cy="4128135"/>
                  <wp:effectExtent l="0" t="0" r="0" b="571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5048250" cy="4128135"/>
                          </a:xfrm>
                          <a:prstGeom prst="rect">
                            <a:avLst/>
                          </a:prstGeom>
                          <a:noFill/>
                          <a:ln>
                            <a:noFill/>
                          </a:ln>
                        </pic:spPr>
                      </pic:pic>
                    </a:graphicData>
                  </a:graphic>
                </wp:inline>
              </w:drawing>
            </w:r>
          </w:p>
          <w:p w14:paraId="3A1C5454">
            <w:pPr>
              <w:spacing w:line="440" w:lineRule="exact"/>
              <w:jc w:val="center"/>
              <w:textAlignment w:val="baseline"/>
              <w:rPr>
                <w:b/>
                <w:bCs/>
                <w:sz w:val="24"/>
              </w:rPr>
            </w:pPr>
            <w:r>
              <w:rPr>
                <w:rFonts w:hint="eastAsia"/>
                <w:b/>
                <w:bCs/>
                <w:sz w:val="24"/>
              </w:rPr>
              <w:t>图3-2   内蒙古生态功能区划图</w:t>
            </w:r>
          </w:p>
          <w:p w14:paraId="6BDBE644">
            <w:pPr>
              <w:spacing w:line="440" w:lineRule="exact"/>
              <w:ind w:firstLine="482"/>
              <w:textAlignment w:val="baseline"/>
              <w:rPr>
                <w:sz w:val="24"/>
              </w:rPr>
            </w:pPr>
            <w:r>
              <w:rPr>
                <w:rFonts w:hint="eastAsia"/>
                <w:sz w:val="24"/>
              </w:rPr>
              <w:t>根据内蒙古自治区生态环境分区管控公众端应用平台查询结果，</w:t>
            </w:r>
            <w:r>
              <w:rPr>
                <w:sz w:val="24"/>
              </w:rPr>
              <w:t>项目位于杭锦经济开发区，属于重点管控单元</w:t>
            </w:r>
            <w:r>
              <w:rPr>
                <w:rFonts w:hint="eastAsia"/>
                <w:sz w:val="24"/>
              </w:rPr>
              <w:t>-</w:t>
            </w:r>
            <w:r>
              <w:rPr>
                <w:sz w:val="24"/>
              </w:rPr>
              <w:t>鄂尔多斯独贵塔拉工业园区</w:t>
            </w:r>
            <w:r>
              <w:rPr>
                <w:rFonts w:hint="eastAsia"/>
                <w:sz w:val="24"/>
              </w:rPr>
              <w:t>（</w:t>
            </w:r>
            <w:r>
              <w:rPr>
                <w:sz w:val="24"/>
              </w:rPr>
              <w:t>单元编码</w:t>
            </w:r>
            <w:r>
              <w:rPr>
                <w:rFonts w:hint="eastAsia"/>
                <w:sz w:val="24"/>
              </w:rPr>
              <w:t>为</w:t>
            </w:r>
            <w:r>
              <w:rPr>
                <w:sz w:val="24"/>
              </w:rPr>
              <w:t>ZH15062520001</w:t>
            </w:r>
            <w:r>
              <w:rPr>
                <w:rFonts w:hint="eastAsia"/>
                <w:sz w:val="24"/>
              </w:rPr>
              <w:t>）。</w:t>
            </w:r>
          </w:p>
          <w:p w14:paraId="6E1DB10B">
            <w:pPr>
              <w:spacing w:line="440" w:lineRule="exact"/>
              <w:ind w:firstLine="482"/>
              <w:textAlignment w:val="baseline"/>
              <w:rPr>
                <w:b/>
                <w:kern w:val="24"/>
                <w:sz w:val="24"/>
                <w:szCs w:val="20"/>
              </w:rPr>
            </w:pPr>
            <w:r>
              <w:rPr>
                <w:rFonts w:hint="eastAsia"/>
                <w:b/>
                <w:kern w:val="24"/>
                <w:sz w:val="24"/>
                <w:szCs w:val="20"/>
              </w:rPr>
              <w:t>2.生态环境现状调查</w:t>
            </w:r>
          </w:p>
          <w:p w14:paraId="041DD408">
            <w:pPr>
              <w:spacing w:line="440" w:lineRule="exact"/>
              <w:ind w:firstLine="480" w:firstLineChars="200"/>
              <w:textAlignment w:val="baseline"/>
              <w:rPr>
                <w:bCs/>
                <w:kern w:val="24"/>
                <w:sz w:val="24"/>
                <w:szCs w:val="20"/>
              </w:rPr>
            </w:pPr>
            <w:r>
              <w:rPr>
                <w:bCs/>
                <w:kern w:val="24"/>
                <w:sz w:val="24"/>
                <w:szCs w:val="20"/>
              </w:rPr>
              <w:t>项目为</w:t>
            </w:r>
            <w:r>
              <w:rPr>
                <w:rFonts w:hint="eastAsia"/>
                <w:bCs/>
                <w:kern w:val="24"/>
                <w:sz w:val="24"/>
                <w:szCs w:val="20"/>
              </w:rPr>
              <w:t>架空管线</w:t>
            </w:r>
            <w:r>
              <w:rPr>
                <w:bCs/>
                <w:kern w:val="24"/>
                <w:sz w:val="24"/>
                <w:szCs w:val="20"/>
              </w:rPr>
              <w:t>项目，</w:t>
            </w:r>
            <w:r>
              <w:rPr>
                <w:rFonts w:hint="eastAsia"/>
                <w:bCs/>
                <w:kern w:val="24"/>
                <w:sz w:val="24"/>
                <w:szCs w:val="20"/>
              </w:rPr>
              <w:t>架空管线工程本身主体结构不直接接触地下水，且项目管线不涉及管线支架、塔基等基础建设，均在原有基础上直接建设，本次建设内容均为空中管线，不涉及地面工程，管线支撑结构（如杆塔基础、支架底座等）检修、维护均不属于本次评价内容，均依托现有工程。项目厂区内管廊管道占地均为无植被区，临时占地主要为施工支架占地，全部位于厂区已硬化地面，不涉及敏感区域，不设置评价等级，进行生态影响简单分析。参照导则“6.2.5 穿越非生态敏感区时，以线路中心线向两侧外延300m为分析范围”。</w:t>
            </w:r>
          </w:p>
          <w:p w14:paraId="075BF314">
            <w:pPr>
              <w:spacing w:line="440" w:lineRule="exact"/>
              <w:ind w:firstLine="480" w:firstLineChars="200"/>
              <w:textAlignment w:val="baseline"/>
              <w:rPr>
                <w:bCs/>
                <w:kern w:val="24"/>
                <w:sz w:val="24"/>
                <w:szCs w:val="20"/>
              </w:rPr>
            </w:pPr>
            <w:r>
              <w:rPr>
                <w:rFonts w:hint="eastAsia"/>
                <w:bCs/>
                <w:kern w:val="24"/>
                <w:sz w:val="24"/>
                <w:szCs w:val="20"/>
              </w:rPr>
              <w:t>（1）</w:t>
            </w:r>
            <w:r>
              <w:rPr>
                <w:bCs/>
                <w:kern w:val="24"/>
                <w:sz w:val="24"/>
                <w:szCs w:val="20"/>
              </w:rPr>
              <w:t>现状调查与评价方法</w:t>
            </w:r>
          </w:p>
          <w:p w14:paraId="6D88F445">
            <w:pPr>
              <w:spacing w:line="440" w:lineRule="exact"/>
              <w:ind w:firstLine="480" w:firstLineChars="200"/>
              <w:textAlignment w:val="baseline"/>
              <w:rPr>
                <w:bCs/>
                <w:kern w:val="24"/>
                <w:sz w:val="24"/>
                <w:szCs w:val="20"/>
              </w:rPr>
            </w:pPr>
            <w:r>
              <w:rPr>
                <w:bCs/>
                <w:kern w:val="24"/>
                <w:sz w:val="24"/>
                <w:szCs w:val="20"/>
              </w:rPr>
              <w:t>根据《环境影响评价技术导则 生态影响》</w:t>
            </w:r>
            <w:r>
              <w:rPr>
                <w:rFonts w:hint="eastAsia"/>
                <w:bCs/>
                <w:kern w:val="24"/>
                <w:sz w:val="24"/>
                <w:szCs w:val="20"/>
              </w:rPr>
              <w:t>（HJ 19-2022）</w:t>
            </w:r>
            <w:r>
              <w:rPr>
                <w:bCs/>
                <w:kern w:val="24"/>
                <w:sz w:val="24"/>
                <w:szCs w:val="20"/>
              </w:rPr>
              <w:t>的要求，结合工程特点采用附录B中的资料收集法、现场调查法、遥感调查法、陆生动植物调查法</w:t>
            </w:r>
            <w:r>
              <w:rPr>
                <w:rFonts w:hint="eastAsia"/>
                <w:bCs/>
                <w:kern w:val="24"/>
                <w:sz w:val="24"/>
                <w:szCs w:val="20"/>
              </w:rPr>
              <w:t>等</w:t>
            </w:r>
            <w:r>
              <w:rPr>
                <w:bCs/>
                <w:kern w:val="24"/>
                <w:sz w:val="24"/>
                <w:szCs w:val="20"/>
              </w:rPr>
              <w:t>相结合的方法，进行定性或定量的分析评价。</w:t>
            </w:r>
          </w:p>
          <w:p w14:paraId="3A0FE923">
            <w:pPr>
              <w:spacing w:line="440" w:lineRule="exact"/>
              <w:ind w:firstLine="480" w:firstLineChars="200"/>
              <w:textAlignment w:val="baseline"/>
              <w:rPr>
                <w:bCs/>
                <w:kern w:val="24"/>
                <w:sz w:val="24"/>
                <w:szCs w:val="20"/>
              </w:rPr>
            </w:pPr>
            <w:r>
              <w:rPr>
                <w:rFonts w:hint="eastAsia" w:ascii="宋体" w:hAnsi="宋体"/>
                <w:bCs/>
                <w:kern w:val="24"/>
                <w:sz w:val="24"/>
                <w:szCs w:val="20"/>
              </w:rPr>
              <w:t>①</w:t>
            </w:r>
            <w:r>
              <w:rPr>
                <w:bCs/>
                <w:kern w:val="24"/>
                <w:sz w:val="24"/>
                <w:szCs w:val="20"/>
              </w:rPr>
              <w:t>调查</w:t>
            </w:r>
          </w:p>
          <w:p w14:paraId="0F6FB71D">
            <w:pPr>
              <w:spacing w:line="440" w:lineRule="exact"/>
              <w:ind w:firstLine="480" w:firstLineChars="200"/>
              <w:textAlignment w:val="baseline"/>
              <w:rPr>
                <w:bCs/>
                <w:kern w:val="24"/>
                <w:sz w:val="24"/>
                <w:szCs w:val="20"/>
              </w:rPr>
            </w:pPr>
            <w:r>
              <w:rPr>
                <w:bCs/>
                <w:kern w:val="24"/>
                <w:sz w:val="24"/>
                <w:szCs w:val="20"/>
              </w:rPr>
              <w:t>通过对评价区开展</w:t>
            </w:r>
            <w:r>
              <w:rPr>
                <w:rFonts w:hint="eastAsia"/>
                <w:bCs/>
                <w:kern w:val="24"/>
                <w:sz w:val="24"/>
                <w:szCs w:val="20"/>
              </w:rPr>
              <w:t>野生</w:t>
            </w:r>
            <w:r>
              <w:rPr>
                <w:bCs/>
                <w:kern w:val="24"/>
                <w:sz w:val="24"/>
                <w:szCs w:val="20"/>
              </w:rPr>
              <w:t>动植物相关资料收集</w:t>
            </w:r>
            <w:r>
              <w:rPr>
                <w:rFonts w:hint="eastAsia"/>
                <w:bCs/>
                <w:kern w:val="24"/>
                <w:sz w:val="24"/>
                <w:szCs w:val="20"/>
              </w:rPr>
              <w:t>，</w:t>
            </w:r>
            <w:r>
              <w:rPr>
                <w:bCs/>
                <w:kern w:val="24"/>
                <w:sz w:val="24"/>
                <w:szCs w:val="20"/>
              </w:rPr>
              <w:t>了解评价区野生动植物的分布状况。</w:t>
            </w:r>
          </w:p>
          <w:p w14:paraId="4BD08D61">
            <w:pPr>
              <w:spacing w:line="440" w:lineRule="exact"/>
              <w:ind w:firstLine="480" w:firstLineChars="200"/>
              <w:textAlignment w:val="baseline"/>
              <w:rPr>
                <w:bCs/>
                <w:kern w:val="24"/>
                <w:sz w:val="24"/>
                <w:szCs w:val="20"/>
              </w:rPr>
            </w:pPr>
            <w:r>
              <w:rPr>
                <w:rFonts w:hint="eastAsia" w:ascii="宋体" w:hAnsi="宋体"/>
                <w:bCs/>
                <w:kern w:val="24"/>
                <w:sz w:val="24"/>
                <w:szCs w:val="20"/>
              </w:rPr>
              <w:t>②</w:t>
            </w:r>
            <w:r>
              <w:rPr>
                <w:bCs/>
                <w:kern w:val="24"/>
                <w:sz w:val="24"/>
                <w:szCs w:val="20"/>
              </w:rPr>
              <w:t>资料收集</w:t>
            </w:r>
          </w:p>
          <w:p w14:paraId="1ACCA4C6">
            <w:pPr>
              <w:spacing w:line="440" w:lineRule="exact"/>
              <w:ind w:firstLine="480" w:firstLineChars="200"/>
              <w:textAlignment w:val="baseline"/>
              <w:rPr>
                <w:bCs/>
                <w:kern w:val="24"/>
                <w:sz w:val="24"/>
                <w:szCs w:val="20"/>
              </w:rPr>
            </w:pPr>
            <w:r>
              <w:rPr>
                <w:bCs/>
                <w:kern w:val="24"/>
                <w:sz w:val="24"/>
                <w:szCs w:val="20"/>
              </w:rPr>
              <w:t>收集了评价区相关调查报告</w:t>
            </w:r>
            <w:r>
              <w:rPr>
                <w:rFonts w:hint="eastAsia"/>
                <w:bCs/>
                <w:kern w:val="24"/>
                <w:sz w:val="24"/>
                <w:szCs w:val="20"/>
              </w:rPr>
              <w:t>的</w:t>
            </w:r>
            <w:r>
              <w:rPr>
                <w:bCs/>
                <w:kern w:val="24"/>
                <w:sz w:val="24"/>
                <w:szCs w:val="20"/>
              </w:rPr>
              <w:t>生态资料、《内蒙古植物志》以及《内蒙古植被》等资料。</w:t>
            </w:r>
          </w:p>
          <w:p w14:paraId="37D9EDF0">
            <w:pPr>
              <w:spacing w:line="440" w:lineRule="exact"/>
              <w:ind w:firstLine="480" w:firstLineChars="200"/>
              <w:textAlignment w:val="baseline"/>
              <w:rPr>
                <w:bCs/>
                <w:kern w:val="24"/>
                <w:sz w:val="24"/>
                <w:szCs w:val="20"/>
              </w:rPr>
            </w:pPr>
            <w:r>
              <w:rPr>
                <w:rFonts w:hint="eastAsia" w:ascii="宋体" w:hAnsi="宋体"/>
                <w:bCs/>
                <w:kern w:val="24"/>
                <w:sz w:val="24"/>
                <w:szCs w:val="20"/>
              </w:rPr>
              <w:t>③</w:t>
            </w:r>
            <w:r>
              <w:rPr>
                <w:bCs/>
                <w:kern w:val="24"/>
                <w:sz w:val="24"/>
                <w:szCs w:val="20"/>
              </w:rPr>
              <w:t>卫星遥感影像解译</w:t>
            </w:r>
          </w:p>
          <w:p w14:paraId="3E89D7E5">
            <w:pPr>
              <w:spacing w:line="440" w:lineRule="exact"/>
              <w:ind w:firstLine="480" w:firstLineChars="200"/>
              <w:textAlignment w:val="baseline"/>
              <w:rPr>
                <w:bCs/>
                <w:kern w:val="24"/>
                <w:sz w:val="24"/>
                <w:szCs w:val="20"/>
              </w:rPr>
            </w:pPr>
            <w:r>
              <w:rPr>
                <w:bCs/>
                <w:kern w:val="24"/>
                <w:sz w:val="24"/>
                <w:szCs w:val="20"/>
              </w:rPr>
              <w:t>采用遥感（RS）、地理信息系统（GIS）和全球定位系统（GPS）等高新技术结合的方法进行环境影响评价区生态环境信息的获取。</w:t>
            </w:r>
            <w:r>
              <w:rPr>
                <w:rFonts w:hint="eastAsia"/>
                <w:bCs/>
                <w:kern w:val="24"/>
                <w:sz w:val="24"/>
                <w:szCs w:val="20"/>
              </w:rPr>
              <w:t>解译以2025年9月14日的哨兵2号卫星（Sentinel-2）空间分辨率10m影像数据作为基本信息源，经过融合处理后的图像地表信息丰富，有利于生态环境因子遥感解译标志的建立，保证了各生态环境要素解译成果的准确性。</w:t>
            </w:r>
          </w:p>
          <w:p w14:paraId="492C3F83">
            <w:pPr>
              <w:spacing w:line="440" w:lineRule="exact"/>
              <w:ind w:firstLine="480" w:firstLineChars="200"/>
              <w:textAlignment w:val="baseline"/>
              <w:rPr>
                <w:bCs/>
                <w:kern w:val="24"/>
                <w:sz w:val="24"/>
                <w:szCs w:val="20"/>
              </w:rPr>
            </w:pPr>
            <w:r>
              <w:rPr>
                <w:rFonts w:hint="eastAsia"/>
                <w:bCs/>
                <w:kern w:val="24"/>
                <w:sz w:val="24"/>
                <w:szCs w:val="20"/>
              </w:rPr>
              <w:t>选取这一时间段遥感数据，主要是考虑到这一时间段的地表类型差异是一年中最明显的时候，该时间段具有地物区分显著、地表信息丰富的特点，有利于对各生态环境因子的判断。</w:t>
            </w:r>
          </w:p>
          <w:p w14:paraId="418D5DD4">
            <w:pPr>
              <w:spacing w:line="440" w:lineRule="exact"/>
              <w:ind w:firstLine="480" w:firstLineChars="200"/>
              <w:textAlignment w:val="baseline"/>
              <w:rPr>
                <w:bCs/>
                <w:kern w:val="24"/>
                <w:sz w:val="24"/>
                <w:szCs w:val="20"/>
              </w:rPr>
            </w:pPr>
          </w:p>
          <w:p w14:paraId="675574AA">
            <w:pPr>
              <w:spacing w:line="440" w:lineRule="exact"/>
              <w:ind w:firstLine="480" w:firstLineChars="200"/>
              <w:textAlignment w:val="baseline"/>
              <w:rPr>
                <w:bCs/>
                <w:kern w:val="24"/>
                <w:sz w:val="24"/>
                <w:szCs w:val="20"/>
              </w:rPr>
            </w:pPr>
          </w:p>
          <w:p w14:paraId="5469981D">
            <w:pPr>
              <w:spacing w:line="440" w:lineRule="exact"/>
              <w:ind w:firstLine="480" w:firstLineChars="200"/>
              <w:textAlignment w:val="baseline"/>
              <w:rPr>
                <w:bCs/>
                <w:kern w:val="24"/>
                <w:sz w:val="24"/>
                <w:szCs w:val="20"/>
              </w:rPr>
            </w:pPr>
          </w:p>
          <w:p w14:paraId="71FD8220">
            <w:pPr>
              <w:spacing w:line="440" w:lineRule="exact"/>
              <w:ind w:firstLine="480" w:firstLineChars="200"/>
              <w:textAlignment w:val="baseline"/>
              <w:rPr>
                <w:bCs/>
                <w:kern w:val="24"/>
                <w:sz w:val="24"/>
                <w:szCs w:val="20"/>
              </w:rPr>
            </w:pPr>
          </w:p>
          <w:p w14:paraId="2575ED8D">
            <w:pPr>
              <w:spacing w:line="440" w:lineRule="exact"/>
              <w:ind w:firstLine="480" w:firstLineChars="200"/>
              <w:textAlignment w:val="baseline"/>
              <w:rPr>
                <w:bCs/>
                <w:kern w:val="24"/>
                <w:sz w:val="24"/>
                <w:szCs w:val="20"/>
              </w:rPr>
            </w:pPr>
          </w:p>
          <w:p w14:paraId="382711AA">
            <w:pPr>
              <w:spacing w:line="440" w:lineRule="exact"/>
              <w:ind w:firstLine="480" w:firstLineChars="200"/>
              <w:textAlignment w:val="baseline"/>
              <w:rPr>
                <w:bCs/>
                <w:kern w:val="24"/>
                <w:sz w:val="24"/>
                <w:szCs w:val="20"/>
              </w:rPr>
            </w:pPr>
          </w:p>
          <w:p w14:paraId="4DDD7F9F">
            <w:pPr>
              <w:spacing w:line="440" w:lineRule="exact"/>
              <w:ind w:firstLine="480" w:firstLineChars="200"/>
              <w:textAlignment w:val="baseline"/>
              <w:rPr>
                <w:bCs/>
                <w:kern w:val="24"/>
                <w:sz w:val="24"/>
                <w:szCs w:val="20"/>
              </w:rPr>
            </w:pPr>
          </w:p>
          <w:p w14:paraId="4575E0EF">
            <w:pPr>
              <w:spacing w:line="440" w:lineRule="exact"/>
              <w:ind w:firstLine="480" w:firstLineChars="200"/>
              <w:textAlignment w:val="baseline"/>
              <w:rPr>
                <w:bCs/>
                <w:kern w:val="24"/>
                <w:sz w:val="24"/>
                <w:szCs w:val="20"/>
              </w:rPr>
            </w:pPr>
          </w:p>
          <w:p w14:paraId="5643196C">
            <w:pPr>
              <w:spacing w:line="440" w:lineRule="exact"/>
              <w:ind w:firstLine="480" w:firstLineChars="200"/>
              <w:textAlignment w:val="baseline"/>
              <w:rPr>
                <w:bCs/>
                <w:kern w:val="24"/>
                <w:sz w:val="24"/>
                <w:szCs w:val="20"/>
              </w:rPr>
            </w:pPr>
          </w:p>
          <w:p w14:paraId="673333F3">
            <w:pPr>
              <w:spacing w:line="440" w:lineRule="exact"/>
              <w:ind w:firstLine="480" w:firstLineChars="200"/>
              <w:textAlignment w:val="baseline"/>
              <w:rPr>
                <w:bCs/>
                <w:kern w:val="24"/>
                <w:sz w:val="24"/>
                <w:szCs w:val="20"/>
              </w:rPr>
            </w:pPr>
          </w:p>
          <w:p w14:paraId="325CEAD0">
            <w:pPr>
              <w:spacing w:line="440" w:lineRule="exact"/>
              <w:ind w:firstLine="480" w:firstLineChars="200"/>
              <w:textAlignment w:val="baseline"/>
              <w:rPr>
                <w:bCs/>
                <w:kern w:val="24"/>
                <w:sz w:val="24"/>
                <w:szCs w:val="20"/>
              </w:rPr>
            </w:pPr>
          </w:p>
          <w:p w14:paraId="31A8F8DE">
            <w:pPr>
              <w:spacing w:line="440" w:lineRule="exact"/>
              <w:ind w:firstLine="480" w:firstLineChars="200"/>
              <w:textAlignment w:val="baseline"/>
              <w:rPr>
                <w:bCs/>
                <w:kern w:val="24"/>
                <w:sz w:val="24"/>
                <w:szCs w:val="20"/>
              </w:rPr>
            </w:pPr>
          </w:p>
          <w:p w14:paraId="3A60252E">
            <w:pPr>
              <w:spacing w:line="440" w:lineRule="exact"/>
              <w:ind w:firstLine="480" w:firstLineChars="200"/>
              <w:textAlignment w:val="baseline"/>
              <w:rPr>
                <w:bCs/>
                <w:kern w:val="24"/>
                <w:sz w:val="24"/>
                <w:szCs w:val="20"/>
              </w:rPr>
            </w:pPr>
          </w:p>
          <w:p w14:paraId="157F28F6">
            <w:pPr>
              <w:spacing w:line="440" w:lineRule="exact"/>
              <w:ind w:firstLine="480" w:firstLineChars="200"/>
              <w:textAlignment w:val="baseline"/>
              <w:rPr>
                <w:bCs/>
                <w:kern w:val="24"/>
                <w:sz w:val="24"/>
                <w:szCs w:val="20"/>
              </w:rPr>
            </w:pPr>
          </w:p>
          <w:p w14:paraId="4A531146">
            <w:pPr>
              <w:jc w:val="center"/>
            </w:pPr>
            <w:r>
              <w:drawing>
                <wp:inline distT="0" distB="0" distL="0" distR="0">
                  <wp:extent cx="5225415" cy="7383145"/>
                  <wp:effectExtent l="0" t="0" r="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37137" cy="7400327"/>
                          </a:xfrm>
                          <a:prstGeom prst="rect">
                            <a:avLst/>
                          </a:prstGeom>
                          <a:noFill/>
                          <a:ln>
                            <a:noFill/>
                          </a:ln>
                        </pic:spPr>
                      </pic:pic>
                    </a:graphicData>
                  </a:graphic>
                </wp:inline>
              </w:drawing>
            </w:r>
          </w:p>
          <w:p w14:paraId="6FCA9533">
            <w:pPr>
              <w:spacing w:line="440" w:lineRule="exact"/>
              <w:jc w:val="center"/>
              <w:textAlignment w:val="baseline"/>
              <w:rPr>
                <w:b/>
                <w:kern w:val="24"/>
                <w:sz w:val="24"/>
                <w:szCs w:val="20"/>
              </w:rPr>
            </w:pPr>
            <w:r>
              <w:rPr>
                <w:rFonts w:hint="eastAsia"/>
                <w:b/>
                <w:kern w:val="24"/>
                <w:sz w:val="24"/>
                <w:szCs w:val="20"/>
              </w:rPr>
              <w:t>图3-3   遥感影像图</w:t>
            </w:r>
          </w:p>
          <w:p w14:paraId="49CABF83">
            <w:pPr>
              <w:spacing w:line="440" w:lineRule="exact"/>
              <w:ind w:firstLine="480" w:firstLineChars="200"/>
              <w:textAlignment w:val="baseline"/>
              <w:rPr>
                <w:bCs/>
                <w:kern w:val="24"/>
                <w:sz w:val="24"/>
                <w:szCs w:val="20"/>
              </w:rPr>
            </w:pPr>
            <w:r>
              <w:rPr>
                <w:rFonts w:hint="eastAsia"/>
                <w:bCs/>
                <w:kern w:val="24"/>
                <w:sz w:val="24"/>
                <w:szCs w:val="20"/>
              </w:rPr>
              <w:t>（2）植被分布现状</w:t>
            </w:r>
          </w:p>
          <w:p w14:paraId="0221D358">
            <w:pPr>
              <w:spacing w:line="440" w:lineRule="exact"/>
              <w:ind w:firstLine="482"/>
              <w:textAlignment w:val="baseline"/>
              <w:rPr>
                <w:bCs/>
                <w:kern w:val="24"/>
                <w:sz w:val="24"/>
                <w:szCs w:val="20"/>
              </w:rPr>
            </w:pPr>
            <w:r>
              <w:rPr>
                <w:bCs/>
                <w:kern w:val="24"/>
                <w:sz w:val="24"/>
                <w:szCs w:val="20"/>
              </w:rPr>
              <w:t>利用卫星遥感及地理信息系统技术并结合地面实际调查，对</w:t>
            </w:r>
            <w:r>
              <w:rPr>
                <w:rFonts w:hint="eastAsia"/>
                <w:bCs/>
                <w:kern w:val="24"/>
                <w:sz w:val="24"/>
                <w:szCs w:val="20"/>
              </w:rPr>
              <w:t>管道3</w:t>
            </w:r>
            <w:r>
              <w:rPr>
                <w:bCs/>
                <w:kern w:val="24"/>
                <w:sz w:val="24"/>
                <w:szCs w:val="20"/>
              </w:rPr>
              <w:t>00m范围内的植被分布现状进行调查。评价区内植被类型特征见表3-</w:t>
            </w:r>
            <w:r>
              <w:rPr>
                <w:rFonts w:hint="eastAsia"/>
                <w:bCs/>
                <w:kern w:val="24"/>
                <w:sz w:val="24"/>
                <w:szCs w:val="20"/>
              </w:rPr>
              <w:t>1</w:t>
            </w:r>
            <w:r>
              <w:rPr>
                <w:bCs/>
                <w:kern w:val="24"/>
                <w:sz w:val="24"/>
                <w:szCs w:val="20"/>
              </w:rPr>
              <w:t>。评价区域的植被类型见图</w:t>
            </w:r>
            <w:r>
              <w:rPr>
                <w:rFonts w:hint="eastAsia"/>
                <w:bCs/>
                <w:kern w:val="24"/>
                <w:sz w:val="24"/>
                <w:szCs w:val="20"/>
              </w:rPr>
              <w:t>3-4</w:t>
            </w:r>
            <w:r>
              <w:rPr>
                <w:bCs/>
                <w:kern w:val="24"/>
                <w:sz w:val="24"/>
                <w:szCs w:val="20"/>
              </w:rPr>
              <w:t>。</w:t>
            </w:r>
          </w:p>
          <w:p w14:paraId="66B586C5">
            <w:pPr>
              <w:spacing w:line="440" w:lineRule="exact"/>
              <w:ind w:firstLine="482"/>
              <w:textAlignment w:val="baseline"/>
              <w:rPr>
                <w:b/>
                <w:kern w:val="24"/>
                <w:sz w:val="24"/>
                <w:szCs w:val="20"/>
              </w:rPr>
            </w:pPr>
            <w:r>
              <w:rPr>
                <w:rFonts w:hint="eastAsia"/>
                <w:b/>
                <w:kern w:val="24"/>
                <w:sz w:val="24"/>
                <w:szCs w:val="20"/>
              </w:rPr>
              <w:t>表3-1   项目评价范围内植被类型调查表</w:t>
            </w:r>
          </w:p>
          <w:tbl>
            <w:tblPr>
              <w:tblStyle w:val="78"/>
              <w:tblW w:w="5000"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259"/>
              <w:gridCol w:w="3788"/>
              <w:gridCol w:w="1819"/>
              <w:gridCol w:w="1453"/>
            </w:tblGrid>
            <w:tr w14:paraId="698BF81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70" w:hRule="atLeast"/>
              </w:trPr>
              <w:tc>
                <w:tcPr>
                  <w:tcW w:w="757" w:type="pct"/>
                  <w:tcBorders>
                    <w:bottom w:val="single" w:color="auto" w:sz="4" w:space="0"/>
                    <w:right w:val="single" w:color="auto" w:sz="4" w:space="0"/>
                  </w:tcBorders>
                  <w:shd w:val="clear" w:color="auto" w:fill="auto"/>
                  <w:noWrap/>
                  <w:vAlign w:val="center"/>
                </w:tcPr>
                <w:p w14:paraId="5D002F6C">
                  <w:pPr>
                    <w:spacing w:line="360" w:lineRule="exact"/>
                    <w:jc w:val="center"/>
                    <w:rPr>
                      <w:szCs w:val="21"/>
                      <w:lang w:val="zh-CN"/>
                    </w:rPr>
                  </w:pPr>
                  <w:r>
                    <w:rPr>
                      <w:rFonts w:hint="eastAsia"/>
                      <w:szCs w:val="21"/>
                      <w:lang w:val="zh-CN"/>
                    </w:rPr>
                    <w:t>位置</w:t>
                  </w:r>
                </w:p>
              </w:tc>
              <w:tc>
                <w:tcPr>
                  <w:tcW w:w="2277" w:type="pct"/>
                  <w:tcBorders>
                    <w:left w:val="single" w:color="auto" w:sz="4" w:space="0"/>
                    <w:bottom w:val="single" w:color="auto" w:sz="4" w:space="0"/>
                    <w:right w:val="single" w:color="000000" w:sz="4" w:space="0"/>
                  </w:tcBorders>
                  <w:shd w:val="clear" w:color="auto" w:fill="auto"/>
                  <w:noWrap/>
                  <w:vAlign w:val="center"/>
                </w:tcPr>
                <w:p w14:paraId="6B283CBD">
                  <w:pPr>
                    <w:spacing w:line="360" w:lineRule="exact"/>
                    <w:jc w:val="center"/>
                    <w:rPr>
                      <w:szCs w:val="21"/>
                      <w:lang w:val="zh-CN"/>
                    </w:rPr>
                  </w:pPr>
                  <w:r>
                    <w:rPr>
                      <w:rFonts w:hint="eastAsia"/>
                      <w:szCs w:val="21"/>
                    </w:rPr>
                    <w:t>名称</w:t>
                  </w:r>
                </w:p>
              </w:tc>
              <w:tc>
                <w:tcPr>
                  <w:tcW w:w="1093" w:type="pct"/>
                  <w:tcBorders>
                    <w:left w:val="nil"/>
                    <w:bottom w:val="single" w:color="auto" w:sz="4" w:space="0"/>
                    <w:right w:val="single" w:color="auto" w:sz="4" w:space="0"/>
                  </w:tcBorders>
                  <w:shd w:val="clear" w:color="auto" w:fill="auto"/>
                  <w:noWrap/>
                  <w:vAlign w:val="center"/>
                </w:tcPr>
                <w:p w14:paraId="01AF1E31">
                  <w:pPr>
                    <w:spacing w:line="360" w:lineRule="exact"/>
                    <w:jc w:val="center"/>
                    <w:rPr>
                      <w:szCs w:val="21"/>
                      <w:lang w:val="zh-CN"/>
                    </w:rPr>
                  </w:pPr>
                  <w:r>
                    <w:rPr>
                      <w:rFonts w:hint="eastAsia"/>
                      <w:szCs w:val="21"/>
                      <w:lang w:val="zh-CN"/>
                    </w:rPr>
                    <w:t>面积</w:t>
                  </w:r>
                  <w:r>
                    <w:rPr>
                      <w:rFonts w:hint="eastAsia"/>
                      <w:szCs w:val="21"/>
                    </w:rPr>
                    <w:t>（hm</w:t>
                  </w:r>
                  <w:r>
                    <w:rPr>
                      <w:rFonts w:hint="eastAsia"/>
                      <w:szCs w:val="21"/>
                      <w:vertAlign w:val="superscript"/>
                    </w:rPr>
                    <w:t>2</w:t>
                  </w:r>
                  <w:r>
                    <w:rPr>
                      <w:rFonts w:hint="eastAsia"/>
                      <w:szCs w:val="21"/>
                    </w:rPr>
                    <w:t>）</w:t>
                  </w:r>
                </w:p>
              </w:tc>
              <w:tc>
                <w:tcPr>
                  <w:tcW w:w="873" w:type="pct"/>
                  <w:tcBorders>
                    <w:left w:val="single" w:color="auto" w:sz="4" w:space="0"/>
                    <w:bottom w:val="single" w:color="auto" w:sz="4" w:space="0"/>
                  </w:tcBorders>
                  <w:shd w:val="clear" w:color="auto" w:fill="auto"/>
                  <w:noWrap/>
                  <w:vAlign w:val="center"/>
                </w:tcPr>
                <w:p w14:paraId="3625F746">
                  <w:pPr>
                    <w:spacing w:line="360" w:lineRule="exact"/>
                    <w:jc w:val="center"/>
                    <w:rPr>
                      <w:szCs w:val="21"/>
                    </w:rPr>
                  </w:pPr>
                  <w:r>
                    <w:rPr>
                      <w:rFonts w:hint="eastAsia"/>
                      <w:szCs w:val="21"/>
                      <w:lang w:val="zh-CN"/>
                    </w:rPr>
                    <w:t>比例</w:t>
                  </w:r>
                  <w:r>
                    <w:rPr>
                      <w:rFonts w:hint="eastAsia"/>
                      <w:szCs w:val="21"/>
                    </w:rPr>
                    <w:t>%</w:t>
                  </w:r>
                </w:p>
              </w:tc>
            </w:tr>
            <w:tr w14:paraId="20D29AD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757" w:type="pct"/>
                  <w:vMerge w:val="restart"/>
                  <w:tcBorders>
                    <w:top w:val="single" w:color="auto" w:sz="4" w:space="0"/>
                    <w:bottom w:val="single" w:color="auto" w:sz="4" w:space="0"/>
                    <w:right w:val="single" w:color="auto" w:sz="4" w:space="0"/>
                  </w:tcBorders>
                  <w:shd w:val="clear" w:color="auto" w:fill="auto"/>
                  <w:noWrap/>
                  <w:vAlign w:val="center"/>
                </w:tcPr>
                <w:p w14:paraId="39BA96E0">
                  <w:pPr>
                    <w:spacing w:line="360" w:lineRule="exact"/>
                    <w:jc w:val="center"/>
                    <w:rPr>
                      <w:szCs w:val="21"/>
                      <w:lang w:val="zh-CN"/>
                    </w:rPr>
                  </w:pPr>
                  <w:r>
                    <w:rPr>
                      <w:rFonts w:hint="eastAsia"/>
                      <w:szCs w:val="21"/>
                      <w:lang w:val="zh-CN"/>
                    </w:rPr>
                    <w:t>评价区</w:t>
                  </w:r>
                </w:p>
              </w:tc>
              <w:tc>
                <w:tcPr>
                  <w:tcW w:w="22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3AF281">
                  <w:pPr>
                    <w:spacing w:line="360" w:lineRule="exact"/>
                    <w:jc w:val="center"/>
                    <w:rPr>
                      <w:szCs w:val="21"/>
                    </w:rPr>
                  </w:pPr>
                  <w:r>
                    <w:rPr>
                      <w:rFonts w:hint="eastAsia"/>
                      <w:szCs w:val="21"/>
                    </w:rPr>
                    <w:t>无植被区</w:t>
                  </w:r>
                </w:p>
              </w:tc>
              <w:tc>
                <w:tcPr>
                  <w:tcW w:w="10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6249D">
                  <w:pPr>
                    <w:widowControl/>
                    <w:spacing w:line="360" w:lineRule="exact"/>
                    <w:jc w:val="center"/>
                    <w:textAlignment w:val="center"/>
                    <w:rPr>
                      <w:kern w:val="0"/>
                      <w:szCs w:val="21"/>
                      <w:lang w:bidi="ar"/>
                    </w:rPr>
                  </w:pPr>
                  <w:r>
                    <w:rPr>
                      <w:rFonts w:hint="eastAsia"/>
                      <w:kern w:val="0"/>
                      <w:szCs w:val="21"/>
                      <w:lang w:bidi="ar"/>
                    </w:rPr>
                    <w:t>149.05</w:t>
                  </w:r>
                </w:p>
              </w:tc>
              <w:tc>
                <w:tcPr>
                  <w:tcW w:w="873" w:type="pct"/>
                  <w:tcBorders>
                    <w:top w:val="single" w:color="auto" w:sz="4" w:space="0"/>
                    <w:left w:val="single" w:color="auto" w:sz="4" w:space="0"/>
                    <w:bottom w:val="single" w:color="auto" w:sz="4" w:space="0"/>
                  </w:tcBorders>
                  <w:shd w:val="clear" w:color="auto" w:fill="auto"/>
                  <w:noWrap/>
                  <w:vAlign w:val="center"/>
                </w:tcPr>
                <w:p w14:paraId="75678E7F">
                  <w:pPr>
                    <w:widowControl/>
                    <w:spacing w:line="360" w:lineRule="exact"/>
                    <w:jc w:val="center"/>
                    <w:textAlignment w:val="center"/>
                  </w:pPr>
                  <w:r>
                    <w:rPr>
                      <w:rFonts w:hint="eastAsia"/>
                      <w:kern w:val="0"/>
                      <w:szCs w:val="21"/>
                      <w:lang w:bidi="ar"/>
                    </w:rPr>
                    <w:t>92.57</w:t>
                  </w:r>
                </w:p>
              </w:tc>
            </w:tr>
            <w:tr w14:paraId="57FC26F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70" w:hRule="atLeast"/>
              </w:trPr>
              <w:tc>
                <w:tcPr>
                  <w:tcW w:w="757" w:type="pct"/>
                  <w:vMerge w:val="continue"/>
                  <w:tcBorders>
                    <w:top w:val="single" w:color="auto" w:sz="4" w:space="0"/>
                    <w:bottom w:val="single" w:color="auto" w:sz="4" w:space="0"/>
                    <w:right w:val="single" w:color="auto" w:sz="4" w:space="0"/>
                  </w:tcBorders>
                  <w:shd w:val="clear" w:color="auto" w:fill="auto"/>
                  <w:vAlign w:val="center"/>
                </w:tcPr>
                <w:p w14:paraId="4A8A275B">
                  <w:pPr>
                    <w:spacing w:line="360" w:lineRule="exact"/>
                    <w:jc w:val="center"/>
                    <w:rPr>
                      <w:szCs w:val="21"/>
                      <w:lang w:val="zh-CN"/>
                    </w:rPr>
                  </w:pPr>
                </w:p>
              </w:tc>
              <w:tc>
                <w:tcPr>
                  <w:tcW w:w="22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14A953">
                  <w:pPr>
                    <w:spacing w:line="360" w:lineRule="exact"/>
                    <w:jc w:val="center"/>
                    <w:rPr>
                      <w:szCs w:val="21"/>
                      <w:lang w:val="zh-CN"/>
                    </w:rPr>
                  </w:pPr>
                  <w:r>
                    <w:rPr>
                      <w:rFonts w:hint="eastAsia"/>
                      <w:szCs w:val="21"/>
                    </w:rPr>
                    <w:t>冷蒿群落</w:t>
                  </w:r>
                </w:p>
              </w:tc>
              <w:tc>
                <w:tcPr>
                  <w:tcW w:w="10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B091C6">
                  <w:pPr>
                    <w:widowControl/>
                    <w:spacing w:line="360" w:lineRule="exact"/>
                    <w:jc w:val="center"/>
                    <w:textAlignment w:val="center"/>
                    <w:rPr>
                      <w:kern w:val="0"/>
                      <w:szCs w:val="21"/>
                      <w:lang w:val="zh-CN" w:bidi="ar"/>
                    </w:rPr>
                  </w:pPr>
                  <w:r>
                    <w:rPr>
                      <w:rFonts w:hint="eastAsia"/>
                      <w:kern w:val="0"/>
                      <w:szCs w:val="21"/>
                      <w:lang w:bidi="ar"/>
                    </w:rPr>
                    <w:t>11.97</w:t>
                  </w:r>
                </w:p>
              </w:tc>
              <w:tc>
                <w:tcPr>
                  <w:tcW w:w="873" w:type="pct"/>
                  <w:tcBorders>
                    <w:top w:val="single" w:color="auto" w:sz="4" w:space="0"/>
                    <w:left w:val="single" w:color="auto" w:sz="4" w:space="0"/>
                    <w:bottom w:val="single" w:color="auto" w:sz="4" w:space="0"/>
                  </w:tcBorders>
                  <w:shd w:val="clear" w:color="auto" w:fill="auto"/>
                  <w:noWrap/>
                  <w:vAlign w:val="center"/>
                </w:tcPr>
                <w:p w14:paraId="10D50A63">
                  <w:pPr>
                    <w:widowControl/>
                    <w:spacing w:line="360" w:lineRule="exact"/>
                    <w:jc w:val="center"/>
                    <w:textAlignment w:val="center"/>
                  </w:pPr>
                  <w:r>
                    <w:rPr>
                      <w:rFonts w:hint="eastAsia"/>
                      <w:kern w:val="0"/>
                      <w:szCs w:val="21"/>
                      <w:lang w:bidi="ar"/>
                    </w:rPr>
                    <w:t>7.43</w:t>
                  </w:r>
                </w:p>
              </w:tc>
            </w:tr>
            <w:tr w14:paraId="7958754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70" w:hRule="atLeast"/>
              </w:trPr>
              <w:tc>
                <w:tcPr>
                  <w:tcW w:w="757" w:type="pct"/>
                  <w:vMerge w:val="continue"/>
                  <w:tcBorders>
                    <w:top w:val="single" w:color="auto" w:sz="4" w:space="0"/>
                    <w:right w:val="single" w:color="000000" w:sz="4" w:space="0"/>
                  </w:tcBorders>
                  <w:shd w:val="clear" w:color="auto" w:fill="auto"/>
                  <w:vAlign w:val="center"/>
                </w:tcPr>
                <w:p w14:paraId="7F6EF2FB">
                  <w:pPr>
                    <w:spacing w:line="360" w:lineRule="exact"/>
                    <w:jc w:val="center"/>
                    <w:rPr>
                      <w:szCs w:val="21"/>
                      <w:lang w:val="zh-CN"/>
                    </w:rPr>
                  </w:pPr>
                </w:p>
              </w:tc>
              <w:tc>
                <w:tcPr>
                  <w:tcW w:w="2277" w:type="pct"/>
                  <w:tcBorders>
                    <w:top w:val="single" w:color="auto" w:sz="4" w:space="0"/>
                    <w:left w:val="nil"/>
                    <w:right w:val="single" w:color="000000" w:sz="4" w:space="0"/>
                  </w:tcBorders>
                  <w:shd w:val="clear" w:color="auto" w:fill="auto"/>
                  <w:noWrap/>
                  <w:vAlign w:val="center"/>
                </w:tcPr>
                <w:p w14:paraId="5E6C8044">
                  <w:pPr>
                    <w:spacing w:line="360" w:lineRule="exact"/>
                    <w:jc w:val="center"/>
                    <w:rPr>
                      <w:szCs w:val="21"/>
                      <w:lang w:val="zh-CN"/>
                    </w:rPr>
                  </w:pPr>
                  <w:r>
                    <w:rPr>
                      <w:rFonts w:hint="eastAsia"/>
                      <w:szCs w:val="21"/>
                      <w:lang w:val="zh-CN"/>
                    </w:rPr>
                    <w:t>合计</w:t>
                  </w:r>
                </w:p>
              </w:tc>
              <w:tc>
                <w:tcPr>
                  <w:tcW w:w="1093" w:type="pct"/>
                  <w:tcBorders>
                    <w:top w:val="single" w:color="auto" w:sz="4" w:space="0"/>
                    <w:left w:val="nil"/>
                    <w:right w:val="single" w:color="auto" w:sz="4" w:space="0"/>
                  </w:tcBorders>
                  <w:shd w:val="clear" w:color="auto" w:fill="auto"/>
                  <w:noWrap/>
                  <w:vAlign w:val="center"/>
                </w:tcPr>
                <w:p w14:paraId="03819EED">
                  <w:pPr>
                    <w:widowControl/>
                    <w:spacing w:line="360" w:lineRule="exact"/>
                    <w:jc w:val="center"/>
                    <w:textAlignment w:val="center"/>
                    <w:rPr>
                      <w:kern w:val="0"/>
                      <w:szCs w:val="21"/>
                      <w:lang w:bidi="ar"/>
                    </w:rPr>
                  </w:pPr>
                  <w:r>
                    <w:rPr>
                      <w:rFonts w:hint="eastAsia"/>
                      <w:kern w:val="0"/>
                      <w:szCs w:val="21"/>
                      <w:lang w:bidi="ar"/>
                    </w:rPr>
                    <w:t>161.02</w:t>
                  </w:r>
                </w:p>
              </w:tc>
              <w:tc>
                <w:tcPr>
                  <w:tcW w:w="873" w:type="pct"/>
                  <w:tcBorders>
                    <w:top w:val="single" w:color="auto" w:sz="4" w:space="0"/>
                    <w:left w:val="single" w:color="auto" w:sz="4" w:space="0"/>
                  </w:tcBorders>
                  <w:shd w:val="clear" w:color="auto" w:fill="auto"/>
                  <w:noWrap/>
                  <w:vAlign w:val="center"/>
                </w:tcPr>
                <w:p w14:paraId="1EBAA4FE">
                  <w:pPr>
                    <w:spacing w:line="360" w:lineRule="exact"/>
                    <w:jc w:val="center"/>
                    <w:rPr>
                      <w:szCs w:val="21"/>
                      <w:lang w:val="zh-CN"/>
                    </w:rPr>
                  </w:pPr>
                  <w:r>
                    <w:rPr>
                      <w:rFonts w:hint="eastAsia"/>
                      <w:szCs w:val="21"/>
                      <w:lang w:val="zh-CN"/>
                    </w:rPr>
                    <w:t>100.00</w:t>
                  </w:r>
                </w:p>
              </w:tc>
            </w:tr>
          </w:tbl>
          <w:p w14:paraId="5197BF77">
            <w:pPr>
              <w:spacing w:line="440" w:lineRule="exact"/>
              <w:ind w:firstLine="482"/>
              <w:textAlignment w:val="baseline"/>
              <w:rPr>
                <w:bCs/>
                <w:kern w:val="24"/>
                <w:sz w:val="24"/>
                <w:szCs w:val="20"/>
              </w:rPr>
            </w:pPr>
            <w:r>
              <w:rPr>
                <w:bCs/>
                <w:kern w:val="24"/>
                <w:sz w:val="24"/>
                <w:szCs w:val="20"/>
              </w:rPr>
              <w:t>从上表可以看出，评价区范围内各植被类型生态调查总面积</w:t>
            </w:r>
            <w:r>
              <w:rPr>
                <w:rFonts w:hint="eastAsia"/>
                <w:bCs/>
                <w:kern w:val="24"/>
                <w:sz w:val="24"/>
                <w:szCs w:val="20"/>
              </w:rPr>
              <w:t>161.02</w:t>
            </w:r>
            <w:r>
              <w:rPr>
                <w:bCs/>
                <w:kern w:val="24"/>
                <w:sz w:val="24"/>
                <w:szCs w:val="20"/>
              </w:rPr>
              <w:t>hm</w:t>
            </w:r>
            <w:r>
              <w:rPr>
                <w:bCs/>
                <w:kern w:val="24"/>
                <w:sz w:val="24"/>
                <w:szCs w:val="20"/>
                <w:vertAlign w:val="superscript"/>
              </w:rPr>
              <w:t>2</w:t>
            </w:r>
            <w:r>
              <w:rPr>
                <w:bCs/>
                <w:kern w:val="24"/>
                <w:sz w:val="24"/>
                <w:szCs w:val="20"/>
              </w:rPr>
              <w:t>，植被类型包括</w:t>
            </w:r>
            <w:r>
              <w:rPr>
                <w:rFonts w:hint="eastAsia"/>
                <w:bCs/>
                <w:kern w:val="24"/>
                <w:sz w:val="24"/>
                <w:szCs w:val="20"/>
              </w:rPr>
              <w:t>冷蒿群落；无植被区。</w:t>
            </w:r>
            <w:r>
              <w:rPr>
                <w:bCs/>
                <w:kern w:val="24"/>
                <w:sz w:val="24"/>
                <w:szCs w:val="20"/>
              </w:rPr>
              <w:t>其中</w:t>
            </w:r>
            <w:r>
              <w:rPr>
                <w:rFonts w:hint="eastAsia"/>
                <w:bCs/>
                <w:kern w:val="24"/>
                <w:sz w:val="24"/>
                <w:szCs w:val="20"/>
              </w:rPr>
              <w:t>冷蒿群落</w:t>
            </w:r>
            <w:r>
              <w:rPr>
                <w:bCs/>
                <w:kern w:val="24"/>
                <w:sz w:val="24"/>
                <w:szCs w:val="20"/>
              </w:rPr>
              <w:t>分布面积为</w:t>
            </w:r>
            <w:r>
              <w:rPr>
                <w:rFonts w:hint="eastAsia"/>
                <w:bCs/>
                <w:kern w:val="24"/>
                <w:sz w:val="24"/>
                <w:szCs w:val="20"/>
              </w:rPr>
              <w:t>11.97</w:t>
            </w:r>
            <w:r>
              <w:rPr>
                <w:bCs/>
                <w:kern w:val="24"/>
                <w:sz w:val="24"/>
                <w:szCs w:val="20"/>
              </w:rPr>
              <w:t>hm</w:t>
            </w:r>
            <w:r>
              <w:rPr>
                <w:bCs/>
                <w:kern w:val="24"/>
                <w:sz w:val="24"/>
                <w:szCs w:val="20"/>
                <w:vertAlign w:val="superscript"/>
              </w:rPr>
              <w:t>2</w:t>
            </w:r>
            <w:r>
              <w:rPr>
                <w:bCs/>
                <w:kern w:val="24"/>
                <w:sz w:val="24"/>
                <w:szCs w:val="20"/>
              </w:rPr>
              <w:t>，占评价区总面积的</w:t>
            </w:r>
            <w:r>
              <w:rPr>
                <w:rFonts w:hint="eastAsia"/>
                <w:bCs/>
                <w:kern w:val="24"/>
                <w:sz w:val="24"/>
                <w:szCs w:val="20"/>
              </w:rPr>
              <w:t>7.43</w:t>
            </w:r>
            <w:r>
              <w:rPr>
                <w:bCs/>
                <w:kern w:val="24"/>
                <w:sz w:val="24"/>
                <w:szCs w:val="20"/>
              </w:rPr>
              <w:t>%；</w:t>
            </w:r>
            <w:r>
              <w:rPr>
                <w:rFonts w:hint="eastAsia"/>
                <w:bCs/>
                <w:kern w:val="24"/>
                <w:sz w:val="24"/>
                <w:szCs w:val="20"/>
              </w:rPr>
              <w:t>无植被区</w:t>
            </w:r>
            <w:r>
              <w:rPr>
                <w:bCs/>
                <w:kern w:val="24"/>
                <w:sz w:val="24"/>
                <w:szCs w:val="20"/>
              </w:rPr>
              <w:t>面积为</w:t>
            </w:r>
            <w:r>
              <w:rPr>
                <w:rFonts w:hint="eastAsia"/>
                <w:bCs/>
                <w:kern w:val="24"/>
                <w:sz w:val="24"/>
                <w:szCs w:val="20"/>
              </w:rPr>
              <w:t>149.05</w:t>
            </w:r>
            <w:r>
              <w:rPr>
                <w:bCs/>
                <w:kern w:val="24"/>
                <w:sz w:val="24"/>
                <w:szCs w:val="20"/>
              </w:rPr>
              <w:t>hm</w:t>
            </w:r>
            <w:r>
              <w:rPr>
                <w:bCs/>
                <w:kern w:val="24"/>
                <w:sz w:val="24"/>
                <w:szCs w:val="20"/>
                <w:vertAlign w:val="superscript"/>
              </w:rPr>
              <w:t>2</w:t>
            </w:r>
            <w:r>
              <w:rPr>
                <w:bCs/>
                <w:kern w:val="24"/>
                <w:sz w:val="24"/>
                <w:szCs w:val="20"/>
              </w:rPr>
              <w:t>，占评价区总面积的</w:t>
            </w:r>
            <w:r>
              <w:rPr>
                <w:rFonts w:hint="eastAsia"/>
                <w:bCs/>
                <w:kern w:val="24"/>
                <w:sz w:val="24"/>
                <w:szCs w:val="20"/>
              </w:rPr>
              <w:t>92.57</w:t>
            </w:r>
            <w:r>
              <w:rPr>
                <w:bCs/>
                <w:kern w:val="24"/>
                <w:sz w:val="24"/>
                <w:szCs w:val="20"/>
              </w:rPr>
              <w:t>%</w:t>
            </w:r>
            <w:r>
              <w:rPr>
                <w:rFonts w:hint="eastAsia"/>
                <w:bCs/>
                <w:kern w:val="24"/>
                <w:sz w:val="24"/>
                <w:szCs w:val="20"/>
              </w:rPr>
              <w:t>。</w:t>
            </w:r>
          </w:p>
          <w:p w14:paraId="45992B8C">
            <w:pPr>
              <w:spacing w:line="440" w:lineRule="exact"/>
              <w:ind w:firstLine="482"/>
              <w:textAlignment w:val="baseline"/>
              <w:rPr>
                <w:bCs/>
                <w:kern w:val="24"/>
                <w:sz w:val="24"/>
                <w:szCs w:val="20"/>
              </w:rPr>
            </w:pPr>
          </w:p>
          <w:p w14:paraId="2028623E">
            <w:pPr>
              <w:spacing w:line="440" w:lineRule="exact"/>
              <w:ind w:firstLine="482"/>
              <w:textAlignment w:val="baseline"/>
              <w:rPr>
                <w:bCs/>
                <w:kern w:val="24"/>
                <w:sz w:val="24"/>
                <w:szCs w:val="20"/>
              </w:rPr>
            </w:pPr>
          </w:p>
          <w:p w14:paraId="484DA9D5">
            <w:pPr>
              <w:spacing w:line="440" w:lineRule="exact"/>
              <w:ind w:firstLine="482"/>
              <w:textAlignment w:val="baseline"/>
              <w:rPr>
                <w:bCs/>
                <w:kern w:val="24"/>
                <w:sz w:val="24"/>
                <w:szCs w:val="20"/>
              </w:rPr>
            </w:pPr>
          </w:p>
          <w:p w14:paraId="66792AE4">
            <w:pPr>
              <w:spacing w:line="440" w:lineRule="exact"/>
              <w:ind w:firstLine="482"/>
              <w:textAlignment w:val="baseline"/>
              <w:rPr>
                <w:bCs/>
                <w:kern w:val="24"/>
                <w:sz w:val="24"/>
                <w:szCs w:val="20"/>
              </w:rPr>
            </w:pPr>
          </w:p>
          <w:p w14:paraId="516F56DA">
            <w:pPr>
              <w:spacing w:line="440" w:lineRule="exact"/>
              <w:ind w:firstLine="482"/>
              <w:textAlignment w:val="baseline"/>
              <w:rPr>
                <w:bCs/>
                <w:kern w:val="24"/>
                <w:sz w:val="24"/>
                <w:szCs w:val="20"/>
              </w:rPr>
            </w:pPr>
          </w:p>
          <w:p w14:paraId="3763C3DC">
            <w:pPr>
              <w:spacing w:line="440" w:lineRule="exact"/>
              <w:ind w:firstLine="482"/>
              <w:textAlignment w:val="baseline"/>
              <w:rPr>
                <w:bCs/>
                <w:kern w:val="24"/>
                <w:sz w:val="24"/>
                <w:szCs w:val="20"/>
              </w:rPr>
            </w:pPr>
          </w:p>
          <w:p w14:paraId="095DA086">
            <w:pPr>
              <w:spacing w:line="440" w:lineRule="exact"/>
              <w:ind w:firstLine="482"/>
              <w:textAlignment w:val="baseline"/>
              <w:rPr>
                <w:bCs/>
                <w:kern w:val="24"/>
                <w:sz w:val="24"/>
                <w:szCs w:val="20"/>
              </w:rPr>
            </w:pPr>
          </w:p>
          <w:p w14:paraId="67E3E0BC">
            <w:pPr>
              <w:spacing w:line="440" w:lineRule="exact"/>
              <w:ind w:firstLine="482"/>
              <w:textAlignment w:val="baseline"/>
              <w:rPr>
                <w:bCs/>
                <w:kern w:val="24"/>
                <w:sz w:val="24"/>
                <w:szCs w:val="20"/>
              </w:rPr>
            </w:pPr>
          </w:p>
          <w:p w14:paraId="2C318502">
            <w:pPr>
              <w:spacing w:line="440" w:lineRule="exact"/>
              <w:ind w:firstLine="482"/>
              <w:textAlignment w:val="baseline"/>
              <w:rPr>
                <w:bCs/>
                <w:kern w:val="24"/>
                <w:sz w:val="24"/>
                <w:szCs w:val="20"/>
              </w:rPr>
            </w:pPr>
          </w:p>
          <w:p w14:paraId="02C8691C">
            <w:pPr>
              <w:spacing w:line="440" w:lineRule="exact"/>
              <w:ind w:firstLine="482"/>
              <w:textAlignment w:val="baseline"/>
              <w:rPr>
                <w:bCs/>
                <w:kern w:val="24"/>
                <w:sz w:val="24"/>
                <w:szCs w:val="20"/>
              </w:rPr>
            </w:pPr>
          </w:p>
          <w:p w14:paraId="5D75004E">
            <w:pPr>
              <w:spacing w:line="440" w:lineRule="exact"/>
              <w:ind w:firstLine="482"/>
              <w:textAlignment w:val="baseline"/>
              <w:rPr>
                <w:bCs/>
                <w:kern w:val="24"/>
                <w:sz w:val="24"/>
                <w:szCs w:val="20"/>
              </w:rPr>
            </w:pPr>
          </w:p>
          <w:p w14:paraId="6C99A5D3">
            <w:pPr>
              <w:spacing w:line="440" w:lineRule="exact"/>
              <w:ind w:firstLine="482"/>
              <w:textAlignment w:val="baseline"/>
              <w:rPr>
                <w:bCs/>
                <w:kern w:val="24"/>
                <w:sz w:val="24"/>
                <w:szCs w:val="20"/>
              </w:rPr>
            </w:pPr>
          </w:p>
          <w:p w14:paraId="5D7B794D">
            <w:pPr>
              <w:spacing w:line="440" w:lineRule="exact"/>
              <w:ind w:firstLine="482"/>
              <w:textAlignment w:val="baseline"/>
              <w:rPr>
                <w:bCs/>
                <w:kern w:val="24"/>
                <w:sz w:val="24"/>
                <w:szCs w:val="20"/>
              </w:rPr>
            </w:pPr>
          </w:p>
          <w:p w14:paraId="64E95D4E">
            <w:pPr>
              <w:spacing w:line="440" w:lineRule="exact"/>
              <w:ind w:firstLine="482"/>
              <w:textAlignment w:val="baseline"/>
              <w:rPr>
                <w:bCs/>
                <w:kern w:val="24"/>
                <w:sz w:val="24"/>
                <w:szCs w:val="20"/>
              </w:rPr>
            </w:pPr>
          </w:p>
          <w:p w14:paraId="67AD6D79">
            <w:pPr>
              <w:spacing w:line="440" w:lineRule="exact"/>
              <w:ind w:firstLine="482"/>
              <w:textAlignment w:val="baseline"/>
              <w:rPr>
                <w:bCs/>
                <w:kern w:val="24"/>
                <w:sz w:val="24"/>
                <w:szCs w:val="20"/>
              </w:rPr>
            </w:pPr>
          </w:p>
          <w:p w14:paraId="034DA9A1">
            <w:pPr>
              <w:spacing w:line="440" w:lineRule="exact"/>
              <w:ind w:firstLine="482"/>
              <w:textAlignment w:val="baseline"/>
              <w:rPr>
                <w:bCs/>
                <w:kern w:val="24"/>
                <w:sz w:val="24"/>
                <w:szCs w:val="20"/>
              </w:rPr>
            </w:pPr>
          </w:p>
          <w:p w14:paraId="557143D4">
            <w:pPr>
              <w:spacing w:line="440" w:lineRule="exact"/>
              <w:ind w:firstLine="482"/>
              <w:textAlignment w:val="baseline"/>
              <w:rPr>
                <w:bCs/>
                <w:kern w:val="24"/>
                <w:sz w:val="24"/>
                <w:szCs w:val="20"/>
              </w:rPr>
            </w:pPr>
          </w:p>
          <w:p w14:paraId="7543FAA6">
            <w:pPr>
              <w:spacing w:line="440" w:lineRule="exact"/>
              <w:ind w:firstLine="482"/>
              <w:textAlignment w:val="baseline"/>
              <w:rPr>
                <w:bCs/>
                <w:kern w:val="24"/>
                <w:sz w:val="24"/>
                <w:szCs w:val="20"/>
              </w:rPr>
            </w:pPr>
          </w:p>
          <w:p w14:paraId="4BF3B2F5">
            <w:pPr>
              <w:spacing w:line="440" w:lineRule="exact"/>
              <w:ind w:firstLine="482"/>
              <w:textAlignment w:val="baseline"/>
              <w:rPr>
                <w:bCs/>
                <w:kern w:val="24"/>
                <w:sz w:val="24"/>
                <w:szCs w:val="20"/>
              </w:rPr>
            </w:pPr>
          </w:p>
          <w:p w14:paraId="5F253632">
            <w:pPr>
              <w:spacing w:line="440" w:lineRule="exact"/>
              <w:ind w:firstLine="482"/>
              <w:textAlignment w:val="baseline"/>
              <w:rPr>
                <w:bCs/>
                <w:kern w:val="24"/>
                <w:sz w:val="24"/>
                <w:szCs w:val="20"/>
              </w:rPr>
            </w:pPr>
          </w:p>
          <w:p w14:paraId="319D0A29">
            <w:pPr>
              <w:spacing w:line="440" w:lineRule="exact"/>
              <w:ind w:firstLine="482"/>
              <w:textAlignment w:val="baseline"/>
              <w:rPr>
                <w:bCs/>
                <w:kern w:val="24"/>
                <w:sz w:val="24"/>
                <w:szCs w:val="20"/>
              </w:rPr>
            </w:pPr>
          </w:p>
          <w:p w14:paraId="709B933E">
            <w:pPr>
              <w:overflowPunct w:val="0"/>
              <w:ind w:right="17" w:rightChars="8"/>
              <w:jc w:val="center"/>
              <w:rPr>
                <w:szCs w:val="28"/>
                <w:lang w:bidi="en-US"/>
              </w:rPr>
            </w:pPr>
            <w:r>
              <w:drawing>
                <wp:inline distT="0" distB="0" distL="0" distR="0">
                  <wp:extent cx="5177155" cy="7315200"/>
                  <wp:effectExtent l="0" t="0" r="444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185053" cy="7326731"/>
                          </a:xfrm>
                          <a:prstGeom prst="rect">
                            <a:avLst/>
                          </a:prstGeom>
                          <a:noFill/>
                          <a:ln>
                            <a:noFill/>
                          </a:ln>
                        </pic:spPr>
                      </pic:pic>
                    </a:graphicData>
                  </a:graphic>
                </wp:inline>
              </w:drawing>
            </w:r>
          </w:p>
          <w:p w14:paraId="1B6CB540">
            <w:pPr>
              <w:spacing w:line="440" w:lineRule="exact"/>
              <w:jc w:val="center"/>
              <w:textAlignment w:val="baseline"/>
              <w:rPr>
                <w:b/>
                <w:kern w:val="24"/>
                <w:sz w:val="24"/>
                <w:szCs w:val="20"/>
              </w:rPr>
            </w:pPr>
            <w:r>
              <w:rPr>
                <w:rFonts w:hint="eastAsia"/>
                <w:b/>
                <w:kern w:val="24"/>
                <w:sz w:val="24"/>
                <w:szCs w:val="20"/>
              </w:rPr>
              <w:t>图3-4   植被类型图</w:t>
            </w:r>
          </w:p>
          <w:p w14:paraId="34721851">
            <w:pPr>
              <w:spacing w:line="440" w:lineRule="exact"/>
              <w:ind w:firstLine="480" w:firstLineChars="200"/>
              <w:textAlignment w:val="baseline"/>
              <w:rPr>
                <w:bCs/>
                <w:kern w:val="24"/>
                <w:sz w:val="24"/>
                <w:szCs w:val="20"/>
              </w:rPr>
            </w:pPr>
            <w:r>
              <w:rPr>
                <w:rFonts w:hint="eastAsia"/>
                <w:bCs/>
                <w:kern w:val="24"/>
                <w:sz w:val="24"/>
                <w:szCs w:val="20"/>
              </w:rPr>
              <w:t>（3）动物资源现状调查</w:t>
            </w:r>
          </w:p>
          <w:p w14:paraId="181B9A85">
            <w:pPr>
              <w:spacing w:line="440" w:lineRule="exact"/>
              <w:ind w:firstLine="482"/>
              <w:textAlignment w:val="baseline"/>
              <w:rPr>
                <w:bCs/>
                <w:kern w:val="24"/>
                <w:sz w:val="24"/>
                <w:szCs w:val="20"/>
              </w:rPr>
            </w:pPr>
            <w:r>
              <w:rPr>
                <w:rFonts w:hint="eastAsia"/>
                <w:bCs/>
                <w:kern w:val="24"/>
                <w:sz w:val="24"/>
                <w:szCs w:val="20"/>
              </w:rPr>
              <w:t>根据调查了解，未在管线周围发现其他国家珍稀鸟类，野生动物均为广布种，评价区内没有自然保护区。根据国家林业和草原局和农业农村部公告（2021年第3号）《国家重点保护野生动物名录》，未发现国家重点保护野生动物、珍稀濒危野生动物。</w:t>
            </w:r>
          </w:p>
          <w:p w14:paraId="7603918B">
            <w:pPr>
              <w:spacing w:line="440" w:lineRule="exact"/>
              <w:ind w:firstLine="480" w:firstLineChars="200"/>
              <w:textAlignment w:val="baseline"/>
              <w:rPr>
                <w:bCs/>
                <w:kern w:val="24"/>
                <w:sz w:val="24"/>
                <w:szCs w:val="20"/>
              </w:rPr>
            </w:pPr>
            <w:r>
              <w:rPr>
                <w:rFonts w:hint="eastAsia"/>
                <w:bCs/>
                <w:kern w:val="24"/>
                <w:sz w:val="24"/>
                <w:szCs w:val="20"/>
              </w:rPr>
              <w:t>（4）土地利用类型</w:t>
            </w:r>
          </w:p>
          <w:p w14:paraId="01F3684D">
            <w:pPr>
              <w:spacing w:line="440" w:lineRule="exact"/>
              <w:ind w:firstLine="482"/>
              <w:textAlignment w:val="baseline"/>
              <w:rPr>
                <w:bCs/>
                <w:kern w:val="24"/>
                <w:sz w:val="24"/>
                <w:szCs w:val="20"/>
              </w:rPr>
            </w:pPr>
            <w:r>
              <w:rPr>
                <w:rFonts w:hint="eastAsia"/>
                <w:bCs/>
                <w:kern w:val="24"/>
                <w:sz w:val="24"/>
                <w:szCs w:val="20"/>
              </w:rPr>
              <w:t>利用卫星遥感及地理信息系统技术并结合地面实际调查，对管道和整体管道300m范围内的土地利用类型进行了调查，详见表3-2及图3-5。</w:t>
            </w:r>
          </w:p>
          <w:p w14:paraId="71F50D8A">
            <w:pPr>
              <w:spacing w:line="440" w:lineRule="exact"/>
              <w:ind w:firstLine="482"/>
              <w:textAlignment w:val="baseline"/>
              <w:rPr>
                <w:b/>
                <w:kern w:val="24"/>
                <w:sz w:val="24"/>
                <w:szCs w:val="20"/>
              </w:rPr>
            </w:pPr>
            <w:r>
              <w:rPr>
                <w:rFonts w:hint="eastAsia"/>
                <w:b/>
                <w:kern w:val="24"/>
                <w:sz w:val="24"/>
                <w:szCs w:val="20"/>
              </w:rPr>
              <w:t>表3-2   本工程评价范围内土地利用现状调查表</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8"/>
              <w:gridCol w:w="3580"/>
              <w:gridCol w:w="1890"/>
              <w:gridCol w:w="1411"/>
            </w:tblGrid>
            <w:tr w14:paraId="3751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864" w:type="pct"/>
                  <w:shd w:val="clear" w:color="auto" w:fill="auto"/>
                  <w:noWrap/>
                  <w:vAlign w:val="center"/>
                </w:tcPr>
                <w:p w14:paraId="6115507C">
                  <w:pPr>
                    <w:spacing w:line="360" w:lineRule="atLeast"/>
                    <w:jc w:val="center"/>
                    <w:rPr>
                      <w:szCs w:val="21"/>
                      <w:lang w:val="zh-CN"/>
                    </w:rPr>
                  </w:pPr>
                  <w:r>
                    <w:rPr>
                      <w:rFonts w:hint="eastAsia"/>
                      <w:szCs w:val="21"/>
                      <w:lang w:val="zh-CN"/>
                    </w:rPr>
                    <w:t>位置</w:t>
                  </w:r>
                </w:p>
              </w:tc>
              <w:tc>
                <w:tcPr>
                  <w:tcW w:w="2152" w:type="pct"/>
                  <w:shd w:val="clear" w:color="auto" w:fill="auto"/>
                  <w:noWrap/>
                  <w:vAlign w:val="center"/>
                </w:tcPr>
                <w:p w14:paraId="09BD7E71">
                  <w:pPr>
                    <w:spacing w:line="360" w:lineRule="atLeast"/>
                    <w:jc w:val="center"/>
                    <w:rPr>
                      <w:szCs w:val="21"/>
                      <w:lang w:val="zh-CN"/>
                    </w:rPr>
                  </w:pPr>
                  <w:r>
                    <w:rPr>
                      <w:rFonts w:hint="eastAsia"/>
                      <w:szCs w:val="21"/>
                    </w:rPr>
                    <w:t>名称</w:t>
                  </w:r>
                </w:p>
              </w:tc>
              <w:tc>
                <w:tcPr>
                  <w:tcW w:w="1136" w:type="pct"/>
                  <w:shd w:val="clear" w:color="auto" w:fill="auto"/>
                  <w:noWrap/>
                  <w:vAlign w:val="center"/>
                </w:tcPr>
                <w:p w14:paraId="45A85CEA">
                  <w:pPr>
                    <w:spacing w:line="360" w:lineRule="atLeast"/>
                    <w:jc w:val="center"/>
                    <w:rPr>
                      <w:szCs w:val="21"/>
                      <w:lang w:val="zh-CN"/>
                    </w:rPr>
                  </w:pPr>
                  <w:r>
                    <w:rPr>
                      <w:rFonts w:hint="eastAsia"/>
                      <w:szCs w:val="21"/>
                      <w:lang w:val="zh-CN"/>
                    </w:rPr>
                    <w:t>面积（</w:t>
                  </w:r>
                  <w:r>
                    <w:rPr>
                      <w:rFonts w:hint="eastAsia"/>
                      <w:szCs w:val="21"/>
                    </w:rPr>
                    <w:t>h</w:t>
                  </w:r>
                  <w:r>
                    <w:rPr>
                      <w:rFonts w:hint="eastAsia"/>
                      <w:szCs w:val="21"/>
                      <w:lang w:val="zh-CN"/>
                    </w:rPr>
                    <w:t>m</w:t>
                  </w:r>
                  <w:r>
                    <w:rPr>
                      <w:rFonts w:hint="eastAsia"/>
                      <w:szCs w:val="21"/>
                      <w:vertAlign w:val="superscript"/>
                    </w:rPr>
                    <w:t>2</w:t>
                  </w:r>
                  <w:r>
                    <w:rPr>
                      <w:rFonts w:hint="eastAsia"/>
                      <w:szCs w:val="21"/>
                      <w:lang w:val="zh-CN"/>
                    </w:rPr>
                    <w:t>）</w:t>
                  </w:r>
                </w:p>
              </w:tc>
              <w:tc>
                <w:tcPr>
                  <w:tcW w:w="848" w:type="pct"/>
                  <w:shd w:val="clear" w:color="auto" w:fill="auto"/>
                  <w:noWrap/>
                  <w:vAlign w:val="center"/>
                </w:tcPr>
                <w:p w14:paraId="670148C2">
                  <w:pPr>
                    <w:spacing w:line="360" w:lineRule="atLeast"/>
                    <w:jc w:val="center"/>
                    <w:rPr>
                      <w:szCs w:val="21"/>
                      <w:lang w:val="zh-CN"/>
                    </w:rPr>
                  </w:pPr>
                  <w:r>
                    <w:rPr>
                      <w:rFonts w:hint="eastAsia"/>
                      <w:szCs w:val="21"/>
                      <w:lang w:val="zh-CN"/>
                    </w:rPr>
                    <w:t>比例</w:t>
                  </w:r>
                  <w:r>
                    <w:rPr>
                      <w:rFonts w:hint="eastAsia"/>
                      <w:szCs w:val="21"/>
                    </w:rPr>
                    <w:t>%</w:t>
                  </w:r>
                </w:p>
              </w:tc>
            </w:tr>
            <w:tr w14:paraId="7904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64" w:type="pct"/>
                  <w:vMerge w:val="restart"/>
                  <w:shd w:val="clear" w:color="auto" w:fill="auto"/>
                  <w:vAlign w:val="center"/>
                </w:tcPr>
                <w:p w14:paraId="40312ECF">
                  <w:pPr>
                    <w:spacing w:line="360" w:lineRule="atLeast"/>
                    <w:jc w:val="center"/>
                    <w:rPr>
                      <w:szCs w:val="21"/>
                    </w:rPr>
                  </w:pPr>
                  <w:r>
                    <w:rPr>
                      <w:rFonts w:hint="eastAsia"/>
                      <w:szCs w:val="21"/>
                    </w:rPr>
                    <w:t>评价区</w:t>
                  </w:r>
                </w:p>
              </w:tc>
              <w:tc>
                <w:tcPr>
                  <w:tcW w:w="2152" w:type="pct"/>
                  <w:shd w:val="clear" w:color="auto" w:fill="auto"/>
                  <w:vAlign w:val="center"/>
                </w:tcPr>
                <w:p w14:paraId="39DD8FB8">
                  <w:pPr>
                    <w:spacing w:line="360" w:lineRule="atLeast"/>
                    <w:jc w:val="center"/>
                    <w:rPr>
                      <w:szCs w:val="21"/>
                      <w:lang w:val="zh-CN"/>
                    </w:rPr>
                  </w:pPr>
                  <w:r>
                    <w:rPr>
                      <w:rFonts w:hint="eastAsia"/>
                      <w:szCs w:val="21"/>
                    </w:rPr>
                    <w:t>工业用地</w:t>
                  </w:r>
                </w:p>
              </w:tc>
              <w:tc>
                <w:tcPr>
                  <w:tcW w:w="1136" w:type="pct"/>
                  <w:shd w:val="clear" w:color="auto" w:fill="auto"/>
                  <w:noWrap/>
                  <w:vAlign w:val="center"/>
                </w:tcPr>
                <w:p w14:paraId="03DF5B7E">
                  <w:pPr>
                    <w:widowControl/>
                    <w:spacing w:line="360" w:lineRule="atLeast"/>
                    <w:jc w:val="center"/>
                    <w:textAlignment w:val="center"/>
                    <w:rPr>
                      <w:kern w:val="0"/>
                      <w:szCs w:val="21"/>
                      <w:lang w:val="zh-CN" w:bidi="ar"/>
                    </w:rPr>
                  </w:pPr>
                  <w:r>
                    <w:rPr>
                      <w:rFonts w:hint="eastAsia"/>
                      <w:kern w:val="0"/>
                      <w:szCs w:val="21"/>
                      <w:lang w:bidi="ar"/>
                    </w:rPr>
                    <w:t>148.80</w:t>
                  </w:r>
                </w:p>
              </w:tc>
              <w:tc>
                <w:tcPr>
                  <w:tcW w:w="848" w:type="pct"/>
                  <w:shd w:val="clear" w:color="auto" w:fill="auto"/>
                  <w:noWrap/>
                  <w:vAlign w:val="center"/>
                </w:tcPr>
                <w:p w14:paraId="2AC5957D">
                  <w:pPr>
                    <w:widowControl/>
                    <w:spacing w:line="360" w:lineRule="atLeast"/>
                    <w:jc w:val="center"/>
                    <w:textAlignment w:val="center"/>
                  </w:pPr>
                  <w:r>
                    <w:rPr>
                      <w:rFonts w:hint="eastAsia"/>
                      <w:kern w:val="0"/>
                      <w:szCs w:val="21"/>
                      <w:lang w:bidi="ar"/>
                    </w:rPr>
                    <w:t>92.41</w:t>
                  </w:r>
                </w:p>
              </w:tc>
            </w:tr>
            <w:tr w14:paraId="0CE1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64" w:type="pct"/>
                  <w:vMerge w:val="continue"/>
                  <w:shd w:val="clear" w:color="auto" w:fill="auto"/>
                  <w:vAlign w:val="center"/>
                </w:tcPr>
                <w:p w14:paraId="44D646AA">
                  <w:pPr>
                    <w:spacing w:line="360" w:lineRule="atLeast"/>
                    <w:jc w:val="center"/>
                    <w:rPr>
                      <w:szCs w:val="21"/>
                      <w:lang w:val="zh-CN"/>
                    </w:rPr>
                  </w:pPr>
                </w:p>
              </w:tc>
              <w:tc>
                <w:tcPr>
                  <w:tcW w:w="2152" w:type="pct"/>
                  <w:shd w:val="clear" w:color="auto" w:fill="auto"/>
                  <w:noWrap/>
                  <w:vAlign w:val="center"/>
                </w:tcPr>
                <w:p w14:paraId="6B61B8E7">
                  <w:pPr>
                    <w:spacing w:line="360" w:lineRule="atLeast"/>
                    <w:jc w:val="center"/>
                    <w:rPr>
                      <w:szCs w:val="21"/>
                      <w:lang w:val="zh-CN"/>
                    </w:rPr>
                  </w:pPr>
                  <w:r>
                    <w:rPr>
                      <w:rFonts w:hint="eastAsia"/>
                      <w:szCs w:val="21"/>
                    </w:rPr>
                    <w:t>道路用地</w:t>
                  </w:r>
                </w:p>
              </w:tc>
              <w:tc>
                <w:tcPr>
                  <w:tcW w:w="1136" w:type="pct"/>
                  <w:shd w:val="clear" w:color="auto" w:fill="auto"/>
                  <w:noWrap/>
                  <w:vAlign w:val="center"/>
                </w:tcPr>
                <w:p w14:paraId="1EFF6B42">
                  <w:pPr>
                    <w:widowControl/>
                    <w:spacing w:line="360" w:lineRule="atLeast"/>
                    <w:jc w:val="center"/>
                    <w:textAlignment w:val="center"/>
                    <w:rPr>
                      <w:kern w:val="0"/>
                      <w:szCs w:val="21"/>
                      <w:lang w:val="zh-CN" w:bidi="ar"/>
                    </w:rPr>
                  </w:pPr>
                  <w:r>
                    <w:rPr>
                      <w:rFonts w:hint="eastAsia"/>
                      <w:kern w:val="0"/>
                      <w:szCs w:val="21"/>
                      <w:lang w:bidi="ar"/>
                    </w:rPr>
                    <w:t>0.25</w:t>
                  </w:r>
                </w:p>
              </w:tc>
              <w:tc>
                <w:tcPr>
                  <w:tcW w:w="848" w:type="pct"/>
                  <w:shd w:val="clear" w:color="auto" w:fill="auto"/>
                  <w:noWrap/>
                  <w:vAlign w:val="center"/>
                </w:tcPr>
                <w:p w14:paraId="47C287D6">
                  <w:pPr>
                    <w:widowControl/>
                    <w:spacing w:line="360" w:lineRule="atLeast"/>
                    <w:jc w:val="center"/>
                    <w:textAlignment w:val="center"/>
                  </w:pPr>
                  <w:r>
                    <w:rPr>
                      <w:rFonts w:hint="eastAsia"/>
                      <w:kern w:val="0"/>
                      <w:szCs w:val="21"/>
                      <w:lang w:bidi="ar"/>
                    </w:rPr>
                    <w:t>0.16</w:t>
                  </w:r>
                </w:p>
              </w:tc>
            </w:tr>
            <w:tr w14:paraId="3320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4" w:type="pct"/>
                  <w:vMerge w:val="continue"/>
                  <w:shd w:val="clear" w:color="auto" w:fill="auto"/>
                  <w:vAlign w:val="center"/>
                </w:tcPr>
                <w:p w14:paraId="53532896">
                  <w:pPr>
                    <w:spacing w:line="360" w:lineRule="atLeast"/>
                    <w:jc w:val="center"/>
                    <w:rPr>
                      <w:szCs w:val="21"/>
                      <w:lang w:val="zh-CN"/>
                    </w:rPr>
                  </w:pPr>
                </w:p>
              </w:tc>
              <w:tc>
                <w:tcPr>
                  <w:tcW w:w="2152" w:type="pct"/>
                  <w:shd w:val="clear" w:color="auto" w:fill="auto"/>
                  <w:vAlign w:val="center"/>
                </w:tcPr>
                <w:p w14:paraId="3848DAE9">
                  <w:pPr>
                    <w:spacing w:line="360" w:lineRule="atLeast"/>
                    <w:jc w:val="center"/>
                    <w:rPr>
                      <w:szCs w:val="21"/>
                      <w:lang w:val="zh-CN"/>
                    </w:rPr>
                  </w:pPr>
                  <w:r>
                    <w:rPr>
                      <w:rFonts w:hint="eastAsia"/>
                      <w:szCs w:val="21"/>
                    </w:rPr>
                    <w:t>天然牧草地</w:t>
                  </w:r>
                </w:p>
              </w:tc>
              <w:tc>
                <w:tcPr>
                  <w:tcW w:w="1136" w:type="pct"/>
                  <w:shd w:val="clear" w:color="auto" w:fill="auto"/>
                  <w:noWrap/>
                  <w:vAlign w:val="center"/>
                </w:tcPr>
                <w:p w14:paraId="5E02DD02">
                  <w:pPr>
                    <w:widowControl/>
                    <w:spacing w:line="360" w:lineRule="atLeast"/>
                    <w:jc w:val="center"/>
                    <w:textAlignment w:val="center"/>
                    <w:rPr>
                      <w:kern w:val="0"/>
                      <w:szCs w:val="21"/>
                      <w:lang w:val="zh-CN" w:bidi="ar"/>
                    </w:rPr>
                  </w:pPr>
                  <w:r>
                    <w:rPr>
                      <w:rFonts w:hint="eastAsia"/>
                      <w:kern w:val="0"/>
                      <w:szCs w:val="21"/>
                      <w:lang w:bidi="ar"/>
                    </w:rPr>
                    <w:t>11.97</w:t>
                  </w:r>
                </w:p>
              </w:tc>
              <w:tc>
                <w:tcPr>
                  <w:tcW w:w="848" w:type="pct"/>
                  <w:shd w:val="clear" w:color="auto" w:fill="auto"/>
                  <w:noWrap/>
                  <w:vAlign w:val="center"/>
                </w:tcPr>
                <w:p w14:paraId="2EE570B1">
                  <w:pPr>
                    <w:widowControl/>
                    <w:spacing w:line="360" w:lineRule="atLeast"/>
                    <w:jc w:val="center"/>
                    <w:textAlignment w:val="center"/>
                  </w:pPr>
                  <w:r>
                    <w:rPr>
                      <w:rFonts w:hint="eastAsia"/>
                      <w:kern w:val="0"/>
                      <w:szCs w:val="21"/>
                      <w:lang w:bidi="ar"/>
                    </w:rPr>
                    <w:t>7.43</w:t>
                  </w:r>
                </w:p>
              </w:tc>
            </w:tr>
            <w:tr w14:paraId="6372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64" w:type="pct"/>
                  <w:vMerge w:val="continue"/>
                  <w:shd w:val="clear" w:color="auto" w:fill="auto"/>
                  <w:vAlign w:val="center"/>
                </w:tcPr>
                <w:p w14:paraId="13A66716">
                  <w:pPr>
                    <w:spacing w:line="360" w:lineRule="atLeast"/>
                    <w:jc w:val="center"/>
                    <w:rPr>
                      <w:szCs w:val="21"/>
                      <w:lang w:val="zh-CN"/>
                    </w:rPr>
                  </w:pPr>
                </w:p>
              </w:tc>
              <w:tc>
                <w:tcPr>
                  <w:tcW w:w="2152" w:type="pct"/>
                  <w:shd w:val="clear" w:color="auto" w:fill="auto"/>
                  <w:noWrap/>
                  <w:vAlign w:val="center"/>
                </w:tcPr>
                <w:p w14:paraId="71CD6479">
                  <w:pPr>
                    <w:spacing w:line="360" w:lineRule="atLeast"/>
                    <w:jc w:val="center"/>
                    <w:rPr>
                      <w:szCs w:val="21"/>
                      <w:lang w:val="zh-CN"/>
                    </w:rPr>
                  </w:pPr>
                  <w:r>
                    <w:rPr>
                      <w:rFonts w:hint="eastAsia"/>
                      <w:szCs w:val="21"/>
                      <w:lang w:val="zh-CN"/>
                    </w:rPr>
                    <w:t>合计</w:t>
                  </w:r>
                </w:p>
              </w:tc>
              <w:tc>
                <w:tcPr>
                  <w:tcW w:w="1136" w:type="pct"/>
                  <w:shd w:val="clear" w:color="auto" w:fill="auto"/>
                  <w:noWrap/>
                  <w:vAlign w:val="center"/>
                </w:tcPr>
                <w:p w14:paraId="6F94599C">
                  <w:pPr>
                    <w:widowControl/>
                    <w:spacing w:line="360" w:lineRule="atLeast"/>
                    <w:jc w:val="center"/>
                    <w:textAlignment w:val="center"/>
                    <w:rPr>
                      <w:kern w:val="0"/>
                      <w:szCs w:val="21"/>
                      <w:lang w:bidi="ar"/>
                    </w:rPr>
                  </w:pPr>
                  <w:r>
                    <w:rPr>
                      <w:rFonts w:hint="eastAsia"/>
                      <w:kern w:val="0"/>
                      <w:szCs w:val="21"/>
                      <w:lang w:bidi="ar"/>
                    </w:rPr>
                    <w:t>161.02</w:t>
                  </w:r>
                </w:p>
              </w:tc>
              <w:tc>
                <w:tcPr>
                  <w:tcW w:w="848" w:type="pct"/>
                  <w:shd w:val="clear" w:color="auto" w:fill="auto"/>
                  <w:noWrap/>
                  <w:vAlign w:val="center"/>
                </w:tcPr>
                <w:p w14:paraId="293EA5FE">
                  <w:pPr>
                    <w:spacing w:line="360" w:lineRule="atLeast"/>
                    <w:jc w:val="center"/>
                    <w:rPr>
                      <w:szCs w:val="21"/>
                    </w:rPr>
                  </w:pPr>
                  <w:r>
                    <w:rPr>
                      <w:rFonts w:hint="eastAsia"/>
                      <w:szCs w:val="21"/>
                    </w:rPr>
                    <w:t>100%</w:t>
                  </w:r>
                </w:p>
              </w:tc>
            </w:tr>
          </w:tbl>
          <w:p w14:paraId="442AE8CD">
            <w:pPr>
              <w:spacing w:line="440" w:lineRule="exact"/>
              <w:ind w:firstLine="482"/>
              <w:textAlignment w:val="baseline"/>
              <w:rPr>
                <w:bCs/>
                <w:kern w:val="24"/>
                <w:sz w:val="24"/>
                <w:szCs w:val="20"/>
              </w:rPr>
            </w:pPr>
            <w:r>
              <w:rPr>
                <w:rFonts w:hint="eastAsia"/>
                <w:bCs/>
                <w:kern w:val="24"/>
                <w:sz w:val="24"/>
                <w:szCs w:val="20"/>
              </w:rPr>
              <w:t>从上表可以看出，评价区范围内各土地利用</w:t>
            </w:r>
            <w:r>
              <w:rPr>
                <w:rFonts w:hint="eastAsia"/>
                <w:bCs/>
                <w:kern w:val="24"/>
                <w:sz w:val="24"/>
                <w:szCs w:val="20"/>
                <w:lang w:eastAsia="zh-CN"/>
              </w:rPr>
              <w:t>类型</w:t>
            </w:r>
            <w:r>
              <w:rPr>
                <w:rFonts w:hint="eastAsia"/>
                <w:bCs/>
                <w:kern w:val="24"/>
                <w:sz w:val="24"/>
                <w:szCs w:val="20"/>
              </w:rPr>
              <w:t>调查总面积为161.02hm</w:t>
            </w:r>
            <w:r>
              <w:rPr>
                <w:rFonts w:hint="eastAsia"/>
                <w:bCs/>
                <w:kern w:val="24"/>
                <w:sz w:val="24"/>
                <w:szCs w:val="20"/>
                <w:vertAlign w:val="superscript"/>
              </w:rPr>
              <w:t>2</w:t>
            </w:r>
            <w:r>
              <w:rPr>
                <w:rFonts w:hint="eastAsia"/>
                <w:bCs/>
                <w:kern w:val="24"/>
                <w:sz w:val="24"/>
                <w:szCs w:val="20"/>
              </w:rPr>
              <w:t>，土地利用类型主要为工业用地、道路用地、天然牧草地等。其中工业用地面积为148.80hm</w:t>
            </w:r>
            <w:r>
              <w:rPr>
                <w:rFonts w:hint="eastAsia"/>
                <w:bCs/>
                <w:kern w:val="24"/>
                <w:sz w:val="24"/>
                <w:szCs w:val="20"/>
                <w:vertAlign w:val="superscript"/>
              </w:rPr>
              <w:t>2</w:t>
            </w:r>
            <w:r>
              <w:rPr>
                <w:rFonts w:hint="eastAsia"/>
                <w:bCs/>
                <w:kern w:val="24"/>
                <w:sz w:val="24"/>
                <w:szCs w:val="20"/>
              </w:rPr>
              <w:t>，占评价区总面积的92.41%；道路用地面积为0.25hm</w:t>
            </w:r>
            <w:r>
              <w:rPr>
                <w:rFonts w:hint="eastAsia"/>
                <w:bCs/>
                <w:kern w:val="24"/>
                <w:sz w:val="24"/>
                <w:szCs w:val="20"/>
                <w:vertAlign w:val="superscript"/>
              </w:rPr>
              <w:t>2</w:t>
            </w:r>
            <w:r>
              <w:rPr>
                <w:rFonts w:hint="eastAsia"/>
                <w:bCs/>
                <w:kern w:val="24"/>
                <w:sz w:val="24"/>
                <w:szCs w:val="20"/>
              </w:rPr>
              <w:t>，占评价区总面积的0.16%；天然牧草地（全部集中在厂界外，厂区内不涉及）面积为11.97hm</w:t>
            </w:r>
            <w:r>
              <w:rPr>
                <w:rFonts w:hint="eastAsia"/>
                <w:bCs/>
                <w:kern w:val="24"/>
                <w:sz w:val="24"/>
                <w:szCs w:val="20"/>
                <w:vertAlign w:val="superscript"/>
              </w:rPr>
              <w:t>2</w:t>
            </w:r>
            <w:r>
              <w:rPr>
                <w:rFonts w:hint="eastAsia"/>
                <w:bCs/>
                <w:kern w:val="24"/>
                <w:sz w:val="24"/>
                <w:szCs w:val="20"/>
              </w:rPr>
              <w:t>，占评价区总面积的7.43%。</w:t>
            </w:r>
          </w:p>
          <w:p w14:paraId="3D31C7E1">
            <w:pPr>
              <w:spacing w:line="440" w:lineRule="exact"/>
              <w:ind w:firstLine="482"/>
              <w:textAlignment w:val="baseline"/>
              <w:rPr>
                <w:bCs/>
                <w:kern w:val="24"/>
                <w:sz w:val="24"/>
                <w:szCs w:val="20"/>
              </w:rPr>
            </w:pPr>
          </w:p>
          <w:p w14:paraId="39CDE08D">
            <w:pPr>
              <w:spacing w:line="440" w:lineRule="exact"/>
              <w:ind w:firstLine="482"/>
              <w:textAlignment w:val="baseline"/>
              <w:rPr>
                <w:bCs/>
                <w:kern w:val="24"/>
                <w:sz w:val="24"/>
                <w:szCs w:val="20"/>
              </w:rPr>
            </w:pPr>
          </w:p>
          <w:p w14:paraId="2A2C4496">
            <w:pPr>
              <w:spacing w:line="440" w:lineRule="exact"/>
              <w:ind w:firstLine="482"/>
              <w:textAlignment w:val="baseline"/>
              <w:rPr>
                <w:bCs/>
                <w:kern w:val="24"/>
                <w:sz w:val="24"/>
                <w:szCs w:val="20"/>
              </w:rPr>
            </w:pPr>
          </w:p>
          <w:p w14:paraId="7F4FED47">
            <w:pPr>
              <w:spacing w:line="440" w:lineRule="exact"/>
              <w:ind w:firstLine="482"/>
              <w:textAlignment w:val="baseline"/>
              <w:rPr>
                <w:bCs/>
                <w:kern w:val="24"/>
                <w:sz w:val="24"/>
                <w:szCs w:val="20"/>
              </w:rPr>
            </w:pPr>
          </w:p>
          <w:p w14:paraId="384EC53D">
            <w:pPr>
              <w:spacing w:line="440" w:lineRule="exact"/>
              <w:ind w:firstLine="482"/>
              <w:textAlignment w:val="baseline"/>
              <w:rPr>
                <w:bCs/>
                <w:kern w:val="24"/>
                <w:sz w:val="24"/>
                <w:szCs w:val="20"/>
              </w:rPr>
            </w:pPr>
          </w:p>
          <w:p w14:paraId="40F18628">
            <w:pPr>
              <w:spacing w:line="440" w:lineRule="exact"/>
              <w:ind w:firstLine="482"/>
              <w:textAlignment w:val="baseline"/>
              <w:rPr>
                <w:bCs/>
                <w:kern w:val="24"/>
                <w:sz w:val="24"/>
                <w:szCs w:val="20"/>
              </w:rPr>
            </w:pPr>
          </w:p>
          <w:p w14:paraId="0CB493F0">
            <w:pPr>
              <w:spacing w:line="440" w:lineRule="exact"/>
              <w:ind w:firstLine="482"/>
              <w:textAlignment w:val="baseline"/>
              <w:rPr>
                <w:bCs/>
                <w:kern w:val="24"/>
                <w:sz w:val="24"/>
                <w:szCs w:val="20"/>
              </w:rPr>
            </w:pPr>
          </w:p>
          <w:p w14:paraId="069C04C8">
            <w:pPr>
              <w:spacing w:line="440" w:lineRule="exact"/>
              <w:ind w:firstLine="482"/>
              <w:textAlignment w:val="baseline"/>
              <w:rPr>
                <w:bCs/>
                <w:kern w:val="24"/>
                <w:sz w:val="24"/>
                <w:szCs w:val="20"/>
              </w:rPr>
            </w:pPr>
          </w:p>
          <w:p w14:paraId="2A700EAD">
            <w:pPr>
              <w:spacing w:line="440" w:lineRule="exact"/>
              <w:ind w:firstLine="482"/>
              <w:textAlignment w:val="baseline"/>
              <w:rPr>
                <w:bCs/>
                <w:kern w:val="24"/>
                <w:sz w:val="24"/>
                <w:szCs w:val="20"/>
              </w:rPr>
            </w:pPr>
          </w:p>
          <w:p w14:paraId="27EFC828">
            <w:pPr>
              <w:spacing w:line="440" w:lineRule="exact"/>
              <w:ind w:firstLine="482"/>
              <w:textAlignment w:val="baseline"/>
              <w:rPr>
                <w:bCs/>
                <w:kern w:val="24"/>
                <w:sz w:val="24"/>
                <w:szCs w:val="20"/>
              </w:rPr>
            </w:pPr>
          </w:p>
          <w:p w14:paraId="34DE810C">
            <w:pPr>
              <w:spacing w:line="440" w:lineRule="exact"/>
              <w:ind w:firstLine="482"/>
              <w:textAlignment w:val="baseline"/>
              <w:rPr>
                <w:bCs/>
                <w:kern w:val="24"/>
                <w:sz w:val="24"/>
                <w:szCs w:val="20"/>
              </w:rPr>
            </w:pPr>
          </w:p>
          <w:p w14:paraId="57096D05">
            <w:pPr>
              <w:spacing w:line="440" w:lineRule="exact"/>
              <w:ind w:firstLine="482"/>
              <w:textAlignment w:val="baseline"/>
              <w:rPr>
                <w:bCs/>
                <w:kern w:val="24"/>
                <w:sz w:val="24"/>
                <w:szCs w:val="20"/>
              </w:rPr>
            </w:pPr>
          </w:p>
          <w:p w14:paraId="1FA8337B">
            <w:pPr>
              <w:spacing w:line="440" w:lineRule="exact"/>
              <w:ind w:firstLine="482"/>
              <w:textAlignment w:val="baseline"/>
              <w:rPr>
                <w:bCs/>
                <w:kern w:val="24"/>
                <w:sz w:val="24"/>
                <w:szCs w:val="20"/>
              </w:rPr>
            </w:pPr>
          </w:p>
          <w:p w14:paraId="12CBC749">
            <w:pPr>
              <w:spacing w:line="440" w:lineRule="exact"/>
              <w:ind w:firstLine="482"/>
              <w:textAlignment w:val="baseline"/>
              <w:rPr>
                <w:bCs/>
                <w:kern w:val="24"/>
                <w:sz w:val="24"/>
                <w:szCs w:val="20"/>
              </w:rPr>
            </w:pPr>
          </w:p>
          <w:p w14:paraId="2EA8E794">
            <w:pPr>
              <w:spacing w:line="440" w:lineRule="exact"/>
              <w:ind w:firstLine="482"/>
              <w:textAlignment w:val="baseline"/>
              <w:rPr>
                <w:bCs/>
                <w:kern w:val="24"/>
                <w:sz w:val="24"/>
                <w:szCs w:val="20"/>
              </w:rPr>
            </w:pPr>
          </w:p>
          <w:p w14:paraId="20C8EB1D">
            <w:pPr>
              <w:ind w:left="17" w:leftChars="8" w:right="17" w:rightChars="8"/>
              <w:jc w:val="center"/>
              <w:rPr>
                <w:rFonts w:cs="Arial"/>
                <w:lang w:val="sq-AL" w:bidi="en-US"/>
              </w:rPr>
            </w:pPr>
            <w:r>
              <w:drawing>
                <wp:inline distT="0" distB="0" distL="0" distR="0">
                  <wp:extent cx="5081905" cy="7181215"/>
                  <wp:effectExtent l="0" t="0" r="444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94105" cy="7198216"/>
                          </a:xfrm>
                          <a:prstGeom prst="rect">
                            <a:avLst/>
                          </a:prstGeom>
                          <a:noFill/>
                          <a:ln>
                            <a:noFill/>
                          </a:ln>
                        </pic:spPr>
                      </pic:pic>
                    </a:graphicData>
                  </a:graphic>
                </wp:inline>
              </w:drawing>
            </w:r>
          </w:p>
          <w:p w14:paraId="56F082E9">
            <w:pPr>
              <w:spacing w:line="440" w:lineRule="exact"/>
              <w:jc w:val="center"/>
              <w:textAlignment w:val="baseline"/>
              <w:rPr>
                <w:b/>
                <w:kern w:val="24"/>
                <w:sz w:val="24"/>
                <w:szCs w:val="20"/>
              </w:rPr>
            </w:pPr>
            <w:r>
              <w:rPr>
                <w:rFonts w:hint="eastAsia"/>
                <w:b/>
                <w:kern w:val="24"/>
                <w:sz w:val="24"/>
                <w:szCs w:val="20"/>
              </w:rPr>
              <w:t>图3-5   土地利用类型图</w:t>
            </w:r>
          </w:p>
          <w:p w14:paraId="63DB1A81">
            <w:pPr>
              <w:spacing w:line="440" w:lineRule="exact"/>
              <w:ind w:firstLine="482"/>
              <w:textAlignment w:val="baseline"/>
              <w:rPr>
                <w:b/>
                <w:kern w:val="24"/>
                <w:sz w:val="24"/>
                <w:szCs w:val="20"/>
              </w:rPr>
            </w:pPr>
            <w:r>
              <w:rPr>
                <w:rFonts w:hint="eastAsia"/>
                <w:b/>
                <w:kern w:val="24"/>
                <w:sz w:val="24"/>
                <w:szCs w:val="20"/>
              </w:rPr>
              <w:t>3.</w:t>
            </w:r>
            <w:r>
              <w:rPr>
                <w:rFonts w:hint="eastAsia"/>
                <w:b/>
                <w:bCs/>
                <w:sz w:val="24"/>
              </w:rPr>
              <w:t>区域生态环境质量现状</w:t>
            </w:r>
          </w:p>
          <w:p w14:paraId="6794BC59">
            <w:pPr>
              <w:spacing w:line="440" w:lineRule="exact"/>
              <w:ind w:firstLine="482"/>
              <w:textAlignment w:val="baseline"/>
              <w:rPr>
                <w:bCs/>
                <w:kern w:val="24"/>
                <w:sz w:val="24"/>
                <w:szCs w:val="20"/>
              </w:rPr>
            </w:pPr>
            <w:r>
              <w:rPr>
                <w:rFonts w:hint="eastAsia"/>
                <w:bCs/>
                <w:kern w:val="24"/>
                <w:sz w:val="24"/>
                <w:szCs w:val="20"/>
              </w:rPr>
              <w:t>（1）大气</w:t>
            </w:r>
            <w:bookmarkStart w:id="32" w:name="OLE_LINK39"/>
            <w:r>
              <w:rPr>
                <w:rFonts w:hint="eastAsia"/>
                <w:bCs/>
                <w:kern w:val="24"/>
                <w:sz w:val="24"/>
                <w:szCs w:val="20"/>
              </w:rPr>
              <w:t>生态</w:t>
            </w:r>
            <w:bookmarkEnd w:id="32"/>
            <w:r>
              <w:rPr>
                <w:bCs/>
                <w:kern w:val="24"/>
                <w:sz w:val="24"/>
                <w:szCs w:val="20"/>
              </w:rPr>
              <w:t>环境质量现状</w:t>
            </w:r>
          </w:p>
          <w:p w14:paraId="500A9B57">
            <w:pPr>
              <w:spacing w:line="440" w:lineRule="exact"/>
              <w:ind w:firstLine="482"/>
              <w:textAlignment w:val="baseline"/>
              <w:rPr>
                <w:bCs/>
                <w:kern w:val="24"/>
                <w:sz w:val="24"/>
                <w:szCs w:val="20"/>
              </w:rPr>
            </w:pPr>
            <w:r>
              <w:rPr>
                <w:bCs/>
                <w:kern w:val="24"/>
                <w:sz w:val="24"/>
                <w:szCs w:val="20"/>
              </w:rPr>
              <w:t>根据《环境影响评价技术导则</w:t>
            </w:r>
            <w:r>
              <w:rPr>
                <w:rFonts w:hint="eastAsia"/>
                <w:bCs/>
                <w:kern w:val="24"/>
                <w:sz w:val="24"/>
                <w:szCs w:val="20"/>
              </w:rPr>
              <w:t xml:space="preserve">  </w:t>
            </w:r>
            <w:r>
              <w:rPr>
                <w:bCs/>
                <w:kern w:val="24"/>
                <w:sz w:val="24"/>
                <w:szCs w:val="20"/>
              </w:rPr>
              <w:t>大气环境》（HJ 2.2-2018）中城市环境空气质量达标情况评价指标为SO</w:t>
            </w:r>
            <w:r>
              <w:rPr>
                <w:bCs/>
                <w:kern w:val="24"/>
                <w:sz w:val="24"/>
                <w:szCs w:val="20"/>
                <w:vertAlign w:val="subscript"/>
              </w:rPr>
              <w:t>2</w:t>
            </w:r>
            <w:r>
              <w:rPr>
                <w:bCs/>
                <w:kern w:val="24"/>
                <w:sz w:val="24"/>
                <w:szCs w:val="20"/>
              </w:rPr>
              <w:t>、NO</w:t>
            </w:r>
            <w:r>
              <w:rPr>
                <w:bCs/>
                <w:kern w:val="24"/>
                <w:sz w:val="24"/>
                <w:szCs w:val="20"/>
                <w:vertAlign w:val="subscript"/>
              </w:rPr>
              <w:t>2</w:t>
            </w:r>
            <w:r>
              <w:rPr>
                <w:bCs/>
                <w:kern w:val="24"/>
                <w:sz w:val="24"/>
                <w:szCs w:val="20"/>
              </w:rPr>
              <w:t>、PM</w:t>
            </w:r>
            <w:r>
              <w:rPr>
                <w:bCs/>
                <w:kern w:val="24"/>
                <w:sz w:val="24"/>
                <w:szCs w:val="20"/>
                <w:vertAlign w:val="subscript"/>
              </w:rPr>
              <w:t>10</w:t>
            </w:r>
            <w:r>
              <w:rPr>
                <w:bCs/>
                <w:kern w:val="24"/>
                <w:sz w:val="24"/>
                <w:szCs w:val="20"/>
              </w:rPr>
              <w:t>、PM</w:t>
            </w:r>
            <w:r>
              <w:rPr>
                <w:bCs/>
                <w:kern w:val="24"/>
                <w:sz w:val="24"/>
                <w:szCs w:val="20"/>
                <w:vertAlign w:val="subscript"/>
              </w:rPr>
              <w:t>2.5</w:t>
            </w:r>
            <w:r>
              <w:rPr>
                <w:bCs/>
                <w:kern w:val="24"/>
                <w:sz w:val="24"/>
                <w:szCs w:val="20"/>
              </w:rPr>
              <w:t>、CO和O</w:t>
            </w:r>
            <w:r>
              <w:rPr>
                <w:bCs/>
                <w:kern w:val="24"/>
                <w:sz w:val="24"/>
                <w:szCs w:val="20"/>
                <w:vertAlign w:val="subscript"/>
              </w:rPr>
              <w:t>3</w:t>
            </w:r>
            <w:r>
              <w:rPr>
                <w:bCs/>
                <w:kern w:val="24"/>
                <w:sz w:val="24"/>
                <w:szCs w:val="20"/>
              </w:rPr>
              <w:t>，六项污染物全部达标即为城市环境空气质量达标。</w:t>
            </w:r>
          </w:p>
          <w:p w14:paraId="41F63FDB">
            <w:pPr>
              <w:spacing w:line="440" w:lineRule="exact"/>
              <w:ind w:firstLine="482"/>
              <w:textAlignment w:val="baseline"/>
              <w:rPr>
                <w:bCs/>
                <w:kern w:val="24"/>
                <w:sz w:val="24"/>
                <w:szCs w:val="20"/>
              </w:rPr>
            </w:pPr>
            <w:r>
              <w:rPr>
                <w:rFonts w:hint="eastAsia"/>
                <w:bCs/>
                <w:kern w:val="24"/>
                <w:sz w:val="24"/>
                <w:szCs w:val="20"/>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无相关数据的，大气、固定声源环境质量现状监测参照《建设项目环境影响报告表编制技术指南（污染影响类）（试行）》相关规定开展补充监测”。</w:t>
            </w:r>
          </w:p>
          <w:p w14:paraId="1EFC99F0">
            <w:pPr>
              <w:spacing w:line="440" w:lineRule="exact"/>
              <w:ind w:firstLine="482"/>
              <w:textAlignment w:val="baseline"/>
              <w:rPr>
                <w:bCs/>
                <w:kern w:val="24"/>
                <w:sz w:val="24"/>
                <w:szCs w:val="20"/>
              </w:rPr>
            </w:pPr>
            <w:r>
              <w:rPr>
                <w:bCs/>
                <w:kern w:val="24"/>
                <w:sz w:val="24"/>
                <w:szCs w:val="20"/>
              </w:rPr>
              <w:t>根据《环境影响评价技术导则 大气环境》（HJ 2.2-2018）的规定，项目所在区域环境空气质量达标判定，优先采用国家或地方生态环境主管部门公开发布的评价基准年环境质量公告或环境质量报告中的数据或结论。根据环境空气质量模型技术支持服务系统（https://data.lem.org.cn/eamds/apply/tostepone.html），鄂尔多斯市202</w:t>
            </w:r>
            <w:r>
              <w:rPr>
                <w:rFonts w:hint="eastAsia"/>
                <w:bCs/>
                <w:kern w:val="24"/>
                <w:sz w:val="24"/>
                <w:szCs w:val="20"/>
              </w:rPr>
              <w:t>5</w:t>
            </w:r>
            <w:r>
              <w:rPr>
                <w:bCs/>
                <w:kern w:val="24"/>
                <w:sz w:val="24"/>
                <w:szCs w:val="20"/>
              </w:rPr>
              <w:t>年SO</w:t>
            </w:r>
            <w:r>
              <w:rPr>
                <w:bCs/>
                <w:kern w:val="24"/>
                <w:sz w:val="24"/>
                <w:szCs w:val="20"/>
                <w:vertAlign w:val="subscript"/>
              </w:rPr>
              <w:t>2</w:t>
            </w:r>
            <w:r>
              <w:rPr>
                <w:bCs/>
                <w:kern w:val="24"/>
                <w:sz w:val="24"/>
                <w:szCs w:val="20"/>
              </w:rPr>
              <w:t>、NO</w:t>
            </w:r>
            <w:r>
              <w:rPr>
                <w:bCs/>
                <w:kern w:val="24"/>
                <w:sz w:val="24"/>
                <w:szCs w:val="20"/>
                <w:vertAlign w:val="subscript"/>
              </w:rPr>
              <w:t>2</w:t>
            </w:r>
            <w:r>
              <w:rPr>
                <w:bCs/>
                <w:kern w:val="24"/>
                <w:sz w:val="24"/>
                <w:szCs w:val="20"/>
              </w:rPr>
              <w:t>、PM</w:t>
            </w:r>
            <w:r>
              <w:rPr>
                <w:bCs/>
                <w:kern w:val="24"/>
                <w:sz w:val="24"/>
                <w:szCs w:val="20"/>
                <w:vertAlign w:val="subscript"/>
              </w:rPr>
              <w:t>10</w:t>
            </w:r>
            <w:r>
              <w:rPr>
                <w:bCs/>
                <w:kern w:val="24"/>
                <w:sz w:val="24"/>
                <w:szCs w:val="20"/>
              </w:rPr>
              <w:t>、PM</w:t>
            </w:r>
            <w:r>
              <w:rPr>
                <w:bCs/>
                <w:kern w:val="24"/>
                <w:sz w:val="24"/>
                <w:szCs w:val="20"/>
                <w:vertAlign w:val="subscript"/>
              </w:rPr>
              <w:t>2.5</w:t>
            </w:r>
            <w:r>
              <w:rPr>
                <w:bCs/>
                <w:kern w:val="24"/>
                <w:sz w:val="24"/>
                <w:szCs w:val="20"/>
              </w:rPr>
              <w:t>年均浓度分别为</w:t>
            </w:r>
            <w:r>
              <w:rPr>
                <w:rFonts w:hint="eastAsia"/>
                <w:bCs/>
                <w:kern w:val="24"/>
                <w:sz w:val="24"/>
                <w:szCs w:val="20"/>
              </w:rPr>
              <w:t>7</w:t>
            </w:r>
            <w:r>
              <w:rPr>
                <w:bCs/>
                <w:kern w:val="24"/>
                <w:sz w:val="24"/>
                <w:szCs w:val="20"/>
              </w:rPr>
              <w:t>μg/m</w:t>
            </w:r>
            <w:r>
              <w:rPr>
                <w:bCs/>
                <w:kern w:val="24"/>
                <w:sz w:val="24"/>
                <w:szCs w:val="20"/>
                <w:vertAlign w:val="superscript"/>
              </w:rPr>
              <w:t>3</w:t>
            </w:r>
            <w:r>
              <w:rPr>
                <w:bCs/>
                <w:kern w:val="24"/>
                <w:sz w:val="24"/>
                <w:szCs w:val="20"/>
              </w:rPr>
              <w:t>、2</w:t>
            </w:r>
            <w:r>
              <w:rPr>
                <w:rFonts w:hint="eastAsia"/>
                <w:bCs/>
                <w:kern w:val="24"/>
                <w:sz w:val="24"/>
                <w:szCs w:val="20"/>
              </w:rPr>
              <w:t>0</w:t>
            </w:r>
            <w:r>
              <w:rPr>
                <w:bCs/>
                <w:kern w:val="24"/>
                <w:sz w:val="24"/>
                <w:szCs w:val="20"/>
              </w:rPr>
              <w:t>μg/m</w:t>
            </w:r>
            <w:r>
              <w:rPr>
                <w:bCs/>
                <w:kern w:val="24"/>
                <w:sz w:val="24"/>
                <w:szCs w:val="20"/>
                <w:vertAlign w:val="superscript"/>
              </w:rPr>
              <w:t>3</w:t>
            </w:r>
            <w:r>
              <w:rPr>
                <w:bCs/>
                <w:kern w:val="24"/>
                <w:sz w:val="24"/>
                <w:szCs w:val="20"/>
              </w:rPr>
              <w:t>、5</w:t>
            </w:r>
            <w:r>
              <w:rPr>
                <w:rFonts w:hint="eastAsia"/>
                <w:bCs/>
                <w:kern w:val="24"/>
                <w:sz w:val="24"/>
                <w:szCs w:val="20"/>
              </w:rPr>
              <w:t>4</w:t>
            </w:r>
            <w:r>
              <w:rPr>
                <w:bCs/>
                <w:kern w:val="24"/>
                <w:sz w:val="24"/>
                <w:szCs w:val="20"/>
              </w:rPr>
              <w:t>μg/m</w:t>
            </w:r>
            <w:r>
              <w:rPr>
                <w:bCs/>
                <w:kern w:val="24"/>
                <w:sz w:val="24"/>
                <w:szCs w:val="20"/>
                <w:vertAlign w:val="superscript"/>
              </w:rPr>
              <w:t>3</w:t>
            </w:r>
            <w:r>
              <w:rPr>
                <w:bCs/>
                <w:kern w:val="24"/>
                <w:sz w:val="24"/>
                <w:szCs w:val="20"/>
              </w:rPr>
              <w:t>、</w:t>
            </w:r>
            <w:r>
              <w:rPr>
                <w:rFonts w:hint="eastAsia"/>
                <w:bCs/>
                <w:kern w:val="24"/>
                <w:sz w:val="24"/>
                <w:szCs w:val="20"/>
              </w:rPr>
              <w:t>18</w:t>
            </w:r>
            <w:r>
              <w:rPr>
                <w:bCs/>
                <w:kern w:val="24"/>
                <w:sz w:val="24"/>
                <w:szCs w:val="20"/>
              </w:rPr>
              <w:t>μg/m</w:t>
            </w:r>
            <w:r>
              <w:rPr>
                <w:bCs/>
                <w:kern w:val="24"/>
                <w:sz w:val="24"/>
                <w:szCs w:val="20"/>
                <w:vertAlign w:val="superscript"/>
              </w:rPr>
              <w:t>3</w:t>
            </w:r>
            <w:r>
              <w:rPr>
                <w:bCs/>
                <w:kern w:val="24"/>
                <w:sz w:val="24"/>
                <w:szCs w:val="20"/>
              </w:rPr>
              <w:t>；CO</w:t>
            </w:r>
            <w:r>
              <w:rPr>
                <w:bCs/>
                <w:kern w:val="24"/>
                <w:sz w:val="24"/>
                <w:szCs w:val="20"/>
                <w:vertAlign w:val="subscript"/>
              </w:rPr>
              <w:t>2</w:t>
            </w:r>
            <w:r>
              <w:rPr>
                <w:bCs/>
                <w:kern w:val="24"/>
                <w:sz w:val="24"/>
                <w:szCs w:val="20"/>
              </w:rPr>
              <w:t>4小时平均第95百分位数为0.</w:t>
            </w:r>
            <w:r>
              <w:rPr>
                <w:rFonts w:hint="eastAsia"/>
                <w:bCs/>
                <w:kern w:val="24"/>
                <w:sz w:val="24"/>
                <w:szCs w:val="20"/>
              </w:rPr>
              <w:t>7</w:t>
            </w:r>
            <w:r>
              <w:rPr>
                <w:bCs/>
                <w:kern w:val="24"/>
                <w:sz w:val="24"/>
                <w:szCs w:val="20"/>
              </w:rPr>
              <w:t>mg/m</w:t>
            </w:r>
            <w:r>
              <w:rPr>
                <w:bCs/>
                <w:kern w:val="24"/>
                <w:sz w:val="24"/>
                <w:szCs w:val="20"/>
                <w:vertAlign w:val="superscript"/>
              </w:rPr>
              <w:t>3</w:t>
            </w:r>
            <w:r>
              <w:rPr>
                <w:bCs/>
                <w:kern w:val="24"/>
                <w:sz w:val="24"/>
                <w:szCs w:val="20"/>
              </w:rPr>
              <w:t>，O</w:t>
            </w:r>
            <w:r>
              <w:rPr>
                <w:bCs/>
                <w:kern w:val="24"/>
                <w:sz w:val="24"/>
                <w:szCs w:val="20"/>
                <w:vertAlign w:val="subscript"/>
              </w:rPr>
              <w:t>3</w:t>
            </w:r>
            <w:r>
              <w:rPr>
                <w:bCs/>
                <w:kern w:val="24"/>
                <w:sz w:val="24"/>
                <w:szCs w:val="20"/>
              </w:rPr>
              <w:t>日最大8小时平均第90百分位数为1</w:t>
            </w:r>
            <w:r>
              <w:rPr>
                <w:rFonts w:hint="eastAsia"/>
                <w:bCs/>
                <w:kern w:val="24"/>
                <w:sz w:val="24"/>
                <w:szCs w:val="20"/>
              </w:rPr>
              <w:t>39</w:t>
            </w:r>
            <w:r>
              <w:rPr>
                <w:bCs/>
                <w:kern w:val="24"/>
                <w:sz w:val="24"/>
                <w:szCs w:val="20"/>
              </w:rPr>
              <w:t>μg/m</w:t>
            </w:r>
            <w:r>
              <w:rPr>
                <w:bCs/>
                <w:kern w:val="24"/>
                <w:sz w:val="24"/>
                <w:szCs w:val="20"/>
                <w:vertAlign w:val="superscript"/>
              </w:rPr>
              <w:t>3</w:t>
            </w:r>
            <w:r>
              <w:rPr>
                <w:bCs/>
                <w:kern w:val="24"/>
                <w:sz w:val="24"/>
                <w:szCs w:val="20"/>
              </w:rPr>
              <w:t>；各污染物平均浓度均优于《环境空气质量标准》（GB3095-2026）中过渡阶段二级标准限值。</w:t>
            </w:r>
          </w:p>
          <w:p w14:paraId="5BAA5CCF">
            <w:pPr>
              <w:spacing w:line="440" w:lineRule="exact"/>
              <w:ind w:firstLine="482"/>
              <w:textAlignment w:val="baseline"/>
              <w:rPr>
                <w:bCs/>
                <w:kern w:val="24"/>
                <w:sz w:val="24"/>
                <w:szCs w:val="20"/>
              </w:rPr>
            </w:pPr>
            <w:r>
              <w:rPr>
                <w:rFonts w:hint="eastAsia"/>
                <w:bCs/>
                <w:kern w:val="24"/>
                <w:sz w:val="24"/>
                <w:szCs w:val="20"/>
              </w:rPr>
              <w:t>其他污染物环境质量现状：项目管道正常运行时无废气排放，不开展特征污染物大气环境质量现状监测。</w:t>
            </w:r>
          </w:p>
          <w:p w14:paraId="31B75C20">
            <w:pPr>
              <w:spacing w:line="440" w:lineRule="exact"/>
              <w:ind w:firstLine="482"/>
              <w:textAlignment w:val="baseline"/>
              <w:rPr>
                <w:bCs/>
                <w:kern w:val="24"/>
                <w:sz w:val="24"/>
                <w:szCs w:val="20"/>
              </w:rPr>
            </w:pPr>
            <w:r>
              <w:rPr>
                <w:rFonts w:hint="eastAsia"/>
                <w:bCs/>
                <w:kern w:val="24"/>
                <w:sz w:val="24"/>
                <w:szCs w:val="20"/>
              </w:rPr>
              <w:t>（2）声</w:t>
            </w:r>
            <w:r>
              <w:rPr>
                <w:bCs/>
                <w:kern w:val="24"/>
                <w:sz w:val="24"/>
                <w:szCs w:val="20"/>
              </w:rPr>
              <w:t>环境质量现状</w:t>
            </w:r>
          </w:p>
          <w:p w14:paraId="6255F2D1">
            <w:pPr>
              <w:spacing w:line="440" w:lineRule="exact"/>
              <w:ind w:firstLine="482"/>
              <w:textAlignment w:val="baseline"/>
              <w:rPr>
                <w:bCs/>
                <w:kern w:val="24"/>
                <w:sz w:val="24"/>
                <w:szCs w:val="20"/>
              </w:rPr>
            </w:pPr>
            <w:r>
              <w:rPr>
                <w:bCs/>
                <w:kern w:val="24"/>
                <w:sz w:val="24"/>
                <w:szCs w:val="20"/>
              </w:rPr>
              <w:t>根据《建设项目环境影响报告</w:t>
            </w:r>
            <w:r>
              <w:rPr>
                <w:rFonts w:hint="eastAsia"/>
                <w:bCs/>
                <w:kern w:val="24"/>
                <w:sz w:val="24"/>
                <w:szCs w:val="20"/>
              </w:rPr>
              <w:t>表</w:t>
            </w:r>
            <w:r>
              <w:rPr>
                <w:bCs/>
                <w:kern w:val="24"/>
                <w:sz w:val="24"/>
                <w:szCs w:val="20"/>
              </w:rPr>
              <w:t>编制技术指南（生态影响类）（试行）》，</w:t>
            </w:r>
            <w:r>
              <w:rPr>
                <w:rFonts w:hint="eastAsia"/>
                <w:bCs/>
                <w:kern w:val="24"/>
                <w:sz w:val="24"/>
                <w:szCs w:val="20"/>
              </w:rPr>
              <w:t>“</w:t>
            </w:r>
            <w:r>
              <w:rPr>
                <w:bCs/>
                <w:kern w:val="24"/>
                <w:sz w:val="24"/>
                <w:szCs w:val="20"/>
              </w:rPr>
              <w:t>不开展专项评价的环境要素，引用与项目距离近的有效数据和调查资料，无相关数据的，大气、固定声源环境质量现状监测参照《建设项目环境影响报告表编制技术指南（污染影响类）（试行）》</w:t>
            </w:r>
            <w:r>
              <w:rPr>
                <w:rFonts w:hint="eastAsia"/>
                <w:bCs/>
                <w:kern w:val="24"/>
                <w:sz w:val="24"/>
                <w:szCs w:val="20"/>
              </w:rPr>
              <w:t>”</w:t>
            </w:r>
            <w:r>
              <w:rPr>
                <w:bCs/>
                <w:kern w:val="24"/>
                <w:sz w:val="24"/>
                <w:szCs w:val="20"/>
              </w:rPr>
              <w:t>。</w:t>
            </w:r>
          </w:p>
          <w:p w14:paraId="165128CD">
            <w:pPr>
              <w:spacing w:line="440" w:lineRule="exact"/>
              <w:ind w:firstLine="482"/>
              <w:textAlignment w:val="baseline"/>
              <w:rPr>
                <w:bCs/>
                <w:kern w:val="24"/>
                <w:sz w:val="24"/>
                <w:szCs w:val="20"/>
              </w:rPr>
            </w:pPr>
            <w:r>
              <w:rPr>
                <w:rFonts w:hint="eastAsia"/>
                <w:bCs/>
                <w:kern w:val="24"/>
                <w:sz w:val="24"/>
                <w:szCs w:val="20"/>
              </w:rPr>
              <w:t>项目管线周围50m范围内无声环境保护目标，根据《建设项目环境影响报告表编制技术指南（生态影响类）（试行）》《建设项目环境影响报告表编制技术指南（污染影响类）（试行）》，本次评价不开展声环境质量现状监测。</w:t>
            </w:r>
          </w:p>
          <w:p w14:paraId="4296F107">
            <w:pPr>
              <w:spacing w:line="440" w:lineRule="exact"/>
              <w:ind w:firstLine="482"/>
              <w:textAlignment w:val="baseline"/>
              <w:rPr>
                <w:bCs/>
                <w:kern w:val="24"/>
                <w:sz w:val="24"/>
                <w:szCs w:val="20"/>
              </w:rPr>
            </w:pPr>
            <w:r>
              <w:rPr>
                <w:rFonts w:hint="eastAsia"/>
                <w:bCs/>
                <w:kern w:val="24"/>
                <w:sz w:val="24"/>
                <w:szCs w:val="20"/>
              </w:rPr>
              <w:t>（3）地下水环境</w:t>
            </w:r>
          </w:p>
          <w:p w14:paraId="33A967FE">
            <w:pPr>
              <w:spacing w:line="440" w:lineRule="exact"/>
              <w:ind w:firstLine="482"/>
              <w:textAlignment w:val="baseline"/>
              <w:rPr>
                <w:bCs/>
                <w:kern w:val="24"/>
                <w:sz w:val="24"/>
                <w:szCs w:val="20"/>
              </w:rPr>
            </w:pPr>
            <w:r>
              <w:rPr>
                <w:rFonts w:hint="eastAsia"/>
                <w:bCs/>
                <w:kern w:val="24"/>
                <w:sz w:val="24"/>
                <w:szCs w:val="20"/>
              </w:rPr>
              <w:t>根据《建设项目环境影响报告表编制技术指南（生态影响类）（试行）》，不开展专项评价的“水、生态、土壤等其他环境要素参照环境影响评价相关技术导则开展补充监测和调查”。</w:t>
            </w:r>
          </w:p>
          <w:p w14:paraId="05075BEF">
            <w:pPr>
              <w:spacing w:line="440" w:lineRule="exact"/>
              <w:ind w:firstLine="482"/>
              <w:textAlignment w:val="baseline"/>
              <w:rPr>
                <w:bCs/>
                <w:kern w:val="24"/>
                <w:sz w:val="24"/>
                <w:szCs w:val="20"/>
              </w:rPr>
            </w:pPr>
            <w:r>
              <w:rPr>
                <w:bCs/>
                <w:kern w:val="24"/>
                <w:sz w:val="24"/>
                <w:szCs w:val="20"/>
              </w:rPr>
              <w:t>根据《环境影响评价技术导则 地下水环境》（HJ 610-2016），项目属于</w:t>
            </w:r>
            <w:r>
              <w:rPr>
                <w:rFonts w:hint="eastAsia" w:ascii="宋体" w:hAnsi="宋体"/>
                <w:bCs/>
                <w:kern w:val="24"/>
                <w:sz w:val="24"/>
                <w:szCs w:val="20"/>
              </w:rPr>
              <w:t>“</w:t>
            </w:r>
            <w:r>
              <w:rPr>
                <w:bCs/>
                <w:kern w:val="24"/>
                <w:sz w:val="24"/>
                <w:szCs w:val="20"/>
              </w:rPr>
              <w:t>L石化、化工89.化学品输送管</w:t>
            </w:r>
            <w:r>
              <w:rPr>
                <w:rFonts w:ascii="宋体" w:hAnsi="宋体"/>
                <w:bCs/>
                <w:kern w:val="24"/>
                <w:sz w:val="24"/>
                <w:szCs w:val="20"/>
              </w:rPr>
              <w:t>线</w:t>
            </w:r>
            <w:r>
              <w:rPr>
                <w:rFonts w:hint="eastAsia" w:ascii="宋体" w:hAnsi="宋体"/>
                <w:bCs/>
                <w:kern w:val="24"/>
                <w:sz w:val="24"/>
                <w:szCs w:val="20"/>
              </w:rPr>
              <w:t>”</w:t>
            </w:r>
            <w:r>
              <w:rPr>
                <w:bCs/>
                <w:kern w:val="24"/>
                <w:sz w:val="24"/>
                <w:szCs w:val="20"/>
              </w:rPr>
              <w:t>报告表编制类别</w:t>
            </w:r>
            <w:r>
              <w:rPr>
                <w:rFonts w:hint="eastAsia"/>
                <w:bCs/>
                <w:kern w:val="24"/>
                <w:sz w:val="24"/>
                <w:szCs w:val="20"/>
              </w:rPr>
              <w:t>。因此，</w:t>
            </w:r>
            <w:r>
              <w:rPr>
                <w:bCs/>
                <w:kern w:val="24"/>
                <w:sz w:val="24"/>
                <w:szCs w:val="20"/>
              </w:rPr>
              <w:t>本次评价不开展地下水评价。U城市基础设施及房地产147、管网建设，报告表编制类别属于Ⅳ类。</w:t>
            </w:r>
          </w:p>
          <w:p w14:paraId="065E9F71">
            <w:pPr>
              <w:spacing w:line="440" w:lineRule="exact"/>
              <w:ind w:firstLine="482"/>
              <w:textAlignment w:val="baseline"/>
              <w:rPr>
                <w:bCs/>
                <w:kern w:val="24"/>
                <w:sz w:val="24"/>
                <w:szCs w:val="20"/>
              </w:rPr>
            </w:pPr>
            <w:r>
              <w:rPr>
                <w:bCs/>
                <w:kern w:val="24"/>
                <w:sz w:val="24"/>
                <w:szCs w:val="20"/>
              </w:rPr>
              <w:t>（4）土壤环境</w:t>
            </w:r>
          </w:p>
          <w:p w14:paraId="77176DB1">
            <w:pPr>
              <w:spacing w:line="440" w:lineRule="exact"/>
              <w:ind w:firstLine="482"/>
              <w:textAlignment w:val="baseline"/>
              <w:rPr>
                <w:bCs/>
                <w:kern w:val="24"/>
                <w:sz w:val="24"/>
                <w:szCs w:val="20"/>
              </w:rPr>
            </w:pPr>
            <w:r>
              <w:rPr>
                <w:bCs/>
                <w:kern w:val="24"/>
                <w:sz w:val="24"/>
                <w:szCs w:val="20"/>
              </w:rPr>
              <w:t>根据《建设项目环境影响报告表编制技术指南（生态影响类）（试行）》，不开展专项评价的</w:t>
            </w:r>
            <w:r>
              <w:rPr>
                <w:rFonts w:hint="eastAsia" w:ascii="宋体" w:hAnsi="宋体"/>
                <w:bCs/>
                <w:kern w:val="24"/>
                <w:sz w:val="24"/>
                <w:szCs w:val="20"/>
              </w:rPr>
              <w:t>“</w:t>
            </w:r>
            <w:r>
              <w:rPr>
                <w:rFonts w:ascii="宋体" w:hAnsi="宋体"/>
                <w:bCs/>
                <w:kern w:val="24"/>
                <w:sz w:val="24"/>
                <w:szCs w:val="20"/>
              </w:rPr>
              <w:t>水、生态、土壤等其他环境要素参照环境影响评价相关技术导则开展补充监测和调查</w:t>
            </w:r>
            <w:r>
              <w:rPr>
                <w:rFonts w:hint="eastAsia" w:ascii="宋体" w:hAnsi="宋体"/>
                <w:bCs/>
                <w:kern w:val="24"/>
                <w:sz w:val="24"/>
                <w:szCs w:val="20"/>
              </w:rPr>
              <w:t>”</w:t>
            </w:r>
            <w:r>
              <w:rPr>
                <w:bCs/>
                <w:kern w:val="24"/>
                <w:sz w:val="24"/>
                <w:szCs w:val="20"/>
              </w:rPr>
              <w:t>。</w:t>
            </w:r>
          </w:p>
          <w:p w14:paraId="58D80F9E">
            <w:pPr>
              <w:spacing w:line="440" w:lineRule="exact"/>
              <w:ind w:firstLine="482"/>
              <w:textAlignment w:val="baseline"/>
              <w:rPr>
                <w:bCs/>
                <w:kern w:val="24"/>
                <w:sz w:val="24"/>
                <w:szCs w:val="20"/>
              </w:rPr>
            </w:pPr>
            <w:r>
              <w:rPr>
                <w:bCs/>
                <w:kern w:val="24"/>
                <w:sz w:val="24"/>
                <w:szCs w:val="20"/>
              </w:rPr>
              <w:t>根据《环境影响评价技术导则 土壤环境（试行）》（</w:t>
            </w:r>
            <w:r>
              <w:rPr>
                <w:rFonts w:ascii="宋体" w:hAnsi="宋体"/>
                <w:bCs/>
                <w:kern w:val="24"/>
                <w:sz w:val="24"/>
                <w:szCs w:val="20"/>
              </w:rPr>
              <w:t>HJ 964-2018</w:t>
            </w:r>
            <w:r>
              <w:rPr>
                <w:bCs/>
                <w:kern w:val="24"/>
                <w:sz w:val="24"/>
                <w:szCs w:val="20"/>
              </w:rPr>
              <w:t>），项目属于</w:t>
            </w:r>
            <w:r>
              <w:rPr>
                <w:rFonts w:hint="eastAsia" w:ascii="宋体" w:hAnsi="宋体"/>
                <w:bCs/>
                <w:kern w:val="24"/>
                <w:sz w:val="24"/>
                <w:szCs w:val="20"/>
              </w:rPr>
              <w:t>“</w:t>
            </w:r>
            <w:r>
              <w:rPr>
                <w:rFonts w:ascii="宋体" w:hAnsi="宋体"/>
                <w:bCs/>
                <w:kern w:val="24"/>
                <w:sz w:val="24"/>
                <w:szCs w:val="20"/>
              </w:rPr>
              <w:t>交通运输仓储邮政业 其他</w:t>
            </w:r>
            <w:r>
              <w:rPr>
                <w:rFonts w:hint="eastAsia" w:ascii="宋体" w:hAnsi="宋体"/>
                <w:bCs/>
                <w:kern w:val="24"/>
                <w:sz w:val="24"/>
                <w:szCs w:val="20"/>
              </w:rPr>
              <w:t>”</w:t>
            </w:r>
            <w:r>
              <w:rPr>
                <w:bCs/>
                <w:kern w:val="24"/>
                <w:sz w:val="24"/>
                <w:szCs w:val="20"/>
              </w:rPr>
              <w:t>，本次评价不开展土壤</w:t>
            </w:r>
            <w:r>
              <w:rPr>
                <w:rFonts w:hint="eastAsia"/>
                <w:bCs/>
                <w:kern w:val="24"/>
                <w:sz w:val="24"/>
                <w:szCs w:val="20"/>
              </w:rPr>
              <w:t>环境</w:t>
            </w:r>
            <w:r>
              <w:rPr>
                <w:bCs/>
                <w:kern w:val="24"/>
                <w:sz w:val="24"/>
                <w:szCs w:val="20"/>
              </w:rPr>
              <w:t>评价。</w:t>
            </w:r>
            <w:bookmarkEnd w:id="29"/>
            <w:bookmarkEnd w:id="30"/>
            <w:bookmarkEnd w:id="31"/>
          </w:p>
        </w:tc>
      </w:tr>
      <w:tr w14:paraId="29AA2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Align w:val="center"/>
          </w:tcPr>
          <w:p w14:paraId="5AB9B535">
            <w:pPr>
              <w:adjustRightInd w:val="0"/>
              <w:snapToGrid w:val="0"/>
              <w:jc w:val="center"/>
              <w:rPr>
                <w:kern w:val="0"/>
                <w:sz w:val="18"/>
                <w:szCs w:val="18"/>
              </w:rPr>
            </w:pPr>
            <w:r>
              <w:rPr>
                <w:bCs/>
                <w:sz w:val="24"/>
              </w:rPr>
              <w:t>与项目有关的原有环境污染和生态破坏问题</w:t>
            </w:r>
          </w:p>
        </w:tc>
        <w:tc>
          <w:tcPr>
            <w:tcW w:w="7440" w:type="dxa"/>
            <w:vAlign w:val="center"/>
          </w:tcPr>
          <w:p w14:paraId="2169A02D">
            <w:pPr>
              <w:spacing w:line="440" w:lineRule="exact"/>
              <w:ind w:firstLine="482" w:firstLineChars="200"/>
              <w:rPr>
                <w:b/>
                <w:bCs/>
                <w:sz w:val="24"/>
              </w:rPr>
            </w:pPr>
            <w:r>
              <w:rPr>
                <w:rFonts w:hint="eastAsia"/>
                <w:b/>
                <w:bCs/>
                <w:sz w:val="24"/>
              </w:rPr>
              <w:t>1.现有工程手续情况</w:t>
            </w:r>
          </w:p>
          <w:p w14:paraId="6C32A3BB">
            <w:pPr>
              <w:spacing w:line="440" w:lineRule="exact"/>
              <w:ind w:firstLine="480" w:firstLineChars="200"/>
              <w:rPr>
                <w:sz w:val="24"/>
              </w:rPr>
            </w:pPr>
            <w:r>
              <w:rPr>
                <w:rFonts w:hint="eastAsia"/>
                <w:sz w:val="24"/>
              </w:rPr>
              <w:t>（1）内蒙古伊泰化工有限责任公司手续情况</w:t>
            </w:r>
          </w:p>
          <w:p w14:paraId="6DC01E6A">
            <w:pPr>
              <w:spacing w:line="440" w:lineRule="exact"/>
              <w:ind w:firstLine="480" w:firstLineChars="200"/>
              <w:rPr>
                <w:sz w:val="24"/>
              </w:rPr>
            </w:pPr>
            <w:r>
              <w:rPr>
                <w:sz w:val="24"/>
              </w:rPr>
              <w:t>2011年8月，原内蒙古自治区环境保护厅以</w:t>
            </w:r>
            <w:r>
              <w:rPr>
                <w:rFonts w:hint="eastAsia"/>
                <w:sz w:val="24"/>
              </w:rPr>
              <w:t>“</w:t>
            </w:r>
            <w:r>
              <w:rPr>
                <w:sz w:val="24"/>
              </w:rPr>
              <w:t>内环审</w:t>
            </w:r>
            <w:r>
              <w:rPr>
                <w:rFonts w:hint="eastAsia"/>
                <w:sz w:val="24"/>
              </w:rPr>
              <w:t>﹝</w:t>
            </w:r>
            <w:r>
              <w:rPr>
                <w:sz w:val="24"/>
              </w:rPr>
              <w:t>2011</w:t>
            </w:r>
            <w:r>
              <w:rPr>
                <w:rFonts w:hint="eastAsia"/>
                <w:sz w:val="24"/>
              </w:rPr>
              <w:t>﹞</w:t>
            </w:r>
            <w:r>
              <w:rPr>
                <w:sz w:val="24"/>
              </w:rPr>
              <w:t>240号</w:t>
            </w:r>
            <w:r>
              <w:rPr>
                <w:rFonts w:hint="eastAsia"/>
                <w:sz w:val="24"/>
              </w:rPr>
              <w:t>”</w:t>
            </w:r>
            <w:r>
              <w:rPr>
                <w:sz w:val="24"/>
              </w:rPr>
              <w:t>文件出具了《关于内蒙古伊泰化工有限责任公司120万吨/年精细化学品项目环境影响报告书的批复》。</w:t>
            </w:r>
          </w:p>
          <w:p w14:paraId="7E5BAE7B">
            <w:pPr>
              <w:spacing w:line="440" w:lineRule="exact"/>
              <w:ind w:firstLine="480" w:firstLineChars="200"/>
              <w:rPr>
                <w:sz w:val="24"/>
              </w:rPr>
            </w:pPr>
            <w:r>
              <w:rPr>
                <w:sz w:val="24"/>
              </w:rPr>
              <w:t>2016年12月，原鄂尔多斯市环境保护局以</w:t>
            </w:r>
            <w:r>
              <w:rPr>
                <w:rFonts w:hint="eastAsia"/>
                <w:sz w:val="24"/>
              </w:rPr>
              <w:t>“</w:t>
            </w:r>
            <w:r>
              <w:rPr>
                <w:sz w:val="24"/>
              </w:rPr>
              <w:t>鄂环评字</w:t>
            </w:r>
            <w:r>
              <w:rPr>
                <w:rFonts w:hint="eastAsia"/>
                <w:sz w:val="24"/>
              </w:rPr>
              <w:t>﹝</w:t>
            </w:r>
            <w:r>
              <w:rPr>
                <w:sz w:val="24"/>
              </w:rPr>
              <w:t>2016</w:t>
            </w:r>
            <w:r>
              <w:rPr>
                <w:rFonts w:hint="eastAsia"/>
                <w:sz w:val="24"/>
              </w:rPr>
              <w:t>﹞</w:t>
            </w:r>
            <w:r>
              <w:rPr>
                <w:sz w:val="24"/>
              </w:rPr>
              <w:t>162号</w:t>
            </w:r>
            <w:r>
              <w:rPr>
                <w:rFonts w:hint="eastAsia"/>
                <w:sz w:val="24"/>
              </w:rPr>
              <w:t>”</w:t>
            </w:r>
            <w:r>
              <w:rPr>
                <w:sz w:val="24"/>
              </w:rPr>
              <w:t>文件出具了《关于内蒙古伊泰化工有限责任公司120万吨/年精细化学品示范项目（变更）环境影响报告书的批复》。</w:t>
            </w:r>
          </w:p>
          <w:p w14:paraId="1E41AD21">
            <w:pPr>
              <w:spacing w:line="440" w:lineRule="exact"/>
              <w:ind w:firstLine="480" w:firstLineChars="200"/>
              <w:rPr>
                <w:sz w:val="24"/>
              </w:rPr>
            </w:pPr>
            <w:r>
              <w:rPr>
                <w:sz w:val="24"/>
              </w:rPr>
              <w:t>2017年9月，原鄂尔多斯市环境保护局以</w:t>
            </w:r>
            <w:r>
              <w:rPr>
                <w:rFonts w:hint="eastAsia"/>
                <w:sz w:val="24"/>
              </w:rPr>
              <w:t>“</w:t>
            </w:r>
            <w:r>
              <w:rPr>
                <w:sz w:val="24"/>
              </w:rPr>
              <w:t>鄂环监字</w:t>
            </w:r>
            <w:r>
              <w:rPr>
                <w:rFonts w:hint="eastAsia"/>
                <w:sz w:val="24"/>
              </w:rPr>
              <w:t>﹝</w:t>
            </w:r>
            <w:r>
              <w:rPr>
                <w:sz w:val="24"/>
              </w:rPr>
              <w:t>2017</w:t>
            </w:r>
            <w:r>
              <w:rPr>
                <w:rFonts w:hint="eastAsia"/>
                <w:sz w:val="24"/>
              </w:rPr>
              <w:t>﹞</w:t>
            </w:r>
            <w:r>
              <w:rPr>
                <w:sz w:val="24"/>
              </w:rPr>
              <w:t>190号</w:t>
            </w:r>
            <w:r>
              <w:rPr>
                <w:rFonts w:hint="eastAsia"/>
                <w:sz w:val="24"/>
              </w:rPr>
              <w:t>”</w:t>
            </w:r>
            <w:r>
              <w:rPr>
                <w:sz w:val="24"/>
              </w:rPr>
              <w:t>文件出具了《关于内蒙古伊泰化工有限责任公司120万吨/年精细化学品示范项目竣工环境保护验收意见的通知》。</w:t>
            </w:r>
          </w:p>
          <w:p w14:paraId="589B9BFC">
            <w:pPr>
              <w:spacing w:line="440" w:lineRule="exact"/>
              <w:ind w:firstLine="480" w:firstLineChars="200"/>
              <w:rPr>
                <w:sz w:val="24"/>
              </w:rPr>
            </w:pPr>
            <w:r>
              <w:rPr>
                <w:sz w:val="24"/>
              </w:rPr>
              <w:t>2018年8月，原鄂尔多斯市环境保护局以</w:t>
            </w:r>
            <w:r>
              <w:rPr>
                <w:rFonts w:hint="eastAsia"/>
                <w:sz w:val="24"/>
              </w:rPr>
              <w:t>“</w:t>
            </w:r>
            <w:r>
              <w:rPr>
                <w:sz w:val="24"/>
              </w:rPr>
              <w:t>鄂环评字</w:t>
            </w:r>
            <w:r>
              <w:rPr>
                <w:rFonts w:hint="eastAsia"/>
                <w:sz w:val="24"/>
              </w:rPr>
              <w:t>﹝</w:t>
            </w:r>
            <w:r>
              <w:rPr>
                <w:sz w:val="24"/>
              </w:rPr>
              <w:t>2018</w:t>
            </w:r>
            <w:r>
              <w:rPr>
                <w:rFonts w:hint="eastAsia"/>
                <w:sz w:val="24"/>
              </w:rPr>
              <w:t>﹞</w:t>
            </w:r>
            <w:r>
              <w:rPr>
                <w:sz w:val="24"/>
              </w:rPr>
              <w:t>173号</w:t>
            </w:r>
            <w:r>
              <w:rPr>
                <w:rFonts w:hint="eastAsia"/>
                <w:sz w:val="24"/>
              </w:rPr>
              <w:t>”</w:t>
            </w:r>
            <w:r>
              <w:rPr>
                <w:sz w:val="24"/>
              </w:rPr>
              <w:t>文件出具了《关于内蒙古伊泰化工有限责任公司120万吨/年精细化学品项目水处理及零排放整体系统工艺优化改造工程环境影响报告表的批复》。主要建设内容包括：对气化废水高密沉淀系统</w:t>
            </w:r>
            <w:r>
              <w:rPr>
                <w:rFonts w:hint="eastAsia"/>
                <w:sz w:val="24"/>
              </w:rPr>
              <w:t>进行</w:t>
            </w:r>
            <w:r>
              <w:rPr>
                <w:sz w:val="24"/>
              </w:rPr>
              <w:t>优化、新增备用气化废水高密沉淀系统；对合成废水厌氧系统</w:t>
            </w:r>
            <w:r>
              <w:rPr>
                <w:rFonts w:hint="eastAsia"/>
                <w:sz w:val="24"/>
              </w:rPr>
              <w:t>进行</w:t>
            </w:r>
            <w:r>
              <w:rPr>
                <w:sz w:val="24"/>
              </w:rPr>
              <w:t>优化、新增备用厌氧系统；新增</w:t>
            </w:r>
            <w:r>
              <w:rPr>
                <w:rFonts w:hint="eastAsia"/>
                <w:sz w:val="24"/>
              </w:rPr>
              <w:t>渣蜡、废活性炭</w:t>
            </w:r>
            <w:r>
              <w:rPr>
                <w:sz w:val="24"/>
              </w:rPr>
              <w:t>脱水机设施；对回用工序2高密沉淀系统</w:t>
            </w:r>
            <w:r>
              <w:rPr>
                <w:rFonts w:hint="eastAsia"/>
                <w:sz w:val="24"/>
              </w:rPr>
              <w:t>进行</w:t>
            </w:r>
            <w:r>
              <w:rPr>
                <w:sz w:val="24"/>
              </w:rPr>
              <w:t>优化、考虑备用回用工序2高密沉淀系统；对回用工序1及2备用反渗透系统</w:t>
            </w:r>
            <w:r>
              <w:rPr>
                <w:rFonts w:hint="eastAsia"/>
                <w:sz w:val="24"/>
              </w:rPr>
              <w:t>进行</w:t>
            </w:r>
            <w:r>
              <w:rPr>
                <w:sz w:val="24"/>
              </w:rPr>
              <w:t>优化；原含醇及脱碳废水增加混凝沉淀设施；对浓盐水处理装置药剂系统扩容改造；新增备用结晶分盐</w:t>
            </w:r>
            <w:r>
              <w:rPr>
                <w:rFonts w:hint="eastAsia"/>
                <w:sz w:val="24"/>
              </w:rPr>
              <w:t>系统</w:t>
            </w:r>
            <w:r>
              <w:rPr>
                <w:sz w:val="24"/>
              </w:rPr>
              <w:t>；对原回用工序1</w:t>
            </w:r>
            <w:r>
              <w:rPr>
                <w:rFonts w:hint="eastAsia"/>
                <w:sz w:val="24"/>
              </w:rPr>
              <w:t>进行</w:t>
            </w:r>
            <w:r>
              <w:rPr>
                <w:sz w:val="24"/>
              </w:rPr>
              <w:t>过滤预处理</w:t>
            </w:r>
            <w:r>
              <w:rPr>
                <w:rFonts w:hint="eastAsia"/>
                <w:sz w:val="24"/>
              </w:rPr>
              <w:t>进行</w:t>
            </w:r>
            <w:r>
              <w:rPr>
                <w:sz w:val="24"/>
              </w:rPr>
              <w:t>优化；新增浓盐水备用膜系统；新增成品盐仓库。</w:t>
            </w:r>
          </w:p>
          <w:p w14:paraId="64BBF9F2">
            <w:pPr>
              <w:spacing w:line="440" w:lineRule="exact"/>
              <w:ind w:firstLine="480" w:firstLineChars="200"/>
              <w:rPr>
                <w:sz w:val="24"/>
              </w:rPr>
            </w:pPr>
            <w:r>
              <w:rPr>
                <w:sz w:val="24"/>
              </w:rPr>
              <w:t>2020年11月，完成内蒙古伊泰化工有限责任公司120万吨/年精细化学品项目水处理及零排放整体系统工艺优化改造工程竣工环境保护自主验收。</w:t>
            </w:r>
          </w:p>
          <w:p w14:paraId="1A70AC3B">
            <w:pPr>
              <w:spacing w:line="440" w:lineRule="exact"/>
              <w:ind w:firstLine="480" w:firstLineChars="200"/>
              <w:rPr>
                <w:sz w:val="24"/>
              </w:rPr>
            </w:pPr>
            <w:r>
              <w:rPr>
                <w:rFonts w:hint="eastAsia"/>
                <w:sz w:val="24"/>
              </w:rPr>
              <w:t>2021年5月</w:t>
            </w:r>
            <w:r>
              <w:rPr>
                <w:sz w:val="24"/>
              </w:rPr>
              <w:t>，鄂尔多斯市生态环境局</w:t>
            </w:r>
            <w:r>
              <w:rPr>
                <w:rFonts w:hint="eastAsia"/>
                <w:sz w:val="24"/>
              </w:rPr>
              <w:t>以“</w:t>
            </w:r>
            <w:r>
              <w:rPr>
                <w:sz w:val="24"/>
              </w:rPr>
              <w:t>鄂环审字〔2021〕482号</w:t>
            </w:r>
            <w:r>
              <w:rPr>
                <w:rFonts w:hint="eastAsia"/>
                <w:sz w:val="24"/>
              </w:rPr>
              <w:t>”</w:t>
            </w:r>
            <w:r>
              <w:rPr>
                <w:sz w:val="24"/>
              </w:rPr>
              <w:t>文件出具了《关于内蒙古伊泰化工有限责任公司气化装置协同处置生化污泥项目环境影响报告表的批复》</w:t>
            </w:r>
            <w:r>
              <w:rPr>
                <w:rFonts w:hint="eastAsia"/>
                <w:sz w:val="24"/>
              </w:rPr>
              <w:t>。</w:t>
            </w:r>
          </w:p>
          <w:p w14:paraId="6F8C1BD0">
            <w:pPr>
              <w:spacing w:line="440" w:lineRule="exact"/>
              <w:ind w:firstLine="480" w:firstLineChars="200"/>
              <w:rPr>
                <w:sz w:val="24"/>
              </w:rPr>
            </w:pPr>
            <w:r>
              <w:rPr>
                <w:rFonts w:hint="eastAsia"/>
                <w:sz w:val="24"/>
              </w:rPr>
              <w:t>2022年3月，</w:t>
            </w:r>
            <w:r>
              <w:rPr>
                <w:sz w:val="24"/>
              </w:rPr>
              <w:t>完成内</w:t>
            </w:r>
            <w:bookmarkStart w:id="33" w:name="OLE_LINK10"/>
            <w:r>
              <w:rPr>
                <w:sz w:val="24"/>
              </w:rPr>
              <w:t>蒙古伊泰化工有限责任公司</w:t>
            </w:r>
            <w:bookmarkEnd w:id="33"/>
            <w:r>
              <w:rPr>
                <w:sz w:val="24"/>
              </w:rPr>
              <w:t>气化装置协同处置生化污泥项目竣工环境保护自主验收</w:t>
            </w:r>
            <w:r>
              <w:rPr>
                <w:rFonts w:hint="eastAsia"/>
                <w:sz w:val="24"/>
              </w:rPr>
              <w:t>。</w:t>
            </w:r>
          </w:p>
          <w:p w14:paraId="6D13E63B">
            <w:pPr>
              <w:spacing w:line="440" w:lineRule="exact"/>
              <w:ind w:firstLine="480" w:firstLineChars="200"/>
              <w:rPr>
                <w:sz w:val="24"/>
              </w:rPr>
            </w:pPr>
            <w:r>
              <w:rPr>
                <w:rFonts w:hint="eastAsia"/>
                <w:sz w:val="24"/>
              </w:rPr>
              <w:t>伊泰化工于2020年9月2日首次申领排污许可证，并于2025年1月8日对现有排污许可证进行变更（编号：91150625695922289F002V），有效期限：自2024年11月11日起至2029年11月10日止。</w:t>
            </w:r>
          </w:p>
          <w:p w14:paraId="2F746663">
            <w:pPr>
              <w:spacing w:line="440" w:lineRule="exact"/>
              <w:ind w:firstLine="480" w:firstLineChars="200"/>
              <w:rPr>
                <w:sz w:val="24"/>
              </w:rPr>
            </w:pPr>
            <w:r>
              <w:rPr>
                <w:rFonts w:hint="eastAsia"/>
                <w:sz w:val="24"/>
              </w:rPr>
              <w:t>（2）内蒙古伊泰宏城化学有限公司手续情况</w:t>
            </w:r>
          </w:p>
          <w:p w14:paraId="1F88AEAC">
            <w:pPr>
              <w:spacing w:line="440" w:lineRule="exact"/>
              <w:ind w:firstLine="480" w:firstLineChars="200"/>
              <w:rPr>
                <w:sz w:val="24"/>
              </w:rPr>
            </w:pPr>
            <w:bookmarkStart w:id="34" w:name="OLE_LINK12"/>
            <w:r>
              <w:rPr>
                <w:rFonts w:hint="eastAsia"/>
                <w:sz w:val="24"/>
              </w:rPr>
              <w:t>内蒙古伊泰宏城化学有限公司</w:t>
            </w:r>
            <w:bookmarkEnd w:id="34"/>
            <w:r>
              <w:rPr>
                <w:rFonts w:hint="eastAsia"/>
                <w:sz w:val="24"/>
              </w:rPr>
              <w:t>成立于2025年4月，投资方包括内蒙古伊泰化工有限责任公司、宏城化工（鄂尔多斯）有限责任公司。于2025年7月委托内</w:t>
            </w:r>
            <w:r>
              <w:rPr>
                <w:sz w:val="24"/>
              </w:rPr>
              <w:t>蒙古尚清环保科技有限公司编制完成《内蒙古伊泰宏城化学有限公司10000吨/年聚a-烯烃（PAO）示范项目环境影响报告书》，并于2026年4月取得鄂尔多斯市生态环境局批复（鄂环审字</w:t>
            </w:r>
            <w:r>
              <w:rPr>
                <w:rFonts w:hint="eastAsia"/>
                <w:sz w:val="24"/>
              </w:rPr>
              <w:t>﹝</w:t>
            </w:r>
            <w:r>
              <w:rPr>
                <w:sz w:val="24"/>
              </w:rPr>
              <w:t>20</w:t>
            </w:r>
            <w:r>
              <w:rPr>
                <w:rFonts w:hint="eastAsia"/>
                <w:sz w:val="24"/>
                <w:lang w:val="en-US" w:eastAsia="zh-CN"/>
              </w:rPr>
              <w:t>26</w:t>
            </w:r>
            <w:r>
              <w:rPr>
                <w:rFonts w:hint="eastAsia"/>
                <w:sz w:val="24"/>
              </w:rPr>
              <w:t>﹞</w:t>
            </w:r>
            <w:r>
              <w:rPr>
                <w:sz w:val="24"/>
              </w:rPr>
              <w:t>54号）</w:t>
            </w:r>
            <w:r>
              <w:rPr>
                <w:rFonts w:hint="eastAsia"/>
                <w:sz w:val="24"/>
              </w:rPr>
              <w:t>。</w:t>
            </w:r>
          </w:p>
          <w:p w14:paraId="59A1B3A1">
            <w:pPr>
              <w:spacing w:line="440" w:lineRule="exact"/>
              <w:ind w:firstLine="480" w:firstLineChars="200"/>
              <w:rPr>
                <w:sz w:val="24"/>
                <w:szCs w:val="20"/>
              </w:rPr>
            </w:pPr>
            <w:r>
              <w:rPr>
                <w:rFonts w:hint="eastAsia"/>
                <w:sz w:val="24"/>
              </w:rPr>
              <w:t>项目目前正在建设中，暂未取得排污许可证</w:t>
            </w:r>
            <w:r>
              <w:rPr>
                <w:rFonts w:hint="eastAsia"/>
                <w:sz w:val="24"/>
                <w:szCs w:val="20"/>
              </w:rPr>
              <w:t>。</w:t>
            </w:r>
          </w:p>
          <w:p w14:paraId="2B751BB4">
            <w:pPr>
              <w:spacing w:line="440" w:lineRule="exact"/>
              <w:ind w:firstLine="482" w:firstLineChars="200"/>
              <w:rPr>
                <w:b/>
                <w:sz w:val="24"/>
              </w:rPr>
            </w:pPr>
            <w:r>
              <w:rPr>
                <w:rFonts w:hint="eastAsia"/>
                <w:b/>
                <w:sz w:val="24"/>
              </w:rPr>
              <w:t>2.现状存在的环保问题及整改措施</w:t>
            </w:r>
          </w:p>
          <w:p w14:paraId="46B497AA">
            <w:pPr>
              <w:spacing w:line="440" w:lineRule="exact"/>
              <w:ind w:firstLine="480" w:firstLineChars="200"/>
              <w:rPr>
                <w:bCs/>
                <w:sz w:val="24"/>
              </w:rPr>
            </w:pPr>
            <w:r>
              <w:rPr>
                <w:rFonts w:hint="eastAsia"/>
                <w:bCs/>
                <w:sz w:val="24"/>
              </w:rPr>
              <w:t>经过排查，内</w:t>
            </w:r>
            <w:r>
              <w:rPr>
                <w:sz w:val="24"/>
              </w:rPr>
              <w:t>蒙古伊泰化工有限责任公司</w:t>
            </w:r>
            <w:r>
              <w:rPr>
                <w:rFonts w:hint="eastAsia"/>
                <w:bCs/>
                <w:sz w:val="24"/>
              </w:rPr>
              <w:t>各项环保设施符合现行环保政策要求，污染物均能达标排放；厂区内按照分区防渗要求，进行了防渗；企业污染源自行监测计划符合相关规范要求，现有工程无环保问题。</w:t>
            </w:r>
          </w:p>
          <w:p w14:paraId="192B3558">
            <w:pPr>
              <w:spacing w:line="440" w:lineRule="exact"/>
              <w:ind w:firstLine="480" w:firstLineChars="200"/>
              <w:rPr>
                <w:sz w:val="24"/>
              </w:rPr>
            </w:pPr>
            <w:r>
              <w:rPr>
                <w:rFonts w:hint="eastAsia"/>
                <w:sz w:val="24"/>
              </w:rPr>
              <w:t>内蒙古伊泰宏城化学有限公司目前正在建设中，暂未取得排污许可证，在建</w:t>
            </w:r>
            <w:r>
              <w:rPr>
                <w:rFonts w:hint="eastAsia"/>
                <w:sz w:val="24"/>
                <w:szCs w:val="20"/>
              </w:rPr>
              <w:t>工程无环保问题。</w:t>
            </w:r>
          </w:p>
        </w:tc>
      </w:tr>
      <w:tr w14:paraId="06DB38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1717" w:type="dxa"/>
            <w:vAlign w:val="center"/>
          </w:tcPr>
          <w:p w14:paraId="000B522B">
            <w:pPr>
              <w:adjustRightInd w:val="0"/>
              <w:snapToGrid w:val="0"/>
              <w:jc w:val="center"/>
              <w:rPr>
                <w:kern w:val="0"/>
                <w:sz w:val="24"/>
              </w:rPr>
            </w:pPr>
            <w:r>
              <w:rPr>
                <w:kern w:val="0"/>
                <w:sz w:val="24"/>
              </w:rPr>
              <w:t>环境保护目标</w:t>
            </w:r>
          </w:p>
        </w:tc>
        <w:tc>
          <w:tcPr>
            <w:tcW w:w="7440" w:type="dxa"/>
          </w:tcPr>
          <w:p w14:paraId="4D5BDED6">
            <w:pPr>
              <w:spacing w:line="440" w:lineRule="exact"/>
              <w:ind w:firstLine="480" w:firstLineChars="200"/>
              <w:rPr>
                <w:sz w:val="24"/>
              </w:rPr>
            </w:pPr>
            <w:r>
              <w:rPr>
                <w:sz w:val="24"/>
              </w:rPr>
              <w:t>项目</w:t>
            </w:r>
            <w:r>
              <w:rPr>
                <w:rFonts w:hint="eastAsia"/>
                <w:sz w:val="24"/>
              </w:rPr>
              <w:t>不涉及环境敏感区</w:t>
            </w:r>
            <w:r>
              <w:rPr>
                <w:sz w:val="24"/>
              </w:rPr>
              <w:t>，根据工程性质和区域环境特征，确定主要保护对象和保护目标见表</w:t>
            </w:r>
            <w:r>
              <w:rPr>
                <w:rFonts w:hint="eastAsia"/>
                <w:sz w:val="24"/>
              </w:rPr>
              <w:t>3-3</w:t>
            </w:r>
            <w:r>
              <w:rPr>
                <w:sz w:val="24"/>
              </w:rPr>
              <w:t>。</w:t>
            </w:r>
          </w:p>
          <w:p w14:paraId="58809FD1">
            <w:pPr>
              <w:spacing w:line="440" w:lineRule="exact"/>
              <w:ind w:firstLine="482" w:firstLineChars="200"/>
              <w:rPr>
                <w:b/>
                <w:sz w:val="24"/>
                <w:szCs w:val="21"/>
              </w:rPr>
            </w:pPr>
            <w:r>
              <w:rPr>
                <w:b/>
                <w:sz w:val="24"/>
                <w:szCs w:val="21"/>
              </w:rPr>
              <w:t>表</w:t>
            </w:r>
            <w:r>
              <w:rPr>
                <w:rFonts w:hint="eastAsia"/>
                <w:b/>
                <w:sz w:val="24"/>
                <w:szCs w:val="21"/>
              </w:rPr>
              <w:t>3-3</w:t>
            </w:r>
            <w:r>
              <w:rPr>
                <w:b/>
                <w:sz w:val="24"/>
                <w:szCs w:val="21"/>
              </w:rPr>
              <w:t xml:space="preserve">    项目沿线环境保护目标</w:t>
            </w:r>
          </w:p>
          <w:tbl>
            <w:tblPr>
              <w:tblStyle w:val="78"/>
              <w:tblW w:w="8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6"/>
              <w:gridCol w:w="851"/>
              <w:gridCol w:w="123"/>
              <w:gridCol w:w="736"/>
              <w:gridCol w:w="1107"/>
              <w:gridCol w:w="567"/>
              <w:gridCol w:w="727"/>
              <w:gridCol w:w="3642"/>
            </w:tblGrid>
            <w:tr w14:paraId="2EF9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66" w:type="dxa"/>
                  <w:tcBorders>
                    <w:left w:val="single" w:color="auto" w:sz="6" w:space="0"/>
                  </w:tcBorders>
                  <w:vAlign w:val="center"/>
                </w:tcPr>
                <w:p w14:paraId="598007DD">
                  <w:pPr>
                    <w:spacing w:line="320" w:lineRule="exact"/>
                    <w:jc w:val="center"/>
                    <w:rPr>
                      <w:szCs w:val="21"/>
                    </w:rPr>
                  </w:pPr>
                  <w:r>
                    <w:rPr>
                      <w:szCs w:val="21"/>
                    </w:rPr>
                    <w:t>环境</w:t>
                  </w:r>
                </w:p>
                <w:p w14:paraId="1FBA9B8E">
                  <w:pPr>
                    <w:spacing w:line="320" w:lineRule="exact"/>
                    <w:jc w:val="center"/>
                    <w:rPr>
                      <w:szCs w:val="21"/>
                    </w:rPr>
                  </w:pPr>
                  <w:r>
                    <w:rPr>
                      <w:szCs w:val="21"/>
                    </w:rPr>
                    <w:t>要素</w:t>
                  </w:r>
                </w:p>
              </w:tc>
              <w:tc>
                <w:tcPr>
                  <w:tcW w:w="974" w:type="dxa"/>
                  <w:gridSpan w:val="2"/>
                  <w:vAlign w:val="center"/>
                </w:tcPr>
                <w:p w14:paraId="54EE4A23">
                  <w:pPr>
                    <w:spacing w:line="320" w:lineRule="exact"/>
                    <w:jc w:val="center"/>
                    <w:rPr>
                      <w:szCs w:val="21"/>
                    </w:rPr>
                  </w:pPr>
                  <w:r>
                    <w:rPr>
                      <w:szCs w:val="21"/>
                    </w:rPr>
                    <w:t>保护对象</w:t>
                  </w:r>
                </w:p>
              </w:tc>
              <w:tc>
                <w:tcPr>
                  <w:tcW w:w="736" w:type="dxa"/>
                  <w:vAlign w:val="center"/>
                </w:tcPr>
                <w:p w14:paraId="549EF95B">
                  <w:pPr>
                    <w:spacing w:line="320" w:lineRule="exact"/>
                    <w:jc w:val="center"/>
                    <w:rPr>
                      <w:szCs w:val="21"/>
                    </w:rPr>
                  </w:pPr>
                  <w:r>
                    <w:rPr>
                      <w:szCs w:val="21"/>
                    </w:rPr>
                    <w:t>相对</w:t>
                  </w:r>
                </w:p>
                <w:p w14:paraId="71D0ED53">
                  <w:pPr>
                    <w:spacing w:line="320" w:lineRule="exact"/>
                    <w:jc w:val="center"/>
                    <w:rPr>
                      <w:szCs w:val="21"/>
                    </w:rPr>
                  </w:pPr>
                  <w:r>
                    <w:rPr>
                      <w:szCs w:val="21"/>
                    </w:rPr>
                    <w:t>方位</w:t>
                  </w:r>
                </w:p>
              </w:tc>
              <w:tc>
                <w:tcPr>
                  <w:tcW w:w="1107" w:type="dxa"/>
                  <w:vAlign w:val="center"/>
                </w:tcPr>
                <w:p w14:paraId="772D7E1D">
                  <w:pPr>
                    <w:spacing w:line="320" w:lineRule="exact"/>
                    <w:jc w:val="center"/>
                    <w:rPr>
                      <w:szCs w:val="21"/>
                    </w:rPr>
                  </w:pPr>
                  <w:r>
                    <w:rPr>
                      <w:szCs w:val="21"/>
                    </w:rPr>
                    <w:t>厂址相对距离</w:t>
                  </w:r>
                  <w:r>
                    <w:rPr>
                      <w:rFonts w:hint="eastAsia"/>
                      <w:szCs w:val="21"/>
                    </w:rPr>
                    <w:t>（m）</w:t>
                  </w:r>
                </w:p>
              </w:tc>
              <w:tc>
                <w:tcPr>
                  <w:tcW w:w="567" w:type="dxa"/>
                  <w:vAlign w:val="center"/>
                </w:tcPr>
                <w:p w14:paraId="274C0D35">
                  <w:pPr>
                    <w:spacing w:line="320" w:lineRule="exact"/>
                    <w:jc w:val="center"/>
                    <w:rPr>
                      <w:szCs w:val="21"/>
                    </w:rPr>
                  </w:pPr>
                  <w:r>
                    <w:rPr>
                      <w:szCs w:val="21"/>
                    </w:rPr>
                    <w:t>人口</w:t>
                  </w:r>
                </w:p>
              </w:tc>
              <w:tc>
                <w:tcPr>
                  <w:tcW w:w="727" w:type="dxa"/>
                  <w:vAlign w:val="center"/>
                </w:tcPr>
                <w:p w14:paraId="2BA368AC">
                  <w:pPr>
                    <w:spacing w:line="320" w:lineRule="exact"/>
                    <w:jc w:val="center"/>
                    <w:rPr>
                      <w:szCs w:val="21"/>
                    </w:rPr>
                  </w:pPr>
                  <w:r>
                    <w:rPr>
                      <w:szCs w:val="21"/>
                    </w:rPr>
                    <w:t>性质</w:t>
                  </w:r>
                </w:p>
              </w:tc>
              <w:tc>
                <w:tcPr>
                  <w:tcW w:w="3642" w:type="dxa"/>
                  <w:vAlign w:val="center"/>
                </w:tcPr>
                <w:p w14:paraId="36F34DBA">
                  <w:pPr>
                    <w:spacing w:line="320" w:lineRule="exact"/>
                    <w:jc w:val="center"/>
                    <w:rPr>
                      <w:szCs w:val="21"/>
                    </w:rPr>
                  </w:pPr>
                  <w:r>
                    <w:rPr>
                      <w:szCs w:val="21"/>
                    </w:rPr>
                    <w:t>保护级别</w:t>
                  </w:r>
                </w:p>
              </w:tc>
            </w:tr>
            <w:tr w14:paraId="77B4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66" w:type="dxa"/>
                  <w:tcBorders>
                    <w:left w:val="single" w:color="auto" w:sz="6" w:space="0"/>
                  </w:tcBorders>
                  <w:vAlign w:val="center"/>
                </w:tcPr>
                <w:p w14:paraId="383EE5DB">
                  <w:pPr>
                    <w:spacing w:line="320" w:lineRule="exact"/>
                    <w:jc w:val="center"/>
                    <w:rPr>
                      <w:szCs w:val="21"/>
                    </w:rPr>
                  </w:pPr>
                  <w:r>
                    <w:rPr>
                      <w:szCs w:val="21"/>
                    </w:rPr>
                    <w:t>环境</w:t>
                  </w:r>
                </w:p>
                <w:p w14:paraId="6004E53D">
                  <w:pPr>
                    <w:spacing w:line="320" w:lineRule="exact"/>
                    <w:jc w:val="center"/>
                    <w:rPr>
                      <w:szCs w:val="21"/>
                    </w:rPr>
                  </w:pPr>
                  <w:r>
                    <w:rPr>
                      <w:szCs w:val="21"/>
                    </w:rPr>
                    <w:t>空气</w:t>
                  </w:r>
                </w:p>
              </w:tc>
              <w:tc>
                <w:tcPr>
                  <w:tcW w:w="4111" w:type="dxa"/>
                  <w:gridSpan w:val="6"/>
                  <w:vAlign w:val="center"/>
                </w:tcPr>
                <w:p w14:paraId="36DB3778">
                  <w:pPr>
                    <w:spacing w:line="320" w:lineRule="exact"/>
                    <w:jc w:val="center"/>
                    <w:rPr>
                      <w:szCs w:val="21"/>
                    </w:rPr>
                  </w:pPr>
                  <w:r>
                    <w:rPr>
                      <w:szCs w:val="21"/>
                    </w:rPr>
                    <w:t>管道沿线周边</w:t>
                  </w:r>
                  <w:r>
                    <w:rPr>
                      <w:rFonts w:hint="eastAsia"/>
                      <w:szCs w:val="21"/>
                    </w:rPr>
                    <w:t>5</w:t>
                  </w:r>
                  <w:r>
                    <w:rPr>
                      <w:szCs w:val="21"/>
                    </w:rPr>
                    <w:t>00m范围内无大气环境保护目标</w:t>
                  </w:r>
                </w:p>
              </w:tc>
              <w:tc>
                <w:tcPr>
                  <w:tcW w:w="3642" w:type="dxa"/>
                  <w:vAlign w:val="center"/>
                </w:tcPr>
                <w:p w14:paraId="12EBB610">
                  <w:pPr>
                    <w:spacing w:line="320" w:lineRule="exact"/>
                    <w:jc w:val="center"/>
                    <w:rPr>
                      <w:szCs w:val="21"/>
                    </w:rPr>
                  </w:pPr>
                  <w:r>
                    <w:rPr>
                      <w:szCs w:val="21"/>
                    </w:rPr>
                    <w:t>《环境空气质量标准》</w:t>
                  </w:r>
                  <w:r>
                    <w:rPr>
                      <w:rFonts w:hint="eastAsia"/>
                      <w:szCs w:val="21"/>
                    </w:rPr>
                    <w:t>（</w:t>
                  </w:r>
                  <w:r>
                    <w:rPr>
                      <w:szCs w:val="21"/>
                    </w:rPr>
                    <w:t>GB 3095-20</w:t>
                  </w:r>
                  <w:r>
                    <w:rPr>
                      <w:rFonts w:hint="eastAsia"/>
                      <w:szCs w:val="21"/>
                    </w:rPr>
                    <w:t>26）</w:t>
                  </w:r>
                  <w:r>
                    <w:rPr>
                      <w:szCs w:val="21"/>
                    </w:rPr>
                    <w:t>二级标准</w:t>
                  </w:r>
                </w:p>
              </w:tc>
            </w:tr>
            <w:tr w14:paraId="4AD9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66" w:type="dxa"/>
                  <w:tcBorders>
                    <w:left w:val="single" w:color="auto" w:sz="6" w:space="0"/>
                  </w:tcBorders>
                  <w:vAlign w:val="center"/>
                </w:tcPr>
                <w:p w14:paraId="56DC8D83">
                  <w:pPr>
                    <w:widowControl/>
                    <w:adjustRightInd w:val="0"/>
                    <w:snapToGrid w:val="0"/>
                    <w:spacing w:line="360" w:lineRule="exact"/>
                    <w:jc w:val="center"/>
                  </w:pPr>
                  <w:r>
                    <w:t>地下水</w:t>
                  </w:r>
                </w:p>
              </w:tc>
              <w:tc>
                <w:tcPr>
                  <w:tcW w:w="4111" w:type="dxa"/>
                  <w:gridSpan w:val="6"/>
                  <w:vAlign w:val="center"/>
                </w:tcPr>
                <w:p w14:paraId="662DBE78">
                  <w:pPr>
                    <w:widowControl/>
                    <w:adjustRightInd w:val="0"/>
                    <w:snapToGrid w:val="0"/>
                    <w:spacing w:line="360" w:lineRule="exact"/>
                    <w:jc w:val="center"/>
                  </w:pPr>
                  <w:r>
                    <w:t>管道周边500米范围内无地下水集中式饮用水水源和热水、矿泉水、温泉等特殊地下水资源保护目标</w:t>
                  </w:r>
                </w:p>
              </w:tc>
              <w:tc>
                <w:tcPr>
                  <w:tcW w:w="3642" w:type="dxa"/>
                  <w:vAlign w:val="center"/>
                </w:tcPr>
                <w:p w14:paraId="03F0E04F">
                  <w:pPr>
                    <w:widowControl/>
                    <w:adjustRightInd w:val="0"/>
                    <w:snapToGrid w:val="0"/>
                    <w:spacing w:line="360" w:lineRule="exact"/>
                    <w:jc w:val="center"/>
                  </w:pPr>
                  <w:r>
                    <w:t>《地下水质量标准》</w:t>
                  </w:r>
                  <w:r>
                    <w:rPr>
                      <w:rFonts w:hint="eastAsia"/>
                    </w:rPr>
                    <w:t>（</w:t>
                  </w:r>
                  <w:r>
                    <w:t>GB/T 14848-2017</w:t>
                  </w:r>
                  <w:r>
                    <w:rPr>
                      <w:rFonts w:hint="eastAsia"/>
                    </w:rPr>
                    <w:t>）</w:t>
                  </w:r>
                  <w:r>
                    <w:t>Ⅲ类标准</w:t>
                  </w:r>
                </w:p>
              </w:tc>
            </w:tr>
            <w:tr w14:paraId="1AE5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66" w:type="dxa"/>
                  <w:tcBorders>
                    <w:left w:val="single" w:color="auto" w:sz="6" w:space="0"/>
                  </w:tcBorders>
                  <w:vAlign w:val="center"/>
                </w:tcPr>
                <w:p w14:paraId="22A3ACEC">
                  <w:pPr>
                    <w:widowControl/>
                    <w:adjustRightInd w:val="0"/>
                    <w:snapToGrid w:val="0"/>
                    <w:spacing w:line="360" w:lineRule="exact"/>
                    <w:jc w:val="center"/>
                  </w:pPr>
                  <w:r>
                    <w:t>声环境</w:t>
                  </w:r>
                </w:p>
              </w:tc>
              <w:tc>
                <w:tcPr>
                  <w:tcW w:w="4111" w:type="dxa"/>
                  <w:gridSpan w:val="6"/>
                  <w:vAlign w:val="center"/>
                </w:tcPr>
                <w:p w14:paraId="7C2D99F2">
                  <w:pPr>
                    <w:widowControl/>
                    <w:adjustRightInd w:val="0"/>
                    <w:snapToGrid w:val="0"/>
                    <w:spacing w:line="360" w:lineRule="exact"/>
                    <w:jc w:val="center"/>
                  </w:pPr>
                  <w:r>
                    <w:t>管道两侧</w:t>
                  </w:r>
                  <w:r>
                    <w:rPr>
                      <w:rFonts w:hint="eastAsia"/>
                    </w:rPr>
                    <w:t>5</w:t>
                  </w:r>
                  <w:r>
                    <w:t>0米范围内无声环境保护目标</w:t>
                  </w:r>
                </w:p>
              </w:tc>
              <w:tc>
                <w:tcPr>
                  <w:tcW w:w="3642" w:type="dxa"/>
                  <w:vAlign w:val="center"/>
                </w:tcPr>
                <w:p w14:paraId="7C77CC4D">
                  <w:pPr>
                    <w:widowControl/>
                    <w:adjustRightInd w:val="0"/>
                    <w:snapToGrid w:val="0"/>
                    <w:spacing w:line="360" w:lineRule="exact"/>
                    <w:jc w:val="center"/>
                  </w:pPr>
                  <w:r>
                    <w:t>《声环境质量标准》</w:t>
                  </w:r>
                  <w:r>
                    <w:rPr>
                      <w:rFonts w:hint="eastAsia"/>
                    </w:rPr>
                    <w:t>（</w:t>
                  </w:r>
                  <w:r>
                    <w:t>GB 3096-2008</w:t>
                  </w:r>
                  <w:r>
                    <w:rPr>
                      <w:rFonts w:hint="eastAsia"/>
                    </w:rPr>
                    <w:t>）</w:t>
                  </w:r>
                  <w:r>
                    <w:t>3类标准</w:t>
                  </w:r>
                </w:p>
              </w:tc>
            </w:tr>
            <w:tr w14:paraId="7329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66" w:type="dxa"/>
                  <w:tcBorders>
                    <w:left w:val="single" w:color="auto" w:sz="6" w:space="0"/>
                  </w:tcBorders>
                  <w:vAlign w:val="center"/>
                </w:tcPr>
                <w:p w14:paraId="75927032">
                  <w:pPr>
                    <w:widowControl/>
                    <w:adjustRightInd w:val="0"/>
                    <w:snapToGrid w:val="0"/>
                    <w:spacing w:line="360" w:lineRule="exact"/>
                    <w:jc w:val="center"/>
                  </w:pPr>
                  <w:r>
                    <w:t>土壤环境</w:t>
                  </w:r>
                </w:p>
              </w:tc>
              <w:tc>
                <w:tcPr>
                  <w:tcW w:w="4111" w:type="dxa"/>
                  <w:gridSpan w:val="6"/>
                  <w:vAlign w:val="center"/>
                </w:tcPr>
                <w:p w14:paraId="0DE73663">
                  <w:pPr>
                    <w:widowControl/>
                    <w:adjustRightInd w:val="0"/>
                    <w:snapToGrid w:val="0"/>
                    <w:spacing w:line="360" w:lineRule="exact"/>
                    <w:jc w:val="center"/>
                  </w:pPr>
                  <w:r>
                    <w:t>项目周边土壤环境</w:t>
                  </w:r>
                </w:p>
              </w:tc>
              <w:tc>
                <w:tcPr>
                  <w:tcW w:w="3642" w:type="dxa"/>
                  <w:vAlign w:val="center"/>
                </w:tcPr>
                <w:p w14:paraId="7A1E3021">
                  <w:pPr>
                    <w:widowControl/>
                    <w:adjustRightInd w:val="0"/>
                    <w:snapToGrid w:val="0"/>
                    <w:spacing w:line="360" w:lineRule="exact"/>
                    <w:jc w:val="center"/>
                  </w:pPr>
                  <w:r>
                    <w:t>《土壤环境质量 建设用地土壤污染风险管控标准（试行）》</w:t>
                  </w:r>
                  <w:r>
                    <w:rPr>
                      <w:rFonts w:hint="eastAsia"/>
                    </w:rPr>
                    <w:t>（</w:t>
                  </w:r>
                  <w:r>
                    <w:t>GB 36600-2018</w:t>
                  </w:r>
                  <w:r>
                    <w:rPr>
                      <w:rFonts w:hint="eastAsia"/>
                    </w:rPr>
                    <w:t>）</w:t>
                  </w:r>
                  <w:r>
                    <w:t>表1中第二类用地筛选值</w:t>
                  </w:r>
                </w:p>
              </w:tc>
            </w:tr>
            <w:tr w14:paraId="5340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6" w:type="dxa"/>
                  <w:tcBorders>
                    <w:left w:val="single" w:color="auto" w:sz="6" w:space="0"/>
                  </w:tcBorders>
                  <w:vAlign w:val="center"/>
                </w:tcPr>
                <w:p w14:paraId="14D6ED11">
                  <w:pPr>
                    <w:spacing w:line="320" w:lineRule="exact"/>
                    <w:jc w:val="center"/>
                    <w:rPr>
                      <w:szCs w:val="21"/>
                    </w:rPr>
                  </w:pPr>
                  <w:r>
                    <w:rPr>
                      <w:szCs w:val="21"/>
                    </w:rPr>
                    <w:t>生态环境</w:t>
                  </w:r>
                </w:p>
              </w:tc>
              <w:tc>
                <w:tcPr>
                  <w:tcW w:w="4111" w:type="dxa"/>
                  <w:gridSpan w:val="6"/>
                  <w:vAlign w:val="center"/>
                </w:tcPr>
                <w:p w14:paraId="14516026">
                  <w:pPr>
                    <w:spacing w:line="320" w:lineRule="exact"/>
                    <w:jc w:val="center"/>
                    <w:rPr>
                      <w:szCs w:val="21"/>
                    </w:rPr>
                  </w:pPr>
                  <w:r>
                    <w:rPr>
                      <w:rFonts w:hint="eastAsia"/>
                      <w:szCs w:val="21"/>
                    </w:rPr>
                    <w:t>项目</w:t>
                  </w:r>
                  <w:r>
                    <w:rPr>
                      <w:szCs w:val="21"/>
                    </w:rPr>
                    <w:t>临时占地</w:t>
                  </w:r>
                  <w:r>
                    <w:rPr>
                      <w:rFonts w:hint="eastAsia"/>
                      <w:szCs w:val="21"/>
                    </w:rPr>
                    <w:t>主要为厂区已硬化土地，不涉及植被。</w:t>
                  </w:r>
                </w:p>
              </w:tc>
              <w:tc>
                <w:tcPr>
                  <w:tcW w:w="3642" w:type="dxa"/>
                  <w:vAlign w:val="center"/>
                </w:tcPr>
                <w:p w14:paraId="10E24369">
                  <w:pPr>
                    <w:spacing w:line="320" w:lineRule="exact"/>
                    <w:jc w:val="center"/>
                    <w:rPr>
                      <w:szCs w:val="21"/>
                    </w:rPr>
                  </w:pPr>
                  <w:r>
                    <w:rPr>
                      <w:rFonts w:hint="eastAsia"/>
                      <w:szCs w:val="21"/>
                    </w:rPr>
                    <w:t>/</w:t>
                  </w:r>
                </w:p>
              </w:tc>
            </w:tr>
            <w:tr w14:paraId="71DD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566" w:type="dxa"/>
                  <w:vMerge w:val="restart"/>
                  <w:tcBorders>
                    <w:left w:val="single" w:color="auto" w:sz="6" w:space="0"/>
                  </w:tcBorders>
                  <w:vAlign w:val="center"/>
                </w:tcPr>
                <w:p w14:paraId="787AC323">
                  <w:pPr>
                    <w:spacing w:line="320" w:lineRule="exact"/>
                    <w:jc w:val="center"/>
                    <w:rPr>
                      <w:szCs w:val="21"/>
                    </w:rPr>
                  </w:pPr>
                  <w:r>
                    <w:rPr>
                      <w:rFonts w:hint="eastAsia"/>
                      <w:szCs w:val="21"/>
                    </w:rPr>
                    <w:t>环境风险</w:t>
                  </w:r>
                </w:p>
              </w:tc>
              <w:tc>
                <w:tcPr>
                  <w:tcW w:w="851" w:type="dxa"/>
                  <w:vAlign w:val="center"/>
                </w:tcPr>
                <w:p w14:paraId="189D00F1">
                  <w:pPr>
                    <w:spacing w:line="320" w:lineRule="exact"/>
                    <w:jc w:val="center"/>
                    <w:rPr>
                      <w:szCs w:val="21"/>
                    </w:rPr>
                  </w:pPr>
                  <w:r>
                    <w:rPr>
                      <w:rFonts w:hint="eastAsia"/>
                      <w:szCs w:val="21"/>
                    </w:rPr>
                    <w:t>大气</w:t>
                  </w:r>
                </w:p>
              </w:tc>
              <w:tc>
                <w:tcPr>
                  <w:tcW w:w="3260" w:type="dxa"/>
                  <w:gridSpan w:val="5"/>
                  <w:vAlign w:val="center"/>
                </w:tcPr>
                <w:p w14:paraId="5A39CE54">
                  <w:pPr>
                    <w:spacing w:line="320" w:lineRule="exact"/>
                    <w:jc w:val="center"/>
                    <w:rPr>
                      <w:szCs w:val="21"/>
                    </w:rPr>
                  </w:pPr>
                  <w:r>
                    <w:rPr>
                      <w:rFonts w:hint="eastAsia"/>
                      <w:szCs w:val="21"/>
                    </w:rPr>
                    <w:t>附近企业职工</w:t>
                  </w:r>
                </w:p>
              </w:tc>
              <w:tc>
                <w:tcPr>
                  <w:tcW w:w="3642" w:type="dxa"/>
                  <w:vMerge w:val="restart"/>
                  <w:vAlign w:val="center"/>
                </w:tcPr>
                <w:p w14:paraId="76AD4FDE">
                  <w:pPr>
                    <w:spacing w:line="320" w:lineRule="exact"/>
                    <w:jc w:val="center"/>
                    <w:rPr>
                      <w:szCs w:val="21"/>
                    </w:rPr>
                  </w:pPr>
                  <w:r>
                    <w:rPr>
                      <w:rFonts w:hint="eastAsia"/>
                      <w:szCs w:val="21"/>
                    </w:rPr>
                    <w:t>环境风险可控</w:t>
                  </w:r>
                </w:p>
              </w:tc>
            </w:tr>
            <w:tr w14:paraId="3668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trPr>
              <w:tc>
                <w:tcPr>
                  <w:tcW w:w="566" w:type="dxa"/>
                  <w:vMerge w:val="continue"/>
                  <w:tcBorders>
                    <w:left w:val="single" w:color="auto" w:sz="6" w:space="0"/>
                    <w:bottom w:val="single" w:color="auto" w:sz="4" w:space="0"/>
                  </w:tcBorders>
                  <w:vAlign w:val="center"/>
                </w:tcPr>
                <w:p w14:paraId="6AA58183">
                  <w:pPr>
                    <w:spacing w:line="320" w:lineRule="exact"/>
                    <w:jc w:val="center"/>
                    <w:rPr>
                      <w:szCs w:val="21"/>
                    </w:rPr>
                  </w:pPr>
                </w:p>
              </w:tc>
              <w:tc>
                <w:tcPr>
                  <w:tcW w:w="851" w:type="dxa"/>
                  <w:vAlign w:val="center"/>
                </w:tcPr>
                <w:p w14:paraId="6A665D12">
                  <w:pPr>
                    <w:spacing w:line="320" w:lineRule="exact"/>
                    <w:jc w:val="center"/>
                    <w:rPr>
                      <w:szCs w:val="21"/>
                    </w:rPr>
                  </w:pPr>
                  <w:r>
                    <w:rPr>
                      <w:rFonts w:hint="eastAsia"/>
                      <w:szCs w:val="21"/>
                    </w:rPr>
                    <w:t>土壤</w:t>
                  </w:r>
                </w:p>
              </w:tc>
              <w:tc>
                <w:tcPr>
                  <w:tcW w:w="3260" w:type="dxa"/>
                  <w:gridSpan w:val="5"/>
                  <w:vAlign w:val="center"/>
                </w:tcPr>
                <w:p w14:paraId="740D7D9D">
                  <w:pPr>
                    <w:spacing w:line="320" w:lineRule="exact"/>
                    <w:jc w:val="center"/>
                    <w:rPr>
                      <w:szCs w:val="21"/>
                    </w:rPr>
                  </w:pPr>
                  <w:r>
                    <w:rPr>
                      <w:rFonts w:hint="eastAsia"/>
                    </w:rPr>
                    <w:t>管道沿线土壤</w:t>
                  </w:r>
                </w:p>
              </w:tc>
              <w:tc>
                <w:tcPr>
                  <w:tcW w:w="3642" w:type="dxa"/>
                  <w:vMerge w:val="continue"/>
                  <w:vAlign w:val="center"/>
                </w:tcPr>
                <w:p w14:paraId="4498D676">
                  <w:pPr>
                    <w:spacing w:line="320" w:lineRule="exact"/>
                    <w:jc w:val="center"/>
                    <w:rPr>
                      <w:szCs w:val="21"/>
                    </w:rPr>
                  </w:pPr>
                </w:p>
              </w:tc>
            </w:tr>
          </w:tbl>
          <w:p w14:paraId="5B2DCB40">
            <w:pPr>
              <w:spacing w:line="440" w:lineRule="exact"/>
              <w:ind w:firstLine="420" w:firstLineChars="200"/>
              <w:rPr>
                <w:kern w:val="0"/>
                <w:szCs w:val="21"/>
              </w:rPr>
            </w:pPr>
          </w:p>
        </w:tc>
      </w:tr>
      <w:tr w14:paraId="3F273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717" w:type="dxa"/>
            <w:vAlign w:val="center"/>
          </w:tcPr>
          <w:p w14:paraId="2323E4C5">
            <w:pPr>
              <w:adjustRightInd w:val="0"/>
              <w:snapToGrid w:val="0"/>
              <w:jc w:val="center"/>
              <w:rPr>
                <w:kern w:val="0"/>
                <w:sz w:val="24"/>
              </w:rPr>
            </w:pPr>
            <w:r>
              <w:rPr>
                <w:kern w:val="0"/>
                <w:sz w:val="24"/>
              </w:rPr>
              <w:t>评价</w:t>
            </w:r>
          </w:p>
          <w:p w14:paraId="330C1908">
            <w:pPr>
              <w:adjustRightInd w:val="0"/>
              <w:snapToGrid w:val="0"/>
              <w:jc w:val="center"/>
              <w:rPr>
                <w:kern w:val="0"/>
                <w:szCs w:val="21"/>
              </w:rPr>
            </w:pPr>
            <w:r>
              <w:rPr>
                <w:kern w:val="0"/>
                <w:sz w:val="24"/>
              </w:rPr>
              <w:t>标准</w:t>
            </w:r>
          </w:p>
        </w:tc>
        <w:tc>
          <w:tcPr>
            <w:tcW w:w="7440" w:type="dxa"/>
          </w:tcPr>
          <w:p w14:paraId="72291BF9">
            <w:pPr>
              <w:adjustRightInd w:val="0"/>
              <w:snapToGrid w:val="0"/>
              <w:spacing w:line="430" w:lineRule="exact"/>
              <w:ind w:firstLine="482" w:firstLineChars="200"/>
              <w:rPr>
                <w:b/>
                <w:sz w:val="24"/>
              </w:rPr>
            </w:pPr>
            <w:r>
              <w:rPr>
                <w:b/>
                <w:sz w:val="24"/>
              </w:rPr>
              <w:t>1</w:t>
            </w:r>
            <w:r>
              <w:rPr>
                <w:rFonts w:hint="eastAsia"/>
                <w:b/>
                <w:sz w:val="24"/>
              </w:rPr>
              <w:t>.</w:t>
            </w:r>
            <w:r>
              <w:rPr>
                <w:b/>
                <w:sz w:val="24"/>
              </w:rPr>
              <w:t>环境质量标准</w:t>
            </w:r>
          </w:p>
          <w:p w14:paraId="2E231805">
            <w:pPr>
              <w:adjustRightInd w:val="0"/>
              <w:snapToGrid w:val="0"/>
              <w:spacing w:line="430" w:lineRule="exact"/>
              <w:ind w:firstLine="480" w:firstLineChars="200"/>
              <w:rPr>
                <w:sz w:val="24"/>
                <w:szCs w:val="20"/>
              </w:rPr>
            </w:pPr>
            <w:r>
              <w:rPr>
                <w:sz w:val="24"/>
                <w:szCs w:val="20"/>
              </w:rPr>
              <w:t>（1）环境空气</w:t>
            </w:r>
          </w:p>
          <w:p w14:paraId="135D3556">
            <w:pPr>
              <w:adjustRightInd w:val="0"/>
              <w:snapToGrid w:val="0"/>
              <w:spacing w:line="430" w:lineRule="exact"/>
              <w:ind w:firstLine="480" w:firstLineChars="200"/>
              <w:rPr>
                <w:sz w:val="24"/>
                <w:szCs w:val="20"/>
              </w:rPr>
            </w:pPr>
            <w:r>
              <w:rPr>
                <w:sz w:val="24"/>
                <w:szCs w:val="20"/>
              </w:rPr>
              <w:t>区域环境空气质量执行</w:t>
            </w:r>
            <w:r>
              <w:rPr>
                <w:rFonts w:hint="eastAsia"/>
                <w:sz w:val="24"/>
                <w:szCs w:val="20"/>
              </w:rPr>
              <w:t>《环境空气质量标准》（GB 3095-2026）中过渡阶段浓度限值的二级标准</w:t>
            </w:r>
            <w:r>
              <w:rPr>
                <w:sz w:val="24"/>
                <w:szCs w:val="20"/>
              </w:rPr>
              <w:t>，标准限值见表</w:t>
            </w:r>
            <w:r>
              <w:rPr>
                <w:rFonts w:hint="eastAsia"/>
                <w:sz w:val="24"/>
                <w:szCs w:val="20"/>
              </w:rPr>
              <w:t>3-4</w:t>
            </w:r>
            <w:r>
              <w:rPr>
                <w:sz w:val="24"/>
                <w:szCs w:val="20"/>
              </w:rPr>
              <w:t>。</w:t>
            </w:r>
          </w:p>
          <w:p w14:paraId="79D3DC96">
            <w:pPr>
              <w:widowControl/>
              <w:spacing w:line="440" w:lineRule="exact"/>
              <w:ind w:firstLine="482" w:firstLineChars="200"/>
              <w:rPr>
                <w:b/>
                <w:kern w:val="0"/>
                <w:sz w:val="24"/>
                <w:szCs w:val="20"/>
              </w:rPr>
            </w:pPr>
            <w:r>
              <w:rPr>
                <w:b/>
                <w:kern w:val="0"/>
                <w:sz w:val="24"/>
                <w:szCs w:val="20"/>
              </w:rPr>
              <w:t>表</w:t>
            </w:r>
            <w:r>
              <w:rPr>
                <w:rFonts w:hint="eastAsia"/>
                <w:b/>
                <w:kern w:val="0"/>
                <w:sz w:val="24"/>
                <w:szCs w:val="20"/>
              </w:rPr>
              <w:t>3-4</w:t>
            </w:r>
            <w:r>
              <w:rPr>
                <w:b/>
                <w:kern w:val="0"/>
                <w:sz w:val="24"/>
                <w:szCs w:val="20"/>
              </w:rPr>
              <w:t xml:space="preserve">    环境空气质量标准</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814"/>
              <w:gridCol w:w="1903"/>
              <w:gridCol w:w="1199"/>
              <w:gridCol w:w="1199"/>
              <w:gridCol w:w="899"/>
              <w:gridCol w:w="1660"/>
            </w:tblGrid>
            <w:tr w14:paraId="4FEF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4FC2571C">
                  <w:pPr>
                    <w:spacing w:line="360" w:lineRule="exact"/>
                    <w:jc w:val="center"/>
                    <w:rPr>
                      <w:kern w:val="0"/>
                      <w:szCs w:val="21"/>
                    </w:rPr>
                  </w:pPr>
                  <w:r>
                    <w:rPr>
                      <w:kern w:val="0"/>
                      <w:szCs w:val="21"/>
                    </w:rPr>
                    <w:t>序号</w:t>
                  </w:r>
                </w:p>
              </w:tc>
              <w:tc>
                <w:tcPr>
                  <w:tcW w:w="489" w:type="pct"/>
                  <w:vAlign w:val="center"/>
                </w:tcPr>
                <w:p w14:paraId="6D94A74F">
                  <w:pPr>
                    <w:spacing w:line="360" w:lineRule="exact"/>
                    <w:jc w:val="center"/>
                    <w:rPr>
                      <w:kern w:val="0"/>
                      <w:szCs w:val="21"/>
                    </w:rPr>
                  </w:pPr>
                  <w:r>
                    <w:rPr>
                      <w:kern w:val="0"/>
                      <w:szCs w:val="21"/>
                    </w:rPr>
                    <w:t>项目</w:t>
                  </w:r>
                </w:p>
              </w:tc>
              <w:tc>
                <w:tcPr>
                  <w:tcW w:w="1143" w:type="pct"/>
                  <w:vAlign w:val="center"/>
                </w:tcPr>
                <w:p w14:paraId="7AE36F3E">
                  <w:pPr>
                    <w:spacing w:line="360" w:lineRule="exact"/>
                    <w:jc w:val="center"/>
                    <w:rPr>
                      <w:kern w:val="0"/>
                      <w:szCs w:val="21"/>
                    </w:rPr>
                  </w:pPr>
                  <w:r>
                    <w:rPr>
                      <w:kern w:val="0"/>
                      <w:szCs w:val="21"/>
                    </w:rPr>
                    <w:t>平均时间</w:t>
                  </w:r>
                </w:p>
              </w:tc>
              <w:tc>
                <w:tcPr>
                  <w:tcW w:w="720" w:type="pct"/>
                  <w:vAlign w:val="center"/>
                </w:tcPr>
                <w:p w14:paraId="022F8CF2">
                  <w:pPr>
                    <w:spacing w:line="360" w:lineRule="exact"/>
                    <w:jc w:val="center"/>
                    <w:rPr>
                      <w:kern w:val="0"/>
                      <w:szCs w:val="21"/>
                    </w:rPr>
                  </w:pPr>
                  <w:r>
                    <w:rPr>
                      <w:rFonts w:hint="eastAsia"/>
                      <w:kern w:val="0"/>
                      <w:szCs w:val="21"/>
                    </w:rPr>
                    <w:t>过渡期</w:t>
                  </w:r>
                  <w:r>
                    <w:rPr>
                      <w:kern w:val="0"/>
                      <w:szCs w:val="21"/>
                    </w:rPr>
                    <w:t>浓度限值</w:t>
                  </w:r>
                </w:p>
              </w:tc>
              <w:tc>
                <w:tcPr>
                  <w:tcW w:w="720" w:type="pct"/>
                  <w:vAlign w:val="center"/>
                </w:tcPr>
                <w:p w14:paraId="753ED748">
                  <w:pPr>
                    <w:spacing w:line="360" w:lineRule="exact"/>
                    <w:jc w:val="center"/>
                    <w:rPr>
                      <w:kern w:val="0"/>
                      <w:szCs w:val="21"/>
                    </w:rPr>
                  </w:pPr>
                  <w:r>
                    <w:rPr>
                      <w:rFonts w:hint="eastAsia"/>
                      <w:kern w:val="0"/>
                      <w:szCs w:val="21"/>
                    </w:rPr>
                    <w:t>2031年后浓度限值</w:t>
                  </w:r>
                </w:p>
              </w:tc>
              <w:tc>
                <w:tcPr>
                  <w:tcW w:w="540" w:type="pct"/>
                  <w:vAlign w:val="center"/>
                </w:tcPr>
                <w:p w14:paraId="06D5EE48">
                  <w:pPr>
                    <w:spacing w:line="360" w:lineRule="exact"/>
                    <w:jc w:val="center"/>
                    <w:rPr>
                      <w:kern w:val="0"/>
                      <w:szCs w:val="21"/>
                    </w:rPr>
                  </w:pPr>
                  <w:r>
                    <w:rPr>
                      <w:kern w:val="0"/>
                      <w:szCs w:val="21"/>
                    </w:rPr>
                    <w:t>单位</w:t>
                  </w:r>
                </w:p>
              </w:tc>
              <w:tc>
                <w:tcPr>
                  <w:tcW w:w="997" w:type="pct"/>
                  <w:vAlign w:val="center"/>
                </w:tcPr>
                <w:p w14:paraId="5822F3C8">
                  <w:pPr>
                    <w:spacing w:line="360" w:lineRule="exact"/>
                    <w:jc w:val="center"/>
                    <w:rPr>
                      <w:kern w:val="0"/>
                      <w:szCs w:val="21"/>
                    </w:rPr>
                  </w:pPr>
                  <w:r>
                    <w:rPr>
                      <w:kern w:val="0"/>
                      <w:szCs w:val="21"/>
                    </w:rPr>
                    <w:t>标准来源</w:t>
                  </w:r>
                </w:p>
              </w:tc>
            </w:tr>
            <w:tr w14:paraId="714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238F44DA">
                  <w:pPr>
                    <w:spacing w:line="360" w:lineRule="exact"/>
                    <w:jc w:val="center"/>
                    <w:rPr>
                      <w:kern w:val="0"/>
                      <w:szCs w:val="21"/>
                    </w:rPr>
                  </w:pPr>
                  <w:r>
                    <w:rPr>
                      <w:kern w:val="0"/>
                      <w:szCs w:val="21"/>
                    </w:rPr>
                    <w:t>1</w:t>
                  </w:r>
                </w:p>
              </w:tc>
              <w:tc>
                <w:tcPr>
                  <w:tcW w:w="489" w:type="pct"/>
                  <w:vMerge w:val="restart"/>
                  <w:vAlign w:val="center"/>
                </w:tcPr>
                <w:p w14:paraId="4A512E2B">
                  <w:pPr>
                    <w:spacing w:line="360" w:lineRule="exact"/>
                    <w:jc w:val="center"/>
                    <w:rPr>
                      <w:kern w:val="0"/>
                      <w:szCs w:val="21"/>
                    </w:rPr>
                  </w:pPr>
                  <w:r>
                    <w:rPr>
                      <w:kern w:val="0"/>
                      <w:szCs w:val="21"/>
                    </w:rPr>
                    <w:t>SO</w:t>
                  </w:r>
                  <w:r>
                    <w:rPr>
                      <w:kern w:val="0"/>
                      <w:szCs w:val="21"/>
                      <w:vertAlign w:val="subscript"/>
                    </w:rPr>
                    <w:t>2</w:t>
                  </w:r>
                </w:p>
              </w:tc>
              <w:tc>
                <w:tcPr>
                  <w:tcW w:w="1143" w:type="pct"/>
                  <w:vAlign w:val="center"/>
                </w:tcPr>
                <w:p w14:paraId="276512B2">
                  <w:pPr>
                    <w:spacing w:line="360" w:lineRule="exact"/>
                    <w:jc w:val="center"/>
                    <w:rPr>
                      <w:kern w:val="0"/>
                      <w:szCs w:val="21"/>
                    </w:rPr>
                  </w:pPr>
                  <w:r>
                    <w:rPr>
                      <w:kern w:val="0"/>
                      <w:szCs w:val="21"/>
                    </w:rPr>
                    <w:t>年平均</w:t>
                  </w:r>
                </w:p>
              </w:tc>
              <w:tc>
                <w:tcPr>
                  <w:tcW w:w="720" w:type="pct"/>
                  <w:vAlign w:val="center"/>
                </w:tcPr>
                <w:p w14:paraId="6B8AFFCB">
                  <w:pPr>
                    <w:spacing w:line="360" w:lineRule="exact"/>
                    <w:jc w:val="center"/>
                    <w:rPr>
                      <w:kern w:val="0"/>
                      <w:szCs w:val="21"/>
                    </w:rPr>
                  </w:pPr>
                  <w:r>
                    <w:rPr>
                      <w:kern w:val="0"/>
                      <w:szCs w:val="21"/>
                    </w:rPr>
                    <w:t>60</w:t>
                  </w:r>
                </w:p>
              </w:tc>
              <w:tc>
                <w:tcPr>
                  <w:tcW w:w="720" w:type="pct"/>
                  <w:vAlign w:val="center"/>
                </w:tcPr>
                <w:p w14:paraId="4E83F360">
                  <w:pPr>
                    <w:spacing w:line="360" w:lineRule="exact"/>
                    <w:jc w:val="center"/>
                    <w:rPr>
                      <w:kern w:val="0"/>
                      <w:szCs w:val="21"/>
                    </w:rPr>
                  </w:pPr>
                  <w:r>
                    <w:rPr>
                      <w:kern w:val="0"/>
                      <w:szCs w:val="21"/>
                    </w:rPr>
                    <w:t>60</w:t>
                  </w:r>
                </w:p>
              </w:tc>
              <w:tc>
                <w:tcPr>
                  <w:tcW w:w="540" w:type="pct"/>
                  <w:vMerge w:val="restart"/>
                  <w:vAlign w:val="center"/>
                </w:tcPr>
                <w:p w14:paraId="371C819E">
                  <w:pPr>
                    <w:spacing w:line="360" w:lineRule="exact"/>
                    <w:jc w:val="center"/>
                    <w:rPr>
                      <w:kern w:val="0"/>
                      <w:szCs w:val="21"/>
                    </w:rPr>
                  </w:pPr>
                  <w:r>
                    <w:rPr>
                      <w:kern w:val="0"/>
                      <w:szCs w:val="21"/>
                    </w:rPr>
                    <w:t>μg/m</w:t>
                  </w:r>
                  <w:r>
                    <w:rPr>
                      <w:kern w:val="0"/>
                      <w:szCs w:val="21"/>
                      <w:vertAlign w:val="superscript"/>
                    </w:rPr>
                    <w:t>3</w:t>
                  </w:r>
                </w:p>
              </w:tc>
              <w:tc>
                <w:tcPr>
                  <w:tcW w:w="997" w:type="pct"/>
                  <w:vMerge w:val="restart"/>
                  <w:vAlign w:val="center"/>
                </w:tcPr>
                <w:p w14:paraId="5BA558C6">
                  <w:pPr>
                    <w:spacing w:line="360" w:lineRule="exact"/>
                    <w:jc w:val="center"/>
                    <w:rPr>
                      <w:kern w:val="0"/>
                      <w:szCs w:val="21"/>
                    </w:rPr>
                  </w:pPr>
                  <w:r>
                    <w:rPr>
                      <w:rFonts w:hint="eastAsia"/>
                      <w:kern w:val="0"/>
                      <w:szCs w:val="21"/>
                    </w:rPr>
                    <w:t>《环境空气质量标准》（GB 3095-2026）二级标准</w:t>
                  </w:r>
                </w:p>
              </w:tc>
            </w:tr>
            <w:tr w14:paraId="0CCC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781F007E">
                  <w:pPr>
                    <w:spacing w:line="360" w:lineRule="exact"/>
                    <w:jc w:val="center"/>
                    <w:rPr>
                      <w:kern w:val="0"/>
                      <w:szCs w:val="21"/>
                    </w:rPr>
                  </w:pPr>
                </w:p>
              </w:tc>
              <w:tc>
                <w:tcPr>
                  <w:tcW w:w="489" w:type="pct"/>
                  <w:vMerge w:val="continue"/>
                  <w:vAlign w:val="center"/>
                </w:tcPr>
                <w:p w14:paraId="5862E9C4">
                  <w:pPr>
                    <w:spacing w:line="360" w:lineRule="exact"/>
                    <w:jc w:val="center"/>
                    <w:rPr>
                      <w:kern w:val="0"/>
                      <w:szCs w:val="21"/>
                    </w:rPr>
                  </w:pPr>
                </w:p>
              </w:tc>
              <w:tc>
                <w:tcPr>
                  <w:tcW w:w="1143" w:type="pct"/>
                  <w:vAlign w:val="center"/>
                </w:tcPr>
                <w:p w14:paraId="65AEF81D">
                  <w:pPr>
                    <w:spacing w:line="360" w:lineRule="exact"/>
                    <w:jc w:val="center"/>
                    <w:rPr>
                      <w:kern w:val="0"/>
                      <w:szCs w:val="21"/>
                    </w:rPr>
                  </w:pPr>
                  <w:r>
                    <w:rPr>
                      <w:kern w:val="0"/>
                      <w:szCs w:val="21"/>
                    </w:rPr>
                    <w:t>24小时平均</w:t>
                  </w:r>
                </w:p>
              </w:tc>
              <w:tc>
                <w:tcPr>
                  <w:tcW w:w="720" w:type="pct"/>
                  <w:vAlign w:val="center"/>
                </w:tcPr>
                <w:p w14:paraId="047170AB">
                  <w:pPr>
                    <w:spacing w:line="360" w:lineRule="exact"/>
                    <w:jc w:val="center"/>
                    <w:rPr>
                      <w:kern w:val="0"/>
                      <w:szCs w:val="21"/>
                    </w:rPr>
                  </w:pPr>
                  <w:r>
                    <w:rPr>
                      <w:kern w:val="0"/>
                      <w:szCs w:val="21"/>
                    </w:rPr>
                    <w:t>150</w:t>
                  </w:r>
                </w:p>
              </w:tc>
              <w:tc>
                <w:tcPr>
                  <w:tcW w:w="720" w:type="pct"/>
                  <w:vAlign w:val="center"/>
                </w:tcPr>
                <w:p w14:paraId="0EFBF477">
                  <w:pPr>
                    <w:spacing w:line="360" w:lineRule="exact"/>
                    <w:jc w:val="center"/>
                    <w:rPr>
                      <w:kern w:val="0"/>
                      <w:szCs w:val="21"/>
                    </w:rPr>
                  </w:pPr>
                  <w:r>
                    <w:rPr>
                      <w:kern w:val="0"/>
                      <w:szCs w:val="21"/>
                    </w:rPr>
                    <w:t>150</w:t>
                  </w:r>
                </w:p>
              </w:tc>
              <w:tc>
                <w:tcPr>
                  <w:tcW w:w="540" w:type="pct"/>
                  <w:vMerge w:val="continue"/>
                  <w:vAlign w:val="center"/>
                </w:tcPr>
                <w:p w14:paraId="72DE3060">
                  <w:pPr>
                    <w:spacing w:line="360" w:lineRule="exact"/>
                    <w:jc w:val="center"/>
                    <w:rPr>
                      <w:kern w:val="0"/>
                      <w:szCs w:val="21"/>
                    </w:rPr>
                  </w:pPr>
                </w:p>
              </w:tc>
              <w:tc>
                <w:tcPr>
                  <w:tcW w:w="997" w:type="pct"/>
                  <w:vMerge w:val="continue"/>
                  <w:vAlign w:val="center"/>
                </w:tcPr>
                <w:p w14:paraId="50F2C717">
                  <w:pPr>
                    <w:spacing w:line="360" w:lineRule="exact"/>
                    <w:jc w:val="center"/>
                    <w:rPr>
                      <w:kern w:val="0"/>
                      <w:szCs w:val="21"/>
                    </w:rPr>
                  </w:pPr>
                </w:p>
              </w:tc>
            </w:tr>
            <w:tr w14:paraId="4269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1E3EBCF2">
                  <w:pPr>
                    <w:spacing w:line="360" w:lineRule="exact"/>
                    <w:jc w:val="center"/>
                    <w:rPr>
                      <w:kern w:val="0"/>
                      <w:szCs w:val="21"/>
                    </w:rPr>
                  </w:pPr>
                </w:p>
              </w:tc>
              <w:tc>
                <w:tcPr>
                  <w:tcW w:w="489" w:type="pct"/>
                  <w:vMerge w:val="continue"/>
                  <w:vAlign w:val="center"/>
                </w:tcPr>
                <w:p w14:paraId="67E34470">
                  <w:pPr>
                    <w:spacing w:line="360" w:lineRule="exact"/>
                    <w:jc w:val="center"/>
                    <w:rPr>
                      <w:kern w:val="0"/>
                      <w:szCs w:val="21"/>
                    </w:rPr>
                  </w:pPr>
                </w:p>
              </w:tc>
              <w:tc>
                <w:tcPr>
                  <w:tcW w:w="1143" w:type="pct"/>
                  <w:vAlign w:val="center"/>
                </w:tcPr>
                <w:p w14:paraId="14C56331">
                  <w:pPr>
                    <w:spacing w:line="360" w:lineRule="exact"/>
                    <w:jc w:val="center"/>
                    <w:rPr>
                      <w:kern w:val="0"/>
                      <w:szCs w:val="21"/>
                    </w:rPr>
                  </w:pPr>
                  <w:r>
                    <w:rPr>
                      <w:kern w:val="0"/>
                      <w:szCs w:val="21"/>
                    </w:rPr>
                    <w:t>1小时平均</w:t>
                  </w:r>
                </w:p>
              </w:tc>
              <w:tc>
                <w:tcPr>
                  <w:tcW w:w="720" w:type="pct"/>
                  <w:vAlign w:val="center"/>
                </w:tcPr>
                <w:p w14:paraId="737B14DB">
                  <w:pPr>
                    <w:spacing w:line="360" w:lineRule="exact"/>
                    <w:jc w:val="center"/>
                    <w:rPr>
                      <w:kern w:val="0"/>
                      <w:szCs w:val="21"/>
                    </w:rPr>
                  </w:pPr>
                  <w:r>
                    <w:rPr>
                      <w:kern w:val="0"/>
                      <w:szCs w:val="21"/>
                    </w:rPr>
                    <w:t>500</w:t>
                  </w:r>
                </w:p>
              </w:tc>
              <w:tc>
                <w:tcPr>
                  <w:tcW w:w="720" w:type="pct"/>
                  <w:vAlign w:val="center"/>
                </w:tcPr>
                <w:p w14:paraId="53DC0F64">
                  <w:pPr>
                    <w:spacing w:line="360" w:lineRule="exact"/>
                    <w:jc w:val="center"/>
                    <w:rPr>
                      <w:kern w:val="0"/>
                      <w:szCs w:val="21"/>
                    </w:rPr>
                  </w:pPr>
                  <w:r>
                    <w:rPr>
                      <w:kern w:val="0"/>
                      <w:szCs w:val="21"/>
                    </w:rPr>
                    <w:t>500</w:t>
                  </w:r>
                </w:p>
              </w:tc>
              <w:tc>
                <w:tcPr>
                  <w:tcW w:w="540" w:type="pct"/>
                  <w:vMerge w:val="continue"/>
                  <w:vAlign w:val="center"/>
                </w:tcPr>
                <w:p w14:paraId="3C4756A8">
                  <w:pPr>
                    <w:spacing w:line="360" w:lineRule="exact"/>
                    <w:jc w:val="center"/>
                    <w:rPr>
                      <w:kern w:val="0"/>
                      <w:szCs w:val="21"/>
                    </w:rPr>
                  </w:pPr>
                </w:p>
              </w:tc>
              <w:tc>
                <w:tcPr>
                  <w:tcW w:w="997" w:type="pct"/>
                  <w:vMerge w:val="continue"/>
                  <w:vAlign w:val="center"/>
                </w:tcPr>
                <w:p w14:paraId="17D43104">
                  <w:pPr>
                    <w:spacing w:line="360" w:lineRule="exact"/>
                    <w:jc w:val="center"/>
                    <w:rPr>
                      <w:kern w:val="0"/>
                      <w:szCs w:val="21"/>
                    </w:rPr>
                  </w:pPr>
                </w:p>
              </w:tc>
            </w:tr>
            <w:tr w14:paraId="0C38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58D4A5F0">
                  <w:pPr>
                    <w:spacing w:line="360" w:lineRule="exact"/>
                    <w:jc w:val="center"/>
                    <w:rPr>
                      <w:kern w:val="0"/>
                      <w:szCs w:val="21"/>
                    </w:rPr>
                  </w:pPr>
                  <w:r>
                    <w:rPr>
                      <w:kern w:val="0"/>
                      <w:szCs w:val="21"/>
                    </w:rPr>
                    <w:t>2</w:t>
                  </w:r>
                </w:p>
              </w:tc>
              <w:tc>
                <w:tcPr>
                  <w:tcW w:w="489" w:type="pct"/>
                  <w:vMerge w:val="restart"/>
                  <w:vAlign w:val="center"/>
                </w:tcPr>
                <w:p w14:paraId="70EEC638">
                  <w:pPr>
                    <w:spacing w:line="360" w:lineRule="exact"/>
                    <w:jc w:val="center"/>
                    <w:rPr>
                      <w:kern w:val="0"/>
                      <w:szCs w:val="21"/>
                    </w:rPr>
                  </w:pPr>
                  <w:r>
                    <w:rPr>
                      <w:kern w:val="0"/>
                      <w:szCs w:val="21"/>
                    </w:rPr>
                    <w:t>NO</w:t>
                  </w:r>
                  <w:r>
                    <w:rPr>
                      <w:kern w:val="0"/>
                      <w:szCs w:val="21"/>
                      <w:vertAlign w:val="subscript"/>
                    </w:rPr>
                    <w:t>2</w:t>
                  </w:r>
                </w:p>
              </w:tc>
              <w:tc>
                <w:tcPr>
                  <w:tcW w:w="1143" w:type="pct"/>
                  <w:vAlign w:val="center"/>
                </w:tcPr>
                <w:p w14:paraId="133750FA">
                  <w:pPr>
                    <w:spacing w:line="360" w:lineRule="exact"/>
                    <w:jc w:val="center"/>
                    <w:rPr>
                      <w:kern w:val="0"/>
                      <w:szCs w:val="21"/>
                    </w:rPr>
                  </w:pPr>
                  <w:r>
                    <w:rPr>
                      <w:kern w:val="0"/>
                      <w:szCs w:val="21"/>
                    </w:rPr>
                    <w:t>年平均</w:t>
                  </w:r>
                </w:p>
              </w:tc>
              <w:tc>
                <w:tcPr>
                  <w:tcW w:w="720" w:type="pct"/>
                  <w:vAlign w:val="center"/>
                </w:tcPr>
                <w:p w14:paraId="4C2A3966">
                  <w:pPr>
                    <w:spacing w:line="360" w:lineRule="exact"/>
                    <w:jc w:val="center"/>
                    <w:rPr>
                      <w:kern w:val="0"/>
                      <w:szCs w:val="21"/>
                    </w:rPr>
                  </w:pPr>
                  <w:r>
                    <w:rPr>
                      <w:kern w:val="0"/>
                      <w:szCs w:val="21"/>
                    </w:rPr>
                    <w:t>40</w:t>
                  </w:r>
                </w:p>
              </w:tc>
              <w:tc>
                <w:tcPr>
                  <w:tcW w:w="720" w:type="pct"/>
                  <w:vAlign w:val="center"/>
                </w:tcPr>
                <w:p w14:paraId="0AE8C8D6">
                  <w:pPr>
                    <w:spacing w:line="360" w:lineRule="exact"/>
                    <w:jc w:val="center"/>
                    <w:rPr>
                      <w:kern w:val="0"/>
                      <w:szCs w:val="21"/>
                    </w:rPr>
                  </w:pPr>
                  <w:r>
                    <w:rPr>
                      <w:kern w:val="0"/>
                      <w:szCs w:val="21"/>
                    </w:rPr>
                    <w:t>40</w:t>
                  </w:r>
                </w:p>
              </w:tc>
              <w:tc>
                <w:tcPr>
                  <w:tcW w:w="540" w:type="pct"/>
                  <w:vMerge w:val="continue"/>
                  <w:vAlign w:val="center"/>
                </w:tcPr>
                <w:p w14:paraId="1F6D77DC">
                  <w:pPr>
                    <w:spacing w:line="360" w:lineRule="exact"/>
                    <w:jc w:val="center"/>
                    <w:rPr>
                      <w:kern w:val="0"/>
                      <w:szCs w:val="21"/>
                    </w:rPr>
                  </w:pPr>
                </w:p>
              </w:tc>
              <w:tc>
                <w:tcPr>
                  <w:tcW w:w="997" w:type="pct"/>
                  <w:vMerge w:val="continue"/>
                  <w:vAlign w:val="center"/>
                </w:tcPr>
                <w:p w14:paraId="459BFCA7">
                  <w:pPr>
                    <w:spacing w:line="360" w:lineRule="exact"/>
                    <w:jc w:val="center"/>
                    <w:rPr>
                      <w:kern w:val="0"/>
                      <w:szCs w:val="21"/>
                    </w:rPr>
                  </w:pPr>
                </w:p>
              </w:tc>
            </w:tr>
            <w:tr w14:paraId="4238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6A209A7C">
                  <w:pPr>
                    <w:spacing w:line="360" w:lineRule="exact"/>
                    <w:jc w:val="center"/>
                    <w:rPr>
                      <w:kern w:val="0"/>
                      <w:szCs w:val="21"/>
                    </w:rPr>
                  </w:pPr>
                </w:p>
              </w:tc>
              <w:tc>
                <w:tcPr>
                  <w:tcW w:w="489" w:type="pct"/>
                  <w:vMerge w:val="continue"/>
                  <w:vAlign w:val="center"/>
                </w:tcPr>
                <w:p w14:paraId="7FD377CF">
                  <w:pPr>
                    <w:spacing w:line="360" w:lineRule="exact"/>
                    <w:jc w:val="center"/>
                    <w:rPr>
                      <w:kern w:val="0"/>
                      <w:szCs w:val="21"/>
                    </w:rPr>
                  </w:pPr>
                </w:p>
              </w:tc>
              <w:tc>
                <w:tcPr>
                  <w:tcW w:w="1143" w:type="pct"/>
                  <w:vAlign w:val="center"/>
                </w:tcPr>
                <w:p w14:paraId="6EA84E8F">
                  <w:pPr>
                    <w:spacing w:line="360" w:lineRule="exact"/>
                    <w:jc w:val="center"/>
                    <w:rPr>
                      <w:kern w:val="0"/>
                      <w:szCs w:val="21"/>
                    </w:rPr>
                  </w:pPr>
                  <w:r>
                    <w:rPr>
                      <w:kern w:val="0"/>
                      <w:szCs w:val="21"/>
                    </w:rPr>
                    <w:t>24小时平均</w:t>
                  </w:r>
                </w:p>
              </w:tc>
              <w:tc>
                <w:tcPr>
                  <w:tcW w:w="720" w:type="pct"/>
                  <w:vAlign w:val="center"/>
                </w:tcPr>
                <w:p w14:paraId="49DAC8A6">
                  <w:pPr>
                    <w:spacing w:line="360" w:lineRule="exact"/>
                    <w:jc w:val="center"/>
                    <w:rPr>
                      <w:kern w:val="0"/>
                      <w:szCs w:val="21"/>
                    </w:rPr>
                  </w:pPr>
                  <w:r>
                    <w:rPr>
                      <w:kern w:val="0"/>
                      <w:szCs w:val="21"/>
                    </w:rPr>
                    <w:t>80</w:t>
                  </w:r>
                </w:p>
              </w:tc>
              <w:tc>
                <w:tcPr>
                  <w:tcW w:w="720" w:type="pct"/>
                  <w:vAlign w:val="center"/>
                </w:tcPr>
                <w:p w14:paraId="69505627">
                  <w:pPr>
                    <w:spacing w:line="360" w:lineRule="exact"/>
                    <w:jc w:val="center"/>
                    <w:rPr>
                      <w:kern w:val="0"/>
                      <w:szCs w:val="21"/>
                    </w:rPr>
                  </w:pPr>
                  <w:r>
                    <w:rPr>
                      <w:kern w:val="0"/>
                      <w:szCs w:val="21"/>
                    </w:rPr>
                    <w:t>80</w:t>
                  </w:r>
                </w:p>
              </w:tc>
              <w:tc>
                <w:tcPr>
                  <w:tcW w:w="540" w:type="pct"/>
                  <w:vMerge w:val="continue"/>
                  <w:vAlign w:val="center"/>
                </w:tcPr>
                <w:p w14:paraId="4A060BCE">
                  <w:pPr>
                    <w:spacing w:line="360" w:lineRule="exact"/>
                    <w:jc w:val="center"/>
                    <w:rPr>
                      <w:kern w:val="0"/>
                      <w:szCs w:val="21"/>
                    </w:rPr>
                  </w:pPr>
                </w:p>
              </w:tc>
              <w:tc>
                <w:tcPr>
                  <w:tcW w:w="997" w:type="pct"/>
                  <w:vMerge w:val="continue"/>
                  <w:vAlign w:val="center"/>
                </w:tcPr>
                <w:p w14:paraId="64FFBE6B">
                  <w:pPr>
                    <w:spacing w:line="360" w:lineRule="exact"/>
                    <w:jc w:val="center"/>
                    <w:rPr>
                      <w:kern w:val="0"/>
                      <w:szCs w:val="21"/>
                    </w:rPr>
                  </w:pPr>
                </w:p>
              </w:tc>
            </w:tr>
            <w:tr w14:paraId="1A7E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1D0AB6DE">
                  <w:pPr>
                    <w:spacing w:line="360" w:lineRule="exact"/>
                    <w:jc w:val="center"/>
                    <w:rPr>
                      <w:kern w:val="0"/>
                      <w:szCs w:val="21"/>
                    </w:rPr>
                  </w:pPr>
                </w:p>
              </w:tc>
              <w:tc>
                <w:tcPr>
                  <w:tcW w:w="489" w:type="pct"/>
                  <w:vMerge w:val="continue"/>
                  <w:vAlign w:val="center"/>
                </w:tcPr>
                <w:p w14:paraId="3F162C3A">
                  <w:pPr>
                    <w:spacing w:line="360" w:lineRule="exact"/>
                    <w:jc w:val="center"/>
                    <w:rPr>
                      <w:kern w:val="0"/>
                      <w:szCs w:val="21"/>
                    </w:rPr>
                  </w:pPr>
                </w:p>
              </w:tc>
              <w:tc>
                <w:tcPr>
                  <w:tcW w:w="1143" w:type="pct"/>
                  <w:vAlign w:val="center"/>
                </w:tcPr>
                <w:p w14:paraId="50AB9525">
                  <w:pPr>
                    <w:spacing w:line="360" w:lineRule="exact"/>
                    <w:jc w:val="center"/>
                    <w:rPr>
                      <w:kern w:val="0"/>
                      <w:szCs w:val="21"/>
                    </w:rPr>
                  </w:pPr>
                  <w:r>
                    <w:rPr>
                      <w:kern w:val="0"/>
                      <w:szCs w:val="21"/>
                    </w:rPr>
                    <w:t>1小时平均</w:t>
                  </w:r>
                </w:p>
              </w:tc>
              <w:tc>
                <w:tcPr>
                  <w:tcW w:w="720" w:type="pct"/>
                  <w:vAlign w:val="center"/>
                </w:tcPr>
                <w:p w14:paraId="618591BE">
                  <w:pPr>
                    <w:spacing w:line="360" w:lineRule="exact"/>
                    <w:jc w:val="center"/>
                    <w:rPr>
                      <w:kern w:val="0"/>
                      <w:szCs w:val="21"/>
                    </w:rPr>
                  </w:pPr>
                  <w:r>
                    <w:rPr>
                      <w:kern w:val="0"/>
                      <w:szCs w:val="21"/>
                    </w:rPr>
                    <w:t>200</w:t>
                  </w:r>
                </w:p>
              </w:tc>
              <w:tc>
                <w:tcPr>
                  <w:tcW w:w="720" w:type="pct"/>
                  <w:vAlign w:val="center"/>
                </w:tcPr>
                <w:p w14:paraId="5C35160A">
                  <w:pPr>
                    <w:spacing w:line="360" w:lineRule="exact"/>
                    <w:jc w:val="center"/>
                    <w:rPr>
                      <w:kern w:val="0"/>
                      <w:szCs w:val="21"/>
                    </w:rPr>
                  </w:pPr>
                  <w:r>
                    <w:rPr>
                      <w:kern w:val="0"/>
                      <w:szCs w:val="21"/>
                    </w:rPr>
                    <w:t>200</w:t>
                  </w:r>
                </w:p>
              </w:tc>
              <w:tc>
                <w:tcPr>
                  <w:tcW w:w="540" w:type="pct"/>
                  <w:vMerge w:val="continue"/>
                  <w:vAlign w:val="center"/>
                </w:tcPr>
                <w:p w14:paraId="7B9B6CAC">
                  <w:pPr>
                    <w:spacing w:line="360" w:lineRule="exact"/>
                    <w:jc w:val="center"/>
                    <w:rPr>
                      <w:kern w:val="0"/>
                      <w:szCs w:val="21"/>
                    </w:rPr>
                  </w:pPr>
                </w:p>
              </w:tc>
              <w:tc>
                <w:tcPr>
                  <w:tcW w:w="997" w:type="pct"/>
                  <w:vMerge w:val="continue"/>
                  <w:vAlign w:val="center"/>
                </w:tcPr>
                <w:p w14:paraId="14A50A08">
                  <w:pPr>
                    <w:spacing w:line="360" w:lineRule="exact"/>
                    <w:jc w:val="center"/>
                    <w:rPr>
                      <w:kern w:val="0"/>
                      <w:szCs w:val="21"/>
                    </w:rPr>
                  </w:pPr>
                </w:p>
              </w:tc>
            </w:tr>
            <w:tr w14:paraId="605A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06A70239">
                  <w:pPr>
                    <w:spacing w:line="360" w:lineRule="exact"/>
                    <w:jc w:val="center"/>
                    <w:rPr>
                      <w:kern w:val="0"/>
                      <w:szCs w:val="21"/>
                    </w:rPr>
                  </w:pPr>
                  <w:r>
                    <w:rPr>
                      <w:kern w:val="0"/>
                      <w:szCs w:val="21"/>
                    </w:rPr>
                    <w:t>3</w:t>
                  </w:r>
                </w:p>
              </w:tc>
              <w:tc>
                <w:tcPr>
                  <w:tcW w:w="489" w:type="pct"/>
                  <w:vMerge w:val="restart"/>
                  <w:vAlign w:val="center"/>
                </w:tcPr>
                <w:p w14:paraId="500CE6CC">
                  <w:pPr>
                    <w:spacing w:line="360" w:lineRule="exact"/>
                    <w:jc w:val="center"/>
                    <w:rPr>
                      <w:kern w:val="0"/>
                      <w:szCs w:val="21"/>
                    </w:rPr>
                  </w:pPr>
                  <w:r>
                    <w:rPr>
                      <w:szCs w:val="21"/>
                    </w:rPr>
                    <w:t>PM</w:t>
                  </w:r>
                  <w:r>
                    <w:rPr>
                      <w:szCs w:val="21"/>
                      <w:vertAlign w:val="subscript"/>
                    </w:rPr>
                    <w:t>10</w:t>
                  </w:r>
                </w:p>
              </w:tc>
              <w:tc>
                <w:tcPr>
                  <w:tcW w:w="1143" w:type="pct"/>
                  <w:vAlign w:val="center"/>
                </w:tcPr>
                <w:p w14:paraId="19FF12C1">
                  <w:pPr>
                    <w:spacing w:line="360" w:lineRule="exact"/>
                    <w:jc w:val="center"/>
                    <w:rPr>
                      <w:kern w:val="0"/>
                      <w:szCs w:val="21"/>
                    </w:rPr>
                  </w:pPr>
                  <w:r>
                    <w:rPr>
                      <w:kern w:val="0"/>
                      <w:szCs w:val="21"/>
                    </w:rPr>
                    <w:t>年平均</w:t>
                  </w:r>
                </w:p>
              </w:tc>
              <w:tc>
                <w:tcPr>
                  <w:tcW w:w="720" w:type="pct"/>
                  <w:vAlign w:val="center"/>
                </w:tcPr>
                <w:p w14:paraId="697F2624">
                  <w:pPr>
                    <w:spacing w:line="360" w:lineRule="exact"/>
                    <w:jc w:val="center"/>
                    <w:rPr>
                      <w:kern w:val="0"/>
                      <w:szCs w:val="21"/>
                    </w:rPr>
                  </w:pPr>
                  <w:r>
                    <w:rPr>
                      <w:rFonts w:hint="eastAsia"/>
                      <w:kern w:val="0"/>
                      <w:szCs w:val="21"/>
                    </w:rPr>
                    <w:t>60</w:t>
                  </w:r>
                </w:p>
              </w:tc>
              <w:tc>
                <w:tcPr>
                  <w:tcW w:w="720" w:type="pct"/>
                  <w:vAlign w:val="center"/>
                </w:tcPr>
                <w:p w14:paraId="4DE71D7A">
                  <w:pPr>
                    <w:spacing w:line="360" w:lineRule="exact"/>
                    <w:jc w:val="center"/>
                    <w:rPr>
                      <w:kern w:val="0"/>
                      <w:szCs w:val="21"/>
                    </w:rPr>
                  </w:pPr>
                  <w:r>
                    <w:rPr>
                      <w:rFonts w:hint="eastAsia"/>
                      <w:kern w:val="0"/>
                      <w:szCs w:val="21"/>
                    </w:rPr>
                    <w:t>50</w:t>
                  </w:r>
                </w:p>
              </w:tc>
              <w:tc>
                <w:tcPr>
                  <w:tcW w:w="540" w:type="pct"/>
                  <w:vMerge w:val="continue"/>
                  <w:vAlign w:val="center"/>
                </w:tcPr>
                <w:p w14:paraId="3662A876">
                  <w:pPr>
                    <w:spacing w:line="360" w:lineRule="exact"/>
                    <w:jc w:val="center"/>
                    <w:rPr>
                      <w:kern w:val="0"/>
                      <w:szCs w:val="21"/>
                    </w:rPr>
                  </w:pPr>
                </w:p>
              </w:tc>
              <w:tc>
                <w:tcPr>
                  <w:tcW w:w="997" w:type="pct"/>
                  <w:vMerge w:val="continue"/>
                  <w:vAlign w:val="center"/>
                </w:tcPr>
                <w:p w14:paraId="01E59A3A">
                  <w:pPr>
                    <w:spacing w:line="360" w:lineRule="exact"/>
                    <w:jc w:val="center"/>
                    <w:rPr>
                      <w:kern w:val="0"/>
                      <w:szCs w:val="21"/>
                    </w:rPr>
                  </w:pPr>
                </w:p>
              </w:tc>
            </w:tr>
            <w:tr w14:paraId="5995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03E2541C">
                  <w:pPr>
                    <w:spacing w:line="360" w:lineRule="exact"/>
                    <w:jc w:val="center"/>
                    <w:rPr>
                      <w:kern w:val="0"/>
                      <w:szCs w:val="21"/>
                    </w:rPr>
                  </w:pPr>
                </w:p>
              </w:tc>
              <w:tc>
                <w:tcPr>
                  <w:tcW w:w="489" w:type="pct"/>
                  <w:vMerge w:val="continue"/>
                  <w:vAlign w:val="center"/>
                </w:tcPr>
                <w:p w14:paraId="1CC157E4">
                  <w:pPr>
                    <w:spacing w:line="360" w:lineRule="exact"/>
                    <w:jc w:val="center"/>
                    <w:rPr>
                      <w:kern w:val="0"/>
                      <w:szCs w:val="21"/>
                    </w:rPr>
                  </w:pPr>
                </w:p>
              </w:tc>
              <w:tc>
                <w:tcPr>
                  <w:tcW w:w="1143" w:type="pct"/>
                  <w:vAlign w:val="center"/>
                </w:tcPr>
                <w:p w14:paraId="405595A1">
                  <w:pPr>
                    <w:spacing w:line="360" w:lineRule="exact"/>
                    <w:jc w:val="center"/>
                    <w:rPr>
                      <w:kern w:val="0"/>
                      <w:szCs w:val="21"/>
                    </w:rPr>
                  </w:pPr>
                  <w:r>
                    <w:rPr>
                      <w:kern w:val="0"/>
                      <w:szCs w:val="21"/>
                    </w:rPr>
                    <w:t>24小时平均</w:t>
                  </w:r>
                </w:p>
              </w:tc>
              <w:tc>
                <w:tcPr>
                  <w:tcW w:w="720" w:type="pct"/>
                  <w:vAlign w:val="center"/>
                </w:tcPr>
                <w:p w14:paraId="2E5A0620">
                  <w:pPr>
                    <w:spacing w:line="360" w:lineRule="exact"/>
                    <w:jc w:val="center"/>
                    <w:rPr>
                      <w:kern w:val="0"/>
                      <w:szCs w:val="21"/>
                    </w:rPr>
                  </w:pPr>
                  <w:r>
                    <w:rPr>
                      <w:kern w:val="0"/>
                      <w:szCs w:val="21"/>
                    </w:rPr>
                    <w:t>1</w:t>
                  </w:r>
                  <w:r>
                    <w:rPr>
                      <w:rFonts w:hint="eastAsia"/>
                      <w:kern w:val="0"/>
                      <w:szCs w:val="21"/>
                    </w:rPr>
                    <w:t>2</w:t>
                  </w:r>
                  <w:r>
                    <w:rPr>
                      <w:kern w:val="0"/>
                      <w:szCs w:val="21"/>
                    </w:rPr>
                    <w:t>0</w:t>
                  </w:r>
                </w:p>
              </w:tc>
              <w:tc>
                <w:tcPr>
                  <w:tcW w:w="720" w:type="pct"/>
                  <w:vAlign w:val="center"/>
                </w:tcPr>
                <w:p w14:paraId="4EA9BBC9">
                  <w:pPr>
                    <w:spacing w:line="360" w:lineRule="exact"/>
                    <w:jc w:val="center"/>
                    <w:rPr>
                      <w:kern w:val="0"/>
                      <w:szCs w:val="21"/>
                    </w:rPr>
                  </w:pPr>
                  <w:r>
                    <w:rPr>
                      <w:rFonts w:hint="eastAsia"/>
                      <w:kern w:val="0"/>
                      <w:szCs w:val="21"/>
                    </w:rPr>
                    <w:t>100</w:t>
                  </w:r>
                </w:p>
              </w:tc>
              <w:tc>
                <w:tcPr>
                  <w:tcW w:w="540" w:type="pct"/>
                  <w:vMerge w:val="continue"/>
                  <w:vAlign w:val="center"/>
                </w:tcPr>
                <w:p w14:paraId="6095F6C5">
                  <w:pPr>
                    <w:spacing w:line="360" w:lineRule="exact"/>
                    <w:jc w:val="center"/>
                    <w:rPr>
                      <w:kern w:val="0"/>
                      <w:szCs w:val="21"/>
                    </w:rPr>
                  </w:pPr>
                </w:p>
              </w:tc>
              <w:tc>
                <w:tcPr>
                  <w:tcW w:w="997" w:type="pct"/>
                  <w:vMerge w:val="continue"/>
                  <w:vAlign w:val="center"/>
                </w:tcPr>
                <w:p w14:paraId="7428BADB">
                  <w:pPr>
                    <w:spacing w:line="360" w:lineRule="exact"/>
                    <w:jc w:val="center"/>
                    <w:rPr>
                      <w:kern w:val="0"/>
                      <w:szCs w:val="21"/>
                    </w:rPr>
                  </w:pPr>
                </w:p>
              </w:tc>
            </w:tr>
            <w:tr w14:paraId="3360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50E4FB3F">
                  <w:pPr>
                    <w:spacing w:line="360" w:lineRule="exact"/>
                    <w:jc w:val="center"/>
                    <w:rPr>
                      <w:kern w:val="0"/>
                      <w:szCs w:val="21"/>
                    </w:rPr>
                  </w:pPr>
                  <w:r>
                    <w:rPr>
                      <w:kern w:val="0"/>
                      <w:szCs w:val="21"/>
                    </w:rPr>
                    <w:t>4</w:t>
                  </w:r>
                </w:p>
              </w:tc>
              <w:tc>
                <w:tcPr>
                  <w:tcW w:w="489" w:type="pct"/>
                  <w:vMerge w:val="restart"/>
                  <w:vAlign w:val="center"/>
                </w:tcPr>
                <w:p w14:paraId="7B8787BC">
                  <w:pPr>
                    <w:spacing w:line="360" w:lineRule="exact"/>
                    <w:jc w:val="center"/>
                    <w:rPr>
                      <w:szCs w:val="21"/>
                    </w:rPr>
                  </w:pPr>
                  <w:r>
                    <w:rPr>
                      <w:szCs w:val="21"/>
                    </w:rPr>
                    <w:t>PM</w:t>
                  </w:r>
                  <w:r>
                    <w:rPr>
                      <w:szCs w:val="21"/>
                      <w:vertAlign w:val="subscript"/>
                    </w:rPr>
                    <w:t>2.5</w:t>
                  </w:r>
                </w:p>
              </w:tc>
              <w:tc>
                <w:tcPr>
                  <w:tcW w:w="1143" w:type="pct"/>
                  <w:vAlign w:val="center"/>
                </w:tcPr>
                <w:p w14:paraId="196F2E10">
                  <w:pPr>
                    <w:spacing w:line="360" w:lineRule="exact"/>
                    <w:jc w:val="center"/>
                    <w:rPr>
                      <w:kern w:val="0"/>
                      <w:szCs w:val="21"/>
                    </w:rPr>
                  </w:pPr>
                  <w:r>
                    <w:rPr>
                      <w:kern w:val="0"/>
                      <w:szCs w:val="21"/>
                    </w:rPr>
                    <w:t>年平均</w:t>
                  </w:r>
                </w:p>
              </w:tc>
              <w:tc>
                <w:tcPr>
                  <w:tcW w:w="720" w:type="pct"/>
                  <w:vAlign w:val="center"/>
                </w:tcPr>
                <w:p w14:paraId="5946CB8A">
                  <w:pPr>
                    <w:spacing w:line="360" w:lineRule="exact"/>
                    <w:jc w:val="center"/>
                    <w:rPr>
                      <w:kern w:val="0"/>
                      <w:szCs w:val="21"/>
                    </w:rPr>
                  </w:pPr>
                  <w:r>
                    <w:rPr>
                      <w:rFonts w:hint="eastAsia"/>
                      <w:kern w:val="0"/>
                      <w:szCs w:val="21"/>
                    </w:rPr>
                    <w:t>30</w:t>
                  </w:r>
                </w:p>
              </w:tc>
              <w:tc>
                <w:tcPr>
                  <w:tcW w:w="720" w:type="pct"/>
                  <w:vAlign w:val="center"/>
                </w:tcPr>
                <w:p w14:paraId="0BFB6206">
                  <w:pPr>
                    <w:spacing w:line="360" w:lineRule="exact"/>
                    <w:jc w:val="center"/>
                    <w:rPr>
                      <w:kern w:val="0"/>
                      <w:szCs w:val="21"/>
                    </w:rPr>
                  </w:pPr>
                  <w:r>
                    <w:rPr>
                      <w:rFonts w:hint="eastAsia"/>
                      <w:kern w:val="0"/>
                      <w:szCs w:val="21"/>
                    </w:rPr>
                    <w:t>25</w:t>
                  </w:r>
                </w:p>
              </w:tc>
              <w:tc>
                <w:tcPr>
                  <w:tcW w:w="540" w:type="pct"/>
                  <w:vMerge w:val="continue"/>
                  <w:vAlign w:val="center"/>
                </w:tcPr>
                <w:p w14:paraId="45EC4171">
                  <w:pPr>
                    <w:spacing w:line="360" w:lineRule="exact"/>
                    <w:jc w:val="center"/>
                    <w:rPr>
                      <w:kern w:val="0"/>
                      <w:szCs w:val="21"/>
                    </w:rPr>
                  </w:pPr>
                </w:p>
              </w:tc>
              <w:tc>
                <w:tcPr>
                  <w:tcW w:w="997" w:type="pct"/>
                  <w:vMerge w:val="continue"/>
                  <w:vAlign w:val="center"/>
                </w:tcPr>
                <w:p w14:paraId="13976DE9">
                  <w:pPr>
                    <w:spacing w:line="360" w:lineRule="exact"/>
                    <w:jc w:val="center"/>
                    <w:rPr>
                      <w:kern w:val="0"/>
                      <w:szCs w:val="21"/>
                    </w:rPr>
                  </w:pPr>
                </w:p>
              </w:tc>
            </w:tr>
            <w:tr w14:paraId="3034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0E772332">
                  <w:pPr>
                    <w:spacing w:line="360" w:lineRule="exact"/>
                    <w:jc w:val="center"/>
                    <w:rPr>
                      <w:kern w:val="0"/>
                      <w:szCs w:val="21"/>
                    </w:rPr>
                  </w:pPr>
                </w:p>
              </w:tc>
              <w:tc>
                <w:tcPr>
                  <w:tcW w:w="489" w:type="pct"/>
                  <w:vMerge w:val="continue"/>
                  <w:vAlign w:val="center"/>
                </w:tcPr>
                <w:p w14:paraId="0B8DDEC1">
                  <w:pPr>
                    <w:spacing w:line="360" w:lineRule="exact"/>
                    <w:jc w:val="center"/>
                    <w:rPr>
                      <w:kern w:val="0"/>
                      <w:szCs w:val="21"/>
                    </w:rPr>
                  </w:pPr>
                </w:p>
              </w:tc>
              <w:tc>
                <w:tcPr>
                  <w:tcW w:w="1143" w:type="pct"/>
                  <w:vAlign w:val="center"/>
                </w:tcPr>
                <w:p w14:paraId="5CA73E52">
                  <w:pPr>
                    <w:spacing w:line="360" w:lineRule="exact"/>
                    <w:jc w:val="center"/>
                    <w:rPr>
                      <w:kern w:val="0"/>
                      <w:szCs w:val="21"/>
                    </w:rPr>
                  </w:pPr>
                  <w:r>
                    <w:rPr>
                      <w:kern w:val="0"/>
                      <w:szCs w:val="21"/>
                    </w:rPr>
                    <w:t>24小时平均</w:t>
                  </w:r>
                </w:p>
              </w:tc>
              <w:tc>
                <w:tcPr>
                  <w:tcW w:w="720" w:type="pct"/>
                  <w:vAlign w:val="center"/>
                </w:tcPr>
                <w:p w14:paraId="170EB013">
                  <w:pPr>
                    <w:spacing w:line="360" w:lineRule="exact"/>
                    <w:jc w:val="center"/>
                    <w:rPr>
                      <w:kern w:val="0"/>
                      <w:szCs w:val="21"/>
                    </w:rPr>
                  </w:pPr>
                  <w:r>
                    <w:rPr>
                      <w:rFonts w:hint="eastAsia"/>
                      <w:kern w:val="0"/>
                      <w:szCs w:val="21"/>
                    </w:rPr>
                    <w:t>60</w:t>
                  </w:r>
                </w:p>
              </w:tc>
              <w:tc>
                <w:tcPr>
                  <w:tcW w:w="720" w:type="pct"/>
                  <w:vAlign w:val="center"/>
                </w:tcPr>
                <w:p w14:paraId="29858C0A">
                  <w:pPr>
                    <w:spacing w:line="360" w:lineRule="exact"/>
                    <w:jc w:val="center"/>
                    <w:rPr>
                      <w:kern w:val="0"/>
                      <w:szCs w:val="21"/>
                    </w:rPr>
                  </w:pPr>
                  <w:r>
                    <w:rPr>
                      <w:rFonts w:hint="eastAsia"/>
                      <w:kern w:val="0"/>
                      <w:szCs w:val="21"/>
                    </w:rPr>
                    <w:t>50</w:t>
                  </w:r>
                </w:p>
              </w:tc>
              <w:tc>
                <w:tcPr>
                  <w:tcW w:w="540" w:type="pct"/>
                  <w:vMerge w:val="continue"/>
                  <w:vAlign w:val="center"/>
                </w:tcPr>
                <w:p w14:paraId="035A2BE3">
                  <w:pPr>
                    <w:spacing w:line="360" w:lineRule="exact"/>
                    <w:jc w:val="center"/>
                    <w:rPr>
                      <w:kern w:val="0"/>
                      <w:szCs w:val="21"/>
                    </w:rPr>
                  </w:pPr>
                </w:p>
              </w:tc>
              <w:tc>
                <w:tcPr>
                  <w:tcW w:w="997" w:type="pct"/>
                  <w:vMerge w:val="continue"/>
                  <w:vAlign w:val="center"/>
                </w:tcPr>
                <w:p w14:paraId="3552452F">
                  <w:pPr>
                    <w:spacing w:line="360" w:lineRule="exact"/>
                    <w:jc w:val="center"/>
                    <w:rPr>
                      <w:kern w:val="0"/>
                      <w:szCs w:val="21"/>
                    </w:rPr>
                  </w:pPr>
                </w:p>
              </w:tc>
            </w:tr>
            <w:tr w14:paraId="3940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7949B502">
                  <w:pPr>
                    <w:spacing w:line="360" w:lineRule="exact"/>
                    <w:jc w:val="center"/>
                    <w:rPr>
                      <w:kern w:val="0"/>
                      <w:szCs w:val="21"/>
                    </w:rPr>
                  </w:pPr>
                  <w:r>
                    <w:rPr>
                      <w:kern w:val="0"/>
                      <w:szCs w:val="21"/>
                    </w:rPr>
                    <w:t>5</w:t>
                  </w:r>
                </w:p>
              </w:tc>
              <w:tc>
                <w:tcPr>
                  <w:tcW w:w="489" w:type="pct"/>
                  <w:vMerge w:val="restart"/>
                  <w:vAlign w:val="center"/>
                </w:tcPr>
                <w:p w14:paraId="1BB1F641">
                  <w:pPr>
                    <w:spacing w:line="360" w:lineRule="exact"/>
                    <w:jc w:val="center"/>
                    <w:rPr>
                      <w:kern w:val="0"/>
                      <w:szCs w:val="21"/>
                    </w:rPr>
                  </w:pPr>
                  <w:r>
                    <w:rPr>
                      <w:kern w:val="0"/>
                      <w:szCs w:val="21"/>
                    </w:rPr>
                    <w:t>TSP</w:t>
                  </w:r>
                </w:p>
              </w:tc>
              <w:tc>
                <w:tcPr>
                  <w:tcW w:w="1143" w:type="pct"/>
                  <w:vAlign w:val="center"/>
                </w:tcPr>
                <w:p w14:paraId="1540DE14">
                  <w:pPr>
                    <w:spacing w:line="360" w:lineRule="exact"/>
                    <w:jc w:val="center"/>
                    <w:rPr>
                      <w:kern w:val="0"/>
                      <w:szCs w:val="21"/>
                    </w:rPr>
                  </w:pPr>
                  <w:r>
                    <w:rPr>
                      <w:kern w:val="0"/>
                      <w:szCs w:val="21"/>
                    </w:rPr>
                    <w:t>年平均</w:t>
                  </w:r>
                </w:p>
              </w:tc>
              <w:tc>
                <w:tcPr>
                  <w:tcW w:w="720" w:type="pct"/>
                  <w:vAlign w:val="center"/>
                </w:tcPr>
                <w:p w14:paraId="74945D29">
                  <w:pPr>
                    <w:spacing w:line="360" w:lineRule="exact"/>
                    <w:jc w:val="center"/>
                    <w:rPr>
                      <w:kern w:val="0"/>
                      <w:szCs w:val="21"/>
                    </w:rPr>
                  </w:pPr>
                  <w:r>
                    <w:rPr>
                      <w:kern w:val="0"/>
                      <w:szCs w:val="21"/>
                    </w:rPr>
                    <w:t>200</w:t>
                  </w:r>
                </w:p>
              </w:tc>
              <w:tc>
                <w:tcPr>
                  <w:tcW w:w="720" w:type="pct"/>
                  <w:vAlign w:val="center"/>
                </w:tcPr>
                <w:p w14:paraId="7AC6DB10">
                  <w:pPr>
                    <w:spacing w:line="360" w:lineRule="exact"/>
                    <w:jc w:val="center"/>
                    <w:rPr>
                      <w:kern w:val="0"/>
                      <w:szCs w:val="21"/>
                    </w:rPr>
                  </w:pPr>
                  <w:r>
                    <w:rPr>
                      <w:kern w:val="0"/>
                      <w:szCs w:val="21"/>
                    </w:rPr>
                    <w:t>200</w:t>
                  </w:r>
                </w:p>
              </w:tc>
              <w:tc>
                <w:tcPr>
                  <w:tcW w:w="540" w:type="pct"/>
                  <w:vMerge w:val="continue"/>
                  <w:vAlign w:val="center"/>
                </w:tcPr>
                <w:p w14:paraId="39CEE7AE">
                  <w:pPr>
                    <w:spacing w:line="360" w:lineRule="exact"/>
                    <w:jc w:val="center"/>
                    <w:rPr>
                      <w:kern w:val="0"/>
                      <w:szCs w:val="21"/>
                    </w:rPr>
                  </w:pPr>
                </w:p>
              </w:tc>
              <w:tc>
                <w:tcPr>
                  <w:tcW w:w="997" w:type="pct"/>
                  <w:vMerge w:val="continue"/>
                  <w:vAlign w:val="center"/>
                </w:tcPr>
                <w:p w14:paraId="519AC338">
                  <w:pPr>
                    <w:spacing w:line="360" w:lineRule="exact"/>
                    <w:jc w:val="center"/>
                    <w:rPr>
                      <w:kern w:val="0"/>
                      <w:szCs w:val="21"/>
                    </w:rPr>
                  </w:pPr>
                </w:p>
              </w:tc>
            </w:tr>
            <w:tr w14:paraId="08AD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6C25CA79">
                  <w:pPr>
                    <w:spacing w:line="360" w:lineRule="exact"/>
                    <w:jc w:val="center"/>
                    <w:rPr>
                      <w:kern w:val="0"/>
                      <w:szCs w:val="21"/>
                    </w:rPr>
                  </w:pPr>
                </w:p>
              </w:tc>
              <w:tc>
                <w:tcPr>
                  <w:tcW w:w="489" w:type="pct"/>
                  <w:vMerge w:val="continue"/>
                  <w:vAlign w:val="center"/>
                </w:tcPr>
                <w:p w14:paraId="00D5837D">
                  <w:pPr>
                    <w:spacing w:line="360" w:lineRule="exact"/>
                    <w:jc w:val="center"/>
                    <w:rPr>
                      <w:kern w:val="0"/>
                      <w:szCs w:val="21"/>
                    </w:rPr>
                  </w:pPr>
                </w:p>
              </w:tc>
              <w:tc>
                <w:tcPr>
                  <w:tcW w:w="1143" w:type="pct"/>
                  <w:vAlign w:val="center"/>
                </w:tcPr>
                <w:p w14:paraId="1A220BE2">
                  <w:pPr>
                    <w:spacing w:line="360" w:lineRule="exact"/>
                    <w:jc w:val="center"/>
                    <w:rPr>
                      <w:kern w:val="0"/>
                      <w:szCs w:val="21"/>
                    </w:rPr>
                  </w:pPr>
                  <w:r>
                    <w:rPr>
                      <w:szCs w:val="21"/>
                    </w:rPr>
                    <w:t>24小时平均</w:t>
                  </w:r>
                </w:p>
              </w:tc>
              <w:tc>
                <w:tcPr>
                  <w:tcW w:w="720" w:type="pct"/>
                  <w:vAlign w:val="center"/>
                </w:tcPr>
                <w:p w14:paraId="272E9CCB">
                  <w:pPr>
                    <w:spacing w:line="360" w:lineRule="exact"/>
                    <w:jc w:val="center"/>
                    <w:rPr>
                      <w:kern w:val="0"/>
                      <w:szCs w:val="21"/>
                    </w:rPr>
                  </w:pPr>
                  <w:r>
                    <w:rPr>
                      <w:kern w:val="0"/>
                      <w:szCs w:val="21"/>
                    </w:rPr>
                    <w:t>300</w:t>
                  </w:r>
                </w:p>
              </w:tc>
              <w:tc>
                <w:tcPr>
                  <w:tcW w:w="720" w:type="pct"/>
                  <w:vAlign w:val="center"/>
                </w:tcPr>
                <w:p w14:paraId="4241E5DC">
                  <w:pPr>
                    <w:spacing w:line="360" w:lineRule="exact"/>
                    <w:jc w:val="center"/>
                    <w:rPr>
                      <w:kern w:val="0"/>
                      <w:szCs w:val="21"/>
                    </w:rPr>
                  </w:pPr>
                  <w:r>
                    <w:rPr>
                      <w:kern w:val="0"/>
                      <w:szCs w:val="21"/>
                    </w:rPr>
                    <w:t>300</w:t>
                  </w:r>
                </w:p>
              </w:tc>
              <w:tc>
                <w:tcPr>
                  <w:tcW w:w="540" w:type="pct"/>
                  <w:vMerge w:val="continue"/>
                  <w:vAlign w:val="center"/>
                </w:tcPr>
                <w:p w14:paraId="751BFD67">
                  <w:pPr>
                    <w:spacing w:line="360" w:lineRule="exact"/>
                    <w:jc w:val="center"/>
                    <w:rPr>
                      <w:kern w:val="0"/>
                      <w:szCs w:val="21"/>
                    </w:rPr>
                  </w:pPr>
                </w:p>
              </w:tc>
              <w:tc>
                <w:tcPr>
                  <w:tcW w:w="997" w:type="pct"/>
                  <w:vMerge w:val="continue"/>
                  <w:vAlign w:val="center"/>
                </w:tcPr>
                <w:p w14:paraId="4DD53DB8">
                  <w:pPr>
                    <w:spacing w:line="360" w:lineRule="exact"/>
                    <w:jc w:val="center"/>
                    <w:rPr>
                      <w:kern w:val="0"/>
                      <w:szCs w:val="21"/>
                    </w:rPr>
                  </w:pPr>
                </w:p>
              </w:tc>
            </w:tr>
            <w:tr w14:paraId="7E33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09A705F8">
                  <w:pPr>
                    <w:spacing w:line="360" w:lineRule="exact"/>
                    <w:jc w:val="center"/>
                    <w:rPr>
                      <w:kern w:val="0"/>
                      <w:szCs w:val="21"/>
                    </w:rPr>
                  </w:pPr>
                  <w:r>
                    <w:rPr>
                      <w:kern w:val="0"/>
                      <w:szCs w:val="21"/>
                    </w:rPr>
                    <w:t>6</w:t>
                  </w:r>
                </w:p>
              </w:tc>
              <w:tc>
                <w:tcPr>
                  <w:tcW w:w="489" w:type="pct"/>
                  <w:vMerge w:val="restart"/>
                  <w:vAlign w:val="center"/>
                </w:tcPr>
                <w:p w14:paraId="679CB5E9">
                  <w:pPr>
                    <w:spacing w:line="360" w:lineRule="exact"/>
                    <w:jc w:val="center"/>
                    <w:rPr>
                      <w:kern w:val="0"/>
                      <w:szCs w:val="21"/>
                    </w:rPr>
                  </w:pPr>
                  <w:r>
                    <w:rPr>
                      <w:kern w:val="0"/>
                      <w:szCs w:val="21"/>
                    </w:rPr>
                    <w:t>O</w:t>
                  </w:r>
                  <w:r>
                    <w:rPr>
                      <w:kern w:val="0"/>
                      <w:szCs w:val="21"/>
                      <w:vertAlign w:val="subscript"/>
                    </w:rPr>
                    <w:t>3</w:t>
                  </w:r>
                </w:p>
              </w:tc>
              <w:tc>
                <w:tcPr>
                  <w:tcW w:w="1143" w:type="pct"/>
                  <w:vAlign w:val="center"/>
                </w:tcPr>
                <w:p w14:paraId="01FB9C0B">
                  <w:pPr>
                    <w:spacing w:line="350" w:lineRule="exact"/>
                    <w:jc w:val="center"/>
                    <w:rPr>
                      <w:szCs w:val="21"/>
                    </w:rPr>
                  </w:pPr>
                  <w:r>
                    <w:rPr>
                      <w:szCs w:val="21"/>
                    </w:rPr>
                    <w:t>日最大8小时平均</w:t>
                  </w:r>
                </w:p>
              </w:tc>
              <w:tc>
                <w:tcPr>
                  <w:tcW w:w="720" w:type="pct"/>
                  <w:vAlign w:val="center"/>
                </w:tcPr>
                <w:p w14:paraId="2C9DF0CB">
                  <w:pPr>
                    <w:topLinePunct/>
                    <w:spacing w:line="350" w:lineRule="exact"/>
                    <w:jc w:val="center"/>
                    <w:rPr>
                      <w:szCs w:val="21"/>
                      <w:lang w:val="zh-CN"/>
                    </w:rPr>
                  </w:pPr>
                  <w:r>
                    <w:rPr>
                      <w:szCs w:val="21"/>
                      <w:lang w:val="zh-CN"/>
                    </w:rPr>
                    <w:t>160</w:t>
                  </w:r>
                </w:p>
              </w:tc>
              <w:tc>
                <w:tcPr>
                  <w:tcW w:w="720" w:type="pct"/>
                  <w:vAlign w:val="center"/>
                </w:tcPr>
                <w:p w14:paraId="422B6853">
                  <w:pPr>
                    <w:topLinePunct/>
                    <w:spacing w:line="350" w:lineRule="exact"/>
                    <w:jc w:val="center"/>
                    <w:rPr>
                      <w:szCs w:val="21"/>
                      <w:lang w:val="zh-CN"/>
                    </w:rPr>
                  </w:pPr>
                  <w:r>
                    <w:rPr>
                      <w:szCs w:val="21"/>
                      <w:lang w:val="zh-CN"/>
                    </w:rPr>
                    <w:t>160</w:t>
                  </w:r>
                </w:p>
              </w:tc>
              <w:tc>
                <w:tcPr>
                  <w:tcW w:w="540" w:type="pct"/>
                  <w:vMerge w:val="continue"/>
                  <w:vAlign w:val="center"/>
                </w:tcPr>
                <w:p w14:paraId="164E1B10">
                  <w:pPr>
                    <w:spacing w:line="360" w:lineRule="exact"/>
                    <w:jc w:val="center"/>
                    <w:rPr>
                      <w:kern w:val="0"/>
                      <w:szCs w:val="21"/>
                    </w:rPr>
                  </w:pPr>
                </w:p>
              </w:tc>
              <w:tc>
                <w:tcPr>
                  <w:tcW w:w="997" w:type="pct"/>
                  <w:vMerge w:val="continue"/>
                  <w:vAlign w:val="center"/>
                </w:tcPr>
                <w:p w14:paraId="4D70DF4C">
                  <w:pPr>
                    <w:spacing w:line="360" w:lineRule="exact"/>
                    <w:jc w:val="center"/>
                    <w:rPr>
                      <w:kern w:val="0"/>
                      <w:szCs w:val="21"/>
                    </w:rPr>
                  </w:pPr>
                </w:p>
              </w:tc>
            </w:tr>
            <w:tr w14:paraId="60E9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0F2DEE19">
                  <w:pPr>
                    <w:spacing w:line="360" w:lineRule="exact"/>
                    <w:jc w:val="center"/>
                    <w:rPr>
                      <w:kern w:val="0"/>
                      <w:szCs w:val="21"/>
                    </w:rPr>
                  </w:pPr>
                </w:p>
              </w:tc>
              <w:tc>
                <w:tcPr>
                  <w:tcW w:w="489" w:type="pct"/>
                  <w:vMerge w:val="continue"/>
                  <w:vAlign w:val="center"/>
                </w:tcPr>
                <w:p w14:paraId="7013FCC9">
                  <w:pPr>
                    <w:spacing w:line="360" w:lineRule="exact"/>
                    <w:jc w:val="center"/>
                    <w:rPr>
                      <w:kern w:val="0"/>
                      <w:szCs w:val="21"/>
                    </w:rPr>
                  </w:pPr>
                </w:p>
              </w:tc>
              <w:tc>
                <w:tcPr>
                  <w:tcW w:w="1143" w:type="pct"/>
                  <w:vAlign w:val="center"/>
                </w:tcPr>
                <w:p w14:paraId="49D5A4B4">
                  <w:pPr>
                    <w:spacing w:line="350" w:lineRule="exact"/>
                    <w:jc w:val="center"/>
                    <w:rPr>
                      <w:szCs w:val="21"/>
                    </w:rPr>
                  </w:pPr>
                  <w:r>
                    <w:rPr>
                      <w:szCs w:val="21"/>
                    </w:rPr>
                    <w:t>1小时平均</w:t>
                  </w:r>
                </w:p>
              </w:tc>
              <w:tc>
                <w:tcPr>
                  <w:tcW w:w="720" w:type="pct"/>
                  <w:vAlign w:val="center"/>
                </w:tcPr>
                <w:p w14:paraId="241C66A2">
                  <w:pPr>
                    <w:topLinePunct/>
                    <w:spacing w:line="350" w:lineRule="exact"/>
                    <w:jc w:val="center"/>
                    <w:rPr>
                      <w:szCs w:val="21"/>
                      <w:lang w:val="zh-CN"/>
                    </w:rPr>
                  </w:pPr>
                  <w:r>
                    <w:rPr>
                      <w:szCs w:val="21"/>
                      <w:lang w:val="zh-CN"/>
                    </w:rPr>
                    <w:t>200</w:t>
                  </w:r>
                </w:p>
              </w:tc>
              <w:tc>
                <w:tcPr>
                  <w:tcW w:w="720" w:type="pct"/>
                  <w:vAlign w:val="center"/>
                </w:tcPr>
                <w:p w14:paraId="709A1523">
                  <w:pPr>
                    <w:topLinePunct/>
                    <w:spacing w:line="350" w:lineRule="exact"/>
                    <w:jc w:val="center"/>
                    <w:rPr>
                      <w:szCs w:val="21"/>
                      <w:lang w:val="zh-CN"/>
                    </w:rPr>
                  </w:pPr>
                  <w:r>
                    <w:rPr>
                      <w:szCs w:val="21"/>
                      <w:lang w:val="zh-CN"/>
                    </w:rPr>
                    <w:t>200</w:t>
                  </w:r>
                </w:p>
              </w:tc>
              <w:tc>
                <w:tcPr>
                  <w:tcW w:w="540" w:type="pct"/>
                  <w:vMerge w:val="continue"/>
                  <w:vAlign w:val="center"/>
                </w:tcPr>
                <w:p w14:paraId="6229DA12">
                  <w:pPr>
                    <w:spacing w:line="360" w:lineRule="exact"/>
                    <w:jc w:val="center"/>
                    <w:rPr>
                      <w:kern w:val="0"/>
                      <w:szCs w:val="21"/>
                    </w:rPr>
                  </w:pPr>
                </w:p>
              </w:tc>
              <w:tc>
                <w:tcPr>
                  <w:tcW w:w="997" w:type="pct"/>
                  <w:vMerge w:val="continue"/>
                  <w:vAlign w:val="center"/>
                </w:tcPr>
                <w:p w14:paraId="7A9FD634">
                  <w:pPr>
                    <w:spacing w:line="360" w:lineRule="exact"/>
                    <w:jc w:val="center"/>
                    <w:rPr>
                      <w:kern w:val="0"/>
                      <w:szCs w:val="21"/>
                    </w:rPr>
                  </w:pPr>
                </w:p>
              </w:tc>
            </w:tr>
            <w:tr w14:paraId="12E7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77A52D43">
                  <w:pPr>
                    <w:spacing w:line="360" w:lineRule="exact"/>
                    <w:jc w:val="center"/>
                    <w:rPr>
                      <w:kern w:val="0"/>
                      <w:szCs w:val="21"/>
                    </w:rPr>
                  </w:pPr>
                  <w:r>
                    <w:rPr>
                      <w:kern w:val="0"/>
                      <w:szCs w:val="21"/>
                    </w:rPr>
                    <w:t>7</w:t>
                  </w:r>
                </w:p>
              </w:tc>
              <w:tc>
                <w:tcPr>
                  <w:tcW w:w="489" w:type="pct"/>
                  <w:vMerge w:val="restart"/>
                  <w:vAlign w:val="center"/>
                </w:tcPr>
                <w:p w14:paraId="16C65BFA">
                  <w:pPr>
                    <w:spacing w:line="360" w:lineRule="exact"/>
                    <w:jc w:val="center"/>
                    <w:rPr>
                      <w:kern w:val="0"/>
                      <w:szCs w:val="21"/>
                    </w:rPr>
                  </w:pPr>
                  <w:r>
                    <w:rPr>
                      <w:kern w:val="0"/>
                      <w:szCs w:val="21"/>
                    </w:rPr>
                    <w:t>CO</w:t>
                  </w:r>
                </w:p>
              </w:tc>
              <w:tc>
                <w:tcPr>
                  <w:tcW w:w="1143" w:type="pct"/>
                  <w:vAlign w:val="center"/>
                </w:tcPr>
                <w:p w14:paraId="52C34A61">
                  <w:pPr>
                    <w:spacing w:line="350" w:lineRule="exact"/>
                    <w:jc w:val="center"/>
                    <w:rPr>
                      <w:szCs w:val="21"/>
                    </w:rPr>
                  </w:pPr>
                  <w:r>
                    <w:rPr>
                      <w:szCs w:val="21"/>
                    </w:rPr>
                    <w:t>24小时平均</w:t>
                  </w:r>
                </w:p>
              </w:tc>
              <w:tc>
                <w:tcPr>
                  <w:tcW w:w="720" w:type="pct"/>
                  <w:vAlign w:val="center"/>
                </w:tcPr>
                <w:p w14:paraId="29094CCC">
                  <w:pPr>
                    <w:topLinePunct/>
                    <w:spacing w:line="350" w:lineRule="exact"/>
                    <w:jc w:val="center"/>
                    <w:rPr>
                      <w:szCs w:val="21"/>
                      <w:lang w:val="zh-CN"/>
                    </w:rPr>
                  </w:pPr>
                  <w:r>
                    <w:rPr>
                      <w:szCs w:val="21"/>
                      <w:lang w:val="zh-CN"/>
                    </w:rPr>
                    <w:t>4</w:t>
                  </w:r>
                </w:p>
              </w:tc>
              <w:tc>
                <w:tcPr>
                  <w:tcW w:w="720" w:type="pct"/>
                  <w:vAlign w:val="center"/>
                </w:tcPr>
                <w:p w14:paraId="64D3F49D">
                  <w:pPr>
                    <w:topLinePunct/>
                    <w:spacing w:line="350" w:lineRule="exact"/>
                    <w:jc w:val="center"/>
                    <w:rPr>
                      <w:szCs w:val="21"/>
                      <w:lang w:val="zh-CN"/>
                    </w:rPr>
                  </w:pPr>
                  <w:r>
                    <w:rPr>
                      <w:szCs w:val="21"/>
                      <w:lang w:val="zh-CN"/>
                    </w:rPr>
                    <w:t>4</w:t>
                  </w:r>
                </w:p>
              </w:tc>
              <w:tc>
                <w:tcPr>
                  <w:tcW w:w="540" w:type="pct"/>
                  <w:vMerge w:val="restart"/>
                  <w:vAlign w:val="center"/>
                </w:tcPr>
                <w:p w14:paraId="325C2851">
                  <w:pPr>
                    <w:spacing w:line="360" w:lineRule="exact"/>
                    <w:jc w:val="center"/>
                    <w:rPr>
                      <w:kern w:val="0"/>
                      <w:szCs w:val="21"/>
                    </w:rPr>
                  </w:pPr>
                  <w:r>
                    <w:rPr>
                      <w:szCs w:val="21"/>
                      <w:lang w:val="zh-CN"/>
                    </w:rPr>
                    <w:t>mg/m</w:t>
                  </w:r>
                  <w:r>
                    <w:rPr>
                      <w:szCs w:val="21"/>
                      <w:vertAlign w:val="superscript"/>
                      <w:lang w:val="zh-CN"/>
                    </w:rPr>
                    <w:t>3</w:t>
                  </w:r>
                </w:p>
              </w:tc>
              <w:tc>
                <w:tcPr>
                  <w:tcW w:w="997" w:type="pct"/>
                  <w:vMerge w:val="continue"/>
                  <w:vAlign w:val="center"/>
                </w:tcPr>
                <w:p w14:paraId="148379E1">
                  <w:pPr>
                    <w:spacing w:line="360" w:lineRule="exact"/>
                    <w:jc w:val="center"/>
                    <w:rPr>
                      <w:kern w:val="0"/>
                      <w:szCs w:val="21"/>
                    </w:rPr>
                  </w:pPr>
                </w:p>
              </w:tc>
            </w:tr>
            <w:tr w14:paraId="4FE1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526883E2">
                  <w:pPr>
                    <w:spacing w:line="360" w:lineRule="exact"/>
                    <w:jc w:val="center"/>
                    <w:rPr>
                      <w:kern w:val="0"/>
                      <w:szCs w:val="21"/>
                    </w:rPr>
                  </w:pPr>
                </w:p>
              </w:tc>
              <w:tc>
                <w:tcPr>
                  <w:tcW w:w="489" w:type="pct"/>
                  <w:vMerge w:val="continue"/>
                  <w:vAlign w:val="center"/>
                </w:tcPr>
                <w:p w14:paraId="0E98571C">
                  <w:pPr>
                    <w:spacing w:line="360" w:lineRule="exact"/>
                    <w:jc w:val="center"/>
                    <w:rPr>
                      <w:kern w:val="0"/>
                      <w:szCs w:val="21"/>
                    </w:rPr>
                  </w:pPr>
                </w:p>
              </w:tc>
              <w:tc>
                <w:tcPr>
                  <w:tcW w:w="1143" w:type="pct"/>
                  <w:vAlign w:val="center"/>
                </w:tcPr>
                <w:p w14:paraId="05529721">
                  <w:pPr>
                    <w:spacing w:line="350" w:lineRule="exact"/>
                    <w:jc w:val="center"/>
                    <w:rPr>
                      <w:szCs w:val="21"/>
                    </w:rPr>
                  </w:pPr>
                  <w:r>
                    <w:rPr>
                      <w:szCs w:val="21"/>
                    </w:rPr>
                    <w:t>1小时平均</w:t>
                  </w:r>
                </w:p>
              </w:tc>
              <w:tc>
                <w:tcPr>
                  <w:tcW w:w="720" w:type="pct"/>
                  <w:vAlign w:val="center"/>
                </w:tcPr>
                <w:p w14:paraId="4C7C8B2E">
                  <w:pPr>
                    <w:topLinePunct/>
                    <w:spacing w:line="350" w:lineRule="exact"/>
                    <w:jc w:val="center"/>
                    <w:rPr>
                      <w:szCs w:val="21"/>
                      <w:lang w:val="zh-CN"/>
                    </w:rPr>
                  </w:pPr>
                  <w:r>
                    <w:rPr>
                      <w:szCs w:val="21"/>
                      <w:lang w:val="zh-CN"/>
                    </w:rPr>
                    <w:t>10</w:t>
                  </w:r>
                </w:p>
              </w:tc>
              <w:tc>
                <w:tcPr>
                  <w:tcW w:w="720" w:type="pct"/>
                  <w:vAlign w:val="center"/>
                </w:tcPr>
                <w:p w14:paraId="60F43468">
                  <w:pPr>
                    <w:topLinePunct/>
                    <w:spacing w:line="350" w:lineRule="exact"/>
                    <w:jc w:val="center"/>
                    <w:rPr>
                      <w:szCs w:val="21"/>
                      <w:lang w:val="zh-CN"/>
                    </w:rPr>
                  </w:pPr>
                  <w:r>
                    <w:rPr>
                      <w:szCs w:val="21"/>
                      <w:lang w:val="zh-CN"/>
                    </w:rPr>
                    <w:t>10</w:t>
                  </w:r>
                </w:p>
              </w:tc>
              <w:tc>
                <w:tcPr>
                  <w:tcW w:w="540" w:type="pct"/>
                  <w:vMerge w:val="continue"/>
                  <w:vAlign w:val="center"/>
                </w:tcPr>
                <w:p w14:paraId="138B6BAD">
                  <w:pPr>
                    <w:spacing w:line="360" w:lineRule="exact"/>
                    <w:jc w:val="center"/>
                    <w:rPr>
                      <w:kern w:val="0"/>
                      <w:szCs w:val="21"/>
                    </w:rPr>
                  </w:pPr>
                </w:p>
              </w:tc>
              <w:tc>
                <w:tcPr>
                  <w:tcW w:w="997" w:type="pct"/>
                  <w:vMerge w:val="continue"/>
                  <w:vAlign w:val="center"/>
                </w:tcPr>
                <w:p w14:paraId="66AE82EB">
                  <w:pPr>
                    <w:spacing w:line="360" w:lineRule="exact"/>
                    <w:jc w:val="center"/>
                    <w:rPr>
                      <w:kern w:val="0"/>
                      <w:szCs w:val="21"/>
                    </w:rPr>
                  </w:pPr>
                </w:p>
              </w:tc>
            </w:tr>
          </w:tbl>
          <w:p w14:paraId="13F7A6CC">
            <w:pPr>
              <w:spacing w:line="440" w:lineRule="exact"/>
              <w:ind w:firstLine="480"/>
              <w:rPr>
                <w:spacing w:val="-6"/>
                <w:sz w:val="24"/>
                <w:szCs w:val="20"/>
              </w:rPr>
            </w:pPr>
            <w:r>
              <w:rPr>
                <w:spacing w:val="-6"/>
                <w:sz w:val="24"/>
                <w:szCs w:val="20"/>
              </w:rPr>
              <w:t>（2）声环境</w:t>
            </w:r>
          </w:p>
          <w:p w14:paraId="1EC699F5">
            <w:pPr>
              <w:spacing w:line="440" w:lineRule="exact"/>
              <w:ind w:firstLine="480"/>
              <w:rPr>
                <w:sz w:val="24"/>
              </w:rPr>
            </w:pPr>
            <w:r>
              <w:rPr>
                <w:sz w:val="24"/>
              </w:rPr>
              <w:t>执行《声环境质量标准》（GB 3096-2008）中3类标准，具体标准值见表</w:t>
            </w:r>
            <w:r>
              <w:rPr>
                <w:rFonts w:hint="eastAsia"/>
                <w:sz w:val="24"/>
              </w:rPr>
              <w:t>3-5</w:t>
            </w:r>
            <w:r>
              <w:rPr>
                <w:sz w:val="24"/>
              </w:rPr>
              <w:t>。</w:t>
            </w:r>
          </w:p>
          <w:p w14:paraId="440D082C">
            <w:pPr>
              <w:spacing w:line="440" w:lineRule="exact"/>
              <w:ind w:firstLine="482" w:firstLineChars="200"/>
              <w:rPr>
                <w:b/>
                <w:kern w:val="24"/>
                <w:sz w:val="24"/>
              </w:rPr>
            </w:pPr>
            <w:r>
              <w:rPr>
                <w:b/>
                <w:kern w:val="24"/>
                <w:sz w:val="24"/>
              </w:rPr>
              <w:t>表</w:t>
            </w:r>
            <w:r>
              <w:rPr>
                <w:rFonts w:hint="eastAsia"/>
                <w:b/>
                <w:kern w:val="24"/>
                <w:sz w:val="24"/>
              </w:rPr>
              <w:t>3-5</w:t>
            </w:r>
            <w:r>
              <w:rPr>
                <w:b/>
                <w:kern w:val="24"/>
                <w:sz w:val="24"/>
              </w:rPr>
              <w:t xml:space="preserve">    声环境质量标准</w:t>
            </w:r>
          </w:p>
          <w:tbl>
            <w:tblPr>
              <w:tblStyle w:val="78"/>
              <w:tblW w:w="4999"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1431"/>
              <w:gridCol w:w="1203"/>
              <w:gridCol w:w="1037"/>
              <w:gridCol w:w="992"/>
              <w:gridCol w:w="3659"/>
            </w:tblGrid>
            <w:tr w14:paraId="64F9FD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c>
                <w:tcPr>
                  <w:tcW w:w="860" w:type="pct"/>
                  <w:vAlign w:val="center"/>
                </w:tcPr>
                <w:p w14:paraId="42FF545B">
                  <w:pPr>
                    <w:snapToGrid w:val="0"/>
                    <w:spacing w:line="360" w:lineRule="exact"/>
                    <w:jc w:val="center"/>
                    <w:rPr>
                      <w:szCs w:val="21"/>
                    </w:rPr>
                  </w:pPr>
                  <w:r>
                    <w:rPr>
                      <w:szCs w:val="21"/>
                    </w:rPr>
                    <w:t>功能区</w:t>
                  </w:r>
                </w:p>
              </w:tc>
              <w:tc>
                <w:tcPr>
                  <w:tcW w:w="723" w:type="pct"/>
                  <w:vAlign w:val="center"/>
                </w:tcPr>
                <w:p w14:paraId="5853EEC4">
                  <w:pPr>
                    <w:snapToGrid w:val="0"/>
                    <w:spacing w:line="360" w:lineRule="exact"/>
                    <w:jc w:val="center"/>
                    <w:rPr>
                      <w:szCs w:val="21"/>
                    </w:rPr>
                  </w:pPr>
                  <w:r>
                    <w:rPr>
                      <w:szCs w:val="21"/>
                    </w:rPr>
                    <w:t>昼间</w:t>
                  </w:r>
                </w:p>
              </w:tc>
              <w:tc>
                <w:tcPr>
                  <w:tcW w:w="623" w:type="pct"/>
                  <w:vAlign w:val="center"/>
                </w:tcPr>
                <w:p w14:paraId="26FBA886">
                  <w:pPr>
                    <w:snapToGrid w:val="0"/>
                    <w:spacing w:line="360" w:lineRule="exact"/>
                    <w:jc w:val="center"/>
                    <w:rPr>
                      <w:szCs w:val="21"/>
                    </w:rPr>
                  </w:pPr>
                  <w:r>
                    <w:rPr>
                      <w:szCs w:val="21"/>
                    </w:rPr>
                    <w:t>夜间</w:t>
                  </w:r>
                </w:p>
              </w:tc>
              <w:tc>
                <w:tcPr>
                  <w:tcW w:w="596" w:type="pct"/>
                  <w:vAlign w:val="center"/>
                </w:tcPr>
                <w:p w14:paraId="1F7CF5EC">
                  <w:pPr>
                    <w:snapToGrid w:val="0"/>
                    <w:spacing w:line="360" w:lineRule="exact"/>
                    <w:jc w:val="center"/>
                    <w:rPr>
                      <w:szCs w:val="21"/>
                    </w:rPr>
                  </w:pPr>
                  <w:r>
                    <w:rPr>
                      <w:szCs w:val="21"/>
                    </w:rPr>
                    <w:t>单位</w:t>
                  </w:r>
                </w:p>
              </w:tc>
              <w:tc>
                <w:tcPr>
                  <w:tcW w:w="2198" w:type="pct"/>
                  <w:vAlign w:val="center"/>
                </w:tcPr>
                <w:p w14:paraId="17F31F07">
                  <w:pPr>
                    <w:snapToGrid w:val="0"/>
                    <w:spacing w:line="360" w:lineRule="exact"/>
                    <w:jc w:val="center"/>
                    <w:rPr>
                      <w:szCs w:val="21"/>
                    </w:rPr>
                  </w:pPr>
                  <w:r>
                    <w:rPr>
                      <w:szCs w:val="21"/>
                    </w:rPr>
                    <w:t>标准来源</w:t>
                  </w:r>
                </w:p>
              </w:tc>
            </w:tr>
            <w:tr w14:paraId="1484AB9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210" w:hRule="atLeast"/>
              </w:trPr>
              <w:tc>
                <w:tcPr>
                  <w:tcW w:w="860" w:type="pct"/>
                  <w:vAlign w:val="center"/>
                </w:tcPr>
                <w:p w14:paraId="65727293">
                  <w:pPr>
                    <w:snapToGrid w:val="0"/>
                    <w:spacing w:line="360" w:lineRule="exact"/>
                    <w:jc w:val="center"/>
                    <w:rPr>
                      <w:szCs w:val="21"/>
                    </w:rPr>
                  </w:pPr>
                  <w:r>
                    <w:rPr>
                      <w:szCs w:val="21"/>
                    </w:rPr>
                    <w:t>3类</w:t>
                  </w:r>
                </w:p>
              </w:tc>
              <w:tc>
                <w:tcPr>
                  <w:tcW w:w="723" w:type="pct"/>
                  <w:vAlign w:val="center"/>
                </w:tcPr>
                <w:p w14:paraId="72A25953">
                  <w:pPr>
                    <w:snapToGrid w:val="0"/>
                    <w:spacing w:line="360" w:lineRule="exact"/>
                    <w:jc w:val="center"/>
                    <w:rPr>
                      <w:szCs w:val="21"/>
                    </w:rPr>
                  </w:pPr>
                  <w:r>
                    <w:rPr>
                      <w:szCs w:val="21"/>
                    </w:rPr>
                    <w:t>65</w:t>
                  </w:r>
                </w:p>
              </w:tc>
              <w:tc>
                <w:tcPr>
                  <w:tcW w:w="623" w:type="pct"/>
                  <w:vAlign w:val="center"/>
                </w:tcPr>
                <w:p w14:paraId="5949C2E1">
                  <w:pPr>
                    <w:snapToGrid w:val="0"/>
                    <w:spacing w:line="360" w:lineRule="exact"/>
                    <w:jc w:val="center"/>
                    <w:rPr>
                      <w:szCs w:val="21"/>
                    </w:rPr>
                  </w:pPr>
                  <w:r>
                    <w:rPr>
                      <w:szCs w:val="21"/>
                    </w:rPr>
                    <w:t>55</w:t>
                  </w:r>
                </w:p>
              </w:tc>
              <w:tc>
                <w:tcPr>
                  <w:tcW w:w="596" w:type="pct"/>
                  <w:vAlign w:val="center"/>
                </w:tcPr>
                <w:p w14:paraId="7DC62A25">
                  <w:pPr>
                    <w:snapToGrid w:val="0"/>
                    <w:spacing w:line="360" w:lineRule="exact"/>
                    <w:jc w:val="center"/>
                    <w:rPr>
                      <w:szCs w:val="21"/>
                    </w:rPr>
                  </w:pPr>
                  <w:r>
                    <w:rPr>
                      <w:szCs w:val="21"/>
                    </w:rPr>
                    <w:t>dB</w:t>
                  </w:r>
                  <w:r>
                    <w:rPr>
                      <w:rFonts w:hint="eastAsia"/>
                      <w:szCs w:val="21"/>
                    </w:rPr>
                    <w:t>（</w:t>
                  </w:r>
                  <w:r>
                    <w:rPr>
                      <w:szCs w:val="21"/>
                    </w:rPr>
                    <w:t>A</w:t>
                  </w:r>
                  <w:r>
                    <w:rPr>
                      <w:rFonts w:hint="eastAsia"/>
                      <w:szCs w:val="21"/>
                    </w:rPr>
                    <w:t>）</w:t>
                  </w:r>
                </w:p>
              </w:tc>
              <w:tc>
                <w:tcPr>
                  <w:tcW w:w="2198" w:type="pct"/>
                  <w:vAlign w:val="center"/>
                </w:tcPr>
                <w:p w14:paraId="364BC9AC">
                  <w:pPr>
                    <w:snapToGrid w:val="0"/>
                    <w:spacing w:line="360" w:lineRule="exact"/>
                    <w:jc w:val="center"/>
                    <w:rPr>
                      <w:szCs w:val="21"/>
                    </w:rPr>
                  </w:pPr>
                  <w:r>
                    <w:rPr>
                      <w:szCs w:val="21"/>
                    </w:rPr>
                    <w:t>《声环境质量标准》（</w:t>
                  </w:r>
                  <w:r>
                    <w:rPr>
                      <w:sz w:val="24"/>
                    </w:rPr>
                    <w:t>GB 3096-2008</w:t>
                  </w:r>
                  <w:r>
                    <w:rPr>
                      <w:szCs w:val="21"/>
                    </w:rPr>
                    <w:t>）</w:t>
                  </w:r>
                </w:p>
              </w:tc>
            </w:tr>
          </w:tbl>
          <w:p w14:paraId="40B8A7F6">
            <w:pPr>
              <w:spacing w:line="440" w:lineRule="exact"/>
              <w:ind w:firstLine="480" w:firstLineChars="200"/>
              <w:rPr>
                <w:sz w:val="24"/>
              </w:rPr>
            </w:pPr>
            <w:r>
              <w:rPr>
                <w:sz w:val="24"/>
              </w:rPr>
              <w:t>（3）地下水</w:t>
            </w:r>
          </w:p>
          <w:p w14:paraId="071060DC">
            <w:pPr>
              <w:spacing w:line="440" w:lineRule="exact"/>
              <w:ind w:firstLine="480" w:firstLineChars="200"/>
              <w:rPr>
                <w:sz w:val="24"/>
              </w:rPr>
            </w:pPr>
            <w:r>
              <w:rPr>
                <w:sz w:val="24"/>
              </w:rPr>
              <w:t>地下水环境执行《地下水质量标准》（GB/T 14848-2017）</w:t>
            </w:r>
            <w:r>
              <w:rPr>
                <w:rFonts w:ascii="宋体"/>
                <w:sz w:val="24"/>
              </w:rPr>
              <w:t>Ⅲ</w:t>
            </w:r>
            <w:r>
              <w:rPr>
                <w:sz w:val="24"/>
              </w:rPr>
              <w:t>类标准，石油类参照执行《地表水环境质量标准》（GB 3838-2002）</w:t>
            </w:r>
            <w:r>
              <w:rPr>
                <w:rFonts w:ascii="宋体"/>
                <w:sz w:val="24"/>
              </w:rPr>
              <w:t>Ⅲ</w:t>
            </w:r>
            <w:r>
              <w:rPr>
                <w:sz w:val="24"/>
              </w:rPr>
              <w:t>类标准。</w:t>
            </w:r>
          </w:p>
          <w:p w14:paraId="1A609F42">
            <w:pPr>
              <w:spacing w:line="440" w:lineRule="exact"/>
              <w:ind w:firstLine="482" w:firstLineChars="200"/>
              <w:rPr>
                <w:b/>
                <w:sz w:val="24"/>
                <w:szCs w:val="22"/>
              </w:rPr>
            </w:pPr>
            <w:r>
              <w:rPr>
                <w:b/>
                <w:sz w:val="24"/>
              </w:rPr>
              <w:t>表</w:t>
            </w:r>
            <w:r>
              <w:rPr>
                <w:rFonts w:hint="eastAsia"/>
                <w:b/>
                <w:sz w:val="24"/>
              </w:rPr>
              <w:t>3-6</w:t>
            </w:r>
            <w:r>
              <w:rPr>
                <w:b/>
                <w:sz w:val="24"/>
              </w:rPr>
              <w:t xml:space="preserve">    地下水环境质量标准</w:t>
            </w:r>
            <w:r>
              <w:rPr>
                <w:b/>
                <w:sz w:val="24"/>
                <w:szCs w:val="22"/>
              </w:rPr>
              <w:t>表</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0"/>
              <w:gridCol w:w="2269"/>
              <w:gridCol w:w="1278"/>
              <w:gridCol w:w="1373"/>
              <w:gridCol w:w="2259"/>
            </w:tblGrid>
            <w:tr w14:paraId="3B42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685" w:type="pct"/>
                  <w:vAlign w:val="center"/>
                </w:tcPr>
                <w:p w14:paraId="07CA5775">
                  <w:pPr>
                    <w:widowControl/>
                    <w:adjustRightInd w:val="0"/>
                    <w:snapToGrid w:val="0"/>
                    <w:spacing w:line="360" w:lineRule="exact"/>
                    <w:jc w:val="center"/>
                    <w:rPr>
                      <w:bCs/>
                      <w:kern w:val="0"/>
                      <w:szCs w:val="21"/>
                    </w:rPr>
                  </w:pPr>
                  <w:r>
                    <w:rPr>
                      <w:bCs/>
                      <w:kern w:val="0"/>
                      <w:szCs w:val="21"/>
                    </w:rPr>
                    <w:t>环境要素</w:t>
                  </w:r>
                </w:p>
              </w:tc>
              <w:tc>
                <w:tcPr>
                  <w:tcW w:w="1363" w:type="pct"/>
                  <w:vAlign w:val="center"/>
                </w:tcPr>
                <w:p w14:paraId="7889EAFB">
                  <w:pPr>
                    <w:widowControl/>
                    <w:adjustRightInd w:val="0"/>
                    <w:snapToGrid w:val="0"/>
                    <w:spacing w:line="360" w:lineRule="exact"/>
                    <w:jc w:val="center"/>
                    <w:rPr>
                      <w:bCs/>
                      <w:kern w:val="0"/>
                      <w:szCs w:val="21"/>
                    </w:rPr>
                  </w:pPr>
                  <w:r>
                    <w:rPr>
                      <w:bCs/>
                      <w:kern w:val="0"/>
                      <w:szCs w:val="21"/>
                    </w:rPr>
                    <w:t>污染物名称</w:t>
                  </w:r>
                </w:p>
              </w:tc>
              <w:tc>
                <w:tcPr>
                  <w:tcW w:w="768" w:type="pct"/>
                  <w:vAlign w:val="center"/>
                </w:tcPr>
                <w:p w14:paraId="5E08AA53">
                  <w:pPr>
                    <w:widowControl/>
                    <w:adjustRightInd w:val="0"/>
                    <w:snapToGrid w:val="0"/>
                    <w:spacing w:line="360" w:lineRule="exact"/>
                    <w:jc w:val="center"/>
                    <w:rPr>
                      <w:bCs/>
                      <w:kern w:val="0"/>
                      <w:szCs w:val="21"/>
                    </w:rPr>
                  </w:pPr>
                  <w:r>
                    <w:rPr>
                      <w:bCs/>
                      <w:kern w:val="0"/>
                      <w:szCs w:val="21"/>
                    </w:rPr>
                    <w:t>标准值</w:t>
                  </w:r>
                </w:p>
              </w:tc>
              <w:tc>
                <w:tcPr>
                  <w:tcW w:w="825" w:type="pct"/>
                  <w:vAlign w:val="center"/>
                </w:tcPr>
                <w:p w14:paraId="0D7B17D5">
                  <w:pPr>
                    <w:widowControl/>
                    <w:adjustRightInd w:val="0"/>
                    <w:snapToGrid w:val="0"/>
                    <w:spacing w:line="360" w:lineRule="exact"/>
                    <w:jc w:val="center"/>
                    <w:rPr>
                      <w:bCs/>
                      <w:kern w:val="0"/>
                      <w:szCs w:val="21"/>
                    </w:rPr>
                  </w:pPr>
                  <w:r>
                    <w:rPr>
                      <w:bCs/>
                      <w:kern w:val="0"/>
                      <w:szCs w:val="21"/>
                    </w:rPr>
                    <w:t>单位</w:t>
                  </w:r>
                </w:p>
              </w:tc>
              <w:tc>
                <w:tcPr>
                  <w:tcW w:w="1357" w:type="pct"/>
                  <w:vAlign w:val="center"/>
                </w:tcPr>
                <w:p w14:paraId="464E0C83">
                  <w:pPr>
                    <w:widowControl/>
                    <w:adjustRightInd w:val="0"/>
                    <w:snapToGrid w:val="0"/>
                    <w:spacing w:line="360" w:lineRule="exact"/>
                    <w:jc w:val="center"/>
                    <w:rPr>
                      <w:bCs/>
                      <w:kern w:val="0"/>
                      <w:szCs w:val="21"/>
                    </w:rPr>
                  </w:pPr>
                  <w:r>
                    <w:rPr>
                      <w:bCs/>
                      <w:kern w:val="0"/>
                      <w:szCs w:val="21"/>
                    </w:rPr>
                    <w:t>标准来源</w:t>
                  </w:r>
                </w:p>
              </w:tc>
            </w:tr>
            <w:tr w14:paraId="0464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restart"/>
                  <w:vAlign w:val="center"/>
                </w:tcPr>
                <w:p w14:paraId="0E66679A">
                  <w:pPr>
                    <w:widowControl/>
                    <w:adjustRightInd w:val="0"/>
                    <w:snapToGrid w:val="0"/>
                    <w:spacing w:line="360" w:lineRule="exact"/>
                    <w:jc w:val="center"/>
                    <w:rPr>
                      <w:bCs/>
                      <w:kern w:val="0"/>
                      <w:szCs w:val="21"/>
                    </w:rPr>
                  </w:pPr>
                  <w:r>
                    <w:rPr>
                      <w:bCs/>
                      <w:kern w:val="0"/>
                      <w:szCs w:val="21"/>
                    </w:rPr>
                    <w:t>地下水</w:t>
                  </w:r>
                </w:p>
              </w:tc>
              <w:tc>
                <w:tcPr>
                  <w:tcW w:w="1363" w:type="pct"/>
                  <w:vAlign w:val="center"/>
                </w:tcPr>
                <w:p w14:paraId="09A1375F">
                  <w:pPr>
                    <w:widowControl/>
                    <w:overflowPunct w:val="0"/>
                    <w:spacing w:before="100" w:beforeAutospacing="1" w:after="100" w:afterAutospacing="1" w:line="360" w:lineRule="exact"/>
                    <w:jc w:val="center"/>
                    <w:textAlignment w:val="baseline"/>
                    <w:rPr>
                      <w:kern w:val="0"/>
                      <w:szCs w:val="21"/>
                    </w:rPr>
                  </w:pPr>
                  <w:r>
                    <w:rPr>
                      <w:kern w:val="24"/>
                      <w:szCs w:val="21"/>
                      <w:lang w:bidi="ar"/>
                    </w:rPr>
                    <w:t>pH</w:t>
                  </w:r>
                  <w:r>
                    <w:rPr>
                      <w:rFonts w:hint="eastAsia"/>
                      <w:kern w:val="24"/>
                      <w:szCs w:val="21"/>
                      <w:lang w:bidi="ar"/>
                    </w:rPr>
                    <w:t>（</w:t>
                  </w:r>
                  <w:r>
                    <w:rPr>
                      <w:kern w:val="24"/>
                      <w:szCs w:val="21"/>
                      <w:lang w:bidi="ar"/>
                    </w:rPr>
                    <w:t>无量纲</w:t>
                  </w:r>
                  <w:r>
                    <w:rPr>
                      <w:rFonts w:hint="eastAsia"/>
                      <w:kern w:val="24"/>
                      <w:szCs w:val="21"/>
                      <w:lang w:bidi="ar"/>
                    </w:rPr>
                    <w:t>）</w:t>
                  </w:r>
                </w:p>
              </w:tc>
              <w:tc>
                <w:tcPr>
                  <w:tcW w:w="768" w:type="pct"/>
                  <w:vAlign w:val="center"/>
                </w:tcPr>
                <w:p w14:paraId="08D5E260">
                  <w:pPr>
                    <w:widowControl/>
                    <w:overflowPunct w:val="0"/>
                    <w:spacing w:before="100" w:beforeAutospacing="1" w:after="100" w:afterAutospacing="1" w:line="360" w:lineRule="exact"/>
                    <w:jc w:val="center"/>
                    <w:textAlignment w:val="baseline"/>
                    <w:rPr>
                      <w:kern w:val="24"/>
                      <w:szCs w:val="21"/>
                    </w:rPr>
                  </w:pPr>
                  <w:r>
                    <w:rPr>
                      <w:kern w:val="24"/>
                      <w:szCs w:val="21"/>
                      <w:lang w:bidi="ar"/>
                    </w:rPr>
                    <w:t>6.5~8.5</w:t>
                  </w:r>
                </w:p>
              </w:tc>
              <w:tc>
                <w:tcPr>
                  <w:tcW w:w="825" w:type="pct"/>
                  <w:vAlign w:val="center"/>
                </w:tcPr>
                <w:p w14:paraId="105A2C75">
                  <w:pPr>
                    <w:widowControl/>
                    <w:overflowPunct w:val="0"/>
                    <w:spacing w:before="100" w:beforeAutospacing="1" w:after="100" w:afterAutospacing="1" w:line="360" w:lineRule="exact"/>
                    <w:jc w:val="center"/>
                    <w:textAlignment w:val="baseline"/>
                    <w:rPr>
                      <w:kern w:val="24"/>
                      <w:szCs w:val="21"/>
                    </w:rPr>
                  </w:pPr>
                  <w:r>
                    <w:rPr>
                      <w:kern w:val="24"/>
                      <w:szCs w:val="21"/>
                      <w:lang w:bidi="ar"/>
                    </w:rPr>
                    <w:t>/</w:t>
                  </w:r>
                </w:p>
              </w:tc>
              <w:tc>
                <w:tcPr>
                  <w:tcW w:w="1357" w:type="pct"/>
                  <w:vMerge w:val="restart"/>
                  <w:vAlign w:val="center"/>
                </w:tcPr>
                <w:p w14:paraId="6E684517">
                  <w:pPr>
                    <w:widowControl/>
                    <w:adjustRightInd w:val="0"/>
                    <w:snapToGrid w:val="0"/>
                    <w:spacing w:line="360" w:lineRule="exact"/>
                    <w:jc w:val="center"/>
                    <w:rPr>
                      <w:bCs/>
                      <w:kern w:val="0"/>
                      <w:szCs w:val="21"/>
                    </w:rPr>
                  </w:pPr>
                  <w:r>
                    <w:rPr>
                      <w:bCs/>
                      <w:kern w:val="0"/>
                      <w:szCs w:val="21"/>
                    </w:rPr>
                    <w:t>《地下水质量标准》</w:t>
                  </w:r>
                </w:p>
                <w:p w14:paraId="312F733A">
                  <w:pPr>
                    <w:widowControl/>
                    <w:adjustRightInd w:val="0"/>
                    <w:snapToGrid w:val="0"/>
                    <w:spacing w:line="360" w:lineRule="exact"/>
                    <w:jc w:val="center"/>
                    <w:rPr>
                      <w:bCs/>
                      <w:kern w:val="0"/>
                      <w:szCs w:val="21"/>
                    </w:rPr>
                  </w:pPr>
                  <w:r>
                    <w:rPr>
                      <w:rFonts w:hint="eastAsia"/>
                      <w:bCs/>
                      <w:kern w:val="0"/>
                      <w:szCs w:val="21"/>
                    </w:rPr>
                    <w:t>（GB/T 14848-2017）</w:t>
                  </w:r>
                  <w:r>
                    <w:rPr>
                      <w:bCs/>
                      <w:kern w:val="0"/>
                      <w:szCs w:val="21"/>
                    </w:rPr>
                    <w:t>中</w:t>
                  </w:r>
                  <w:r>
                    <w:rPr>
                      <w:rFonts w:ascii="宋体"/>
                      <w:bCs/>
                      <w:kern w:val="0"/>
                      <w:szCs w:val="21"/>
                    </w:rPr>
                    <w:t>Ⅲ</w:t>
                  </w:r>
                  <w:r>
                    <w:rPr>
                      <w:bCs/>
                      <w:kern w:val="0"/>
                      <w:szCs w:val="21"/>
                    </w:rPr>
                    <w:t>类标准</w:t>
                  </w:r>
                </w:p>
              </w:tc>
            </w:tr>
            <w:tr w14:paraId="4AAA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13011EDC">
                  <w:pPr>
                    <w:adjustRightInd w:val="0"/>
                    <w:snapToGrid w:val="0"/>
                    <w:spacing w:line="340" w:lineRule="exact"/>
                    <w:jc w:val="center"/>
                    <w:rPr>
                      <w:bCs/>
                      <w:kern w:val="0"/>
                      <w:szCs w:val="21"/>
                    </w:rPr>
                  </w:pPr>
                </w:p>
              </w:tc>
              <w:tc>
                <w:tcPr>
                  <w:tcW w:w="1363" w:type="pct"/>
                  <w:vAlign w:val="center"/>
                </w:tcPr>
                <w:p w14:paraId="2D09A315">
                  <w:pPr>
                    <w:widowControl/>
                    <w:overflowPunct w:val="0"/>
                    <w:spacing w:before="100" w:beforeAutospacing="1" w:after="100" w:afterAutospacing="1" w:line="360" w:lineRule="exact"/>
                    <w:jc w:val="center"/>
                    <w:textAlignment w:val="baseline"/>
                    <w:rPr>
                      <w:kern w:val="0"/>
                      <w:szCs w:val="21"/>
                    </w:rPr>
                  </w:pPr>
                  <w:r>
                    <w:rPr>
                      <w:kern w:val="24"/>
                      <w:szCs w:val="21"/>
                      <w:lang w:bidi="ar"/>
                    </w:rPr>
                    <w:t>总硬度</w:t>
                  </w:r>
                  <w:r>
                    <w:rPr>
                      <w:rFonts w:hint="eastAsia"/>
                      <w:kern w:val="24"/>
                      <w:szCs w:val="21"/>
                      <w:lang w:bidi="ar"/>
                    </w:rPr>
                    <w:t>（</w:t>
                  </w:r>
                  <w:r>
                    <w:rPr>
                      <w:kern w:val="24"/>
                      <w:szCs w:val="21"/>
                      <w:lang w:bidi="ar"/>
                    </w:rPr>
                    <w:t>以CaCO</w:t>
                  </w:r>
                  <w:r>
                    <w:rPr>
                      <w:kern w:val="24"/>
                      <w:szCs w:val="21"/>
                      <w:vertAlign w:val="subscript"/>
                      <w:lang w:bidi="ar"/>
                    </w:rPr>
                    <w:t>3</w:t>
                  </w:r>
                  <w:r>
                    <w:rPr>
                      <w:kern w:val="24"/>
                      <w:szCs w:val="21"/>
                      <w:lang w:bidi="ar"/>
                    </w:rPr>
                    <w:t>计</w:t>
                  </w:r>
                  <w:r>
                    <w:rPr>
                      <w:rFonts w:hint="eastAsia"/>
                      <w:kern w:val="24"/>
                      <w:szCs w:val="21"/>
                      <w:lang w:bidi="ar"/>
                    </w:rPr>
                    <w:t>）</w:t>
                  </w:r>
                </w:p>
              </w:tc>
              <w:tc>
                <w:tcPr>
                  <w:tcW w:w="768" w:type="pct"/>
                  <w:vAlign w:val="center"/>
                </w:tcPr>
                <w:p w14:paraId="65C22934">
                  <w:pPr>
                    <w:widowControl/>
                    <w:overflowPunct w:val="0"/>
                    <w:spacing w:before="100" w:beforeAutospacing="1" w:after="100" w:afterAutospacing="1" w:line="360" w:lineRule="exact"/>
                    <w:jc w:val="center"/>
                    <w:textAlignment w:val="baseline"/>
                    <w:rPr>
                      <w:kern w:val="24"/>
                      <w:szCs w:val="21"/>
                    </w:rPr>
                  </w:pPr>
                  <w:r>
                    <w:rPr>
                      <w:kern w:val="24"/>
                      <w:szCs w:val="21"/>
                      <w:lang w:bidi="ar"/>
                    </w:rPr>
                    <w:t>≤450</w:t>
                  </w:r>
                </w:p>
              </w:tc>
              <w:tc>
                <w:tcPr>
                  <w:tcW w:w="825" w:type="pct"/>
                  <w:vAlign w:val="center"/>
                </w:tcPr>
                <w:p w14:paraId="64B3A228">
                  <w:pPr>
                    <w:widowControl/>
                    <w:overflowPunct w:val="0"/>
                    <w:spacing w:before="100" w:beforeAutospacing="1" w:after="100" w:afterAutospacing="1" w:line="360" w:lineRule="exact"/>
                    <w:jc w:val="center"/>
                    <w:textAlignment w:val="baseline"/>
                    <w:rPr>
                      <w:kern w:val="24"/>
                      <w:szCs w:val="21"/>
                    </w:rPr>
                  </w:pPr>
                  <w:r>
                    <w:rPr>
                      <w:kern w:val="24"/>
                      <w:szCs w:val="21"/>
                      <w:lang w:bidi="ar"/>
                    </w:rPr>
                    <w:t>mg/L</w:t>
                  </w:r>
                </w:p>
              </w:tc>
              <w:tc>
                <w:tcPr>
                  <w:tcW w:w="1357" w:type="pct"/>
                  <w:vMerge w:val="continue"/>
                  <w:vAlign w:val="center"/>
                </w:tcPr>
                <w:p w14:paraId="5A60B272">
                  <w:pPr>
                    <w:spacing w:line="340" w:lineRule="exact"/>
                    <w:jc w:val="center"/>
                    <w:rPr>
                      <w:bCs/>
                      <w:kern w:val="0"/>
                      <w:szCs w:val="21"/>
                    </w:rPr>
                  </w:pPr>
                </w:p>
              </w:tc>
            </w:tr>
            <w:tr w14:paraId="4C79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D98265C">
                  <w:pPr>
                    <w:adjustRightInd w:val="0"/>
                    <w:snapToGrid w:val="0"/>
                    <w:spacing w:line="340" w:lineRule="exact"/>
                    <w:jc w:val="center"/>
                    <w:rPr>
                      <w:bCs/>
                      <w:kern w:val="0"/>
                      <w:szCs w:val="21"/>
                    </w:rPr>
                  </w:pPr>
                </w:p>
              </w:tc>
              <w:tc>
                <w:tcPr>
                  <w:tcW w:w="1363" w:type="pct"/>
                  <w:vAlign w:val="center"/>
                </w:tcPr>
                <w:p w14:paraId="21043FA9">
                  <w:pPr>
                    <w:widowControl/>
                    <w:overflowPunct w:val="0"/>
                    <w:spacing w:before="100" w:beforeAutospacing="1" w:after="100" w:afterAutospacing="1" w:line="360" w:lineRule="exact"/>
                    <w:jc w:val="center"/>
                    <w:textAlignment w:val="baseline"/>
                    <w:rPr>
                      <w:kern w:val="0"/>
                      <w:szCs w:val="21"/>
                    </w:rPr>
                  </w:pPr>
                  <w:r>
                    <w:rPr>
                      <w:kern w:val="24"/>
                      <w:szCs w:val="21"/>
                      <w:lang w:bidi="ar"/>
                    </w:rPr>
                    <w:t>溶解性总固体</w:t>
                  </w:r>
                </w:p>
              </w:tc>
              <w:tc>
                <w:tcPr>
                  <w:tcW w:w="768" w:type="pct"/>
                  <w:vAlign w:val="center"/>
                </w:tcPr>
                <w:p w14:paraId="3B0AFEA0">
                  <w:pPr>
                    <w:widowControl/>
                    <w:overflowPunct w:val="0"/>
                    <w:spacing w:before="100" w:beforeAutospacing="1" w:after="100" w:afterAutospacing="1" w:line="360" w:lineRule="exact"/>
                    <w:jc w:val="center"/>
                    <w:textAlignment w:val="baseline"/>
                    <w:rPr>
                      <w:kern w:val="24"/>
                      <w:szCs w:val="21"/>
                    </w:rPr>
                  </w:pPr>
                  <w:r>
                    <w:rPr>
                      <w:kern w:val="24"/>
                      <w:szCs w:val="21"/>
                      <w:lang w:bidi="ar"/>
                    </w:rPr>
                    <w:t>≤1000</w:t>
                  </w:r>
                </w:p>
              </w:tc>
              <w:tc>
                <w:tcPr>
                  <w:tcW w:w="825" w:type="pct"/>
                  <w:vAlign w:val="center"/>
                </w:tcPr>
                <w:p w14:paraId="2FD71DDD">
                  <w:pPr>
                    <w:widowControl/>
                    <w:overflowPunct w:val="0"/>
                    <w:spacing w:before="100" w:beforeAutospacing="1" w:after="100" w:afterAutospacing="1" w:line="360" w:lineRule="exact"/>
                    <w:jc w:val="center"/>
                    <w:textAlignment w:val="baseline"/>
                    <w:rPr>
                      <w:kern w:val="24"/>
                      <w:szCs w:val="21"/>
                    </w:rPr>
                  </w:pPr>
                  <w:r>
                    <w:rPr>
                      <w:kern w:val="24"/>
                      <w:szCs w:val="21"/>
                      <w:lang w:bidi="ar"/>
                    </w:rPr>
                    <w:t>mg/L</w:t>
                  </w:r>
                </w:p>
              </w:tc>
              <w:tc>
                <w:tcPr>
                  <w:tcW w:w="1357" w:type="pct"/>
                  <w:vMerge w:val="continue"/>
                  <w:vAlign w:val="center"/>
                </w:tcPr>
                <w:p w14:paraId="6AA163AD">
                  <w:pPr>
                    <w:spacing w:line="340" w:lineRule="exact"/>
                    <w:jc w:val="center"/>
                    <w:rPr>
                      <w:bCs/>
                      <w:kern w:val="0"/>
                      <w:szCs w:val="21"/>
                    </w:rPr>
                  </w:pPr>
                </w:p>
              </w:tc>
            </w:tr>
            <w:tr w14:paraId="568A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77BEFFF7">
                  <w:pPr>
                    <w:adjustRightInd w:val="0"/>
                    <w:snapToGrid w:val="0"/>
                    <w:spacing w:line="340" w:lineRule="exact"/>
                    <w:jc w:val="center"/>
                    <w:rPr>
                      <w:bCs/>
                      <w:kern w:val="0"/>
                      <w:szCs w:val="21"/>
                    </w:rPr>
                  </w:pPr>
                </w:p>
              </w:tc>
              <w:tc>
                <w:tcPr>
                  <w:tcW w:w="1363" w:type="pct"/>
                  <w:vAlign w:val="center"/>
                </w:tcPr>
                <w:p w14:paraId="756EA189">
                  <w:pPr>
                    <w:widowControl/>
                    <w:overflowPunct w:val="0"/>
                    <w:spacing w:before="100" w:beforeAutospacing="1" w:after="100" w:afterAutospacing="1" w:line="360" w:lineRule="exact"/>
                    <w:jc w:val="center"/>
                    <w:textAlignment w:val="baseline"/>
                    <w:rPr>
                      <w:kern w:val="0"/>
                      <w:szCs w:val="21"/>
                    </w:rPr>
                  </w:pPr>
                  <w:r>
                    <w:rPr>
                      <w:kern w:val="24"/>
                      <w:szCs w:val="21"/>
                      <w:lang w:bidi="ar"/>
                    </w:rPr>
                    <w:t>氨氮</w:t>
                  </w:r>
                </w:p>
              </w:tc>
              <w:tc>
                <w:tcPr>
                  <w:tcW w:w="768" w:type="pct"/>
                  <w:vAlign w:val="center"/>
                </w:tcPr>
                <w:p w14:paraId="3037F9E2">
                  <w:pPr>
                    <w:widowControl/>
                    <w:overflowPunct w:val="0"/>
                    <w:spacing w:before="100" w:beforeAutospacing="1" w:after="100" w:afterAutospacing="1" w:line="360" w:lineRule="exact"/>
                    <w:jc w:val="center"/>
                    <w:textAlignment w:val="baseline"/>
                    <w:rPr>
                      <w:kern w:val="24"/>
                      <w:szCs w:val="21"/>
                    </w:rPr>
                  </w:pPr>
                  <w:r>
                    <w:rPr>
                      <w:kern w:val="24"/>
                      <w:szCs w:val="21"/>
                      <w:lang w:bidi="ar"/>
                    </w:rPr>
                    <w:t>≤0.5</w:t>
                  </w:r>
                </w:p>
              </w:tc>
              <w:tc>
                <w:tcPr>
                  <w:tcW w:w="825" w:type="pct"/>
                  <w:vAlign w:val="center"/>
                </w:tcPr>
                <w:p w14:paraId="6E7A2957">
                  <w:pPr>
                    <w:widowControl/>
                    <w:overflowPunct w:val="0"/>
                    <w:spacing w:before="100" w:beforeAutospacing="1" w:after="100" w:afterAutospacing="1" w:line="360" w:lineRule="exact"/>
                    <w:jc w:val="center"/>
                    <w:textAlignment w:val="baseline"/>
                    <w:rPr>
                      <w:kern w:val="24"/>
                      <w:szCs w:val="21"/>
                    </w:rPr>
                  </w:pPr>
                  <w:r>
                    <w:rPr>
                      <w:kern w:val="24"/>
                      <w:szCs w:val="21"/>
                      <w:lang w:bidi="ar"/>
                    </w:rPr>
                    <w:t>mg/L</w:t>
                  </w:r>
                </w:p>
              </w:tc>
              <w:tc>
                <w:tcPr>
                  <w:tcW w:w="1357" w:type="pct"/>
                  <w:vMerge w:val="continue"/>
                  <w:vAlign w:val="center"/>
                </w:tcPr>
                <w:p w14:paraId="5F90F16E">
                  <w:pPr>
                    <w:spacing w:line="340" w:lineRule="exact"/>
                    <w:jc w:val="center"/>
                    <w:rPr>
                      <w:bCs/>
                      <w:kern w:val="0"/>
                      <w:szCs w:val="21"/>
                    </w:rPr>
                  </w:pPr>
                </w:p>
              </w:tc>
            </w:tr>
            <w:tr w14:paraId="3253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A061A51">
                  <w:pPr>
                    <w:adjustRightInd w:val="0"/>
                    <w:snapToGrid w:val="0"/>
                    <w:spacing w:line="340" w:lineRule="exact"/>
                    <w:jc w:val="center"/>
                    <w:rPr>
                      <w:bCs/>
                      <w:kern w:val="0"/>
                      <w:szCs w:val="21"/>
                    </w:rPr>
                  </w:pPr>
                </w:p>
              </w:tc>
              <w:tc>
                <w:tcPr>
                  <w:tcW w:w="1363" w:type="pct"/>
                  <w:vAlign w:val="center"/>
                </w:tcPr>
                <w:p w14:paraId="472C6885">
                  <w:pPr>
                    <w:widowControl/>
                    <w:overflowPunct w:val="0"/>
                    <w:spacing w:before="100" w:beforeAutospacing="1" w:after="100" w:afterAutospacing="1" w:line="340" w:lineRule="exact"/>
                    <w:jc w:val="center"/>
                    <w:textAlignment w:val="baseline"/>
                    <w:rPr>
                      <w:kern w:val="0"/>
                      <w:szCs w:val="21"/>
                    </w:rPr>
                  </w:pPr>
                  <w:r>
                    <w:rPr>
                      <w:kern w:val="24"/>
                      <w:szCs w:val="21"/>
                      <w:lang w:bidi="ar"/>
                    </w:rPr>
                    <w:t>硝酸盐氮</w:t>
                  </w:r>
                </w:p>
              </w:tc>
              <w:tc>
                <w:tcPr>
                  <w:tcW w:w="768" w:type="pct"/>
                  <w:vAlign w:val="center"/>
                </w:tcPr>
                <w:p w14:paraId="0DB2A105">
                  <w:pPr>
                    <w:widowControl/>
                    <w:overflowPunct w:val="0"/>
                    <w:spacing w:before="100" w:beforeAutospacing="1" w:after="100" w:afterAutospacing="1" w:line="340" w:lineRule="exact"/>
                    <w:jc w:val="center"/>
                    <w:textAlignment w:val="baseline"/>
                    <w:rPr>
                      <w:kern w:val="24"/>
                      <w:szCs w:val="21"/>
                    </w:rPr>
                  </w:pPr>
                  <w:r>
                    <w:rPr>
                      <w:kern w:val="24"/>
                      <w:szCs w:val="21"/>
                      <w:lang w:bidi="ar"/>
                    </w:rPr>
                    <w:t>≤20</w:t>
                  </w:r>
                </w:p>
              </w:tc>
              <w:tc>
                <w:tcPr>
                  <w:tcW w:w="825" w:type="pct"/>
                  <w:vAlign w:val="center"/>
                </w:tcPr>
                <w:p w14:paraId="18D7E31C">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2D3055AE">
                  <w:pPr>
                    <w:spacing w:line="340" w:lineRule="exact"/>
                    <w:jc w:val="center"/>
                    <w:rPr>
                      <w:bCs/>
                      <w:kern w:val="0"/>
                      <w:szCs w:val="21"/>
                    </w:rPr>
                  </w:pPr>
                </w:p>
              </w:tc>
            </w:tr>
            <w:tr w14:paraId="7C5A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53796161">
                  <w:pPr>
                    <w:adjustRightInd w:val="0"/>
                    <w:snapToGrid w:val="0"/>
                    <w:spacing w:line="340" w:lineRule="exact"/>
                    <w:jc w:val="center"/>
                    <w:rPr>
                      <w:bCs/>
                      <w:kern w:val="0"/>
                      <w:szCs w:val="21"/>
                    </w:rPr>
                  </w:pPr>
                </w:p>
              </w:tc>
              <w:tc>
                <w:tcPr>
                  <w:tcW w:w="1363" w:type="pct"/>
                  <w:vAlign w:val="center"/>
                </w:tcPr>
                <w:p w14:paraId="729997FB">
                  <w:pPr>
                    <w:widowControl/>
                    <w:overflowPunct w:val="0"/>
                    <w:spacing w:before="100" w:beforeAutospacing="1" w:after="100" w:afterAutospacing="1" w:line="340" w:lineRule="exact"/>
                    <w:jc w:val="center"/>
                    <w:textAlignment w:val="baseline"/>
                    <w:rPr>
                      <w:kern w:val="0"/>
                      <w:szCs w:val="21"/>
                    </w:rPr>
                  </w:pPr>
                  <w:r>
                    <w:rPr>
                      <w:kern w:val="24"/>
                      <w:szCs w:val="21"/>
                      <w:lang w:bidi="ar"/>
                    </w:rPr>
                    <w:t>亚硝酸盐氮</w:t>
                  </w:r>
                </w:p>
              </w:tc>
              <w:tc>
                <w:tcPr>
                  <w:tcW w:w="768" w:type="pct"/>
                  <w:vAlign w:val="center"/>
                </w:tcPr>
                <w:p w14:paraId="09687EE9">
                  <w:pPr>
                    <w:widowControl/>
                    <w:overflowPunct w:val="0"/>
                    <w:spacing w:before="100" w:beforeAutospacing="1" w:after="100" w:afterAutospacing="1" w:line="340" w:lineRule="exact"/>
                    <w:jc w:val="center"/>
                    <w:textAlignment w:val="baseline"/>
                    <w:rPr>
                      <w:kern w:val="24"/>
                      <w:szCs w:val="21"/>
                    </w:rPr>
                  </w:pPr>
                  <w:r>
                    <w:rPr>
                      <w:kern w:val="24"/>
                      <w:szCs w:val="21"/>
                      <w:lang w:bidi="ar"/>
                    </w:rPr>
                    <w:t>≤1.0</w:t>
                  </w:r>
                </w:p>
              </w:tc>
              <w:tc>
                <w:tcPr>
                  <w:tcW w:w="825" w:type="pct"/>
                  <w:vAlign w:val="center"/>
                </w:tcPr>
                <w:p w14:paraId="08D9548A">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148CE5D6">
                  <w:pPr>
                    <w:spacing w:line="340" w:lineRule="exact"/>
                    <w:jc w:val="center"/>
                    <w:rPr>
                      <w:bCs/>
                      <w:kern w:val="0"/>
                      <w:szCs w:val="21"/>
                    </w:rPr>
                  </w:pPr>
                </w:p>
              </w:tc>
            </w:tr>
            <w:tr w14:paraId="2F89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4303E08">
                  <w:pPr>
                    <w:adjustRightInd w:val="0"/>
                    <w:snapToGrid w:val="0"/>
                    <w:spacing w:line="340" w:lineRule="exact"/>
                    <w:jc w:val="center"/>
                    <w:rPr>
                      <w:bCs/>
                      <w:kern w:val="0"/>
                      <w:szCs w:val="21"/>
                    </w:rPr>
                  </w:pPr>
                </w:p>
              </w:tc>
              <w:tc>
                <w:tcPr>
                  <w:tcW w:w="1363" w:type="pct"/>
                  <w:vAlign w:val="center"/>
                </w:tcPr>
                <w:p w14:paraId="69C88841">
                  <w:pPr>
                    <w:widowControl/>
                    <w:overflowPunct w:val="0"/>
                    <w:spacing w:before="100" w:beforeAutospacing="1" w:after="100" w:afterAutospacing="1" w:line="340" w:lineRule="exact"/>
                    <w:jc w:val="center"/>
                    <w:textAlignment w:val="baseline"/>
                    <w:rPr>
                      <w:kern w:val="0"/>
                      <w:szCs w:val="21"/>
                    </w:rPr>
                  </w:pPr>
                  <w:r>
                    <w:rPr>
                      <w:kern w:val="24"/>
                      <w:szCs w:val="21"/>
                      <w:lang w:bidi="ar"/>
                    </w:rPr>
                    <w:t>挥发性酚</w:t>
                  </w:r>
                </w:p>
              </w:tc>
              <w:tc>
                <w:tcPr>
                  <w:tcW w:w="768" w:type="pct"/>
                  <w:vAlign w:val="center"/>
                </w:tcPr>
                <w:p w14:paraId="4D200D2A">
                  <w:pPr>
                    <w:widowControl/>
                    <w:overflowPunct w:val="0"/>
                    <w:spacing w:before="100" w:beforeAutospacing="1" w:after="100" w:afterAutospacing="1" w:line="340" w:lineRule="exact"/>
                    <w:jc w:val="center"/>
                    <w:textAlignment w:val="baseline"/>
                    <w:rPr>
                      <w:kern w:val="24"/>
                      <w:szCs w:val="21"/>
                    </w:rPr>
                  </w:pPr>
                  <w:r>
                    <w:rPr>
                      <w:kern w:val="24"/>
                      <w:szCs w:val="21"/>
                      <w:lang w:bidi="ar"/>
                    </w:rPr>
                    <w:t>≤0.002</w:t>
                  </w:r>
                </w:p>
              </w:tc>
              <w:tc>
                <w:tcPr>
                  <w:tcW w:w="825" w:type="pct"/>
                  <w:vAlign w:val="center"/>
                </w:tcPr>
                <w:p w14:paraId="61A5DF25">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336E74F2">
                  <w:pPr>
                    <w:spacing w:line="340" w:lineRule="exact"/>
                    <w:jc w:val="center"/>
                    <w:rPr>
                      <w:bCs/>
                      <w:kern w:val="0"/>
                      <w:szCs w:val="21"/>
                    </w:rPr>
                  </w:pPr>
                </w:p>
              </w:tc>
            </w:tr>
            <w:tr w14:paraId="5D86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3CB57CED">
                  <w:pPr>
                    <w:adjustRightInd w:val="0"/>
                    <w:snapToGrid w:val="0"/>
                    <w:spacing w:line="340" w:lineRule="exact"/>
                    <w:jc w:val="center"/>
                    <w:rPr>
                      <w:bCs/>
                      <w:kern w:val="0"/>
                      <w:szCs w:val="21"/>
                    </w:rPr>
                  </w:pPr>
                </w:p>
              </w:tc>
              <w:tc>
                <w:tcPr>
                  <w:tcW w:w="1363" w:type="pct"/>
                  <w:vAlign w:val="center"/>
                </w:tcPr>
                <w:p w14:paraId="19867747">
                  <w:pPr>
                    <w:widowControl/>
                    <w:overflowPunct w:val="0"/>
                    <w:spacing w:before="100" w:beforeAutospacing="1" w:after="100" w:afterAutospacing="1" w:line="340" w:lineRule="exact"/>
                    <w:jc w:val="center"/>
                    <w:textAlignment w:val="baseline"/>
                    <w:rPr>
                      <w:kern w:val="0"/>
                      <w:szCs w:val="21"/>
                    </w:rPr>
                  </w:pPr>
                  <w:r>
                    <w:rPr>
                      <w:kern w:val="24"/>
                      <w:szCs w:val="21"/>
                      <w:lang w:bidi="ar"/>
                    </w:rPr>
                    <w:t>氰化物</w:t>
                  </w:r>
                </w:p>
              </w:tc>
              <w:tc>
                <w:tcPr>
                  <w:tcW w:w="768" w:type="pct"/>
                  <w:vAlign w:val="center"/>
                </w:tcPr>
                <w:p w14:paraId="569A96D7">
                  <w:pPr>
                    <w:widowControl/>
                    <w:overflowPunct w:val="0"/>
                    <w:spacing w:before="100" w:beforeAutospacing="1" w:after="100" w:afterAutospacing="1" w:line="340" w:lineRule="exact"/>
                    <w:jc w:val="center"/>
                    <w:textAlignment w:val="baseline"/>
                    <w:rPr>
                      <w:kern w:val="24"/>
                      <w:szCs w:val="21"/>
                    </w:rPr>
                  </w:pPr>
                  <w:r>
                    <w:rPr>
                      <w:kern w:val="24"/>
                      <w:szCs w:val="21"/>
                      <w:lang w:bidi="ar"/>
                    </w:rPr>
                    <w:t>≤0.05</w:t>
                  </w:r>
                </w:p>
              </w:tc>
              <w:tc>
                <w:tcPr>
                  <w:tcW w:w="825" w:type="pct"/>
                  <w:vAlign w:val="center"/>
                </w:tcPr>
                <w:p w14:paraId="03998ADA">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34709162">
                  <w:pPr>
                    <w:spacing w:line="340" w:lineRule="exact"/>
                    <w:jc w:val="center"/>
                    <w:rPr>
                      <w:bCs/>
                      <w:kern w:val="0"/>
                      <w:szCs w:val="21"/>
                    </w:rPr>
                  </w:pPr>
                </w:p>
              </w:tc>
            </w:tr>
            <w:tr w14:paraId="26D3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7CD2CD89">
                  <w:pPr>
                    <w:adjustRightInd w:val="0"/>
                    <w:snapToGrid w:val="0"/>
                    <w:spacing w:line="340" w:lineRule="exact"/>
                    <w:jc w:val="center"/>
                    <w:rPr>
                      <w:bCs/>
                      <w:kern w:val="0"/>
                      <w:szCs w:val="21"/>
                    </w:rPr>
                  </w:pPr>
                </w:p>
              </w:tc>
              <w:tc>
                <w:tcPr>
                  <w:tcW w:w="1363" w:type="pct"/>
                  <w:vAlign w:val="center"/>
                </w:tcPr>
                <w:p w14:paraId="3E23FC2D">
                  <w:pPr>
                    <w:widowControl/>
                    <w:overflowPunct w:val="0"/>
                    <w:spacing w:before="100" w:beforeAutospacing="1" w:after="100" w:afterAutospacing="1" w:line="340" w:lineRule="exact"/>
                    <w:jc w:val="center"/>
                    <w:textAlignment w:val="baseline"/>
                    <w:rPr>
                      <w:kern w:val="0"/>
                      <w:szCs w:val="21"/>
                    </w:rPr>
                  </w:pPr>
                  <w:r>
                    <w:rPr>
                      <w:kern w:val="24"/>
                      <w:szCs w:val="21"/>
                      <w:lang w:bidi="ar"/>
                    </w:rPr>
                    <w:t>耗氧量</w:t>
                  </w:r>
                </w:p>
              </w:tc>
              <w:tc>
                <w:tcPr>
                  <w:tcW w:w="768" w:type="pct"/>
                  <w:vAlign w:val="center"/>
                </w:tcPr>
                <w:p w14:paraId="058E2A7C">
                  <w:pPr>
                    <w:widowControl/>
                    <w:overflowPunct w:val="0"/>
                    <w:spacing w:before="100" w:beforeAutospacing="1" w:after="100" w:afterAutospacing="1" w:line="340" w:lineRule="exact"/>
                    <w:jc w:val="center"/>
                    <w:textAlignment w:val="baseline"/>
                    <w:rPr>
                      <w:kern w:val="24"/>
                      <w:szCs w:val="21"/>
                    </w:rPr>
                  </w:pPr>
                  <w:r>
                    <w:rPr>
                      <w:kern w:val="24"/>
                      <w:szCs w:val="21"/>
                      <w:lang w:bidi="ar"/>
                    </w:rPr>
                    <w:t>≤3.0</w:t>
                  </w:r>
                </w:p>
              </w:tc>
              <w:tc>
                <w:tcPr>
                  <w:tcW w:w="825" w:type="pct"/>
                  <w:vAlign w:val="center"/>
                </w:tcPr>
                <w:p w14:paraId="3A008C3F">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42112561">
                  <w:pPr>
                    <w:spacing w:line="340" w:lineRule="exact"/>
                    <w:jc w:val="center"/>
                    <w:rPr>
                      <w:bCs/>
                      <w:kern w:val="0"/>
                      <w:szCs w:val="21"/>
                    </w:rPr>
                  </w:pPr>
                </w:p>
              </w:tc>
            </w:tr>
            <w:tr w14:paraId="5E78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4B5D4E2">
                  <w:pPr>
                    <w:adjustRightInd w:val="0"/>
                    <w:snapToGrid w:val="0"/>
                    <w:spacing w:line="340" w:lineRule="exact"/>
                    <w:jc w:val="center"/>
                    <w:rPr>
                      <w:bCs/>
                      <w:kern w:val="0"/>
                      <w:szCs w:val="21"/>
                    </w:rPr>
                  </w:pPr>
                </w:p>
              </w:tc>
              <w:tc>
                <w:tcPr>
                  <w:tcW w:w="1363" w:type="pct"/>
                  <w:vAlign w:val="center"/>
                </w:tcPr>
                <w:p w14:paraId="6EB4A995">
                  <w:pPr>
                    <w:widowControl/>
                    <w:overflowPunct w:val="0"/>
                    <w:spacing w:before="100" w:beforeAutospacing="1" w:after="100" w:afterAutospacing="1" w:line="340" w:lineRule="exact"/>
                    <w:jc w:val="center"/>
                    <w:textAlignment w:val="baseline"/>
                    <w:rPr>
                      <w:kern w:val="0"/>
                      <w:szCs w:val="21"/>
                    </w:rPr>
                  </w:pPr>
                  <w:r>
                    <w:rPr>
                      <w:kern w:val="24"/>
                      <w:szCs w:val="21"/>
                      <w:lang w:bidi="ar"/>
                    </w:rPr>
                    <w:t>氟化物</w:t>
                  </w:r>
                </w:p>
              </w:tc>
              <w:tc>
                <w:tcPr>
                  <w:tcW w:w="768" w:type="pct"/>
                  <w:vAlign w:val="center"/>
                </w:tcPr>
                <w:p w14:paraId="23DA9DE9">
                  <w:pPr>
                    <w:widowControl/>
                    <w:overflowPunct w:val="0"/>
                    <w:spacing w:before="100" w:beforeAutospacing="1" w:after="100" w:afterAutospacing="1" w:line="340" w:lineRule="exact"/>
                    <w:jc w:val="center"/>
                    <w:textAlignment w:val="baseline"/>
                    <w:rPr>
                      <w:kern w:val="24"/>
                      <w:szCs w:val="21"/>
                    </w:rPr>
                  </w:pPr>
                  <w:r>
                    <w:rPr>
                      <w:kern w:val="24"/>
                      <w:szCs w:val="21"/>
                      <w:lang w:bidi="ar"/>
                    </w:rPr>
                    <w:t>≤1.0</w:t>
                  </w:r>
                </w:p>
              </w:tc>
              <w:tc>
                <w:tcPr>
                  <w:tcW w:w="825" w:type="pct"/>
                  <w:vAlign w:val="center"/>
                </w:tcPr>
                <w:p w14:paraId="14E8B2F6">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3E264D80">
                  <w:pPr>
                    <w:spacing w:line="340" w:lineRule="exact"/>
                    <w:jc w:val="center"/>
                    <w:rPr>
                      <w:bCs/>
                      <w:kern w:val="0"/>
                      <w:szCs w:val="21"/>
                    </w:rPr>
                  </w:pPr>
                </w:p>
              </w:tc>
            </w:tr>
            <w:tr w14:paraId="457A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3CEF373E">
                  <w:pPr>
                    <w:widowControl/>
                    <w:adjustRightInd w:val="0"/>
                    <w:snapToGrid w:val="0"/>
                    <w:spacing w:line="340" w:lineRule="exact"/>
                    <w:jc w:val="center"/>
                    <w:rPr>
                      <w:bCs/>
                      <w:kern w:val="0"/>
                      <w:szCs w:val="21"/>
                    </w:rPr>
                  </w:pPr>
                </w:p>
              </w:tc>
              <w:tc>
                <w:tcPr>
                  <w:tcW w:w="1363" w:type="pct"/>
                  <w:vAlign w:val="center"/>
                </w:tcPr>
                <w:p w14:paraId="4027244F">
                  <w:pPr>
                    <w:widowControl/>
                    <w:overflowPunct w:val="0"/>
                    <w:spacing w:before="100" w:beforeAutospacing="1" w:after="100" w:afterAutospacing="1" w:line="340" w:lineRule="exact"/>
                    <w:jc w:val="center"/>
                    <w:textAlignment w:val="baseline"/>
                    <w:rPr>
                      <w:kern w:val="0"/>
                      <w:szCs w:val="21"/>
                    </w:rPr>
                  </w:pPr>
                  <w:r>
                    <w:rPr>
                      <w:kern w:val="24"/>
                      <w:szCs w:val="21"/>
                      <w:lang w:bidi="ar"/>
                    </w:rPr>
                    <w:t>硫酸盐</w:t>
                  </w:r>
                </w:p>
              </w:tc>
              <w:tc>
                <w:tcPr>
                  <w:tcW w:w="768" w:type="pct"/>
                  <w:vAlign w:val="center"/>
                </w:tcPr>
                <w:p w14:paraId="38A8BBEC">
                  <w:pPr>
                    <w:widowControl/>
                    <w:overflowPunct w:val="0"/>
                    <w:spacing w:before="100" w:beforeAutospacing="1" w:after="100" w:afterAutospacing="1" w:line="340" w:lineRule="exact"/>
                    <w:jc w:val="center"/>
                    <w:textAlignment w:val="baseline"/>
                    <w:rPr>
                      <w:kern w:val="24"/>
                      <w:szCs w:val="21"/>
                    </w:rPr>
                  </w:pPr>
                  <w:r>
                    <w:rPr>
                      <w:kern w:val="24"/>
                      <w:szCs w:val="21"/>
                      <w:lang w:bidi="ar"/>
                    </w:rPr>
                    <w:t>≤250</w:t>
                  </w:r>
                </w:p>
              </w:tc>
              <w:tc>
                <w:tcPr>
                  <w:tcW w:w="825" w:type="pct"/>
                  <w:vAlign w:val="center"/>
                </w:tcPr>
                <w:p w14:paraId="3C3E22AD">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36C52DCD">
                  <w:pPr>
                    <w:spacing w:line="340" w:lineRule="exact"/>
                    <w:jc w:val="center"/>
                    <w:rPr>
                      <w:bCs/>
                      <w:kern w:val="0"/>
                      <w:szCs w:val="21"/>
                    </w:rPr>
                  </w:pPr>
                </w:p>
              </w:tc>
            </w:tr>
            <w:tr w14:paraId="04E9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152F89EE">
                  <w:pPr>
                    <w:widowControl/>
                    <w:adjustRightInd w:val="0"/>
                    <w:snapToGrid w:val="0"/>
                    <w:spacing w:line="340" w:lineRule="exact"/>
                    <w:jc w:val="center"/>
                    <w:rPr>
                      <w:bCs/>
                      <w:kern w:val="0"/>
                      <w:szCs w:val="21"/>
                    </w:rPr>
                  </w:pPr>
                </w:p>
              </w:tc>
              <w:tc>
                <w:tcPr>
                  <w:tcW w:w="1363" w:type="pct"/>
                  <w:vAlign w:val="center"/>
                </w:tcPr>
                <w:p w14:paraId="5BCB3285">
                  <w:pPr>
                    <w:widowControl/>
                    <w:overflowPunct w:val="0"/>
                    <w:spacing w:before="100" w:beforeAutospacing="1" w:after="100" w:afterAutospacing="1" w:line="340" w:lineRule="exact"/>
                    <w:jc w:val="center"/>
                    <w:textAlignment w:val="baseline"/>
                    <w:rPr>
                      <w:kern w:val="0"/>
                      <w:szCs w:val="21"/>
                    </w:rPr>
                  </w:pPr>
                  <w:r>
                    <w:rPr>
                      <w:kern w:val="24"/>
                      <w:szCs w:val="21"/>
                      <w:lang w:bidi="ar"/>
                    </w:rPr>
                    <w:t>氯化物</w:t>
                  </w:r>
                </w:p>
              </w:tc>
              <w:tc>
                <w:tcPr>
                  <w:tcW w:w="768" w:type="pct"/>
                  <w:vAlign w:val="center"/>
                </w:tcPr>
                <w:p w14:paraId="1D5E07F6">
                  <w:pPr>
                    <w:widowControl/>
                    <w:overflowPunct w:val="0"/>
                    <w:spacing w:before="100" w:beforeAutospacing="1" w:after="100" w:afterAutospacing="1" w:line="340" w:lineRule="exact"/>
                    <w:jc w:val="center"/>
                    <w:textAlignment w:val="baseline"/>
                    <w:rPr>
                      <w:kern w:val="24"/>
                      <w:szCs w:val="21"/>
                    </w:rPr>
                  </w:pPr>
                  <w:r>
                    <w:rPr>
                      <w:kern w:val="24"/>
                      <w:szCs w:val="21"/>
                      <w:lang w:bidi="ar"/>
                    </w:rPr>
                    <w:t>≤250</w:t>
                  </w:r>
                </w:p>
              </w:tc>
              <w:tc>
                <w:tcPr>
                  <w:tcW w:w="825" w:type="pct"/>
                  <w:vAlign w:val="center"/>
                </w:tcPr>
                <w:p w14:paraId="3B643492">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0E419477">
                  <w:pPr>
                    <w:spacing w:line="340" w:lineRule="exact"/>
                    <w:jc w:val="center"/>
                    <w:rPr>
                      <w:bCs/>
                      <w:kern w:val="0"/>
                      <w:szCs w:val="21"/>
                    </w:rPr>
                  </w:pPr>
                </w:p>
              </w:tc>
            </w:tr>
            <w:tr w14:paraId="7D59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849E9BC">
                  <w:pPr>
                    <w:widowControl/>
                    <w:adjustRightInd w:val="0"/>
                    <w:snapToGrid w:val="0"/>
                    <w:spacing w:line="340" w:lineRule="exact"/>
                    <w:jc w:val="center"/>
                    <w:rPr>
                      <w:bCs/>
                      <w:kern w:val="0"/>
                      <w:szCs w:val="21"/>
                    </w:rPr>
                  </w:pPr>
                </w:p>
              </w:tc>
              <w:tc>
                <w:tcPr>
                  <w:tcW w:w="1363" w:type="pct"/>
                  <w:vAlign w:val="center"/>
                </w:tcPr>
                <w:p w14:paraId="169891D0">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碘化物</w:t>
                  </w:r>
                </w:p>
              </w:tc>
              <w:tc>
                <w:tcPr>
                  <w:tcW w:w="768" w:type="pct"/>
                  <w:vAlign w:val="center"/>
                </w:tcPr>
                <w:p w14:paraId="761E9B19">
                  <w:pPr>
                    <w:widowControl/>
                    <w:overflowPunct w:val="0"/>
                    <w:spacing w:before="100" w:beforeAutospacing="1" w:after="100" w:afterAutospacing="1" w:line="340" w:lineRule="exact"/>
                    <w:jc w:val="center"/>
                    <w:textAlignment w:val="baseline"/>
                    <w:rPr>
                      <w:kern w:val="24"/>
                      <w:szCs w:val="21"/>
                    </w:rPr>
                  </w:pPr>
                  <w:r>
                    <w:rPr>
                      <w:kern w:val="24"/>
                      <w:szCs w:val="21"/>
                      <w:lang w:bidi="ar"/>
                    </w:rPr>
                    <w:t>≤0.08</w:t>
                  </w:r>
                </w:p>
              </w:tc>
              <w:tc>
                <w:tcPr>
                  <w:tcW w:w="825" w:type="pct"/>
                  <w:vAlign w:val="center"/>
                </w:tcPr>
                <w:p w14:paraId="0F30F350">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63F306D2">
                  <w:pPr>
                    <w:spacing w:line="340" w:lineRule="exact"/>
                    <w:jc w:val="center"/>
                    <w:rPr>
                      <w:bCs/>
                      <w:kern w:val="0"/>
                      <w:szCs w:val="21"/>
                    </w:rPr>
                  </w:pPr>
                </w:p>
              </w:tc>
            </w:tr>
            <w:tr w14:paraId="40AD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726C2BEB">
                  <w:pPr>
                    <w:widowControl/>
                    <w:adjustRightInd w:val="0"/>
                    <w:snapToGrid w:val="0"/>
                    <w:spacing w:line="340" w:lineRule="exact"/>
                    <w:jc w:val="center"/>
                    <w:rPr>
                      <w:bCs/>
                      <w:kern w:val="0"/>
                      <w:szCs w:val="21"/>
                    </w:rPr>
                  </w:pPr>
                </w:p>
              </w:tc>
              <w:tc>
                <w:tcPr>
                  <w:tcW w:w="1363" w:type="pct"/>
                  <w:vAlign w:val="center"/>
                </w:tcPr>
                <w:p w14:paraId="3ADDCABC">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硫化物</w:t>
                  </w:r>
                </w:p>
              </w:tc>
              <w:tc>
                <w:tcPr>
                  <w:tcW w:w="768" w:type="pct"/>
                  <w:vAlign w:val="center"/>
                </w:tcPr>
                <w:p w14:paraId="69B76B95">
                  <w:pPr>
                    <w:widowControl/>
                    <w:overflowPunct w:val="0"/>
                    <w:spacing w:before="100" w:beforeAutospacing="1" w:after="100" w:afterAutospacing="1" w:line="340" w:lineRule="exact"/>
                    <w:jc w:val="center"/>
                    <w:textAlignment w:val="baseline"/>
                    <w:rPr>
                      <w:kern w:val="24"/>
                      <w:szCs w:val="21"/>
                    </w:rPr>
                  </w:pPr>
                  <w:r>
                    <w:rPr>
                      <w:kern w:val="24"/>
                      <w:szCs w:val="21"/>
                      <w:lang w:bidi="ar"/>
                    </w:rPr>
                    <w:t>≤0.02</w:t>
                  </w:r>
                </w:p>
              </w:tc>
              <w:tc>
                <w:tcPr>
                  <w:tcW w:w="825" w:type="pct"/>
                  <w:vAlign w:val="center"/>
                </w:tcPr>
                <w:p w14:paraId="3CA71270">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707B2E52">
                  <w:pPr>
                    <w:spacing w:line="340" w:lineRule="exact"/>
                    <w:jc w:val="center"/>
                    <w:rPr>
                      <w:bCs/>
                      <w:kern w:val="0"/>
                      <w:szCs w:val="21"/>
                    </w:rPr>
                  </w:pPr>
                </w:p>
              </w:tc>
            </w:tr>
            <w:tr w14:paraId="138D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48BD1B65">
                  <w:pPr>
                    <w:widowControl/>
                    <w:adjustRightInd w:val="0"/>
                    <w:snapToGrid w:val="0"/>
                    <w:spacing w:line="340" w:lineRule="exact"/>
                    <w:jc w:val="center"/>
                    <w:rPr>
                      <w:bCs/>
                      <w:kern w:val="0"/>
                      <w:szCs w:val="21"/>
                    </w:rPr>
                  </w:pPr>
                </w:p>
              </w:tc>
              <w:tc>
                <w:tcPr>
                  <w:tcW w:w="1363" w:type="pct"/>
                  <w:vAlign w:val="center"/>
                </w:tcPr>
                <w:p w14:paraId="19D0D6D9">
                  <w:pPr>
                    <w:widowControl/>
                    <w:overflowPunct w:val="0"/>
                    <w:spacing w:before="100" w:beforeAutospacing="1" w:after="100" w:afterAutospacing="1" w:line="340" w:lineRule="exact"/>
                    <w:jc w:val="center"/>
                    <w:textAlignment w:val="baseline"/>
                    <w:rPr>
                      <w:kern w:val="0"/>
                      <w:szCs w:val="21"/>
                    </w:rPr>
                  </w:pPr>
                  <w:r>
                    <w:rPr>
                      <w:kern w:val="24"/>
                      <w:szCs w:val="21"/>
                      <w:lang w:bidi="ar"/>
                    </w:rPr>
                    <w:t>砷</w:t>
                  </w:r>
                </w:p>
              </w:tc>
              <w:tc>
                <w:tcPr>
                  <w:tcW w:w="768" w:type="pct"/>
                  <w:vAlign w:val="center"/>
                </w:tcPr>
                <w:p w14:paraId="7BCEFE8C">
                  <w:pPr>
                    <w:widowControl/>
                    <w:overflowPunct w:val="0"/>
                    <w:spacing w:before="100" w:beforeAutospacing="1" w:after="100" w:afterAutospacing="1" w:line="340" w:lineRule="exact"/>
                    <w:jc w:val="center"/>
                    <w:textAlignment w:val="baseline"/>
                    <w:rPr>
                      <w:kern w:val="24"/>
                      <w:szCs w:val="21"/>
                    </w:rPr>
                  </w:pPr>
                  <w:r>
                    <w:rPr>
                      <w:kern w:val="24"/>
                      <w:szCs w:val="21"/>
                      <w:lang w:bidi="ar"/>
                    </w:rPr>
                    <w:t>≤0.01</w:t>
                  </w:r>
                </w:p>
              </w:tc>
              <w:tc>
                <w:tcPr>
                  <w:tcW w:w="825" w:type="pct"/>
                  <w:vAlign w:val="center"/>
                </w:tcPr>
                <w:p w14:paraId="4F083825">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095EC3E1">
                  <w:pPr>
                    <w:spacing w:line="340" w:lineRule="exact"/>
                    <w:jc w:val="center"/>
                    <w:rPr>
                      <w:bCs/>
                      <w:kern w:val="0"/>
                      <w:szCs w:val="21"/>
                    </w:rPr>
                  </w:pPr>
                </w:p>
              </w:tc>
            </w:tr>
            <w:tr w14:paraId="5482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BE1B8C9">
                  <w:pPr>
                    <w:widowControl/>
                    <w:adjustRightInd w:val="0"/>
                    <w:snapToGrid w:val="0"/>
                    <w:spacing w:line="340" w:lineRule="exact"/>
                    <w:jc w:val="center"/>
                    <w:rPr>
                      <w:bCs/>
                      <w:kern w:val="0"/>
                      <w:szCs w:val="21"/>
                    </w:rPr>
                  </w:pPr>
                </w:p>
              </w:tc>
              <w:tc>
                <w:tcPr>
                  <w:tcW w:w="1363" w:type="pct"/>
                  <w:vAlign w:val="center"/>
                </w:tcPr>
                <w:p w14:paraId="0D7ABFDA">
                  <w:pPr>
                    <w:widowControl/>
                    <w:overflowPunct w:val="0"/>
                    <w:spacing w:before="100" w:beforeAutospacing="1" w:after="100" w:afterAutospacing="1" w:line="340" w:lineRule="exact"/>
                    <w:jc w:val="center"/>
                    <w:textAlignment w:val="baseline"/>
                    <w:rPr>
                      <w:kern w:val="0"/>
                      <w:szCs w:val="21"/>
                    </w:rPr>
                  </w:pPr>
                  <w:r>
                    <w:rPr>
                      <w:kern w:val="24"/>
                      <w:szCs w:val="21"/>
                      <w:lang w:bidi="ar"/>
                    </w:rPr>
                    <w:t>汞</w:t>
                  </w:r>
                </w:p>
              </w:tc>
              <w:tc>
                <w:tcPr>
                  <w:tcW w:w="768" w:type="pct"/>
                  <w:vAlign w:val="center"/>
                </w:tcPr>
                <w:p w14:paraId="391ED6F4">
                  <w:pPr>
                    <w:widowControl/>
                    <w:overflowPunct w:val="0"/>
                    <w:spacing w:before="100" w:beforeAutospacing="1" w:after="100" w:afterAutospacing="1" w:line="340" w:lineRule="exact"/>
                    <w:jc w:val="center"/>
                    <w:textAlignment w:val="baseline"/>
                    <w:rPr>
                      <w:kern w:val="24"/>
                      <w:szCs w:val="21"/>
                    </w:rPr>
                  </w:pPr>
                  <w:r>
                    <w:rPr>
                      <w:kern w:val="24"/>
                      <w:szCs w:val="21"/>
                      <w:lang w:bidi="ar"/>
                    </w:rPr>
                    <w:t>≤0.001</w:t>
                  </w:r>
                </w:p>
              </w:tc>
              <w:tc>
                <w:tcPr>
                  <w:tcW w:w="825" w:type="pct"/>
                  <w:vAlign w:val="center"/>
                </w:tcPr>
                <w:p w14:paraId="6F29106D">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156811DF">
                  <w:pPr>
                    <w:spacing w:line="340" w:lineRule="exact"/>
                    <w:jc w:val="center"/>
                    <w:rPr>
                      <w:bCs/>
                      <w:kern w:val="0"/>
                      <w:szCs w:val="21"/>
                    </w:rPr>
                  </w:pPr>
                </w:p>
              </w:tc>
            </w:tr>
            <w:tr w14:paraId="7773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84E6CC9">
                  <w:pPr>
                    <w:widowControl/>
                    <w:adjustRightInd w:val="0"/>
                    <w:snapToGrid w:val="0"/>
                    <w:spacing w:line="340" w:lineRule="exact"/>
                    <w:jc w:val="center"/>
                    <w:rPr>
                      <w:bCs/>
                      <w:kern w:val="0"/>
                      <w:szCs w:val="21"/>
                    </w:rPr>
                  </w:pPr>
                </w:p>
              </w:tc>
              <w:tc>
                <w:tcPr>
                  <w:tcW w:w="1363" w:type="pct"/>
                  <w:vAlign w:val="center"/>
                </w:tcPr>
                <w:p w14:paraId="63B0348F">
                  <w:pPr>
                    <w:widowControl/>
                    <w:overflowPunct w:val="0"/>
                    <w:spacing w:before="100" w:beforeAutospacing="1" w:after="100" w:afterAutospacing="1" w:line="340" w:lineRule="exact"/>
                    <w:jc w:val="center"/>
                    <w:textAlignment w:val="baseline"/>
                    <w:rPr>
                      <w:kern w:val="0"/>
                      <w:szCs w:val="21"/>
                    </w:rPr>
                  </w:pPr>
                  <w:r>
                    <w:rPr>
                      <w:kern w:val="24"/>
                      <w:szCs w:val="21"/>
                      <w:lang w:bidi="ar"/>
                    </w:rPr>
                    <w:t>镉</w:t>
                  </w:r>
                </w:p>
              </w:tc>
              <w:tc>
                <w:tcPr>
                  <w:tcW w:w="768" w:type="pct"/>
                  <w:vAlign w:val="center"/>
                </w:tcPr>
                <w:p w14:paraId="79DD2E1C">
                  <w:pPr>
                    <w:widowControl/>
                    <w:overflowPunct w:val="0"/>
                    <w:spacing w:before="100" w:beforeAutospacing="1" w:after="100" w:afterAutospacing="1" w:line="340" w:lineRule="exact"/>
                    <w:jc w:val="center"/>
                    <w:textAlignment w:val="baseline"/>
                    <w:rPr>
                      <w:kern w:val="24"/>
                      <w:szCs w:val="21"/>
                    </w:rPr>
                  </w:pPr>
                  <w:r>
                    <w:rPr>
                      <w:kern w:val="24"/>
                      <w:szCs w:val="21"/>
                      <w:lang w:bidi="ar"/>
                    </w:rPr>
                    <w:t>≤0.005</w:t>
                  </w:r>
                </w:p>
              </w:tc>
              <w:tc>
                <w:tcPr>
                  <w:tcW w:w="825" w:type="pct"/>
                  <w:vAlign w:val="center"/>
                </w:tcPr>
                <w:p w14:paraId="353ED20C">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460CE329">
                  <w:pPr>
                    <w:spacing w:line="340" w:lineRule="exact"/>
                    <w:jc w:val="center"/>
                    <w:rPr>
                      <w:bCs/>
                      <w:kern w:val="0"/>
                      <w:szCs w:val="21"/>
                    </w:rPr>
                  </w:pPr>
                </w:p>
              </w:tc>
            </w:tr>
            <w:tr w14:paraId="3A28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483D2F2">
                  <w:pPr>
                    <w:widowControl/>
                    <w:adjustRightInd w:val="0"/>
                    <w:snapToGrid w:val="0"/>
                    <w:spacing w:line="340" w:lineRule="exact"/>
                    <w:jc w:val="center"/>
                    <w:rPr>
                      <w:bCs/>
                      <w:kern w:val="0"/>
                      <w:szCs w:val="21"/>
                    </w:rPr>
                  </w:pPr>
                </w:p>
              </w:tc>
              <w:tc>
                <w:tcPr>
                  <w:tcW w:w="1363" w:type="pct"/>
                  <w:vAlign w:val="center"/>
                </w:tcPr>
                <w:p w14:paraId="70404163">
                  <w:pPr>
                    <w:widowControl/>
                    <w:overflowPunct w:val="0"/>
                    <w:spacing w:before="100" w:beforeAutospacing="1" w:after="100" w:afterAutospacing="1" w:line="340" w:lineRule="exact"/>
                    <w:jc w:val="center"/>
                    <w:textAlignment w:val="baseline"/>
                    <w:rPr>
                      <w:kern w:val="0"/>
                      <w:szCs w:val="21"/>
                    </w:rPr>
                  </w:pPr>
                  <w:r>
                    <w:rPr>
                      <w:kern w:val="24"/>
                      <w:szCs w:val="21"/>
                      <w:lang w:bidi="ar"/>
                    </w:rPr>
                    <w:t>铬</w:t>
                  </w:r>
                  <w:r>
                    <w:rPr>
                      <w:rFonts w:hint="eastAsia"/>
                      <w:kern w:val="24"/>
                      <w:szCs w:val="21"/>
                      <w:lang w:bidi="ar"/>
                    </w:rPr>
                    <w:t>（</w:t>
                  </w:r>
                  <w:r>
                    <w:rPr>
                      <w:kern w:val="24"/>
                      <w:szCs w:val="21"/>
                      <w:lang w:bidi="ar"/>
                    </w:rPr>
                    <w:t>六价</w:t>
                  </w:r>
                  <w:r>
                    <w:rPr>
                      <w:rFonts w:hint="eastAsia"/>
                      <w:kern w:val="24"/>
                      <w:szCs w:val="21"/>
                      <w:lang w:bidi="ar"/>
                    </w:rPr>
                    <w:t>）</w:t>
                  </w:r>
                </w:p>
              </w:tc>
              <w:tc>
                <w:tcPr>
                  <w:tcW w:w="768" w:type="pct"/>
                  <w:vAlign w:val="center"/>
                </w:tcPr>
                <w:p w14:paraId="6C196AFF">
                  <w:pPr>
                    <w:widowControl/>
                    <w:overflowPunct w:val="0"/>
                    <w:spacing w:before="100" w:beforeAutospacing="1" w:after="100" w:afterAutospacing="1" w:line="340" w:lineRule="exact"/>
                    <w:jc w:val="center"/>
                    <w:textAlignment w:val="baseline"/>
                    <w:rPr>
                      <w:kern w:val="24"/>
                      <w:szCs w:val="21"/>
                    </w:rPr>
                  </w:pPr>
                  <w:r>
                    <w:rPr>
                      <w:kern w:val="24"/>
                      <w:szCs w:val="21"/>
                      <w:lang w:bidi="ar"/>
                    </w:rPr>
                    <w:t>≤0.05</w:t>
                  </w:r>
                </w:p>
              </w:tc>
              <w:tc>
                <w:tcPr>
                  <w:tcW w:w="825" w:type="pct"/>
                  <w:vAlign w:val="center"/>
                </w:tcPr>
                <w:p w14:paraId="262AB88B">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4FF6625E">
                  <w:pPr>
                    <w:spacing w:line="340" w:lineRule="exact"/>
                    <w:jc w:val="center"/>
                    <w:rPr>
                      <w:bCs/>
                      <w:kern w:val="0"/>
                      <w:szCs w:val="21"/>
                    </w:rPr>
                  </w:pPr>
                </w:p>
              </w:tc>
            </w:tr>
            <w:tr w14:paraId="3039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43B4F8E1">
                  <w:pPr>
                    <w:widowControl/>
                    <w:adjustRightInd w:val="0"/>
                    <w:snapToGrid w:val="0"/>
                    <w:spacing w:line="340" w:lineRule="exact"/>
                    <w:jc w:val="center"/>
                    <w:rPr>
                      <w:bCs/>
                      <w:kern w:val="0"/>
                      <w:szCs w:val="21"/>
                    </w:rPr>
                  </w:pPr>
                </w:p>
              </w:tc>
              <w:tc>
                <w:tcPr>
                  <w:tcW w:w="1363" w:type="pct"/>
                  <w:vAlign w:val="center"/>
                </w:tcPr>
                <w:p w14:paraId="10BCA9F5">
                  <w:pPr>
                    <w:widowControl/>
                    <w:overflowPunct w:val="0"/>
                    <w:spacing w:before="100" w:beforeAutospacing="1" w:after="100" w:afterAutospacing="1" w:line="340" w:lineRule="exact"/>
                    <w:jc w:val="center"/>
                    <w:textAlignment w:val="baseline"/>
                    <w:rPr>
                      <w:kern w:val="0"/>
                      <w:szCs w:val="21"/>
                    </w:rPr>
                  </w:pPr>
                  <w:r>
                    <w:rPr>
                      <w:kern w:val="24"/>
                      <w:szCs w:val="21"/>
                      <w:lang w:bidi="ar"/>
                    </w:rPr>
                    <w:t>铁</w:t>
                  </w:r>
                </w:p>
              </w:tc>
              <w:tc>
                <w:tcPr>
                  <w:tcW w:w="768" w:type="pct"/>
                  <w:vAlign w:val="center"/>
                </w:tcPr>
                <w:p w14:paraId="30D0C3CB">
                  <w:pPr>
                    <w:widowControl/>
                    <w:overflowPunct w:val="0"/>
                    <w:spacing w:before="100" w:beforeAutospacing="1" w:after="100" w:afterAutospacing="1" w:line="340" w:lineRule="exact"/>
                    <w:jc w:val="center"/>
                    <w:textAlignment w:val="baseline"/>
                    <w:rPr>
                      <w:kern w:val="24"/>
                      <w:szCs w:val="21"/>
                    </w:rPr>
                  </w:pPr>
                  <w:r>
                    <w:rPr>
                      <w:kern w:val="24"/>
                      <w:szCs w:val="21"/>
                      <w:lang w:bidi="ar"/>
                    </w:rPr>
                    <w:t>≤0.3</w:t>
                  </w:r>
                </w:p>
              </w:tc>
              <w:tc>
                <w:tcPr>
                  <w:tcW w:w="825" w:type="pct"/>
                  <w:vAlign w:val="center"/>
                </w:tcPr>
                <w:p w14:paraId="53F40788">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53D1BC81">
                  <w:pPr>
                    <w:spacing w:line="340" w:lineRule="exact"/>
                    <w:jc w:val="center"/>
                    <w:rPr>
                      <w:bCs/>
                      <w:kern w:val="0"/>
                      <w:szCs w:val="21"/>
                    </w:rPr>
                  </w:pPr>
                </w:p>
              </w:tc>
            </w:tr>
            <w:tr w14:paraId="0EDD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924F18E">
                  <w:pPr>
                    <w:widowControl/>
                    <w:adjustRightInd w:val="0"/>
                    <w:snapToGrid w:val="0"/>
                    <w:spacing w:line="340" w:lineRule="exact"/>
                    <w:jc w:val="center"/>
                    <w:rPr>
                      <w:bCs/>
                      <w:kern w:val="0"/>
                      <w:szCs w:val="21"/>
                    </w:rPr>
                  </w:pPr>
                </w:p>
              </w:tc>
              <w:tc>
                <w:tcPr>
                  <w:tcW w:w="1363" w:type="pct"/>
                  <w:vAlign w:val="center"/>
                </w:tcPr>
                <w:p w14:paraId="0953987A">
                  <w:pPr>
                    <w:widowControl/>
                    <w:overflowPunct w:val="0"/>
                    <w:spacing w:before="100" w:beforeAutospacing="1" w:after="100" w:afterAutospacing="1" w:line="340" w:lineRule="exact"/>
                    <w:jc w:val="center"/>
                    <w:textAlignment w:val="baseline"/>
                    <w:rPr>
                      <w:kern w:val="0"/>
                      <w:szCs w:val="21"/>
                    </w:rPr>
                  </w:pPr>
                  <w:r>
                    <w:rPr>
                      <w:kern w:val="24"/>
                      <w:szCs w:val="21"/>
                      <w:lang w:bidi="ar"/>
                    </w:rPr>
                    <w:t>锰</w:t>
                  </w:r>
                </w:p>
              </w:tc>
              <w:tc>
                <w:tcPr>
                  <w:tcW w:w="768" w:type="pct"/>
                  <w:vAlign w:val="center"/>
                </w:tcPr>
                <w:p w14:paraId="670D2329">
                  <w:pPr>
                    <w:widowControl/>
                    <w:overflowPunct w:val="0"/>
                    <w:spacing w:before="100" w:beforeAutospacing="1" w:after="100" w:afterAutospacing="1" w:line="340" w:lineRule="exact"/>
                    <w:jc w:val="center"/>
                    <w:textAlignment w:val="baseline"/>
                    <w:rPr>
                      <w:kern w:val="24"/>
                      <w:szCs w:val="21"/>
                    </w:rPr>
                  </w:pPr>
                  <w:r>
                    <w:rPr>
                      <w:kern w:val="24"/>
                      <w:szCs w:val="21"/>
                      <w:lang w:bidi="ar"/>
                    </w:rPr>
                    <w:t>≤0.1</w:t>
                  </w:r>
                </w:p>
              </w:tc>
              <w:tc>
                <w:tcPr>
                  <w:tcW w:w="825" w:type="pct"/>
                  <w:vAlign w:val="center"/>
                </w:tcPr>
                <w:p w14:paraId="7E0AC77D">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7E940051">
                  <w:pPr>
                    <w:spacing w:line="340" w:lineRule="exact"/>
                    <w:jc w:val="center"/>
                    <w:rPr>
                      <w:bCs/>
                      <w:kern w:val="0"/>
                      <w:szCs w:val="21"/>
                    </w:rPr>
                  </w:pPr>
                </w:p>
              </w:tc>
            </w:tr>
            <w:tr w14:paraId="7FF5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51FAC846">
                  <w:pPr>
                    <w:widowControl/>
                    <w:adjustRightInd w:val="0"/>
                    <w:snapToGrid w:val="0"/>
                    <w:spacing w:line="340" w:lineRule="exact"/>
                    <w:jc w:val="center"/>
                    <w:rPr>
                      <w:bCs/>
                      <w:kern w:val="0"/>
                      <w:szCs w:val="21"/>
                    </w:rPr>
                  </w:pPr>
                </w:p>
              </w:tc>
              <w:tc>
                <w:tcPr>
                  <w:tcW w:w="1363" w:type="pct"/>
                  <w:vAlign w:val="center"/>
                </w:tcPr>
                <w:p w14:paraId="1CE1FD66">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铝</w:t>
                  </w:r>
                </w:p>
              </w:tc>
              <w:tc>
                <w:tcPr>
                  <w:tcW w:w="768" w:type="pct"/>
                  <w:vAlign w:val="center"/>
                </w:tcPr>
                <w:p w14:paraId="24C2EEF9">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≤0.2</w:t>
                  </w:r>
                </w:p>
              </w:tc>
              <w:tc>
                <w:tcPr>
                  <w:tcW w:w="825" w:type="pct"/>
                  <w:vAlign w:val="center"/>
                </w:tcPr>
                <w:p w14:paraId="655693C8">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mg/L</w:t>
                  </w:r>
                </w:p>
              </w:tc>
              <w:tc>
                <w:tcPr>
                  <w:tcW w:w="1357" w:type="pct"/>
                  <w:vMerge w:val="continue"/>
                  <w:vAlign w:val="center"/>
                </w:tcPr>
                <w:p w14:paraId="45704AE1">
                  <w:pPr>
                    <w:spacing w:line="340" w:lineRule="exact"/>
                    <w:jc w:val="center"/>
                    <w:rPr>
                      <w:bCs/>
                      <w:kern w:val="0"/>
                      <w:szCs w:val="21"/>
                    </w:rPr>
                  </w:pPr>
                </w:p>
              </w:tc>
            </w:tr>
            <w:tr w14:paraId="5138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5F56B3A">
                  <w:pPr>
                    <w:widowControl/>
                    <w:adjustRightInd w:val="0"/>
                    <w:snapToGrid w:val="0"/>
                    <w:spacing w:line="340" w:lineRule="exact"/>
                    <w:jc w:val="center"/>
                    <w:rPr>
                      <w:bCs/>
                      <w:kern w:val="0"/>
                      <w:szCs w:val="21"/>
                    </w:rPr>
                  </w:pPr>
                </w:p>
              </w:tc>
              <w:tc>
                <w:tcPr>
                  <w:tcW w:w="1363" w:type="pct"/>
                  <w:vAlign w:val="center"/>
                </w:tcPr>
                <w:p w14:paraId="331F4233">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铜</w:t>
                  </w:r>
                </w:p>
              </w:tc>
              <w:tc>
                <w:tcPr>
                  <w:tcW w:w="768" w:type="pct"/>
                  <w:vAlign w:val="center"/>
                </w:tcPr>
                <w:p w14:paraId="513B65DC">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≤1.0</w:t>
                  </w:r>
                </w:p>
              </w:tc>
              <w:tc>
                <w:tcPr>
                  <w:tcW w:w="825" w:type="pct"/>
                  <w:vAlign w:val="center"/>
                </w:tcPr>
                <w:p w14:paraId="6EBF7FC3">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mg/L</w:t>
                  </w:r>
                </w:p>
              </w:tc>
              <w:tc>
                <w:tcPr>
                  <w:tcW w:w="1357" w:type="pct"/>
                  <w:vMerge w:val="continue"/>
                  <w:vAlign w:val="center"/>
                </w:tcPr>
                <w:p w14:paraId="439549AF">
                  <w:pPr>
                    <w:spacing w:line="340" w:lineRule="exact"/>
                    <w:jc w:val="center"/>
                    <w:rPr>
                      <w:bCs/>
                      <w:kern w:val="0"/>
                      <w:szCs w:val="21"/>
                    </w:rPr>
                  </w:pPr>
                </w:p>
              </w:tc>
            </w:tr>
            <w:tr w14:paraId="6541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4E5590B">
                  <w:pPr>
                    <w:widowControl/>
                    <w:adjustRightInd w:val="0"/>
                    <w:snapToGrid w:val="0"/>
                    <w:spacing w:line="340" w:lineRule="exact"/>
                    <w:jc w:val="center"/>
                    <w:rPr>
                      <w:bCs/>
                      <w:kern w:val="0"/>
                      <w:szCs w:val="21"/>
                    </w:rPr>
                  </w:pPr>
                </w:p>
              </w:tc>
              <w:tc>
                <w:tcPr>
                  <w:tcW w:w="1363" w:type="pct"/>
                  <w:vAlign w:val="center"/>
                </w:tcPr>
                <w:p w14:paraId="6D95B1EB">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锌</w:t>
                  </w:r>
                </w:p>
              </w:tc>
              <w:tc>
                <w:tcPr>
                  <w:tcW w:w="768" w:type="pct"/>
                  <w:vAlign w:val="center"/>
                </w:tcPr>
                <w:p w14:paraId="22D763AF">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≤1.0</w:t>
                  </w:r>
                </w:p>
              </w:tc>
              <w:tc>
                <w:tcPr>
                  <w:tcW w:w="825" w:type="pct"/>
                  <w:vAlign w:val="center"/>
                </w:tcPr>
                <w:p w14:paraId="3C17E5D9">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mg/L</w:t>
                  </w:r>
                </w:p>
              </w:tc>
              <w:tc>
                <w:tcPr>
                  <w:tcW w:w="1357" w:type="pct"/>
                  <w:vMerge w:val="continue"/>
                  <w:vAlign w:val="center"/>
                </w:tcPr>
                <w:p w14:paraId="7BD9954A">
                  <w:pPr>
                    <w:spacing w:line="340" w:lineRule="exact"/>
                    <w:jc w:val="center"/>
                    <w:rPr>
                      <w:bCs/>
                      <w:kern w:val="0"/>
                      <w:szCs w:val="21"/>
                    </w:rPr>
                  </w:pPr>
                </w:p>
              </w:tc>
            </w:tr>
            <w:tr w14:paraId="4E1C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EAD5CCC">
                  <w:pPr>
                    <w:widowControl/>
                    <w:adjustRightInd w:val="0"/>
                    <w:snapToGrid w:val="0"/>
                    <w:spacing w:line="340" w:lineRule="exact"/>
                    <w:jc w:val="center"/>
                    <w:rPr>
                      <w:bCs/>
                      <w:kern w:val="0"/>
                      <w:szCs w:val="21"/>
                    </w:rPr>
                  </w:pPr>
                </w:p>
              </w:tc>
              <w:tc>
                <w:tcPr>
                  <w:tcW w:w="1363" w:type="pct"/>
                  <w:vAlign w:val="center"/>
                </w:tcPr>
                <w:p w14:paraId="2BCDC90A">
                  <w:pPr>
                    <w:widowControl/>
                    <w:overflowPunct w:val="0"/>
                    <w:spacing w:before="100" w:beforeAutospacing="1" w:after="100" w:afterAutospacing="1" w:line="340" w:lineRule="exact"/>
                    <w:jc w:val="center"/>
                    <w:textAlignment w:val="baseline"/>
                    <w:rPr>
                      <w:kern w:val="0"/>
                      <w:szCs w:val="21"/>
                    </w:rPr>
                  </w:pPr>
                  <w:r>
                    <w:rPr>
                      <w:kern w:val="24"/>
                      <w:szCs w:val="21"/>
                      <w:lang w:bidi="ar"/>
                    </w:rPr>
                    <w:t>铅</w:t>
                  </w:r>
                </w:p>
              </w:tc>
              <w:tc>
                <w:tcPr>
                  <w:tcW w:w="768" w:type="pct"/>
                  <w:vAlign w:val="center"/>
                </w:tcPr>
                <w:p w14:paraId="10A650B0">
                  <w:pPr>
                    <w:widowControl/>
                    <w:overflowPunct w:val="0"/>
                    <w:spacing w:before="100" w:beforeAutospacing="1" w:after="100" w:afterAutospacing="1" w:line="340" w:lineRule="exact"/>
                    <w:jc w:val="center"/>
                    <w:textAlignment w:val="baseline"/>
                    <w:rPr>
                      <w:kern w:val="24"/>
                      <w:szCs w:val="21"/>
                    </w:rPr>
                  </w:pPr>
                  <w:r>
                    <w:rPr>
                      <w:kern w:val="24"/>
                      <w:szCs w:val="21"/>
                      <w:lang w:bidi="ar"/>
                    </w:rPr>
                    <w:t>≤0.01</w:t>
                  </w:r>
                </w:p>
              </w:tc>
              <w:tc>
                <w:tcPr>
                  <w:tcW w:w="825" w:type="pct"/>
                  <w:vAlign w:val="center"/>
                </w:tcPr>
                <w:p w14:paraId="5772316C">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52DEF2FF">
                  <w:pPr>
                    <w:spacing w:line="340" w:lineRule="exact"/>
                    <w:jc w:val="center"/>
                    <w:rPr>
                      <w:bCs/>
                      <w:kern w:val="0"/>
                      <w:szCs w:val="21"/>
                    </w:rPr>
                  </w:pPr>
                </w:p>
              </w:tc>
            </w:tr>
            <w:tr w14:paraId="2C6A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482F5296">
                  <w:pPr>
                    <w:widowControl/>
                    <w:adjustRightInd w:val="0"/>
                    <w:snapToGrid w:val="0"/>
                    <w:spacing w:line="340" w:lineRule="exact"/>
                    <w:jc w:val="center"/>
                    <w:rPr>
                      <w:bCs/>
                      <w:kern w:val="0"/>
                      <w:szCs w:val="21"/>
                    </w:rPr>
                  </w:pPr>
                </w:p>
              </w:tc>
              <w:tc>
                <w:tcPr>
                  <w:tcW w:w="1363" w:type="pct"/>
                  <w:vAlign w:val="center"/>
                </w:tcPr>
                <w:p w14:paraId="5A80303D">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硒</w:t>
                  </w:r>
                </w:p>
              </w:tc>
              <w:tc>
                <w:tcPr>
                  <w:tcW w:w="768" w:type="pct"/>
                  <w:vAlign w:val="center"/>
                </w:tcPr>
                <w:p w14:paraId="02C775A5">
                  <w:pPr>
                    <w:widowControl/>
                    <w:overflowPunct w:val="0"/>
                    <w:spacing w:before="100" w:beforeAutospacing="1" w:after="100" w:afterAutospacing="1" w:line="340" w:lineRule="exact"/>
                    <w:jc w:val="center"/>
                    <w:textAlignment w:val="baseline"/>
                    <w:rPr>
                      <w:kern w:val="24"/>
                      <w:szCs w:val="21"/>
                    </w:rPr>
                  </w:pPr>
                  <w:r>
                    <w:rPr>
                      <w:kern w:val="24"/>
                      <w:szCs w:val="21"/>
                      <w:lang w:bidi="ar"/>
                    </w:rPr>
                    <w:t>≤0.01</w:t>
                  </w:r>
                </w:p>
              </w:tc>
              <w:tc>
                <w:tcPr>
                  <w:tcW w:w="825" w:type="pct"/>
                  <w:vAlign w:val="center"/>
                </w:tcPr>
                <w:p w14:paraId="38F8FA7B">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42AE1BB9">
                  <w:pPr>
                    <w:spacing w:line="340" w:lineRule="exact"/>
                    <w:jc w:val="center"/>
                    <w:rPr>
                      <w:bCs/>
                      <w:kern w:val="0"/>
                      <w:szCs w:val="21"/>
                    </w:rPr>
                  </w:pPr>
                </w:p>
              </w:tc>
            </w:tr>
            <w:tr w14:paraId="1044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9EF64A3">
                  <w:pPr>
                    <w:widowControl/>
                    <w:adjustRightInd w:val="0"/>
                    <w:snapToGrid w:val="0"/>
                    <w:spacing w:line="340" w:lineRule="exact"/>
                    <w:jc w:val="center"/>
                    <w:rPr>
                      <w:bCs/>
                      <w:kern w:val="0"/>
                      <w:szCs w:val="21"/>
                    </w:rPr>
                  </w:pPr>
                </w:p>
              </w:tc>
              <w:tc>
                <w:tcPr>
                  <w:tcW w:w="1363" w:type="pct"/>
                  <w:vAlign w:val="center"/>
                </w:tcPr>
                <w:p w14:paraId="3FF46FE5">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钠</w:t>
                  </w:r>
                </w:p>
              </w:tc>
              <w:tc>
                <w:tcPr>
                  <w:tcW w:w="768" w:type="pct"/>
                  <w:vAlign w:val="center"/>
                </w:tcPr>
                <w:p w14:paraId="1F758440">
                  <w:pPr>
                    <w:widowControl/>
                    <w:overflowPunct w:val="0"/>
                    <w:spacing w:before="100" w:beforeAutospacing="1" w:after="100" w:afterAutospacing="1" w:line="340" w:lineRule="exact"/>
                    <w:jc w:val="center"/>
                    <w:textAlignment w:val="baseline"/>
                    <w:rPr>
                      <w:kern w:val="24"/>
                      <w:szCs w:val="21"/>
                    </w:rPr>
                  </w:pPr>
                  <w:r>
                    <w:rPr>
                      <w:kern w:val="24"/>
                      <w:szCs w:val="21"/>
                      <w:lang w:bidi="ar"/>
                    </w:rPr>
                    <w:t>≤200</w:t>
                  </w:r>
                </w:p>
              </w:tc>
              <w:tc>
                <w:tcPr>
                  <w:tcW w:w="825" w:type="pct"/>
                  <w:vAlign w:val="center"/>
                </w:tcPr>
                <w:p w14:paraId="7A5F5FD7">
                  <w:pPr>
                    <w:widowControl/>
                    <w:overflowPunct w:val="0"/>
                    <w:spacing w:before="100" w:beforeAutospacing="1" w:after="100" w:afterAutospacing="1" w:line="340" w:lineRule="exact"/>
                    <w:jc w:val="center"/>
                    <w:textAlignment w:val="baseline"/>
                    <w:rPr>
                      <w:kern w:val="24"/>
                      <w:szCs w:val="21"/>
                    </w:rPr>
                  </w:pPr>
                  <w:r>
                    <w:rPr>
                      <w:kern w:val="24"/>
                      <w:szCs w:val="21"/>
                      <w:lang w:bidi="ar"/>
                    </w:rPr>
                    <w:t>mg/L</w:t>
                  </w:r>
                </w:p>
              </w:tc>
              <w:tc>
                <w:tcPr>
                  <w:tcW w:w="1357" w:type="pct"/>
                  <w:vMerge w:val="continue"/>
                  <w:vAlign w:val="center"/>
                </w:tcPr>
                <w:p w14:paraId="37ECBE15">
                  <w:pPr>
                    <w:spacing w:line="340" w:lineRule="exact"/>
                    <w:jc w:val="center"/>
                    <w:rPr>
                      <w:bCs/>
                      <w:kern w:val="0"/>
                      <w:szCs w:val="21"/>
                    </w:rPr>
                  </w:pPr>
                </w:p>
              </w:tc>
            </w:tr>
            <w:tr w14:paraId="25EF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401B3EDB">
                  <w:pPr>
                    <w:widowControl/>
                    <w:adjustRightInd w:val="0"/>
                    <w:snapToGrid w:val="0"/>
                    <w:spacing w:line="340" w:lineRule="exact"/>
                    <w:jc w:val="center"/>
                    <w:rPr>
                      <w:bCs/>
                      <w:kern w:val="0"/>
                      <w:szCs w:val="21"/>
                    </w:rPr>
                  </w:pPr>
                </w:p>
              </w:tc>
              <w:tc>
                <w:tcPr>
                  <w:tcW w:w="1363" w:type="pct"/>
                  <w:vAlign w:val="center"/>
                </w:tcPr>
                <w:p w14:paraId="704733A5">
                  <w:pPr>
                    <w:widowControl/>
                    <w:overflowPunct w:val="0"/>
                    <w:spacing w:before="100" w:beforeAutospacing="1" w:after="100" w:afterAutospacing="1" w:line="340" w:lineRule="exact"/>
                    <w:jc w:val="center"/>
                    <w:textAlignment w:val="baseline"/>
                    <w:rPr>
                      <w:kern w:val="0"/>
                      <w:szCs w:val="21"/>
                    </w:rPr>
                  </w:pPr>
                  <w:r>
                    <w:rPr>
                      <w:kern w:val="24"/>
                      <w:szCs w:val="21"/>
                      <w:lang w:bidi="ar"/>
                    </w:rPr>
                    <w:t>总大肠菌群</w:t>
                  </w:r>
                </w:p>
              </w:tc>
              <w:tc>
                <w:tcPr>
                  <w:tcW w:w="768" w:type="pct"/>
                  <w:vAlign w:val="center"/>
                </w:tcPr>
                <w:p w14:paraId="769523D8">
                  <w:pPr>
                    <w:widowControl/>
                    <w:overflowPunct w:val="0"/>
                    <w:spacing w:before="100" w:beforeAutospacing="1" w:after="100" w:afterAutospacing="1" w:line="340" w:lineRule="exact"/>
                    <w:jc w:val="center"/>
                    <w:textAlignment w:val="baseline"/>
                    <w:rPr>
                      <w:kern w:val="24"/>
                      <w:szCs w:val="21"/>
                    </w:rPr>
                  </w:pPr>
                  <w:r>
                    <w:rPr>
                      <w:kern w:val="24"/>
                      <w:szCs w:val="21"/>
                      <w:lang w:bidi="ar"/>
                    </w:rPr>
                    <w:t>≤3.0</w:t>
                  </w:r>
                </w:p>
              </w:tc>
              <w:tc>
                <w:tcPr>
                  <w:tcW w:w="825" w:type="pct"/>
                  <w:vAlign w:val="center"/>
                </w:tcPr>
                <w:p w14:paraId="528D0CAE">
                  <w:pPr>
                    <w:widowControl/>
                    <w:overflowPunct w:val="0"/>
                    <w:spacing w:before="100" w:beforeAutospacing="1" w:after="100" w:afterAutospacing="1" w:line="340" w:lineRule="exact"/>
                    <w:jc w:val="center"/>
                    <w:textAlignment w:val="baseline"/>
                    <w:rPr>
                      <w:kern w:val="24"/>
                      <w:szCs w:val="21"/>
                    </w:rPr>
                  </w:pPr>
                  <w:r>
                    <w:rPr>
                      <w:kern w:val="24"/>
                      <w:szCs w:val="21"/>
                      <w:lang w:bidi="ar"/>
                    </w:rPr>
                    <w:t>MPN/100mL</w:t>
                  </w:r>
                </w:p>
              </w:tc>
              <w:tc>
                <w:tcPr>
                  <w:tcW w:w="1357" w:type="pct"/>
                  <w:vMerge w:val="continue"/>
                  <w:vAlign w:val="center"/>
                </w:tcPr>
                <w:p w14:paraId="082C48C1">
                  <w:pPr>
                    <w:spacing w:line="340" w:lineRule="exact"/>
                    <w:jc w:val="center"/>
                    <w:rPr>
                      <w:bCs/>
                      <w:kern w:val="0"/>
                      <w:szCs w:val="21"/>
                    </w:rPr>
                  </w:pPr>
                </w:p>
              </w:tc>
            </w:tr>
            <w:tr w14:paraId="1F5E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7B21D984">
                  <w:pPr>
                    <w:adjustRightInd w:val="0"/>
                    <w:snapToGrid w:val="0"/>
                    <w:spacing w:line="340" w:lineRule="exact"/>
                    <w:jc w:val="center"/>
                    <w:rPr>
                      <w:bCs/>
                      <w:kern w:val="0"/>
                      <w:szCs w:val="21"/>
                    </w:rPr>
                  </w:pPr>
                </w:p>
              </w:tc>
              <w:tc>
                <w:tcPr>
                  <w:tcW w:w="1363" w:type="pct"/>
                  <w:vAlign w:val="center"/>
                </w:tcPr>
                <w:p w14:paraId="5CA2900B">
                  <w:pPr>
                    <w:widowControl/>
                    <w:overflowPunct w:val="0"/>
                    <w:spacing w:before="100" w:beforeAutospacing="1" w:after="100" w:afterAutospacing="1" w:line="340" w:lineRule="exact"/>
                    <w:jc w:val="center"/>
                    <w:textAlignment w:val="baseline"/>
                    <w:rPr>
                      <w:kern w:val="0"/>
                      <w:szCs w:val="21"/>
                    </w:rPr>
                  </w:pPr>
                  <w:r>
                    <w:rPr>
                      <w:kern w:val="24"/>
                      <w:szCs w:val="21"/>
                      <w:lang w:bidi="ar"/>
                    </w:rPr>
                    <w:t>菌落总数</w:t>
                  </w:r>
                </w:p>
              </w:tc>
              <w:tc>
                <w:tcPr>
                  <w:tcW w:w="768" w:type="pct"/>
                  <w:vAlign w:val="center"/>
                </w:tcPr>
                <w:p w14:paraId="637CCFD5">
                  <w:pPr>
                    <w:widowControl/>
                    <w:overflowPunct w:val="0"/>
                    <w:spacing w:before="100" w:beforeAutospacing="1" w:after="100" w:afterAutospacing="1" w:line="340" w:lineRule="exact"/>
                    <w:jc w:val="center"/>
                    <w:textAlignment w:val="baseline"/>
                    <w:rPr>
                      <w:kern w:val="24"/>
                      <w:szCs w:val="21"/>
                    </w:rPr>
                  </w:pPr>
                  <w:r>
                    <w:rPr>
                      <w:kern w:val="24"/>
                      <w:szCs w:val="21"/>
                      <w:lang w:bidi="ar"/>
                    </w:rPr>
                    <w:t>≤100</w:t>
                  </w:r>
                </w:p>
              </w:tc>
              <w:tc>
                <w:tcPr>
                  <w:tcW w:w="825" w:type="pct"/>
                  <w:vAlign w:val="center"/>
                </w:tcPr>
                <w:p w14:paraId="463E166A">
                  <w:pPr>
                    <w:widowControl/>
                    <w:overflowPunct w:val="0"/>
                    <w:spacing w:before="100" w:beforeAutospacing="1" w:after="100" w:afterAutospacing="1" w:line="340" w:lineRule="exact"/>
                    <w:jc w:val="center"/>
                    <w:textAlignment w:val="baseline"/>
                    <w:rPr>
                      <w:kern w:val="24"/>
                      <w:szCs w:val="21"/>
                    </w:rPr>
                  </w:pPr>
                  <w:r>
                    <w:rPr>
                      <w:kern w:val="24"/>
                      <w:szCs w:val="21"/>
                      <w:lang w:bidi="ar"/>
                    </w:rPr>
                    <w:t>CFU/mL</w:t>
                  </w:r>
                </w:p>
              </w:tc>
              <w:tc>
                <w:tcPr>
                  <w:tcW w:w="1357" w:type="pct"/>
                  <w:vMerge w:val="continue"/>
                  <w:vAlign w:val="center"/>
                </w:tcPr>
                <w:p w14:paraId="56EEB9E5">
                  <w:pPr>
                    <w:spacing w:line="340" w:lineRule="exact"/>
                    <w:jc w:val="center"/>
                    <w:rPr>
                      <w:bCs/>
                      <w:kern w:val="0"/>
                      <w:szCs w:val="21"/>
                    </w:rPr>
                  </w:pPr>
                </w:p>
              </w:tc>
            </w:tr>
            <w:tr w14:paraId="5228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699166A">
                  <w:pPr>
                    <w:adjustRightInd w:val="0"/>
                    <w:snapToGrid w:val="0"/>
                    <w:spacing w:line="340" w:lineRule="exact"/>
                    <w:jc w:val="center"/>
                    <w:rPr>
                      <w:bCs/>
                      <w:kern w:val="0"/>
                      <w:szCs w:val="21"/>
                    </w:rPr>
                  </w:pPr>
                </w:p>
              </w:tc>
              <w:tc>
                <w:tcPr>
                  <w:tcW w:w="1363" w:type="pct"/>
                  <w:vAlign w:val="center"/>
                </w:tcPr>
                <w:p w14:paraId="39FD861F">
                  <w:pPr>
                    <w:widowControl/>
                    <w:adjustRightInd w:val="0"/>
                    <w:snapToGrid w:val="0"/>
                    <w:spacing w:line="340" w:lineRule="exact"/>
                    <w:jc w:val="center"/>
                    <w:rPr>
                      <w:spacing w:val="-1"/>
                      <w:szCs w:val="21"/>
                    </w:rPr>
                  </w:pPr>
                  <w:r>
                    <w:rPr>
                      <w:spacing w:val="-1"/>
                      <w:szCs w:val="21"/>
                    </w:rPr>
                    <w:t>苯</w:t>
                  </w:r>
                </w:p>
              </w:tc>
              <w:tc>
                <w:tcPr>
                  <w:tcW w:w="768" w:type="pct"/>
                  <w:vAlign w:val="center"/>
                </w:tcPr>
                <w:p w14:paraId="4E0F3425">
                  <w:pPr>
                    <w:widowControl/>
                    <w:adjustRightInd w:val="0"/>
                    <w:snapToGrid w:val="0"/>
                    <w:spacing w:line="340" w:lineRule="exact"/>
                    <w:jc w:val="center"/>
                    <w:rPr>
                      <w:b/>
                      <w:szCs w:val="21"/>
                    </w:rPr>
                  </w:pPr>
                  <w:r>
                    <w:rPr>
                      <w:kern w:val="24"/>
                      <w:szCs w:val="21"/>
                      <w:lang w:bidi="ar"/>
                    </w:rPr>
                    <w:t>≤10</w:t>
                  </w:r>
                </w:p>
              </w:tc>
              <w:tc>
                <w:tcPr>
                  <w:tcW w:w="825" w:type="pct"/>
                  <w:vAlign w:val="center"/>
                </w:tcPr>
                <w:p w14:paraId="385043F6">
                  <w:pPr>
                    <w:widowControl/>
                    <w:adjustRightInd w:val="0"/>
                    <w:snapToGrid w:val="0"/>
                    <w:spacing w:line="340" w:lineRule="exact"/>
                    <w:jc w:val="center"/>
                    <w:rPr>
                      <w:szCs w:val="21"/>
                    </w:rPr>
                  </w:pPr>
                  <w:r>
                    <w:rPr>
                      <w:kern w:val="24"/>
                      <w:szCs w:val="21"/>
                      <w:lang w:bidi="ar"/>
                    </w:rPr>
                    <w:t>ug/L</w:t>
                  </w:r>
                </w:p>
              </w:tc>
              <w:tc>
                <w:tcPr>
                  <w:tcW w:w="1357" w:type="pct"/>
                  <w:vMerge w:val="continue"/>
                  <w:vAlign w:val="center"/>
                </w:tcPr>
                <w:p w14:paraId="7A4C0A02">
                  <w:pPr>
                    <w:spacing w:line="340" w:lineRule="exact"/>
                    <w:jc w:val="center"/>
                    <w:rPr>
                      <w:bCs/>
                      <w:kern w:val="0"/>
                      <w:szCs w:val="21"/>
                    </w:rPr>
                  </w:pPr>
                </w:p>
              </w:tc>
            </w:tr>
            <w:tr w14:paraId="176E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52CABC4">
                  <w:pPr>
                    <w:adjustRightInd w:val="0"/>
                    <w:snapToGrid w:val="0"/>
                    <w:spacing w:line="340" w:lineRule="exact"/>
                    <w:jc w:val="center"/>
                    <w:rPr>
                      <w:bCs/>
                      <w:kern w:val="0"/>
                      <w:szCs w:val="21"/>
                    </w:rPr>
                  </w:pPr>
                </w:p>
              </w:tc>
              <w:tc>
                <w:tcPr>
                  <w:tcW w:w="1363" w:type="pct"/>
                  <w:vAlign w:val="center"/>
                </w:tcPr>
                <w:p w14:paraId="1DC61F06">
                  <w:pPr>
                    <w:widowControl/>
                    <w:adjustRightInd w:val="0"/>
                    <w:snapToGrid w:val="0"/>
                    <w:spacing w:line="340" w:lineRule="exact"/>
                    <w:jc w:val="center"/>
                    <w:rPr>
                      <w:spacing w:val="-1"/>
                      <w:szCs w:val="21"/>
                    </w:rPr>
                  </w:pPr>
                  <w:r>
                    <w:rPr>
                      <w:spacing w:val="-1"/>
                      <w:szCs w:val="21"/>
                    </w:rPr>
                    <w:t>甲苯</w:t>
                  </w:r>
                </w:p>
              </w:tc>
              <w:tc>
                <w:tcPr>
                  <w:tcW w:w="768" w:type="pct"/>
                  <w:vAlign w:val="center"/>
                </w:tcPr>
                <w:p w14:paraId="54A0F215">
                  <w:pPr>
                    <w:widowControl/>
                    <w:adjustRightInd w:val="0"/>
                    <w:snapToGrid w:val="0"/>
                    <w:spacing w:line="340" w:lineRule="exact"/>
                    <w:jc w:val="center"/>
                    <w:rPr>
                      <w:b/>
                      <w:szCs w:val="21"/>
                    </w:rPr>
                  </w:pPr>
                  <w:r>
                    <w:rPr>
                      <w:kern w:val="24"/>
                      <w:szCs w:val="21"/>
                      <w:lang w:bidi="ar"/>
                    </w:rPr>
                    <w:t>≤700</w:t>
                  </w:r>
                </w:p>
              </w:tc>
              <w:tc>
                <w:tcPr>
                  <w:tcW w:w="825" w:type="pct"/>
                  <w:vAlign w:val="center"/>
                </w:tcPr>
                <w:p w14:paraId="3D7405B7">
                  <w:pPr>
                    <w:widowControl/>
                    <w:adjustRightInd w:val="0"/>
                    <w:snapToGrid w:val="0"/>
                    <w:spacing w:line="340" w:lineRule="exact"/>
                    <w:jc w:val="center"/>
                    <w:rPr>
                      <w:szCs w:val="21"/>
                    </w:rPr>
                  </w:pPr>
                  <w:r>
                    <w:rPr>
                      <w:kern w:val="24"/>
                      <w:szCs w:val="21"/>
                      <w:lang w:bidi="ar"/>
                    </w:rPr>
                    <w:t>ug/L</w:t>
                  </w:r>
                </w:p>
              </w:tc>
              <w:tc>
                <w:tcPr>
                  <w:tcW w:w="1357" w:type="pct"/>
                  <w:vMerge w:val="continue"/>
                  <w:vAlign w:val="center"/>
                </w:tcPr>
                <w:p w14:paraId="270C2183">
                  <w:pPr>
                    <w:spacing w:line="340" w:lineRule="exact"/>
                    <w:jc w:val="center"/>
                    <w:rPr>
                      <w:bCs/>
                      <w:kern w:val="0"/>
                      <w:szCs w:val="21"/>
                    </w:rPr>
                  </w:pPr>
                </w:p>
              </w:tc>
            </w:tr>
            <w:tr w14:paraId="5C89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120A764">
                  <w:pPr>
                    <w:adjustRightInd w:val="0"/>
                    <w:snapToGrid w:val="0"/>
                    <w:spacing w:line="340" w:lineRule="exact"/>
                    <w:jc w:val="center"/>
                    <w:rPr>
                      <w:bCs/>
                      <w:kern w:val="0"/>
                      <w:szCs w:val="21"/>
                    </w:rPr>
                  </w:pPr>
                </w:p>
              </w:tc>
              <w:tc>
                <w:tcPr>
                  <w:tcW w:w="1363" w:type="pct"/>
                  <w:vAlign w:val="center"/>
                </w:tcPr>
                <w:p w14:paraId="5CC25BC7">
                  <w:pPr>
                    <w:widowControl/>
                    <w:adjustRightInd w:val="0"/>
                    <w:snapToGrid w:val="0"/>
                    <w:spacing w:line="340" w:lineRule="exact"/>
                    <w:jc w:val="center"/>
                    <w:rPr>
                      <w:spacing w:val="-1"/>
                      <w:szCs w:val="21"/>
                    </w:rPr>
                  </w:pPr>
                  <w:r>
                    <w:rPr>
                      <w:spacing w:val="-1"/>
                      <w:szCs w:val="21"/>
                    </w:rPr>
                    <w:t>二甲苯</w:t>
                  </w:r>
                </w:p>
              </w:tc>
              <w:tc>
                <w:tcPr>
                  <w:tcW w:w="768" w:type="pct"/>
                  <w:vAlign w:val="center"/>
                </w:tcPr>
                <w:p w14:paraId="2747C0D4">
                  <w:pPr>
                    <w:widowControl/>
                    <w:adjustRightInd w:val="0"/>
                    <w:snapToGrid w:val="0"/>
                    <w:spacing w:line="340" w:lineRule="exact"/>
                    <w:jc w:val="center"/>
                    <w:rPr>
                      <w:kern w:val="24"/>
                      <w:szCs w:val="21"/>
                      <w:lang w:bidi="ar"/>
                    </w:rPr>
                  </w:pPr>
                  <w:r>
                    <w:rPr>
                      <w:kern w:val="24"/>
                      <w:szCs w:val="21"/>
                      <w:lang w:bidi="ar"/>
                    </w:rPr>
                    <w:t>≤500</w:t>
                  </w:r>
                </w:p>
              </w:tc>
              <w:tc>
                <w:tcPr>
                  <w:tcW w:w="825" w:type="pct"/>
                  <w:vAlign w:val="center"/>
                </w:tcPr>
                <w:p w14:paraId="06BD5AAA">
                  <w:pPr>
                    <w:widowControl/>
                    <w:adjustRightInd w:val="0"/>
                    <w:snapToGrid w:val="0"/>
                    <w:spacing w:line="340" w:lineRule="exact"/>
                    <w:jc w:val="center"/>
                    <w:rPr>
                      <w:kern w:val="24"/>
                      <w:szCs w:val="21"/>
                      <w:lang w:bidi="ar"/>
                    </w:rPr>
                  </w:pPr>
                  <w:r>
                    <w:rPr>
                      <w:kern w:val="24"/>
                      <w:szCs w:val="21"/>
                      <w:lang w:bidi="ar"/>
                    </w:rPr>
                    <w:t>ug/L</w:t>
                  </w:r>
                </w:p>
              </w:tc>
              <w:tc>
                <w:tcPr>
                  <w:tcW w:w="1357" w:type="pct"/>
                  <w:vMerge w:val="continue"/>
                  <w:vAlign w:val="center"/>
                </w:tcPr>
                <w:p w14:paraId="294BD079">
                  <w:pPr>
                    <w:spacing w:line="340" w:lineRule="exact"/>
                    <w:jc w:val="center"/>
                    <w:rPr>
                      <w:bCs/>
                      <w:kern w:val="0"/>
                      <w:szCs w:val="21"/>
                    </w:rPr>
                  </w:pPr>
                </w:p>
              </w:tc>
            </w:tr>
            <w:tr w14:paraId="1DFC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3CAA286">
                  <w:pPr>
                    <w:adjustRightInd w:val="0"/>
                    <w:snapToGrid w:val="0"/>
                    <w:spacing w:line="340" w:lineRule="exact"/>
                    <w:jc w:val="center"/>
                    <w:rPr>
                      <w:bCs/>
                      <w:kern w:val="0"/>
                      <w:szCs w:val="21"/>
                    </w:rPr>
                  </w:pPr>
                </w:p>
              </w:tc>
              <w:tc>
                <w:tcPr>
                  <w:tcW w:w="1363" w:type="pct"/>
                  <w:vAlign w:val="center"/>
                </w:tcPr>
                <w:p w14:paraId="2FC9BFD4">
                  <w:pPr>
                    <w:widowControl/>
                    <w:adjustRightInd w:val="0"/>
                    <w:snapToGrid w:val="0"/>
                    <w:spacing w:line="340" w:lineRule="exact"/>
                    <w:jc w:val="center"/>
                    <w:rPr>
                      <w:spacing w:val="-1"/>
                      <w:szCs w:val="21"/>
                    </w:rPr>
                  </w:pPr>
                  <w:r>
                    <w:rPr>
                      <w:spacing w:val="-1"/>
                      <w:szCs w:val="21"/>
                    </w:rPr>
                    <w:t>四氯化碳</w:t>
                  </w:r>
                </w:p>
              </w:tc>
              <w:tc>
                <w:tcPr>
                  <w:tcW w:w="768" w:type="pct"/>
                  <w:vAlign w:val="center"/>
                </w:tcPr>
                <w:p w14:paraId="69D0F6FD">
                  <w:pPr>
                    <w:widowControl/>
                    <w:adjustRightInd w:val="0"/>
                    <w:snapToGrid w:val="0"/>
                    <w:spacing w:line="340" w:lineRule="exact"/>
                    <w:jc w:val="center"/>
                    <w:rPr>
                      <w:b/>
                      <w:szCs w:val="21"/>
                    </w:rPr>
                  </w:pPr>
                  <w:r>
                    <w:rPr>
                      <w:kern w:val="24"/>
                      <w:szCs w:val="21"/>
                      <w:lang w:bidi="ar"/>
                    </w:rPr>
                    <w:t>≤2.0</w:t>
                  </w:r>
                </w:p>
              </w:tc>
              <w:tc>
                <w:tcPr>
                  <w:tcW w:w="825" w:type="pct"/>
                  <w:vAlign w:val="center"/>
                </w:tcPr>
                <w:p w14:paraId="10A032FC">
                  <w:pPr>
                    <w:widowControl/>
                    <w:adjustRightInd w:val="0"/>
                    <w:snapToGrid w:val="0"/>
                    <w:spacing w:line="340" w:lineRule="exact"/>
                    <w:jc w:val="center"/>
                    <w:rPr>
                      <w:szCs w:val="21"/>
                    </w:rPr>
                  </w:pPr>
                  <w:r>
                    <w:rPr>
                      <w:kern w:val="24"/>
                      <w:szCs w:val="21"/>
                      <w:lang w:bidi="ar"/>
                    </w:rPr>
                    <w:t>ug/L</w:t>
                  </w:r>
                </w:p>
              </w:tc>
              <w:tc>
                <w:tcPr>
                  <w:tcW w:w="1357" w:type="pct"/>
                  <w:vMerge w:val="continue"/>
                  <w:vAlign w:val="center"/>
                </w:tcPr>
                <w:p w14:paraId="6CD0B6AD">
                  <w:pPr>
                    <w:spacing w:line="340" w:lineRule="exact"/>
                    <w:jc w:val="center"/>
                    <w:rPr>
                      <w:bCs/>
                      <w:kern w:val="0"/>
                      <w:szCs w:val="21"/>
                    </w:rPr>
                  </w:pPr>
                </w:p>
              </w:tc>
            </w:tr>
            <w:tr w14:paraId="26D6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0B7BF311">
                  <w:pPr>
                    <w:adjustRightInd w:val="0"/>
                    <w:snapToGrid w:val="0"/>
                    <w:spacing w:line="340" w:lineRule="exact"/>
                    <w:jc w:val="center"/>
                    <w:rPr>
                      <w:bCs/>
                      <w:kern w:val="0"/>
                      <w:szCs w:val="21"/>
                    </w:rPr>
                  </w:pPr>
                </w:p>
              </w:tc>
              <w:tc>
                <w:tcPr>
                  <w:tcW w:w="1363" w:type="pct"/>
                  <w:vAlign w:val="center"/>
                </w:tcPr>
                <w:p w14:paraId="2D287B30">
                  <w:pPr>
                    <w:widowControl/>
                    <w:adjustRightInd w:val="0"/>
                    <w:snapToGrid w:val="0"/>
                    <w:spacing w:line="340" w:lineRule="exact"/>
                    <w:jc w:val="center"/>
                    <w:rPr>
                      <w:szCs w:val="21"/>
                    </w:rPr>
                  </w:pPr>
                  <w:r>
                    <w:rPr>
                      <w:szCs w:val="21"/>
                    </w:rPr>
                    <w:t>三氯甲烷</w:t>
                  </w:r>
                </w:p>
              </w:tc>
              <w:tc>
                <w:tcPr>
                  <w:tcW w:w="768" w:type="pct"/>
                  <w:vAlign w:val="center"/>
                </w:tcPr>
                <w:p w14:paraId="050ABA21">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≤60</w:t>
                  </w:r>
                </w:p>
              </w:tc>
              <w:tc>
                <w:tcPr>
                  <w:tcW w:w="825" w:type="pct"/>
                  <w:vAlign w:val="center"/>
                </w:tcPr>
                <w:p w14:paraId="079347BA">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ug/L</w:t>
                  </w:r>
                </w:p>
              </w:tc>
              <w:tc>
                <w:tcPr>
                  <w:tcW w:w="1357" w:type="pct"/>
                  <w:vMerge w:val="continue"/>
                  <w:vAlign w:val="center"/>
                </w:tcPr>
                <w:p w14:paraId="383365D7">
                  <w:pPr>
                    <w:spacing w:line="340" w:lineRule="exact"/>
                    <w:jc w:val="center"/>
                    <w:rPr>
                      <w:bCs/>
                      <w:kern w:val="0"/>
                      <w:szCs w:val="21"/>
                    </w:rPr>
                  </w:pPr>
                </w:p>
              </w:tc>
            </w:tr>
            <w:tr w14:paraId="2ED1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162744ED">
                  <w:pPr>
                    <w:adjustRightInd w:val="0"/>
                    <w:snapToGrid w:val="0"/>
                    <w:spacing w:line="340" w:lineRule="exact"/>
                    <w:jc w:val="center"/>
                    <w:rPr>
                      <w:bCs/>
                      <w:kern w:val="0"/>
                      <w:szCs w:val="21"/>
                    </w:rPr>
                  </w:pPr>
                </w:p>
              </w:tc>
              <w:tc>
                <w:tcPr>
                  <w:tcW w:w="1363" w:type="pct"/>
                  <w:vAlign w:val="center"/>
                </w:tcPr>
                <w:p w14:paraId="7B8C06EB">
                  <w:pPr>
                    <w:widowControl/>
                    <w:adjustRightInd w:val="0"/>
                    <w:snapToGrid w:val="0"/>
                    <w:spacing w:line="340" w:lineRule="exact"/>
                    <w:jc w:val="center"/>
                    <w:rPr>
                      <w:szCs w:val="21"/>
                    </w:rPr>
                  </w:pPr>
                  <w:r>
                    <w:rPr>
                      <w:szCs w:val="21"/>
                    </w:rPr>
                    <w:t>阴离子表面活性剂</w:t>
                  </w:r>
                </w:p>
              </w:tc>
              <w:tc>
                <w:tcPr>
                  <w:tcW w:w="768" w:type="pct"/>
                  <w:vAlign w:val="center"/>
                </w:tcPr>
                <w:p w14:paraId="45F268DF">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≤0.3</w:t>
                  </w:r>
                </w:p>
              </w:tc>
              <w:tc>
                <w:tcPr>
                  <w:tcW w:w="825" w:type="pct"/>
                  <w:vAlign w:val="center"/>
                </w:tcPr>
                <w:p w14:paraId="7FAE0475">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mg/L</w:t>
                  </w:r>
                </w:p>
              </w:tc>
              <w:tc>
                <w:tcPr>
                  <w:tcW w:w="1357" w:type="pct"/>
                  <w:vMerge w:val="continue"/>
                  <w:vAlign w:val="center"/>
                </w:tcPr>
                <w:p w14:paraId="51EDE75A">
                  <w:pPr>
                    <w:spacing w:line="340" w:lineRule="exact"/>
                    <w:jc w:val="center"/>
                    <w:rPr>
                      <w:bCs/>
                      <w:kern w:val="0"/>
                      <w:szCs w:val="21"/>
                    </w:rPr>
                  </w:pPr>
                </w:p>
              </w:tc>
            </w:tr>
            <w:tr w14:paraId="40A7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2CEE74E4">
                  <w:pPr>
                    <w:adjustRightInd w:val="0"/>
                    <w:snapToGrid w:val="0"/>
                    <w:spacing w:line="340" w:lineRule="exact"/>
                    <w:jc w:val="center"/>
                    <w:rPr>
                      <w:bCs/>
                      <w:kern w:val="0"/>
                      <w:szCs w:val="21"/>
                    </w:rPr>
                  </w:pPr>
                </w:p>
              </w:tc>
              <w:tc>
                <w:tcPr>
                  <w:tcW w:w="1363" w:type="pct"/>
                  <w:vAlign w:val="center"/>
                </w:tcPr>
                <w:p w14:paraId="53071D21">
                  <w:pPr>
                    <w:widowControl/>
                    <w:adjustRightInd w:val="0"/>
                    <w:snapToGrid w:val="0"/>
                    <w:spacing w:line="340" w:lineRule="exact"/>
                    <w:jc w:val="center"/>
                    <w:rPr>
                      <w:szCs w:val="21"/>
                    </w:rPr>
                  </w:pPr>
                  <w:r>
                    <w:rPr>
                      <w:szCs w:val="21"/>
                    </w:rPr>
                    <w:t>总α放射性</w:t>
                  </w:r>
                </w:p>
              </w:tc>
              <w:tc>
                <w:tcPr>
                  <w:tcW w:w="768" w:type="pct"/>
                  <w:vAlign w:val="center"/>
                </w:tcPr>
                <w:p w14:paraId="52F54DB5">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≤0.5</w:t>
                  </w:r>
                </w:p>
              </w:tc>
              <w:tc>
                <w:tcPr>
                  <w:tcW w:w="825" w:type="pct"/>
                  <w:vAlign w:val="center"/>
                </w:tcPr>
                <w:p w14:paraId="27B306FA">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Bq/L</w:t>
                  </w:r>
                </w:p>
              </w:tc>
              <w:tc>
                <w:tcPr>
                  <w:tcW w:w="1357" w:type="pct"/>
                  <w:vMerge w:val="continue"/>
                  <w:vAlign w:val="center"/>
                </w:tcPr>
                <w:p w14:paraId="1A1F5FB7">
                  <w:pPr>
                    <w:spacing w:line="340" w:lineRule="exact"/>
                    <w:jc w:val="center"/>
                    <w:rPr>
                      <w:bCs/>
                      <w:kern w:val="0"/>
                      <w:szCs w:val="21"/>
                    </w:rPr>
                  </w:pPr>
                </w:p>
              </w:tc>
            </w:tr>
            <w:tr w14:paraId="7567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7E8FEFB8">
                  <w:pPr>
                    <w:widowControl/>
                    <w:adjustRightInd w:val="0"/>
                    <w:snapToGrid w:val="0"/>
                    <w:spacing w:line="340" w:lineRule="exact"/>
                    <w:jc w:val="center"/>
                    <w:rPr>
                      <w:bCs/>
                      <w:kern w:val="0"/>
                      <w:szCs w:val="21"/>
                    </w:rPr>
                  </w:pPr>
                </w:p>
              </w:tc>
              <w:tc>
                <w:tcPr>
                  <w:tcW w:w="1363" w:type="pct"/>
                  <w:vAlign w:val="center"/>
                </w:tcPr>
                <w:p w14:paraId="72EC5928">
                  <w:pPr>
                    <w:widowControl/>
                    <w:adjustRightInd w:val="0"/>
                    <w:snapToGrid w:val="0"/>
                    <w:spacing w:line="340" w:lineRule="exact"/>
                    <w:jc w:val="center"/>
                    <w:rPr>
                      <w:szCs w:val="21"/>
                    </w:rPr>
                  </w:pPr>
                  <w:r>
                    <w:rPr>
                      <w:szCs w:val="21"/>
                    </w:rPr>
                    <w:t>总β放射性</w:t>
                  </w:r>
                </w:p>
              </w:tc>
              <w:tc>
                <w:tcPr>
                  <w:tcW w:w="768" w:type="pct"/>
                  <w:vAlign w:val="center"/>
                </w:tcPr>
                <w:p w14:paraId="70254259">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≤1.0</w:t>
                  </w:r>
                </w:p>
              </w:tc>
              <w:tc>
                <w:tcPr>
                  <w:tcW w:w="825" w:type="pct"/>
                  <w:vAlign w:val="center"/>
                </w:tcPr>
                <w:p w14:paraId="606F430C">
                  <w:pPr>
                    <w:widowControl/>
                    <w:overflowPunct w:val="0"/>
                    <w:spacing w:before="100" w:beforeAutospacing="1" w:after="100" w:afterAutospacing="1" w:line="340" w:lineRule="exact"/>
                    <w:jc w:val="center"/>
                    <w:textAlignment w:val="baseline"/>
                    <w:rPr>
                      <w:kern w:val="24"/>
                      <w:szCs w:val="21"/>
                      <w:lang w:bidi="ar"/>
                    </w:rPr>
                  </w:pPr>
                  <w:r>
                    <w:rPr>
                      <w:kern w:val="24"/>
                      <w:szCs w:val="21"/>
                      <w:lang w:bidi="ar"/>
                    </w:rPr>
                    <w:t>Bq/L</w:t>
                  </w:r>
                </w:p>
              </w:tc>
              <w:tc>
                <w:tcPr>
                  <w:tcW w:w="1357" w:type="pct"/>
                  <w:vMerge w:val="continue"/>
                  <w:vAlign w:val="center"/>
                </w:tcPr>
                <w:p w14:paraId="276C00CC">
                  <w:pPr>
                    <w:spacing w:line="340" w:lineRule="exact"/>
                    <w:jc w:val="center"/>
                    <w:rPr>
                      <w:bCs/>
                      <w:kern w:val="0"/>
                      <w:szCs w:val="21"/>
                    </w:rPr>
                  </w:pPr>
                </w:p>
              </w:tc>
            </w:tr>
            <w:tr w14:paraId="46FF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685" w:type="pct"/>
                  <w:vMerge w:val="continue"/>
                  <w:vAlign w:val="center"/>
                </w:tcPr>
                <w:p w14:paraId="18CDDBAC">
                  <w:pPr>
                    <w:widowControl/>
                    <w:adjustRightInd w:val="0"/>
                    <w:snapToGrid w:val="0"/>
                    <w:spacing w:line="340" w:lineRule="exact"/>
                    <w:jc w:val="center"/>
                    <w:rPr>
                      <w:bCs/>
                      <w:kern w:val="0"/>
                      <w:szCs w:val="21"/>
                    </w:rPr>
                  </w:pPr>
                </w:p>
              </w:tc>
              <w:tc>
                <w:tcPr>
                  <w:tcW w:w="1363" w:type="pct"/>
                  <w:vAlign w:val="center"/>
                </w:tcPr>
                <w:p w14:paraId="2C710F68">
                  <w:pPr>
                    <w:spacing w:line="340" w:lineRule="exact"/>
                    <w:jc w:val="center"/>
                    <w:rPr>
                      <w:kern w:val="0"/>
                      <w:szCs w:val="21"/>
                    </w:rPr>
                  </w:pPr>
                  <w:r>
                    <w:rPr>
                      <w:kern w:val="0"/>
                      <w:szCs w:val="21"/>
                    </w:rPr>
                    <w:t>石油类</w:t>
                  </w:r>
                </w:p>
              </w:tc>
              <w:tc>
                <w:tcPr>
                  <w:tcW w:w="768" w:type="pct"/>
                  <w:vAlign w:val="center"/>
                </w:tcPr>
                <w:p w14:paraId="0868CBEC">
                  <w:pPr>
                    <w:spacing w:line="340" w:lineRule="exact"/>
                    <w:jc w:val="center"/>
                    <w:rPr>
                      <w:szCs w:val="21"/>
                    </w:rPr>
                  </w:pPr>
                  <w:r>
                    <w:rPr>
                      <w:szCs w:val="21"/>
                    </w:rPr>
                    <w:t>0.05</w:t>
                  </w:r>
                </w:p>
              </w:tc>
              <w:tc>
                <w:tcPr>
                  <w:tcW w:w="825" w:type="pct"/>
                  <w:vAlign w:val="center"/>
                </w:tcPr>
                <w:p w14:paraId="3763C69F">
                  <w:pPr>
                    <w:adjustRightInd w:val="0"/>
                    <w:snapToGrid w:val="0"/>
                    <w:spacing w:line="340" w:lineRule="exact"/>
                    <w:jc w:val="center"/>
                    <w:rPr>
                      <w:szCs w:val="21"/>
                    </w:rPr>
                  </w:pPr>
                  <w:r>
                    <w:rPr>
                      <w:bCs/>
                      <w:kern w:val="0"/>
                      <w:szCs w:val="21"/>
                    </w:rPr>
                    <w:t>mg/L</w:t>
                  </w:r>
                </w:p>
              </w:tc>
              <w:tc>
                <w:tcPr>
                  <w:tcW w:w="1357" w:type="pct"/>
                  <w:vAlign w:val="center"/>
                </w:tcPr>
                <w:p w14:paraId="09C789D9">
                  <w:pPr>
                    <w:spacing w:line="340" w:lineRule="exact"/>
                    <w:jc w:val="center"/>
                    <w:rPr>
                      <w:szCs w:val="21"/>
                    </w:rPr>
                  </w:pPr>
                  <w:r>
                    <w:rPr>
                      <w:szCs w:val="21"/>
                    </w:rPr>
                    <w:t>《地表水环境质量标准》</w:t>
                  </w:r>
                  <w:r>
                    <w:rPr>
                      <w:rFonts w:hint="eastAsia"/>
                      <w:szCs w:val="21"/>
                    </w:rPr>
                    <w:t>（GB 3838-2002）</w:t>
                  </w:r>
                  <w:r>
                    <w:rPr>
                      <w:rFonts w:ascii="宋体"/>
                      <w:szCs w:val="21"/>
                    </w:rPr>
                    <w:t>Ⅲ</w:t>
                  </w:r>
                  <w:r>
                    <w:rPr>
                      <w:szCs w:val="21"/>
                    </w:rPr>
                    <w:t>类标准</w:t>
                  </w:r>
                </w:p>
              </w:tc>
            </w:tr>
          </w:tbl>
          <w:p w14:paraId="642462B3">
            <w:pPr>
              <w:spacing w:line="440" w:lineRule="exact"/>
              <w:ind w:firstLine="480" w:firstLineChars="200"/>
              <w:rPr>
                <w:sz w:val="24"/>
              </w:rPr>
            </w:pPr>
            <w:r>
              <w:rPr>
                <w:sz w:val="24"/>
              </w:rPr>
              <w:t>（4）土壤</w:t>
            </w:r>
          </w:p>
          <w:p w14:paraId="62EB558D">
            <w:pPr>
              <w:spacing w:line="440" w:lineRule="exact"/>
              <w:ind w:firstLine="480" w:firstLineChars="200"/>
              <w:rPr>
                <w:sz w:val="24"/>
              </w:rPr>
            </w:pPr>
            <w:r>
              <w:rPr>
                <w:sz w:val="24"/>
              </w:rPr>
              <w:t>项目区域及周边</w:t>
            </w:r>
            <w:r>
              <w:rPr>
                <w:rFonts w:hint="eastAsia"/>
                <w:sz w:val="24"/>
              </w:rPr>
              <w:t>全部为工业用地，</w:t>
            </w:r>
            <w:r>
              <w:rPr>
                <w:sz w:val="24"/>
              </w:rPr>
              <w:t>土壤环境执行《土壤环境质量 建设用地土壤污染风险管控标准（试行）》</w:t>
            </w:r>
            <w:r>
              <w:rPr>
                <w:rFonts w:hint="eastAsia"/>
                <w:sz w:val="24"/>
              </w:rPr>
              <w:t>（GB 36600-2018）</w:t>
            </w:r>
            <w:r>
              <w:rPr>
                <w:sz w:val="24"/>
              </w:rPr>
              <w:t>第二类用地筛选值标准。</w:t>
            </w:r>
          </w:p>
          <w:p w14:paraId="793DEAF8">
            <w:pPr>
              <w:spacing w:line="440" w:lineRule="exact"/>
              <w:ind w:firstLine="482" w:firstLineChars="200"/>
              <w:rPr>
                <w:b/>
                <w:sz w:val="24"/>
              </w:rPr>
            </w:pPr>
            <w:r>
              <w:rPr>
                <w:b/>
                <w:sz w:val="24"/>
              </w:rPr>
              <w:t>表</w:t>
            </w:r>
            <w:r>
              <w:rPr>
                <w:rFonts w:hint="eastAsia"/>
                <w:b/>
                <w:sz w:val="24"/>
              </w:rPr>
              <w:t>3-7</w:t>
            </w:r>
            <w:r>
              <w:rPr>
                <w:b/>
                <w:sz w:val="24"/>
              </w:rPr>
              <w:t xml:space="preserve">    土壤环境质量标准                单位mg/kg</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63"/>
              <w:gridCol w:w="2364"/>
              <w:gridCol w:w="1416"/>
              <w:gridCol w:w="3376"/>
            </w:tblGrid>
            <w:tr w14:paraId="76E6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tcPr>
                <w:p w14:paraId="576C29BF">
                  <w:pPr>
                    <w:widowControl/>
                    <w:adjustRightInd w:val="0"/>
                    <w:snapToGrid w:val="0"/>
                    <w:spacing w:line="360" w:lineRule="exact"/>
                    <w:jc w:val="center"/>
                    <w:rPr>
                      <w:snapToGrid w:val="0"/>
                      <w:szCs w:val="21"/>
                    </w:rPr>
                  </w:pPr>
                  <w:r>
                    <w:rPr>
                      <w:snapToGrid w:val="0"/>
                      <w:szCs w:val="21"/>
                    </w:rPr>
                    <w:t>项目</w:t>
                  </w:r>
                </w:p>
              </w:tc>
              <w:tc>
                <w:tcPr>
                  <w:tcW w:w="1421" w:type="pct"/>
                  <w:vAlign w:val="center"/>
                </w:tcPr>
                <w:p w14:paraId="6B8A75C0">
                  <w:pPr>
                    <w:widowControl/>
                    <w:adjustRightInd w:val="0"/>
                    <w:snapToGrid w:val="0"/>
                    <w:spacing w:line="360" w:lineRule="exact"/>
                    <w:jc w:val="center"/>
                    <w:rPr>
                      <w:snapToGrid w:val="0"/>
                      <w:szCs w:val="21"/>
                    </w:rPr>
                  </w:pPr>
                  <w:r>
                    <w:rPr>
                      <w:snapToGrid w:val="0"/>
                      <w:szCs w:val="21"/>
                    </w:rPr>
                    <w:t>污染物名称</w:t>
                  </w:r>
                </w:p>
              </w:tc>
              <w:tc>
                <w:tcPr>
                  <w:tcW w:w="851" w:type="pct"/>
                  <w:vAlign w:val="center"/>
                </w:tcPr>
                <w:p w14:paraId="39D44022">
                  <w:pPr>
                    <w:widowControl/>
                    <w:adjustRightInd w:val="0"/>
                    <w:snapToGrid w:val="0"/>
                    <w:spacing w:line="360" w:lineRule="exact"/>
                    <w:jc w:val="center"/>
                    <w:rPr>
                      <w:snapToGrid w:val="0"/>
                      <w:szCs w:val="21"/>
                    </w:rPr>
                  </w:pPr>
                  <w:r>
                    <w:rPr>
                      <w:snapToGrid w:val="0"/>
                      <w:szCs w:val="21"/>
                    </w:rPr>
                    <w:t>标准值</w:t>
                  </w:r>
                </w:p>
              </w:tc>
              <w:tc>
                <w:tcPr>
                  <w:tcW w:w="2029" w:type="pct"/>
                  <w:vAlign w:val="center"/>
                </w:tcPr>
                <w:p w14:paraId="1EAD3C15">
                  <w:pPr>
                    <w:widowControl/>
                    <w:adjustRightInd w:val="0"/>
                    <w:snapToGrid w:val="0"/>
                    <w:spacing w:line="360" w:lineRule="exact"/>
                    <w:jc w:val="center"/>
                    <w:rPr>
                      <w:snapToGrid w:val="0"/>
                      <w:szCs w:val="21"/>
                    </w:rPr>
                  </w:pPr>
                  <w:r>
                    <w:rPr>
                      <w:snapToGrid w:val="0"/>
                      <w:szCs w:val="21"/>
                    </w:rPr>
                    <w:t>标准</w:t>
                  </w:r>
                </w:p>
              </w:tc>
            </w:tr>
            <w:tr w14:paraId="7CF9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restart"/>
                  <w:vAlign w:val="center"/>
                </w:tcPr>
                <w:p w14:paraId="0DBCBBEB">
                  <w:pPr>
                    <w:adjustRightInd w:val="0"/>
                    <w:snapToGrid w:val="0"/>
                    <w:spacing w:line="280" w:lineRule="exact"/>
                    <w:jc w:val="center"/>
                    <w:rPr>
                      <w:szCs w:val="21"/>
                    </w:rPr>
                  </w:pPr>
                  <w:r>
                    <w:rPr>
                      <w:szCs w:val="21"/>
                    </w:rPr>
                    <w:t>土壤环境</w:t>
                  </w:r>
                </w:p>
              </w:tc>
              <w:tc>
                <w:tcPr>
                  <w:tcW w:w="1421" w:type="pct"/>
                  <w:vAlign w:val="center"/>
                </w:tcPr>
                <w:p w14:paraId="1C81D966">
                  <w:pPr>
                    <w:widowControl/>
                    <w:adjustRightInd w:val="0"/>
                    <w:snapToGrid w:val="0"/>
                    <w:spacing w:line="360" w:lineRule="exact"/>
                    <w:jc w:val="center"/>
                    <w:rPr>
                      <w:snapToGrid w:val="0"/>
                      <w:szCs w:val="21"/>
                    </w:rPr>
                  </w:pPr>
                  <w:r>
                    <w:rPr>
                      <w:snapToGrid w:val="0"/>
                      <w:szCs w:val="21"/>
                    </w:rPr>
                    <w:t>镍</w:t>
                  </w:r>
                </w:p>
              </w:tc>
              <w:tc>
                <w:tcPr>
                  <w:tcW w:w="851" w:type="pct"/>
                  <w:tcMar>
                    <w:left w:w="57" w:type="dxa"/>
                    <w:right w:w="57" w:type="dxa"/>
                  </w:tcMar>
                  <w:vAlign w:val="center"/>
                </w:tcPr>
                <w:p w14:paraId="3C7DEC48">
                  <w:pPr>
                    <w:widowControl/>
                    <w:adjustRightInd w:val="0"/>
                    <w:snapToGrid w:val="0"/>
                    <w:spacing w:line="360" w:lineRule="exact"/>
                    <w:jc w:val="center"/>
                    <w:rPr>
                      <w:snapToGrid w:val="0"/>
                      <w:szCs w:val="21"/>
                    </w:rPr>
                  </w:pPr>
                  <w:r>
                    <w:rPr>
                      <w:snapToGrid w:val="0"/>
                      <w:szCs w:val="21"/>
                    </w:rPr>
                    <w:t>900</w:t>
                  </w:r>
                </w:p>
              </w:tc>
              <w:tc>
                <w:tcPr>
                  <w:tcW w:w="2029" w:type="pct"/>
                  <w:vMerge w:val="restart"/>
                  <w:vAlign w:val="center"/>
                </w:tcPr>
                <w:p w14:paraId="45DE51E9">
                  <w:pPr>
                    <w:widowControl/>
                    <w:adjustRightInd w:val="0"/>
                    <w:snapToGrid w:val="0"/>
                    <w:spacing w:line="360" w:lineRule="exact"/>
                    <w:jc w:val="center"/>
                    <w:rPr>
                      <w:snapToGrid w:val="0"/>
                      <w:szCs w:val="21"/>
                    </w:rPr>
                  </w:pPr>
                  <w:r>
                    <w:rPr>
                      <w:szCs w:val="21"/>
                    </w:rPr>
                    <w:t>《土壤环境质量 建设用地土壤污染风险管控标准（试行）》（GB 36600-2018）表1中第二类用地筛选值</w:t>
                  </w:r>
                </w:p>
              </w:tc>
            </w:tr>
            <w:tr w14:paraId="4E5A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7CD86BA4">
                  <w:pPr>
                    <w:widowControl/>
                    <w:adjustRightInd w:val="0"/>
                    <w:snapToGrid w:val="0"/>
                    <w:spacing w:line="360" w:lineRule="exact"/>
                    <w:jc w:val="center"/>
                    <w:rPr>
                      <w:snapToGrid w:val="0"/>
                      <w:szCs w:val="21"/>
                    </w:rPr>
                  </w:pPr>
                </w:p>
              </w:tc>
              <w:tc>
                <w:tcPr>
                  <w:tcW w:w="1421" w:type="pct"/>
                  <w:vAlign w:val="center"/>
                </w:tcPr>
                <w:p w14:paraId="15A66D8A">
                  <w:pPr>
                    <w:widowControl/>
                    <w:adjustRightInd w:val="0"/>
                    <w:snapToGrid w:val="0"/>
                    <w:spacing w:line="360" w:lineRule="exact"/>
                    <w:jc w:val="center"/>
                    <w:rPr>
                      <w:snapToGrid w:val="0"/>
                      <w:szCs w:val="21"/>
                    </w:rPr>
                  </w:pPr>
                  <w:r>
                    <w:rPr>
                      <w:snapToGrid w:val="0"/>
                      <w:szCs w:val="21"/>
                    </w:rPr>
                    <w:t>铜</w:t>
                  </w:r>
                </w:p>
              </w:tc>
              <w:tc>
                <w:tcPr>
                  <w:tcW w:w="851" w:type="pct"/>
                  <w:tcMar>
                    <w:left w:w="57" w:type="dxa"/>
                    <w:right w:w="57" w:type="dxa"/>
                  </w:tcMar>
                  <w:vAlign w:val="center"/>
                </w:tcPr>
                <w:p w14:paraId="2CC4FD75">
                  <w:pPr>
                    <w:widowControl/>
                    <w:adjustRightInd w:val="0"/>
                    <w:snapToGrid w:val="0"/>
                    <w:spacing w:line="360" w:lineRule="exact"/>
                    <w:jc w:val="center"/>
                    <w:rPr>
                      <w:snapToGrid w:val="0"/>
                      <w:szCs w:val="21"/>
                    </w:rPr>
                  </w:pPr>
                  <w:r>
                    <w:rPr>
                      <w:snapToGrid w:val="0"/>
                      <w:szCs w:val="21"/>
                    </w:rPr>
                    <w:t>18000</w:t>
                  </w:r>
                </w:p>
              </w:tc>
              <w:tc>
                <w:tcPr>
                  <w:tcW w:w="2029" w:type="pct"/>
                  <w:vMerge w:val="continue"/>
                </w:tcPr>
                <w:p w14:paraId="1C3C3F6F">
                  <w:pPr>
                    <w:widowControl/>
                    <w:adjustRightInd w:val="0"/>
                    <w:snapToGrid w:val="0"/>
                    <w:spacing w:line="360" w:lineRule="exact"/>
                    <w:jc w:val="center"/>
                    <w:rPr>
                      <w:snapToGrid w:val="0"/>
                      <w:szCs w:val="21"/>
                    </w:rPr>
                  </w:pPr>
                </w:p>
              </w:tc>
            </w:tr>
            <w:tr w14:paraId="2C08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jc w:val="center"/>
              </w:trPr>
              <w:tc>
                <w:tcPr>
                  <w:tcW w:w="699" w:type="pct"/>
                  <w:vMerge w:val="continue"/>
                </w:tcPr>
                <w:p w14:paraId="75B7E859">
                  <w:pPr>
                    <w:widowControl/>
                    <w:adjustRightInd w:val="0"/>
                    <w:snapToGrid w:val="0"/>
                    <w:spacing w:line="360" w:lineRule="exact"/>
                    <w:jc w:val="center"/>
                    <w:rPr>
                      <w:snapToGrid w:val="0"/>
                      <w:szCs w:val="21"/>
                    </w:rPr>
                  </w:pPr>
                </w:p>
              </w:tc>
              <w:tc>
                <w:tcPr>
                  <w:tcW w:w="1421" w:type="pct"/>
                  <w:vAlign w:val="center"/>
                </w:tcPr>
                <w:p w14:paraId="2B59A415">
                  <w:pPr>
                    <w:widowControl/>
                    <w:adjustRightInd w:val="0"/>
                    <w:snapToGrid w:val="0"/>
                    <w:spacing w:line="360" w:lineRule="exact"/>
                    <w:jc w:val="center"/>
                    <w:rPr>
                      <w:snapToGrid w:val="0"/>
                      <w:szCs w:val="21"/>
                    </w:rPr>
                  </w:pPr>
                  <w:r>
                    <w:rPr>
                      <w:snapToGrid w:val="0"/>
                      <w:szCs w:val="21"/>
                    </w:rPr>
                    <w:t>铅</w:t>
                  </w:r>
                </w:p>
              </w:tc>
              <w:tc>
                <w:tcPr>
                  <w:tcW w:w="851" w:type="pct"/>
                  <w:tcMar>
                    <w:left w:w="57" w:type="dxa"/>
                    <w:right w:w="57" w:type="dxa"/>
                  </w:tcMar>
                  <w:vAlign w:val="center"/>
                </w:tcPr>
                <w:p w14:paraId="28F875F3">
                  <w:pPr>
                    <w:widowControl/>
                    <w:adjustRightInd w:val="0"/>
                    <w:snapToGrid w:val="0"/>
                    <w:spacing w:line="360" w:lineRule="exact"/>
                    <w:jc w:val="center"/>
                    <w:rPr>
                      <w:snapToGrid w:val="0"/>
                      <w:szCs w:val="21"/>
                    </w:rPr>
                  </w:pPr>
                  <w:r>
                    <w:rPr>
                      <w:snapToGrid w:val="0"/>
                      <w:szCs w:val="21"/>
                    </w:rPr>
                    <w:t>800</w:t>
                  </w:r>
                </w:p>
              </w:tc>
              <w:tc>
                <w:tcPr>
                  <w:tcW w:w="2029" w:type="pct"/>
                  <w:vMerge w:val="continue"/>
                </w:tcPr>
                <w:p w14:paraId="5ED1A738">
                  <w:pPr>
                    <w:widowControl/>
                    <w:adjustRightInd w:val="0"/>
                    <w:snapToGrid w:val="0"/>
                    <w:spacing w:line="360" w:lineRule="exact"/>
                    <w:jc w:val="center"/>
                    <w:rPr>
                      <w:snapToGrid w:val="0"/>
                      <w:szCs w:val="21"/>
                    </w:rPr>
                  </w:pPr>
                </w:p>
              </w:tc>
            </w:tr>
            <w:tr w14:paraId="47FC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6EB26D0D">
                  <w:pPr>
                    <w:widowControl/>
                    <w:adjustRightInd w:val="0"/>
                    <w:snapToGrid w:val="0"/>
                    <w:spacing w:line="360" w:lineRule="exact"/>
                    <w:jc w:val="center"/>
                    <w:rPr>
                      <w:snapToGrid w:val="0"/>
                      <w:szCs w:val="21"/>
                    </w:rPr>
                  </w:pPr>
                </w:p>
              </w:tc>
              <w:tc>
                <w:tcPr>
                  <w:tcW w:w="1421" w:type="pct"/>
                  <w:vAlign w:val="center"/>
                </w:tcPr>
                <w:p w14:paraId="4E0E8448">
                  <w:pPr>
                    <w:widowControl/>
                    <w:adjustRightInd w:val="0"/>
                    <w:snapToGrid w:val="0"/>
                    <w:spacing w:line="360" w:lineRule="exact"/>
                    <w:jc w:val="center"/>
                    <w:rPr>
                      <w:snapToGrid w:val="0"/>
                      <w:szCs w:val="21"/>
                    </w:rPr>
                  </w:pPr>
                  <w:r>
                    <w:rPr>
                      <w:snapToGrid w:val="0"/>
                      <w:szCs w:val="21"/>
                    </w:rPr>
                    <w:t>镉</w:t>
                  </w:r>
                </w:p>
              </w:tc>
              <w:tc>
                <w:tcPr>
                  <w:tcW w:w="851" w:type="pct"/>
                  <w:tcMar>
                    <w:left w:w="57" w:type="dxa"/>
                    <w:right w:w="57" w:type="dxa"/>
                  </w:tcMar>
                  <w:vAlign w:val="center"/>
                </w:tcPr>
                <w:p w14:paraId="1DF5A20A">
                  <w:pPr>
                    <w:widowControl/>
                    <w:adjustRightInd w:val="0"/>
                    <w:snapToGrid w:val="0"/>
                    <w:spacing w:line="360" w:lineRule="exact"/>
                    <w:jc w:val="center"/>
                    <w:rPr>
                      <w:snapToGrid w:val="0"/>
                      <w:szCs w:val="21"/>
                    </w:rPr>
                  </w:pPr>
                  <w:r>
                    <w:rPr>
                      <w:snapToGrid w:val="0"/>
                      <w:szCs w:val="21"/>
                    </w:rPr>
                    <w:t>65</w:t>
                  </w:r>
                </w:p>
              </w:tc>
              <w:tc>
                <w:tcPr>
                  <w:tcW w:w="2029" w:type="pct"/>
                  <w:vMerge w:val="continue"/>
                </w:tcPr>
                <w:p w14:paraId="735611FA">
                  <w:pPr>
                    <w:widowControl/>
                    <w:adjustRightInd w:val="0"/>
                    <w:snapToGrid w:val="0"/>
                    <w:spacing w:line="360" w:lineRule="exact"/>
                    <w:jc w:val="center"/>
                    <w:rPr>
                      <w:snapToGrid w:val="0"/>
                      <w:szCs w:val="21"/>
                    </w:rPr>
                  </w:pPr>
                </w:p>
              </w:tc>
            </w:tr>
            <w:tr w14:paraId="4052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3FD766D4">
                  <w:pPr>
                    <w:widowControl/>
                    <w:adjustRightInd w:val="0"/>
                    <w:snapToGrid w:val="0"/>
                    <w:spacing w:line="360" w:lineRule="exact"/>
                    <w:jc w:val="center"/>
                    <w:rPr>
                      <w:snapToGrid w:val="0"/>
                      <w:szCs w:val="21"/>
                    </w:rPr>
                  </w:pPr>
                </w:p>
              </w:tc>
              <w:tc>
                <w:tcPr>
                  <w:tcW w:w="1421" w:type="pct"/>
                  <w:vAlign w:val="center"/>
                </w:tcPr>
                <w:p w14:paraId="45909A33">
                  <w:pPr>
                    <w:widowControl/>
                    <w:adjustRightInd w:val="0"/>
                    <w:snapToGrid w:val="0"/>
                    <w:spacing w:line="360" w:lineRule="exact"/>
                    <w:jc w:val="center"/>
                    <w:rPr>
                      <w:snapToGrid w:val="0"/>
                      <w:szCs w:val="21"/>
                    </w:rPr>
                  </w:pPr>
                  <w:r>
                    <w:rPr>
                      <w:snapToGrid w:val="0"/>
                      <w:szCs w:val="21"/>
                    </w:rPr>
                    <w:t>砷</w:t>
                  </w:r>
                </w:p>
              </w:tc>
              <w:tc>
                <w:tcPr>
                  <w:tcW w:w="851" w:type="pct"/>
                  <w:tcMar>
                    <w:left w:w="57" w:type="dxa"/>
                    <w:right w:w="57" w:type="dxa"/>
                  </w:tcMar>
                  <w:vAlign w:val="center"/>
                </w:tcPr>
                <w:p w14:paraId="57785F6E">
                  <w:pPr>
                    <w:widowControl/>
                    <w:adjustRightInd w:val="0"/>
                    <w:snapToGrid w:val="0"/>
                    <w:spacing w:line="360" w:lineRule="exact"/>
                    <w:jc w:val="center"/>
                    <w:rPr>
                      <w:snapToGrid w:val="0"/>
                      <w:szCs w:val="21"/>
                    </w:rPr>
                  </w:pPr>
                  <w:r>
                    <w:rPr>
                      <w:snapToGrid w:val="0"/>
                      <w:szCs w:val="21"/>
                    </w:rPr>
                    <w:t>60</w:t>
                  </w:r>
                </w:p>
              </w:tc>
              <w:tc>
                <w:tcPr>
                  <w:tcW w:w="2029" w:type="pct"/>
                  <w:vMerge w:val="continue"/>
                </w:tcPr>
                <w:p w14:paraId="3FF1F50C">
                  <w:pPr>
                    <w:widowControl/>
                    <w:adjustRightInd w:val="0"/>
                    <w:snapToGrid w:val="0"/>
                    <w:spacing w:line="360" w:lineRule="exact"/>
                    <w:jc w:val="center"/>
                    <w:rPr>
                      <w:snapToGrid w:val="0"/>
                      <w:szCs w:val="21"/>
                    </w:rPr>
                  </w:pPr>
                </w:p>
              </w:tc>
            </w:tr>
            <w:tr w14:paraId="2AA7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3F6C0F9C">
                  <w:pPr>
                    <w:widowControl/>
                    <w:adjustRightInd w:val="0"/>
                    <w:snapToGrid w:val="0"/>
                    <w:spacing w:line="360" w:lineRule="exact"/>
                    <w:jc w:val="center"/>
                    <w:rPr>
                      <w:snapToGrid w:val="0"/>
                      <w:szCs w:val="21"/>
                    </w:rPr>
                  </w:pPr>
                </w:p>
              </w:tc>
              <w:tc>
                <w:tcPr>
                  <w:tcW w:w="1421" w:type="pct"/>
                  <w:vAlign w:val="center"/>
                </w:tcPr>
                <w:p w14:paraId="2F9FBC0C">
                  <w:pPr>
                    <w:widowControl/>
                    <w:adjustRightInd w:val="0"/>
                    <w:snapToGrid w:val="0"/>
                    <w:spacing w:line="360" w:lineRule="exact"/>
                    <w:jc w:val="center"/>
                    <w:rPr>
                      <w:snapToGrid w:val="0"/>
                      <w:szCs w:val="21"/>
                    </w:rPr>
                  </w:pPr>
                  <w:r>
                    <w:rPr>
                      <w:snapToGrid w:val="0"/>
                      <w:szCs w:val="21"/>
                    </w:rPr>
                    <w:t>汞</w:t>
                  </w:r>
                </w:p>
              </w:tc>
              <w:tc>
                <w:tcPr>
                  <w:tcW w:w="851" w:type="pct"/>
                  <w:tcMar>
                    <w:left w:w="57" w:type="dxa"/>
                    <w:right w:w="57" w:type="dxa"/>
                  </w:tcMar>
                  <w:vAlign w:val="center"/>
                </w:tcPr>
                <w:p w14:paraId="1DFDF32D">
                  <w:pPr>
                    <w:widowControl/>
                    <w:adjustRightInd w:val="0"/>
                    <w:snapToGrid w:val="0"/>
                    <w:spacing w:line="360" w:lineRule="exact"/>
                    <w:jc w:val="center"/>
                    <w:rPr>
                      <w:snapToGrid w:val="0"/>
                      <w:szCs w:val="21"/>
                    </w:rPr>
                  </w:pPr>
                  <w:r>
                    <w:rPr>
                      <w:snapToGrid w:val="0"/>
                      <w:szCs w:val="21"/>
                    </w:rPr>
                    <w:t>38</w:t>
                  </w:r>
                </w:p>
              </w:tc>
              <w:tc>
                <w:tcPr>
                  <w:tcW w:w="2029" w:type="pct"/>
                  <w:vMerge w:val="continue"/>
                </w:tcPr>
                <w:p w14:paraId="3266BE85">
                  <w:pPr>
                    <w:widowControl/>
                    <w:adjustRightInd w:val="0"/>
                    <w:snapToGrid w:val="0"/>
                    <w:spacing w:line="360" w:lineRule="exact"/>
                    <w:jc w:val="center"/>
                    <w:rPr>
                      <w:snapToGrid w:val="0"/>
                      <w:szCs w:val="21"/>
                    </w:rPr>
                  </w:pPr>
                </w:p>
              </w:tc>
            </w:tr>
            <w:tr w14:paraId="43F6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0043E13D">
                  <w:pPr>
                    <w:widowControl/>
                    <w:adjustRightInd w:val="0"/>
                    <w:snapToGrid w:val="0"/>
                    <w:spacing w:line="360" w:lineRule="exact"/>
                    <w:jc w:val="center"/>
                    <w:rPr>
                      <w:snapToGrid w:val="0"/>
                      <w:szCs w:val="21"/>
                    </w:rPr>
                  </w:pPr>
                </w:p>
              </w:tc>
              <w:tc>
                <w:tcPr>
                  <w:tcW w:w="1421" w:type="pct"/>
                  <w:vAlign w:val="center"/>
                </w:tcPr>
                <w:p w14:paraId="47247F22">
                  <w:pPr>
                    <w:widowControl/>
                    <w:adjustRightInd w:val="0"/>
                    <w:snapToGrid w:val="0"/>
                    <w:spacing w:line="360" w:lineRule="exact"/>
                    <w:jc w:val="center"/>
                    <w:rPr>
                      <w:snapToGrid w:val="0"/>
                      <w:szCs w:val="21"/>
                    </w:rPr>
                  </w:pPr>
                  <w:r>
                    <w:rPr>
                      <w:snapToGrid w:val="0"/>
                      <w:szCs w:val="21"/>
                    </w:rPr>
                    <w:t>六价铬</w:t>
                  </w:r>
                </w:p>
              </w:tc>
              <w:tc>
                <w:tcPr>
                  <w:tcW w:w="851" w:type="pct"/>
                  <w:tcMar>
                    <w:left w:w="57" w:type="dxa"/>
                    <w:right w:w="57" w:type="dxa"/>
                  </w:tcMar>
                  <w:vAlign w:val="center"/>
                </w:tcPr>
                <w:p w14:paraId="5E2E0801">
                  <w:pPr>
                    <w:widowControl/>
                    <w:adjustRightInd w:val="0"/>
                    <w:snapToGrid w:val="0"/>
                    <w:spacing w:line="360" w:lineRule="exact"/>
                    <w:jc w:val="center"/>
                    <w:rPr>
                      <w:snapToGrid w:val="0"/>
                      <w:szCs w:val="21"/>
                    </w:rPr>
                  </w:pPr>
                  <w:r>
                    <w:rPr>
                      <w:snapToGrid w:val="0"/>
                      <w:szCs w:val="21"/>
                    </w:rPr>
                    <w:t>5.7</w:t>
                  </w:r>
                </w:p>
              </w:tc>
              <w:tc>
                <w:tcPr>
                  <w:tcW w:w="2029" w:type="pct"/>
                  <w:vMerge w:val="continue"/>
                </w:tcPr>
                <w:p w14:paraId="26F5EF9F">
                  <w:pPr>
                    <w:widowControl/>
                    <w:adjustRightInd w:val="0"/>
                    <w:snapToGrid w:val="0"/>
                    <w:spacing w:line="360" w:lineRule="exact"/>
                    <w:jc w:val="center"/>
                    <w:rPr>
                      <w:snapToGrid w:val="0"/>
                      <w:szCs w:val="21"/>
                    </w:rPr>
                  </w:pPr>
                </w:p>
              </w:tc>
            </w:tr>
            <w:tr w14:paraId="728B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615D34E0">
                  <w:pPr>
                    <w:widowControl/>
                    <w:adjustRightInd w:val="0"/>
                    <w:snapToGrid w:val="0"/>
                    <w:spacing w:line="360" w:lineRule="exact"/>
                    <w:jc w:val="center"/>
                    <w:rPr>
                      <w:snapToGrid w:val="0"/>
                      <w:szCs w:val="21"/>
                    </w:rPr>
                  </w:pPr>
                </w:p>
              </w:tc>
              <w:tc>
                <w:tcPr>
                  <w:tcW w:w="1421" w:type="pct"/>
                  <w:vAlign w:val="center"/>
                </w:tcPr>
                <w:p w14:paraId="4FC268B0">
                  <w:pPr>
                    <w:widowControl/>
                    <w:adjustRightInd w:val="0"/>
                    <w:snapToGrid w:val="0"/>
                    <w:spacing w:line="360" w:lineRule="exact"/>
                    <w:jc w:val="center"/>
                    <w:rPr>
                      <w:snapToGrid w:val="0"/>
                      <w:szCs w:val="21"/>
                    </w:rPr>
                  </w:pPr>
                  <w:r>
                    <w:rPr>
                      <w:snapToGrid w:val="0"/>
                      <w:szCs w:val="21"/>
                    </w:rPr>
                    <w:t>四氯化碳</w:t>
                  </w:r>
                </w:p>
              </w:tc>
              <w:tc>
                <w:tcPr>
                  <w:tcW w:w="851" w:type="pct"/>
                  <w:tcMar>
                    <w:left w:w="57" w:type="dxa"/>
                    <w:right w:w="57" w:type="dxa"/>
                  </w:tcMar>
                  <w:vAlign w:val="center"/>
                </w:tcPr>
                <w:p w14:paraId="703716AE">
                  <w:pPr>
                    <w:widowControl/>
                    <w:adjustRightInd w:val="0"/>
                    <w:snapToGrid w:val="0"/>
                    <w:spacing w:line="360" w:lineRule="exact"/>
                    <w:jc w:val="center"/>
                    <w:rPr>
                      <w:snapToGrid w:val="0"/>
                      <w:szCs w:val="21"/>
                    </w:rPr>
                  </w:pPr>
                  <w:r>
                    <w:rPr>
                      <w:snapToGrid w:val="0"/>
                      <w:szCs w:val="21"/>
                    </w:rPr>
                    <w:t>2.8</w:t>
                  </w:r>
                </w:p>
              </w:tc>
              <w:tc>
                <w:tcPr>
                  <w:tcW w:w="2029" w:type="pct"/>
                  <w:vMerge w:val="continue"/>
                </w:tcPr>
                <w:p w14:paraId="0C6DFCE3">
                  <w:pPr>
                    <w:widowControl/>
                    <w:adjustRightInd w:val="0"/>
                    <w:snapToGrid w:val="0"/>
                    <w:spacing w:line="360" w:lineRule="exact"/>
                    <w:jc w:val="center"/>
                    <w:rPr>
                      <w:snapToGrid w:val="0"/>
                      <w:szCs w:val="21"/>
                    </w:rPr>
                  </w:pPr>
                </w:p>
              </w:tc>
            </w:tr>
            <w:tr w14:paraId="60FB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63D704ED">
                  <w:pPr>
                    <w:widowControl/>
                    <w:adjustRightInd w:val="0"/>
                    <w:snapToGrid w:val="0"/>
                    <w:spacing w:line="360" w:lineRule="exact"/>
                    <w:jc w:val="center"/>
                    <w:rPr>
                      <w:snapToGrid w:val="0"/>
                      <w:szCs w:val="21"/>
                    </w:rPr>
                  </w:pPr>
                </w:p>
              </w:tc>
              <w:tc>
                <w:tcPr>
                  <w:tcW w:w="1421" w:type="pct"/>
                  <w:vAlign w:val="center"/>
                </w:tcPr>
                <w:p w14:paraId="4AE4F501">
                  <w:pPr>
                    <w:widowControl/>
                    <w:adjustRightInd w:val="0"/>
                    <w:snapToGrid w:val="0"/>
                    <w:spacing w:line="360" w:lineRule="exact"/>
                    <w:jc w:val="center"/>
                    <w:rPr>
                      <w:snapToGrid w:val="0"/>
                      <w:szCs w:val="21"/>
                    </w:rPr>
                  </w:pPr>
                  <w:r>
                    <w:rPr>
                      <w:snapToGrid w:val="0"/>
                      <w:szCs w:val="21"/>
                    </w:rPr>
                    <w:t>氯仿</w:t>
                  </w:r>
                </w:p>
              </w:tc>
              <w:tc>
                <w:tcPr>
                  <w:tcW w:w="851" w:type="pct"/>
                  <w:tcMar>
                    <w:left w:w="57" w:type="dxa"/>
                    <w:right w:w="57" w:type="dxa"/>
                  </w:tcMar>
                  <w:vAlign w:val="center"/>
                </w:tcPr>
                <w:p w14:paraId="4C97F956">
                  <w:pPr>
                    <w:widowControl/>
                    <w:adjustRightInd w:val="0"/>
                    <w:snapToGrid w:val="0"/>
                    <w:spacing w:line="360" w:lineRule="exact"/>
                    <w:jc w:val="center"/>
                    <w:rPr>
                      <w:snapToGrid w:val="0"/>
                      <w:szCs w:val="21"/>
                    </w:rPr>
                  </w:pPr>
                  <w:r>
                    <w:rPr>
                      <w:snapToGrid w:val="0"/>
                      <w:szCs w:val="21"/>
                    </w:rPr>
                    <w:t>0.9</w:t>
                  </w:r>
                </w:p>
              </w:tc>
              <w:tc>
                <w:tcPr>
                  <w:tcW w:w="2029" w:type="pct"/>
                  <w:vMerge w:val="continue"/>
                </w:tcPr>
                <w:p w14:paraId="7D452723">
                  <w:pPr>
                    <w:widowControl/>
                    <w:adjustRightInd w:val="0"/>
                    <w:snapToGrid w:val="0"/>
                    <w:spacing w:line="360" w:lineRule="exact"/>
                    <w:jc w:val="center"/>
                    <w:rPr>
                      <w:snapToGrid w:val="0"/>
                      <w:szCs w:val="21"/>
                    </w:rPr>
                  </w:pPr>
                </w:p>
              </w:tc>
            </w:tr>
            <w:tr w14:paraId="2F59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29A4FC54">
                  <w:pPr>
                    <w:widowControl/>
                    <w:adjustRightInd w:val="0"/>
                    <w:snapToGrid w:val="0"/>
                    <w:spacing w:line="360" w:lineRule="exact"/>
                    <w:jc w:val="center"/>
                    <w:rPr>
                      <w:snapToGrid w:val="0"/>
                      <w:szCs w:val="21"/>
                    </w:rPr>
                  </w:pPr>
                </w:p>
              </w:tc>
              <w:tc>
                <w:tcPr>
                  <w:tcW w:w="1421" w:type="pct"/>
                  <w:vAlign w:val="center"/>
                </w:tcPr>
                <w:p w14:paraId="3970E068">
                  <w:pPr>
                    <w:widowControl/>
                    <w:adjustRightInd w:val="0"/>
                    <w:snapToGrid w:val="0"/>
                    <w:spacing w:line="360" w:lineRule="exact"/>
                    <w:jc w:val="center"/>
                    <w:rPr>
                      <w:snapToGrid w:val="0"/>
                      <w:szCs w:val="21"/>
                    </w:rPr>
                  </w:pPr>
                  <w:r>
                    <w:rPr>
                      <w:snapToGrid w:val="0"/>
                      <w:szCs w:val="21"/>
                    </w:rPr>
                    <w:t>氯甲烷</w:t>
                  </w:r>
                </w:p>
              </w:tc>
              <w:tc>
                <w:tcPr>
                  <w:tcW w:w="851" w:type="pct"/>
                  <w:tcMar>
                    <w:left w:w="57" w:type="dxa"/>
                    <w:right w:w="57" w:type="dxa"/>
                  </w:tcMar>
                  <w:vAlign w:val="center"/>
                </w:tcPr>
                <w:p w14:paraId="3A5DD0F8">
                  <w:pPr>
                    <w:widowControl/>
                    <w:adjustRightInd w:val="0"/>
                    <w:snapToGrid w:val="0"/>
                    <w:spacing w:line="360" w:lineRule="exact"/>
                    <w:jc w:val="center"/>
                    <w:rPr>
                      <w:snapToGrid w:val="0"/>
                      <w:szCs w:val="21"/>
                    </w:rPr>
                  </w:pPr>
                  <w:r>
                    <w:rPr>
                      <w:snapToGrid w:val="0"/>
                      <w:szCs w:val="21"/>
                    </w:rPr>
                    <w:t>37</w:t>
                  </w:r>
                </w:p>
              </w:tc>
              <w:tc>
                <w:tcPr>
                  <w:tcW w:w="2029" w:type="pct"/>
                  <w:vMerge w:val="continue"/>
                </w:tcPr>
                <w:p w14:paraId="3C26961B">
                  <w:pPr>
                    <w:widowControl/>
                    <w:adjustRightInd w:val="0"/>
                    <w:snapToGrid w:val="0"/>
                    <w:spacing w:line="360" w:lineRule="exact"/>
                    <w:jc w:val="center"/>
                    <w:rPr>
                      <w:snapToGrid w:val="0"/>
                      <w:szCs w:val="21"/>
                    </w:rPr>
                  </w:pPr>
                </w:p>
              </w:tc>
            </w:tr>
            <w:tr w14:paraId="244E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13A1255C">
                  <w:pPr>
                    <w:widowControl/>
                    <w:adjustRightInd w:val="0"/>
                    <w:snapToGrid w:val="0"/>
                    <w:spacing w:line="360" w:lineRule="exact"/>
                    <w:jc w:val="center"/>
                    <w:rPr>
                      <w:snapToGrid w:val="0"/>
                      <w:szCs w:val="21"/>
                    </w:rPr>
                  </w:pPr>
                </w:p>
              </w:tc>
              <w:tc>
                <w:tcPr>
                  <w:tcW w:w="1421" w:type="pct"/>
                  <w:vAlign w:val="center"/>
                </w:tcPr>
                <w:p w14:paraId="2822ED26">
                  <w:pPr>
                    <w:widowControl/>
                    <w:adjustRightInd w:val="0"/>
                    <w:snapToGrid w:val="0"/>
                    <w:spacing w:line="360" w:lineRule="exact"/>
                    <w:jc w:val="center"/>
                    <w:rPr>
                      <w:snapToGrid w:val="0"/>
                      <w:szCs w:val="21"/>
                    </w:rPr>
                  </w:pPr>
                  <w:r>
                    <w:rPr>
                      <w:snapToGrid w:val="0"/>
                      <w:szCs w:val="21"/>
                    </w:rPr>
                    <w:t>1,1-二氯乙烷</w:t>
                  </w:r>
                </w:p>
              </w:tc>
              <w:tc>
                <w:tcPr>
                  <w:tcW w:w="851" w:type="pct"/>
                  <w:tcMar>
                    <w:left w:w="57" w:type="dxa"/>
                    <w:right w:w="57" w:type="dxa"/>
                  </w:tcMar>
                  <w:vAlign w:val="center"/>
                </w:tcPr>
                <w:p w14:paraId="5EF0A385">
                  <w:pPr>
                    <w:widowControl/>
                    <w:adjustRightInd w:val="0"/>
                    <w:snapToGrid w:val="0"/>
                    <w:spacing w:line="360" w:lineRule="exact"/>
                    <w:jc w:val="center"/>
                    <w:rPr>
                      <w:snapToGrid w:val="0"/>
                      <w:szCs w:val="21"/>
                    </w:rPr>
                  </w:pPr>
                  <w:r>
                    <w:rPr>
                      <w:snapToGrid w:val="0"/>
                      <w:szCs w:val="21"/>
                    </w:rPr>
                    <w:t>9</w:t>
                  </w:r>
                </w:p>
              </w:tc>
              <w:tc>
                <w:tcPr>
                  <w:tcW w:w="2029" w:type="pct"/>
                  <w:vMerge w:val="continue"/>
                </w:tcPr>
                <w:p w14:paraId="50BE018D">
                  <w:pPr>
                    <w:widowControl/>
                    <w:adjustRightInd w:val="0"/>
                    <w:snapToGrid w:val="0"/>
                    <w:spacing w:line="360" w:lineRule="exact"/>
                    <w:jc w:val="center"/>
                    <w:rPr>
                      <w:snapToGrid w:val="0"/>
                      <w:szCs w:val="21"/>
                    </w:rPr>
                  </w:pPr>
                </w:p>
              </w:tc>
            </w:tr>
            <w:tr w14:paraId="4014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7007A7C7">
                  <w:pPr>
                    <w:widowControl/>
                    <w:adjustRightInd w:val="0"/>
                    <w:snapToGrid w:val="0"/>
                    <w:spacing w:line="360" w:lineRule="exact"/>
                    <w:jc w:val="center"/>
                    <w:rPr>
                      <w:snapToGrid w:val="0"/>
                      <w:szCs w:val="21"/>
                    </w:rPr>
                  </w:pPr>
                </w:p>
              </w:tc>
              <w:tc>
                <w:tcPr>
                  <w:tcW w:w="1421" w:type="pct"/>
                  <w:vAlign w:val="center"/>
                </w:tcPr>
                <w:p w14:paraId="70BC7DDE">
                  <w:pPr>
                    <w:widowControl/>
                    <w:adjustRightInd w:val="0"/>
                    <w:snapToGrid w:val="0"/>
                    <w:spacing w:line="360" w:lineRule="exact"/>
                    <w:jc w:val="center"/>
                    <w:rPr>
                      <w:snapToGrid w:val="0"/>
                      <w:szCs w:val="21"/>
                    </w:rPr>
                  </w:pPr>
                  <w:r>
                    <w:rPr>
                      <w:snapToGrid w:val="0"/>
                      <w:szCs w:val="21"/>
                    </w:rPr>
                    <w:t>1,2-二氯乙烷</w:t>
                  </w:r>
                </w:p>
              </w:tc>
              <w:tc>
                <w:tcPr>
                  <w:tcW w:w="851" w:type="pct"/>
                  <w:tcMar>
                    <w:left w:w="57" w:type="dxa"/>
                    <w:right w:w="57" w:type="dxa"/>
                  </w:tcMar>
                  <w:vAlign w:val="center"/>
                </w:tcPr>
                <w:p w14:paraId="0A35A22A">
                  <w:pPr>
                    <w:widowControl/>
                    <w:adjustRightInd w:val="0"/>
                    <w:snapToGrid w:val="0"/>
                    <w:spacing w:line="360" w:lineRule="exact"/>
                    <w:jc w:val="center"/>
                    <w:rPr>
                      <w:snapToGrid w:val="0"/>
                      <w:szCs w:val="21"/>
                    </w:rPr>
                  </w:pPr>
                  <w:r>
                    <w:rPr>
                      <w:snapToGrid w:val="0"/>
                      <w:szCs w:val="21"/>
                    </w:rPr>
                    <w:t>5</w:t>
                  </w:r>
                </w:p>
              </w:tc>
              <w:tc>
                <w:tcPr>
                  <w:tcW w:w="2029" w:type="pct"/>
                  <w:vMerge w:val="continue"/>
                </w:tcPr>
                <w:p w14:paraId="469AEA1E">
                  <w:pPr>
                    <w:widowControl/>
                    <w:adjustRightInd w:val="0"/>
                    <w:snapToGrid w:val="0"/>
                    <w:spacing w:line="360" w:lineRule="exact"/>
                    <w:jc w:val="center"/>
                    <w:rPr>
                      <w:snapToGrid w:val="0"/>
                      <w:szCs w:val="21"/>
                    </w:rPr>
                  </w:pPr>
                </w:p>
              </w:tc>
            </w:tr>
            <w:tr w14:paraId="5585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677F7B1D">
                  <w:pPr>
                    <w:widowControl/>
                    <w:adjustRightInd w:val="0"/>
                    <w:snapToGrid w:val="0"/>
                    <w:spacing w:line="360" w:lineRule="exact"/>
                    <w:jc w:val="center"/>
                    <w:rPr>
                      <w:snapToGrid w:val="0"/>
                      <w:szCs w:val="21"/>
                    </w:rPr>
                  </w:pPr>
                </w:p>
              </w:tc>
              <w:tc>
                <w:tcPr>
                  <w:tcW w:w="1421" w:type="pct"/>
                  <w:vAlign w:val="center"/>
                </w:tcPr>
                <w:p w14:paraId="20A30651">
                  <w:pPr>
                    <w:widowControl/>
                    <w:adjustRightInd w:val="0"/>
                    <w:snapToGrid w:val="0"/>
                    <w:spacing w:line="360" w:lineRule="exact"/>
                    <w:jc w:val="center"/>
                    <w:rPr>
                      <w:snapToGrid w:val="0"/>
                      <w:szCs w:val="21"/>
                    </w:rPr>
                  </w:pPr>
                  <w:r>
                    <w:rPr>
                      <w:snapToGrid w:val="0"/>
                      <w:szCs w:val="21"/>
                    </w:rPr>
                    <w:t>1,1-二氯乙烯</w:t>
                  </w:r>
                </w:p>
              </w:tc>
              <w:tc>
                <w:tcPr>
                  <w:tcW w:w="851" w:type="pct"/>
                  <w:tcMar>
                    <w:left w:w="57" w:type="dxa"/>
                    <w:right w:w="57" w:type="dxa"/>
                  </w:tcMar>
                  <w:vAlign w:val="center"/>
                </w:tcPr>
                <w:p w14:paraId="293611CA">
                  <w:pPr>
                    <w:widowControl/>
                    <w:adjustRightInd w:val="0"/>
                    <w:snapToGrid w:val="0"/>
                    <w:spacing w:line="360" w:lineRule="exact"/>
                    <w:jc w:val="center"/>
                    <w:rPr>
                      <w:snapToGrid w:val="0"/>
                      <w:szCs w:val="21"/>
                    </w:rPr>
                  </w:pPr>
                  <w:r>
                    <w:rPr>
                      <w:snapToGrid w:val="0"/>
                      <w:szCs w:val="21"/>
                    </w:rPr>
                    <w:t>66</w:t>
                  </w:r>
                </w:p>
              </w:tc>
              <w:tc>
                <w:tcPr>
                  <w:tcW w:w="2029" w:type="pct"/>
                  <w:vMerge w:val="continue"/>
                </w:tcPr>
                <w:p w14:paraId="1A554D59">
                  <w:pPr>
                    <w:widowControl/>
                    <w:adjustRightInd w:val="0"/>
                    <w:snapToGrid w:val="0"/>
                    <w:spacing w:line="360" w:lineRule="exact"/>
                    <w:jc w:val="center"/>
                    <w:rPr>
                      <w:snapToGrid w:val="0"/>
                      <w:szCs w:val="21"/>
                    </w:rPr>
                  </w:pPr>
                </w:p>
              </w:tc>
            </w:tr>
            <w:tr w14:paraId="3630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6DBAAEFC">
                  <w:pPr>
                    <w:widowControl/>
                    <w:adjustRightInd w:val="0"/>
                    <w:snapToGrid w:val="0"/>
                    <w:spacing w:line="360" w:lineRule="exact"/>
                    <w:jc w:val="center"/>
                    <w:rPr>
                      <w:snapToGrid w:val="0"/>
                      <w:szCs w:val="21"/>
                    </w:rPr>
                  </w:pPr>
                </w:p>
              </w:tc>
              <w:tc>
                <w:tcPr>
                  <w:tcW w:w="1421" w:type="pct"/>
                  <w:vAlign w:val="center"/>
                </w:tcPr>
                <w:p w14:paraId="2DD7F3C2">
                  <w:pPr>
                    <w:widowControl/>
                    <w:adjustRightInd w:val="0"/>
                    <w:snapToGrid w:val="0"/>
                    <w:spacing w:line="360" w:lineRule="exact"/>
                    <w:jc w:val="center"/>
                    <w:rPr>
                      <w:snapToGrid w:val="0"/>
                      <w:szCs w:val="21"/>
                    </w:rPr>
                  </w:pPr>
                  <w:r>
                    <w:rPr>
                      <w:snapToGrid w:val="0"/>
                      <w:szCs w:val="21"/>
                    </w:rPr>
                    <w:t>顺-1,2-二氯乙烯</w:t>
                  </w:r>
                </w:p>
              </w:tc>
              <w:tc>
                <w:tcPr>
                  <w:tcW w:w="851" w:type="pct"/>
                  <w:tcMar>
                    <w:left w:w="57" w:type="dxa"/>
                    <w:right w:w="57" w:type="dxa"/>
                  </w:tcMar>
                  <w:vAlign w:val="center"/>
                </w:tcPr>
                <w:p w14:paraId="50AF16D8">
                  <w:pPr>
                    <w:widowControl/>
                    <w:adjustRightInd w:val="0"/>
                    <w:snapToGrid w:val="0"/>
                    <w:spacing w:line="360" w:lineRule="exact"/>
                    <w:jc w:val="center"/>
                    <w:rPr>
                      <w:snapToGrid w:val="0"/>
                      <w:szCs w:val="21"/>
                    </w:rPr>
                  </w:pPr>
                  <w:r>
                    <w:rPr>
                      <w:snapToGrid w:val="0"/>
                      <w:szCs w:val="21"/>
                    </w:rPr>
                    <w:t>596</w:t>
                  </w:r>
                </w:p>
              </w:tc>
              <w:tc>
                <w:tcPr>
                  <w:tcW w:w="2029" w:type="pct"/>
                  <w:vMerge w:val="continue"/>
                </w:tcPr>
                <w:p w14:paraId="680C2D3D">
                  <w:pPr>
                    <w:widowControl/>
                    <w:adjustRightInd w:val="0"/>
                    <w:snapToGrid w:val="0"/>
                    <w:spacing w:line="360" w:lineRule="exact"/>
                    <w:jc w:val="center"/>
                    <w:rPr>
                      <w:snapToGrid w:val="0"/>
                      <w:szCs w:val="21"/>
                    </w:rPr>
                  </w:pPr>
                </w:p>
              </w:tc>
            </w:tr>
            <w:tr w14:paraId="2DA7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Pr>
                <w:p w14:paraId="7C2C7721">
                  <w:pPr>
                    <w:widowControl/>
                    <w:adjustRightInd w:val="0"/>
                    <w:snapToGrid w:val="0"/>
                    <w:spacing w:line="360" w:lineRule="exact"/>
                    <w:jc w:val="center"/>
                    <w:rPr>
                      <w:snapToGrid w:val="0"/>
                      <w:szCs w:val="21"/>
                    </w:rPr>
                  </w:pPr>
                </w:p>
              </w:tc>
              <w:tc>
                <w:tcPr>
                  <w:tcW w:w="1421" w:type="pct"/>
                  <w:vAlign w:val="center"/>
                </w:tcPr>
                <w:p w14:paraId="50E31A9C">
                  <w:pPr>
                    <w:widowControl/>
                    <w:adjustRightInd w:val="0"/>
                    <w:snapToGrid w:val="0"/>
                    <w:spacing w:line="360" w:lineRule="exact"/>
                    <w:jc w:val="center"/>
                    <w:rPr>
                      <w:snapToGrid w:val="0"/>
                      <w:szCs w:val="21"/>
                    </w:rPr>
                  </w:pPr>
                  <w:r>
                    <w:rPr>
                      <w:snapToGrid w:val="0"/>
                      <w:szCs w:val="21"/>
                    </w:rPr>
                    <w:t>反-1,2-二氯乙烯</w:t>
                  </w:r>
                </w:p>
              </w:tc>
              <w:tc>
                <w:tcPr>
                  <w:tcW w:w="851" w:type="pct"/>
                  <w:tcMar>
                    <w:left w:w="57" w:type="dxa"/>
                    <w:right w:w="57" w:type="dxa"/>
                  </w:tcMar>
                  <w:vAlign w:val="center"/>
                </w:tcPr>
                <w:p w14:paraId="3380A29F">
                  <w:pPr>
                    <w:widowControl/>
                    <w:adjustRightInd w:val="0"/>
                    <w:snapToGrid w:val="0"/>
                    <w:spacing w:line="360" w:lineRule="exact"/>
                    <w:jc w:val="center"/>
                    <w:rPr>
                      <w:snapToGrid w:val="0"/>
                      <w:szCs w:val="21"/>
                    </w:rPr>
                  </w:pPr>
                  <w:r>
                    <w:rPr>
                      <w:snapToGrid w:val="0"/>
                      <w:szCs w:val="21"/>
                    </w:rPr>
                    <w:t>54</w:t>
                  </w:r>
                </w:p>
              </w:tc>
              <w:tc>
                <w:tcPr>
                  <w:tcW w:w="2029" w:type="pct"/>
                  <w:vMerge w:val="continue"/>
                </w:tcPr>
                <w:p w14:paraId="68EB8055">
                  <w:pPr>
                    <w:widowControl/>
                    <w:adjustRightInd w:val="0"/>
                    <w:snapToGrid w:val="0"/>
                    <w:spacing w:line="360" w:lineRule="exact"/>
                    <w:jc w:val="center"/>
                    <w:rPr>
                      <w:snapToGrid w:val="0"/>
                      <w:szCs w:val="21"/>
                    </w:rPr>
                  </w:pPr>
                </w:p>
              </w:tc>
            </w:tr>
            <w:tr w14:paraId="3F6C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7F169764">
                  <w:pPr>
                    <w:adjustRightInd w:val="0"/>
                    <w:snapToGrid w:val="0"/>
                    <w:spacing w:line="340" w:lineRule="exact"/>
                    <w:jc w:val="center"/>
                    <w:rPr>
                      <w:snapToGrid w:val="0"/>
                      <w:szCs w:val="21"/>
                    </w:rPr>
                  </w:pPr>
                </w:p>
              </w:tc>
              <w:tc>
                <w:tcPr>
                  <w:tcW w:w="1421" w:type="pct"/>
                  <w:vAlign w:val="center"/>
                </w:tcPr>
                <w:p w14:paraId="20BACDF1">
                  <w:pPr>
                    <w:widowControl/>
                    <w:adjustRightInd w:val="0"/>
                    <w:snapToGrid w:val="0"/>
                    <w:spacing w:line="340" w:lineRule="exact"/>
                    <w:jc w:val="center"/>
                    <w:rPr>
                      <w:snapToGrid w:val="0"/>
                      <w:szCs w:val="21"/>
                    </w:rPr>
                  </w:pPr>
                  <w:r>
                    <w:rPr>
                      <w:snapToGrid w:val="0"/>
                      <w:szCs w:val="21"/>
                    </w:rPr>
                    <w:t>二氯甲烷</w:t>
                  </w:r>
                </w:p>
              </w:tc>
              <w:tc>
                <w:tcPr>
                  <w:tcW w:w="851" w:type="pct"/>
                  <w:tcMar>
                    <w:left w:w="57" w:type="dxa"/>
                    <w:right w:w="57" w:type="dxa"/>
                  </w:tcMar>
                  <w:vAlign w:val="center"/>
                </w:tcPr>
                <w:p w14:paraId="397B5EB5">
                  <w:pPr>
                    <w:widowControl/>
                    <w:adjustRightInd w:val="0"/>
                    <w:snapToGrid w:val="0"/>
                    <w:spacing w:line="340" w:lineRule="exact"/>
                    <w:jc w:val="center"/>
                    <w:rPr>
                      <w:snapToGrid w:val="0"/>
                      <w:szCs w:val="21"/>
                    </w:rPr>
                  </w:pPr>
                  <w:r>
                    <w:rPr>
                      <w:snapToGrid w:val="0"/>
                      <w:szCs w:val="21"/>
                    </w:rPr>
                    <w:t>616</w:t>
                  </w:r>
                </w:p>
              </w:tc>
              <w:tc>
                <w:tcPr>
                  <w:tcW w:w="2029" w:type="pct"/>
                  <w:vMerge w:val="continue"/>
                  <w:vAlign w:val="center"/>
                </w:tcPr>
                <w:p w14:paraId="4CED1C85">
                  <w:pPr>
                    <w:adjustRightInd w:val="0"/>
                    <w:snapToGrid w:val="0"/>
                    <w:spacing w:line="340" w:lineRule="exact"/>
                    <w:jc w:val="center"/>
                    <w:rPr>
                      <w:snapToGrid w:val="0"/>
                      <w:szCs w:val="21"/>
                    </w:rPr>
                  </w:pPr>
                </w:p>
              </w:tc>
            </w:tr>
            <w:tr w14:paraId="2C4B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2D769DB4">
                  <w:pPr>
                    <w:adjustRightInd w:val="0"/>
                    <w:snapToGrid w:val="0"/>
                    <w:spacing w:line="340" w:lineRule="exact"/>
                    <w:jc w:val="center"/>
                    <w:rPr>
                      <w:snapToGrid w:val="0"/>
                      <w:szCs w:val="21"/>
                    </w:rPr>
                  </w:pPr>
                </w:p>
              </w:tc>
              <w:tc>
                <w:tcPr>
                  <w:tcW w:w="1421" w:type="pct"/>
                  <w:vAlign w:val="center"/>
                </w:tcPr>
                <w:p w14:paraId="3A8CC142">
                  <w:pPr>
                    <w:widowControl/>
                    <w:adjustRightInd w:val="0"/>
                    <w:snapToGrid w:val="0"/>
                    <w:spacing w:line="340" w:lineRule="exact"/>
                    <w:jc w:val="center"/>
                    <w:rPr>
                      <w:snapToGrid w:val="0"/>
                      <w:szCs w:val="21"/>
                    </w:rPr>
                  </w:pPr>
                  <w:r>
                    <w:rPr>
                      <w:snapToGrid w:val="0"/>
                      <w:szCs w:val="21"/>
                    </w:rPr>
                    <w:t>1,2-二氯丙烷</w:t>
                  </w:r>
                </w:p>
              </w:tc>
              <w:tc>
                <w:tcPr>
                  <w:tcW w:w="851" w:type="pct"/>
                  <w:tcMar>
                    <w:left w:w="57" w:type="dxa"/>
                    <w:right w:w="57" w:type="dxa"/>
                  </w:tcMar>
                  <w:vAlign w:val="center"/>
                </w:tcPr>
                <w:p w14:paraId="44DEC3AA">
                  <w:pPr>
                    <w:widowControl/>
                    <w:adjustRightInd w:val="0"/>
                    <w:snapToGrid w:val="0"/>
                    <w:spacing w:line="340" w:lineRule="exact"/>
                    <w:jc w:val="center"/>
                    <w:rPr>
                      <w:snapToGrid w:val="0"/>
                      <w:szCs w:val="21"/>
                    </w:rPr>
                  </w:pPr>
                  <w:r>
                    <w:rPr>
                      <w:snapToGrid w:val="0"/>
                      <w:szCs w:val="21"/>
                    </w:rPr>
                    <w:t>5</w:t>
                  </w:r>
                </w:p>
              </w:tc>
              <w:tc>
                <w:tcPr>
                  <w:tcW w:w="2029" w:type="pct"/>
                  <w:vMerge w:val="continue"/>
                  <w:vAlign w:val="center"/>
                </w:tcPr>
                <w:p w14:paraId="31051D90">
                  <w:pPr>
                    <w:adjustRightInd w:val="0"/>
                    <w:snapToGrid w:val="0"/>
                    <w:spacing w:line="340" w:lineRule="exact"/>
                    <w:jc w:val="center"/>
                    <w:rPr>
                      <w:snapToGrid w:val="0"/>
                      <w:szCs w:val="21"/>
                    </w:rPr>
                  </w:pPr>
                </w:p>
              </w:tc>
            </w:tr>
            <w:tr w14:paraId="69DF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74A0FB06">
                  <w:pPr>
                    <w:adjustRightInd w:val="0"/>
                    <w:snapToGrid w:val="0"/>
                    <w:spacing w:line="340" w:lineRule="exact"/>
                    <w:jc w:val="center"/>
                    <w:rPr>
                      <w:snapToGrid w:val="0"/>
                      <w:szCs w:val="21"/>
                    </w:rPr>
                  </w:pPr>
                </w:p>
              </w:tc>
              <w:tc>
                <w:tcPr>
                  <w:tcW w:w="1421" w:type="pct"/>
                  <w:vAlign w:val="center"/>
                </w:tcPr>
                <w:p w14:paraId="5ECB154E">
                  <w:pPr>
                    <w:widowControl/>
                    <w:adjustRightInd w:val="0"/>
                    <w:snapToGrid w:val="0"/>
                    <w:spacing w:line="340" w:lineRule="exact"/>
                    <w:jc w:val="center"/>
                    <w:rPr>
                      <w:snapToGrid w:val="0"/>
                      <w:szCs w:val="21"/>
                    </w:rPr>
                  </w:pPr>
                  <w:r>
                    <w:rPr>
                      <w:snapToGrid w:val="0"/>
                      <w:szCs w:val="21"/>
                    </w:rPr>
                    <w:t>1,1,1,2-四氯乙烷</w:t>
                  </w:r>
                </w:p>
              </w:tc>
              <w:tc>
                <w:tcPr>
                  <w:tcW w:w="851" w:type="pct"/>
                  <w:tcMar>
                    <w:left w:w="57" w:type="dxa"/>
                    <w:right w:w="57" w:type="dxa"/>
                  </w:tcMar>
                  <w:vAlign w:val="center"/>
                </w:tcPr>
                <w:p w14:paraId="2FFD428E">
                  <w:pPr>
                    <w:widowControl/>
                    <w:adjustRightInd w:val="0"/>
                    <w:snapToGrid w:val="0"/>
                    <w:spacing w:line="340" w:lineRule="exact"/>
                    <w:jc w:val="center"/>
                    <w:rPr>
                      <w:snapToGrid w:val="0"/>
                      <w:szCs w:val="21"/>
                    </w:rPr>
                  </w:pPr>
                  <w:r>
                    <w:rPr>
                      <w:snapToGrid w:val="0"/>
                      <w:szCs w:val="21"/>
                    </w:rPr>
                    <w:t>10</w:t>
                  </w:r>
                </w:p>
              </w:tc>
              <w:tc>
                <w:tcPr>
                  <w:tcW w:w="2029" w:type="pct"/>
                  <w:vMerge w:val="continue"/>
                  <w:vAlign w:val="center"/>
                </w:tcPr>
                <w:p w14:paraId="21EF06AC">
                  <w:pPr>
                    <w:adjustRightInd w:val="0"/>
                    <w:snapToGrid w:val="0"/>
                    <w:spacing w:line="340" w:lineRule="exact"/>
                    <w:jc w:val="center"/>
                    <w:rPr>
                      <w:snapToGrid w:val="0"/>
                      <w:szCs w:val="21"/>
                    </w:rPr>
                  </w:pPr>
                </w:p>
              </w:tc>
            </w:tr>
            <w:tr w14:paraId="30A8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46F2FABE">
                  <w:pPr>
                    <w:adjustRightInd w:val="0"/>
                    <w:snapToGrid w:val="0"/>
                    <w:spacing w:line="340" w:lineRule="exact"/>
                    <w:jc w:val="center"/>
                    <w:rPr>
                      <w:snapToGrid w:val="0"/>
                      <w:szCs w:val="21"/>
                    </w:rPr>
                  </w:pPr>
                </w:p>
              </w:tc>
              <w:tc>
                <w:tcPr>
                  <w:tcW w:w="1421" w:type="pct"/>
                  <w:vAlign w:val="center"/>
                </w:tcPr>
                <w:p w14:paraId="728A248F">
                  <w:pPr>
                    <w:widowControl/>
                    <w:adjustRightInd w:val="0"/>
                    <w:snapToGrid w:val="0"/>
                    <w:spacing w:line="340" w:lineRule="exact"/>
                    <w:jc w:val="center"/>
                    <w:rPr>
                      <w:snapToGrid w:val="0"/>
                      <w:szCs w:val="21"/>
                    </w:rPr>
                  </w:pPr>
                  <w:r>
                    <w:rPr>
                      <w:snapToGrid w:val="0"/>
                      <w:szCs w:val="21"/>
                    </w:rPr>
                    <w:t>1,1,2,2-四氯乙烷</w:t>
                  </w:r>
                </w:p>
              </w:tc>
              <w:tc>
                <w:tcPr>
                  <w:tcW w:w="851" w:type="pct"/>
                  <w:tcMar>
                    <w:left w:w="57" w:type="dxa"/>
                    <w:right w:w="57" w:type="dxa"/>
                  </w:tcMar>
                  <w:vAlign w:val="center"/>
                </w:tcPr>
                <w:p w14:paraId="38A9847A">
                  <w:pPr>
                    <w:widowControl/>
                    <w:adjustRightInd w:val="0"/>
                    <w:snapToGrid w:val="0"/>
                    <w:spacing w:line="340" w:lineRule="exact"/>
                    <w:jc w:val="center"/>
                    <w:rPr>
                      <w:snapToGrid w:val="0"/>
                      <w:szCs w:val="21"/>
                    </w:rPr>
                  </w:pPr>
                  <w:r>
                    <w:rPr>
                      <w:snapToGrid w:val="0"/>
                      <w:szCs w:val="21"/>
                    </w:rPr>
                    <w:t>6.8</w:t>
                  </w:r>
                </w:p>
              </w:tc>
              <w:tc>
                <w:tcPr>
                  <w:tcW w:w="2029" w:type="pct"/>
                  <w:vMerge w:val="continue"/>
                  <w:vAlign w:val="center"/>
                </w:tcPr>
                <w:p w14:paraId="5A4BFFFB">
                  <w:pPr>
                    <w:adjustRightInd w:val="0"/>
                    <w:snapToGrid w:val="0"/>
                    <w:spacing w:line="340" w:lineRule="exact"/>
                    <w:jc w:val="center"/>
                    <w:rPr>
                      <w:snapToGrid w:val="0"/>
                      <w:szCs w:val="21"/>
                    </w:rPr>
                  </w:pPr>
                </w:p>
              </w:tc>
            </w:tr>
            <w:tr w14:paraId="2E91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3C1AC86E">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A87F661">
                  <w:pPr>
                    <w:widowControl/>
                    <w:adjustRightInd w:val="0"/>
                    <w:snapToGrid w:val="0"/>
                    <w:spacing w:line="340" w:lineRule="exact"/>
                    <w:jc w:val="center"/>
                    <w:rPr>
                      <w:snapToGrid w:val="0"/>
                      <w:szCs w:val="21"/>
                    </w:rPr>
                  </w:pPr>
                  <w:r>
                    <w:rPr>
                      <w:snapToGrid w:val="0"/>
                      <w:szCs w:val="21"/>
                    </w:rPr>
                    <w:t>四氯乙烯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7D03DFF2">
                  <w:pPr>
                    <w:widowControl/>
                    <w:adjustRightInd w:val="0"/>
                    <w:snapToGrid w:val="0"/>
                    <w:spacing w:line="340" w:lineRule="exact"/>
                    <w:jc w:val="center"/>
                    <w:rPr>
                      <w:snapToGrid w:val="0"/>
                      <w:szCs w:val="21"/>
                    </w:rPr>
                  </w:pPr>
                  <w:r>
                    <w:rPr>
                      <w:snapToGrid w:val="0"/>
                      <w:szCs w:val="21"/>
                    </w:rPr>
                    <w:t>53</w:t>
                  </w:r>
                </w:p>
              </w:tc>
              <w:tc>
                <w:tcPr>
                  <w:tcW w:w="2029" w:type="pct"/>
                  <w:vMerge w:val="continue"/>
                  <w:vAlign w:val="center"/>
                </w:tcPr>
                <w:p w14:paraId="18B338A8">
                  <w:pPr>
                    <w:adjustRightInd w:val="0"/>
                    <w:snapToGrid w:val="0"/>
                    <w:spacing w:line="340" w:lineRule="exact"/>
                    <w:jc w:val="center"/>
                    <w:rPr>
                      <w:snapToGrid w:val="0"/>
                      <w:szCs w:val="21"/>
                    </w:rPr>
                  </w:pPr>
                </w:p>
              </w:tc>
            </w:tr>
            <w:tr w14:paraId="5FDB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186A7446">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46FB6BD5">
                  <w:pPr>
                    <w:widowControl/>
                    <w:adjustRightInd w:val="0"/>
                    <w:snapToGrid w:val="0"/>
                    <w:spacing w:line="340" w:lineRule="exact"/>
                    <w:jc w:val="center"/>
                    <w:rPr>
                      <w:snapToGrid w:val="0"/>
                      <w:szCs w:val="21"/>
                    </w:rPr>
                  </w:pPr>
                  <w:r>
                    <w:rPr>
                      <w:snapToGrid w:val="0"/>
                      <w:szCs w:val="21"/>
                    </w:rPr>
                    <w:t>1,1,1-三氯乙烷</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3664B261">
                  <w:pPr>
                    <w:widowControl/>
                    <w:adjustRightInd w:val="0"/>
                    <w:snapToGrid w:val="0"/>
                    <w:spacing w:line="340" w:lineRule="exact"/>
                    <w:jc w:val="center"/>
                    <w:rPr>
                      <w:snapToGrid w:val="0"/>
                      <w:szCs w:val="21"/>
                    </w:rPr>
                  </w:pPr>
                  <w:r>
                    <w:rPr>
                      <w:snapToGrid w:val="0"/>
                      <w:szCs w:val="21"/>
                    </w:rPr>
                    <w:t>840</w:t>
                  </w:r>
                </w:p>
              </w:tc>
              <w:tc>
                <w:tcPr>
                  <w:tcW w:w="2029" w:type="pct"/>
                  <w:vMerge w:val="continue"/>
                  <w:vAlign w:val="center"/>
                </w:tcPr>
                <w:p w14:paraId="501C1193">
                  <w:pPr>
                    <w:adjustRightInd w:val="0"/>
                    <w:snapToGrid w:val="0"/>
                    <w:spacing w:line="340" w:lineRule="exact"/>
                    <w:jc w:val="center"/>
                    <w:rPr>
                      <w:snapToGrid w:val="0"/>
                      <w:szCs w:val="21"/>
                    </w:rPr>
                  </w:pPr>
                </w:p>
              </w:tc>
            </w:tr>
            <w:tr w14:paraId="5D71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6FEF6704">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4E4FE928">
                  <w:pPr>
                    <w:widowControl/>
                    <w:adjustRightInd w:val="0"/>
                    <w:snapToGrid w:val="0"/>
                    <w:spacing w:line="340" w:lineRule="exact"/>
                    <w:jc w:val="center"/>
                    <w:rPr>
                      <w:snapToGrid w:val="0"/>
                      <w:szCs w:val="21"/>
                    </w:rPr>
                  </w:pPr>
                  <w:r>
                    <w:rPr>
                      <w:snapToGrid w:val="0"/>
                      <w:szCs w:val="21"/>
                    </w:rPr>
                    <w:t>1,1,2-三氯乙烷</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6AB0822A">
                  <w:pPr>
                    <w:widowControl/>
                    <w:adjustRightInd w:val="0"/>
                    <w:snapToGrid w:val="0"/>
                    <w:spacing w:line="340" w:lineRule="exact"/>
                    <w:jc w:val="center"/>
                    <w:rPr>
                      <w:snapToGrid w:val="0"/>
                      <w:szCs w:val="21"/>
                    </w:rPr>
                  </w:pPr>
                  <w:r>
                    <w:rPr>
                      <w:snapToGrid w:val="0"/>
                      <w:szCs w:val="21"/>
                    </w:rPr>
                    <w:t>2.8</w:t>
                  </w:r>
                </w:p>
              </w:tc>
              <w:tc>
                <w:tcPr>
                  <w:tcW w:w="2029" w:type="pct"/>
                  <w:vMerge w:val="continue"/>
                  <w:vAlign w:val="center"/>
                </w:tcPr>
                <w:p w14:paraId="107E6EE9">
                  <w:pPr>
                    <w:adjustRightInd w:val="0"/>
                    <w:snapToGrid w:val="0"/>
                    <w:spacing w:line="340" w:lineRule="exact"/>
                    <w:jc w:val="center"/>
                    <w:rPr>
                      <w:snapToGrid w:val="0"/>
                      <w:szCs w:val="21"/>
                    </w:rPr>
                  </w:pPr>
                </w:p>
              </w:tc>
            </w:tr>
            <w:tr w14:paraId="3B86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69F2F36E">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2871B9E0">
                  <w:pPr>
                    <w:widowControl/>
                    <w:adjustRightInd w:val="0"/>
                    <w:snapToGrid w:val="0"/>
                    <w:spacing w:line="340" w:lineRule="exact"/>
                    <w:jc w:val="center"/>
                    <w:rPr>
                      <w:snapToGrid w:val="0"/>
                      <w:szCs w:val="21"/>
                    </w:rPr>
                  </w:pPr>
                  <w:r>
                    <w:rPr>
                      <w:snapToGrid w:val="0"/>
                      <w:szCs w:val="21"/>
                    </w:rPr>
                    <w:t>三氯乙烯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2DF483F8">
                  <w:pPr>
                    <w:widowControl/>
                    <w:adjustRightInd w:val="0"/>
                    <w:snapToGrid w:val="0"/>
                    <w:spacing w:line="340" w:lineRule="exact"/>
                    <w:jc w:val="center"/>
                    <w:rPr>
                      <w:snapToGrid w:val="0"/>
                      <w:szCs w:val="21"/>
                    </w:rPr>
                  </w:pPr>
                  <w:r>
                    <w:rPr>
                      <w:snapToGrid w:val="0"/>
                      <w:szCs w:val="21"/>
                    </w:rPr>
                    <w:t>2.8</w:t>
                  </w:r>
                </w:p>
              </w:tc>
              <w:tc>
                <w:tcPr>
                  <w:tcW w:w="2029" w:type="pct"/>
                  <w:vMerge w:val="continue"/>
                  <w:vAlign w:val="center"/>
                </w:tcPr>
                <w:p w14:paraId="18778069">
                  <w:pPr>
                    <w:adjustRightInd w:val="0"/>
                    <w:snapToGrid w:val="0"/>
                    <w:spacing w:line="340" w:lineRule="exact"/>
                    <w:jc w:val="center"/>
                    <w:rPr>
                      <w:snapToGrid w:val="0"/>
                      <w:szCs w:val="21"/>
                    </w:rPr>
                  </w:pPr>
                </w:p>
              </w:tc>
            </w:tr>
            <w:tr w14:paraId="7CDC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1F12383C">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1904127E">
                  <w:pPr>
                    <w:widowControl/>
                    <w:adjustRightInd w:val="0"/>
                    <w:snapToGrid w:val="0"/>
                    <w:spacing w:line="340" w:lineRule="exact"/>
                    <w:jc w:val="center"/>
                    <w:rPr>
                      <w:snapToGrid w:val="0"/>
                      <w:szCs w:val="21"/>
                    </w:rPr>
                  </w:pPr>
                  <w:r>
                    <w:rPr>
                      <w:snapToGrid w:val="0"/>
                      <w:szCs w:val="21"/>
                    </w:rPr>
                    <w:t>1,2,3-三氯丙烷</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4C462432">
                  <w:pPr>
                    <w:widowControl/>
                    <w:adjustRightInd w:val="0"/>
                    <w:snapToGrid w:val="0"/>
                    <w:spacing w:line="340" w:lineRule="exact"/>
                    <w:jc w:val="center"/>
                    <w:rPr>
                      <w:snapToGrid w:val="0"/>
                      <w:szCs w:val="21"/>
                    </w:rPr>
                  </w:pPr>
                  <w:r>
                    <w:rPr>
                      <w:snapToGrid w:val="0"/>
                      <w:szCs w:val="21"/>
                    </w:rPr>
                    <w:t>0.5</w:t>
                  </w:r>
                </w:p>
              </w:tc>
              <w:tc>
                <w:tcPr>
                  <w:tcW w:w="2029" w:type="pct"/>
                  <w:vMerge w:val="continue"/>
                  <w:vAlign w:val="center"/>
                </w:tcPr>
                <w:p w14:paraId="39E76363">
                  <w:pPr>
                    <w:adjustRightInd w:val="0"/>
                    <w:snapToGrid w:val="0"/>
                    <w:spacing w:line="340" w:lineRule="exact"/>
                    <w:jc w:val="center"/>
                    <w:rPr>
                      <w:snapToGrid w:val="0"/>
                      <w:szCs w:val="21"/>
                    </w:rPr>
                  </w:pPr>
                </w:p>
              </w:tc>
            </w:tr>
            <w:tr w14:paraId="7FF8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3762853C">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599E1873">
                  <w:pPr>
                    <w:widowControl/>
                    <w:adjustRightInd w:val="0"/>
                    <w:snapToGrid w:val="0"/>
                    <w:spacing w:line="340" w:lineRule="exact"/>
                    <w:jc w:val="center"/>
                    <w:rPr>
                      <w:snapToGrid w:val="0"/>
                      <w:szCs w:val="21"/>
                    </w:rPr>
                  </w:pPr>
                  <w:r>
                    <w:rPr>
                      <w:snapToGrid w:val="0"/>
                      <w:szCs w:val="21"/>
                    </w:rPr>
                    <w:t>氯乙烯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211CE2D3">
                  <w:pPr>
                    <w:widowControl/>
                    <w:adjustRightInd w:val="0"/>
                    <w:snapToGrid w:val="0"/>
                    <w:spacing w:line="340" w:lineRule="exact"/>
                    <w:jc w:val="center"/>
                    <w:rPr>
                      <w:snapToGrid w:val="0"/>
                      <w:szCs w:val="21"/>
                    </w:rPr>
                  </w:pPr>
                  <w:r>
                    <w:rPr>
                      <w:snapToGrid w:val="0"/>
                      <w:szCs w:val="21"/>
                    </w:rPr>
                    <w:t>0.43</w:t>
                  </w:r>
                </w:p>
              </w:tc>
              <w:tc>
                <w:tcPr>
                  <w:tcW w:w="2029" w:type="pct"/>
                  <w:vMerge w:val="continue"/>
                  <w:vAlign w:val="center"/>
                </w:tcPr>
                <w:p w14:paraId="6C367378">
                  <w:pPr>
                    <w:adjustRightInd w:val="0"/>
                    <w:snapToGrid w:val="0"/>
                    <w:spacing w:line="340" w:lineRule="exact"/>
                    <w:jc w:val="center"/>
                    <w:rPr>
                      <w:snapToGrid w:val="0"/>
                      <w:szCs w:val="21"/>
                    </w:rPr>
                  </w:pPr>
                </w:p>
              </w:tc>
            </w:tr>
            <w:tr w14:paraId="12D3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02F75913">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620D430">
                  <w:pPr>
                    <w:widowControl/>
                    <w:adjustRightInd w:val="0"/>
                    <w:snapToGrid w:val="0"/>
                    <w:spacing w:line="340" w:lineRule="exact"/>
                    <w:jc w:val="center"/>
                    <w:rPr>
                      <w:snapToGrid w:val="0"/>
                      <w:szCs w:val="21"/>
                    </w:rPr>
                  </w:pPr>
                  <w:r>
                    <w:rPr>
                      <w:snapToGrid w:val="0"/>
                      <w:szCs w:val="21"/>
                    </w:rPr>
                    <w:t>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14792EAD">
                  <w:pPr>
                    <w:widowControl/>
                    <w:adjustRightInd w:val="0"/>
                    <w:snapToGrid w:val="0"/>
                    <w:spacing w:line="340" w:lineRule="exact"/>
                    <w:jc w:val="center"/>
                    <w:rPr>
                      <w:snapToGrid w:val="0"/>
                      <w:szCs w:val="21"/>
                    </w:rPr>
                  </w:pPr>
                  <w:r>
                    <w:rPr>
                      <w:snapToGrid w:val="0"/>
                      <w:szCs w:val="21"/>
                    </w:rPr>
                    <w:t>4</w:t>
                  </w:r>
                </w:p>
              </w:tc>
              <w:tc>
                <w:tcPr>
                  <w:tcW w:w="2029" w:type="pct"/>
                  <w:vMerge w:val="continue"/>
                  <w:vAlign w:val="center"/>
                </w:tcPr>
                <w:p w14:paraId="08006949">
                  <w:pPr>
                    <w:adjustRightInd w:val="0"/>
                    <w:snapToGrid w:val="0"/>
                    <w:spacing w:line="340" w:lineRule="exact"/>
                    <w:jc w:val="center"/>
                    <w:rPr>
                      <w:snapToGrid w:val="0"/>
                      <w:szCs w:val="21"/>
                    </w:rPr>
                  </w:pPr>
                </w:p>
              </w:tc>
            </w:tr>
            <w:tr w14:paraId="5A9F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60574161">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0E740686">
                  <w:pPr>
                    <w:widowControl/>
                    <w:adjustRightInd w:val="0"/>
                    <w:snapToGrid w:val="0"/>
                    <w:spacing w:line="340" w:lineRule="exact"/>
                    <w:jc w:val="center"/>
                    <w:rPr>
                      <w:snapToGrid w:val="0"/>
                      <w:szCs w:val="21"/>
                    </w:rPr>
                  </w:pPr>
                  <w:r>
                    <w:rPr>
                      <w:snapToGrid w:val="0"/>
                      <w:szCs w:val="21"/>
                    </w:rPr>
                    <w:t>氯苯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142B05D2">
                  <w:pPr>
                    <w:widowControl/>
                    <w:adjustRightInd w:val="0"/>
                    <w:snapToGrid w:val="0"/>
                    <w:spacing w:line="340" w:lineRule="exact"/>
                    <w:jc w:val="center"/>
                    <w:rPr>
                      <w:snapToGrid w:val="0"/>
                      <w:szCs w:val="21"/>
                    </w:rPr>
                  </w:pPr>
                  <w:r>
                    <w:rPr>
                      <w:snapToGrid w:val="0"/>
                      <w:szCs w:val="21"/>
                    </w:rPr>
                    <w:t>270</w:t>
                  </w:r>
                </w:p>
              </w:tc>
              <w:tc>
                <w:tcPr>
                  <w:tcW w:w="2029" w:type="pct"/>
                  <w:vMerge w:val="continue"/>
                  <w:vAlign w:val="center"/>
                </w:tcPr>
                <w:p w14:paraId="518AF32C">
                  <w:pPr>
                    <w:adjustRightInd w:val="0"/>
                    <w:snapToGrid w:val="0"/>
                    <w:spacing w:line="340" w:lineRule="exact"/>
                    <w:jc w:val="center"/>
                    <w:rPr>
                      <w:snapToGrid w:val="0"/>
                      <w:szCs w:val="21"/>
                    </w:rPr>
                  </w:pPr>
                </w:p>
              </w:tc>
            </w:tr>
            <w:tr w14:paraId="0738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3F98C4C3">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2C13179">
                  <w:pPr>
                    <w:widowControl/>
                    <w:adjustRightInd w:val="0"/>
                    <w:snapToGrid w:val="0"/>
                    <w:spacing w:line="340" w:lineRule="exact"/>
                    <w:jc w:val="center"/>
                    <w:rPr>
                      <w:snapToGrid w:val="0"/>
                      <w:szCs w:val="21"/>
                    </w:rPr>
                  </w:pPr>
                  <w:r>
                    <w:rPr>
                      <w:snapToGrid w:val="0"/>
                      <w:szCs w:val="21"/>
                    </w:rPr>
                    <w:t>1,2-二氯苯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2893D77C">
                  <w:pPr>
                    <w:widowControl/>
                    <w:adjustRightInd w:val="0"/>
                    <w:snapToGrid w:val="0"/>
                    <w:spacing w:line="340" w:lineRule="exact"/>
                    <w:jc w:val="center"/>
                    <w:rPr>
                      <w:snapToGrid w:val="0"/>
                      <w:szCs w:val="21"/>
                    </w:rPr>
                  </w:pPr>
                  <w:r>
                    <w:rPr>
                      <w:snapToGrid w:val="0"/>
                      <w:szCs w:val="21"/>
                    </w:rPr>
                    <w:t>560</w:t>
                  </w:r>
                </w:p>
              </w:tc>
              <w:tc>
                <w:tcPr>
                  <w:tcW w:w="2029" w:type="pct"/>
                  <w:vMerge w:val="continue"/>
                  <w:vAlign w:val="center"/>
                </w:tcPr>
                <w:p w14:paraId="4ABE726F">
                  <w:pPr>
                    <w:adjustRightInd w:val="0"/>
                    <w:snapToGrid w:val="0"/>
                    <w:spacing w:line="340" w:lineRule="exact"/>
                    <w:jc w:val="center"/>
                    <w:rPr>
                      <w:snapToGrid w:val="0"/>
                      <w:szCs w:val="21"/>
                    </w:rPr>
                  </w:pPr>
                </w:p>
              </w:tc>
            </w:tr>
            <w:tr w14:paraId="5306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vAlign w:val="center"/>
                </w:tcPr>
                <w:p w14:paraId="2C80EF54">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96A3591">
                  <w:pPr>
                    <w:widowControl/>
                    <w:adjustRightInd w:val="0"/>
                    <w:snapToGrid w:val="0"/>
                    <w:spacing w:line="340" w:lineRule="exact"/>
                    <w:jc w:val="center"/>
                    <w:rPr>
                      <w:snapToGrid w:val="0"/>
                      <w:szCs w:val="21"/>
                    </w:rPr>
                  </w:pPr>
                  <w:r>
                    <w:rPr>
                      <w:snapToGrid w:val="0"/>
                      <w:szCs w:val="21"/>
                    </w:rPr>
                    <w:t>1,4-二氯苯</w:t>
                  </w:r>
                </w:p>
              </w:tc>
              <w:tc>
                <w:tcPr>
                  <w:tcW w:w="851" w:type="pct"/>
                  <w:tcBorders>
                    <w:top w:val="single" w:color="auto" w:sz="4" w:space="0"/>
                    <w:left w:val="single" w:color="auto" w:sz="4" w:space="0"/>
                    <w:bottom w:val="single" w:color="auto" w:sz="4" w:space="0"/>
                  </w:tcBorders>
                  <w:tcMar>
                    <w:left w:w="57" w:type="dxa"/>
                    <w:right w:w="57" w:type="dxa"/>
                  </w:tcMar>
                  <w:vAlign w:val="center"/>
                </w:tcPr>
                <w:p w14:paraId="2A95E387">
                  <w:pPr>
                    <w:widowControl/>
                    <w:adjustRightInd w:val="0"/>
                    <w:snapToGrid w:val="0"/>
                    <w:spacing w:line="340" w:lineRule="exact"/>
                    <w:jc w:val="center"/>
                    <w:rPr>
                      <w:snapToGrid w:val="0"/>
                      <w:szCs w:val="21"/>
                    </w:rPr>
                  </w:pPr>
                  <w:r>
                    <w:rPr>
                      <w:snapToGrid w:val="0"/>
                      <w:szCs w:val="21"/>
                    </w:rPr>
                    <w:t>20</w:t>
                  </w:r>
                </w:p>
              </w:tc>
              <w:tc>
                <w:tcPr>
                  <w:tcW w:w="2029" w:type="pct"/>
                  <w:vMerge w:val="continue"/>
                  <w:vAlign w:val="center"/>
                </w:tcPr>
                <w:p w14:paraId="53468271">
                  <w:pPr>
                    <w:adjustRightInd w:val="0"/>
                    <w:snapToGrid w:val="0"/>
                    <w:spacing w:line="340" w:lineRule="exact"/>
                    <w:jc w:val="center"/>
                    <w:rPr>
                      <w:snapToGrid w:val="0"/>
                      <w:szCs w:val="21"/>
                    </w:rPr>
                  </w:pPr>
                </w:p>
              </w:tc>
            </w:tr>
            <w:tr w14:paraId="4F91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E741D18">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578D0D77">
                  <w:pPr>
                    <w:widowControl/>
                    <w:adjustRightInd w:val="0"/>
                    <w:snapToGrid w:val="0"/>
                    <w:spacing w:line="340" w:lineRule="exact"/>
                    <w:jc w:val="center"/>
                    <w:rPr>
                      <w:snapToGrid w:val="0"/>
                      <w:szCs w:val="21"/>
                    </w:rPr>
                  </w:pPr>
                  <w:r>
                    <w:rPr>
                      <w:snapToGrid w:val="0"/>
                      <w:szCs w:val="21"/>
                    </w:rPr>
                    <w:t>乙苯</w:t>
                  </w:r>
                </w:p>
              </w:tc>
              <w:tc>
                <w:tcPr>
                  <w:tcW w:w="851" w:type="pct"/>
                  <w:tcBorders>
                    <w:top w:val="single" w:color="auto" w:sz="4" w:space="0"/>
                    <w:left w:val="single" w:color="auto" w:sz="4" w:space="0"/>
                    <w:bottom w:val="single" w:color="auto" w:sz="4" w:space="0"/>
                  </w:tcBorders>
                  <w:vAlign w:val="center"/>
                </w:tcPr>
                <w:p w14:paraId="594A6FB6">
                  <w:pPr>
                    <w:widowControl/>
                    <w:adjustRightInd w:val="0"/>
                    <w:snapToGrid w:val="0"/>
                    <w:spacing w:line="340" w:lineRule="exact"/>
                    <w:jc w:val="center"/>
                    <w:rPr>
                      <w:snapToGrid w:val="0"/>
                      <w:szCs w:val="21"/>
                    </w:rPr>
                  </w:pPr>
                  <w:r>
                    <w:rPr>
                      <w:snapToGrid w:val="0"/>
                      <w:szCs w:val="21"/>
                    </w:rPr>
                    <w:t>28</w:t>
                  </w:r>
                </w:p>
              </w:tc>
              <w:tc>
                <w:tcPr>
                  <w:tcW w:w="2029" w:type="pct"/>
                  <w:vMerge w:val="continue"/>
                  <w:vAlign w:val="center"/>
                </w:tcPr>
                <w:p w14:paraId="17AC7F06">
                  <w:pPr>
                    <w:adjustRightInd w:val="0"/>
                    <w:snapToGrid w:val="0"/>
                    <w:spacing w:line="340" w:lineRule="exact"/>
                    <w:jc w:val="center"/>
                    <w:rPr>
                      <w:snapToGrid w:val="0"/>
                      <w:szCs w:val="21"/>
                    </w:rPr>
                  </w:pPr>
                </w:p>
              </w:tc>
            </w:tr>
            <w:tr w14:paraId="766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252D48A3">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55485308">
                  <w:pPr>
                    <w:widowControl/>
                    <w:adjustRightInd w:val="0"/>
                    <w:snapToGrid w:val="0"/>
                    <w:spacing w:line="340" w:lineRule="exact"/>
                    <w:jc w:val="center"/>
                    <w:rPr>
                      <w:snapToGrid w:val="0"/>
                      <w:szCs w:val="21"/>
                    </w:rPr>
                  </w:pPr>
                  <w:r>
                    <w:rPr>
                      <w:snapToGrid w:val="0"/>
                      <w:szCs w:val="21"/>
                    </w:rPr>
                    <w:t>苯乙烯</w:t>
                  </w:r>
                </w:p>
              </w:tc>
              <w:tc>
                <w:tcPr>
                  <w:tcW w:w="851" w:type="pct"/>
                  <w:tcBorders>
                    <w:top w:val="single" w:color="auto" w:sz="4" w:space="0"/>
                    <w:left w:val="single" w:color="auto" w:sz="4" w:space="0"/>
                    <w:bottom w:val="single" w:color="auto" w:sz="4" w:space="0"/>
                  </w:tcBorders>
                  <w:vAlign w:val="center"/>
                </w:tcPr>
                <w:p w14:paraId="52A62E20">
                  <w:pPr>
                    <w:widowControl/>
                    <w:adjustRightInd w:val="0"/>
                    <w:snapToGrid w:val="0"/>
                    <w:spacing w:line="340" w:lineRule="exact"/>
                    <w:jc w:val="center"/>
                    <w:rPr>
                      <w:snapToGrid w:val="0"/>
                      <w:szCs w:val="21"/>
                    </w:rPr>
                  </w:pPr>
                  <w:r>
                    <w:rPr>
                      <w:snapToGrid w:val="0"/>
                      <w:szCs w:val="21"/>
                    </w:rPr>
                    <w:t>1290</w:t>
                  </w:r>
                </w:p>
              </w:tc>
              <w:tc>
                <w:tcPr>
                  <w:tcW w:w="2029" w:type="pct"/>
                  <w:vMerge w:val="continue"/>
                  <w:vAlign w:val="center"/>
                </w:tcPr>
                <w:p w14:paraId="4C4461C2">
                  <w:pPr>
                    <w:adjustRightInd w:val="0"/>
                    <w:snapToGrid w:val="0"/>
                    <w:spacing w:line="340" w:lineRule="exact"/>
                    <w:jc w:val="center"/>
                    <w:rPr>
                      <w:snapToGrid w:val="0"/>
                      <w:szCs w:val="21"/>
                    </w:rPr>
                  </w:pPr>
                </w:p>
              </w:tc>
            </w:tr>
            <w:tr w14:paraId="5605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6EEAF71F">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47174E08">
                  <w:pPr>
                    <w:widowControl/>
                    <w:adjustRightInd w:val="0"/>
                    <w:snapToGrid w:val="0"/>
                    <w:spacing w:line="340" w:lineRule="exact"/>
                    <w:jc w:val="center"/>
                    <w:rPr>
                      <w:snapToGrid w:val="0"/>
                      <w:szCs w:val="21"/>
                    </w:rPr>
                  </w:pPr>
                  <w:r>
                    <w:rPr>
                      <w:snapToGrid w:val="0"/>
                      <w:szCs w:val="21"/>
                    </w:rPr>
                    <w:t>甲苯</w:t>
                  </w:r>
                </w:p>
              </w:tc>
              <w:tc>
                <w:tcPr>
                  <w:tcW w:w="851" w:type="pct"/>
                  <w:tcBorders>
                    <w:top w:val="single" w:color="auto" w:sz="4" w:space="0"/>
                    <w:left w:val="single" w:color="auto" w:sz="4" w:space="0"/>
                    <w:bottom w:val="single" w:color="auto" w:sz="4" w:space="0"/>
                  </w:tcBorders>
                  <w:vAlign w:val="center"/>
                </w:tcPr>
                <w:p w14:paraId="641966CA">
                  <w:pPr>
                    <w:widowControl/>
                    <w:adjustRightInd w:val="0"/>
                    <w:snapToGrid w:val="0"/>
                    <w:spacing w:line="340" w:lineRule="exact"/>
                    <w:jc w:val="center"/>
                    <w:rPr>
                      <w:snapToGrid w:val="0"/>
                      <w:szCs w:val="21"/>
                    </w:rPr>
                  </w:pPr>
                  <w:r>
                    <w:rPr>
                      <w:snapToGrid w:val="0"/>
                      <w:szCs w:val="21"/>
                    </w:rPr>
                    <w:t>1200</w:t>
                  </w:r>
                </w:p>
              </w:tc>
              <w:tc>
                <w:tcPr>
                  <w:tcW w:w="2029" w:type="pct"/>
                  <w:vMerge w:val="continue"/>
                  <w:vAlign w:val="center"/>
                </w:tcPr>
                <w:p w14:paraId="3D894413">
                  <w:pPr>
                    <w:adjustRightInd w:val="0"/>
                    <w:snapToGrid w:val="0"/>
                    <w:spacing w:line="340" w:lineRule="exact"/>
                    <w:jc w:val="center"/>
                    <w:rPr>
                      <w:snapToGrid w:val="0"/>
                      <w:szCs w:val="21"/>
                    </w:rPr>
                  </w:pPr>
                </w:p>
              </w:tc>
            </w:tr>
            <w:tr w14:paraId="314C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29574C48">
                  <w:pPr>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1516338F">
                  <w:pPr>
                    <w:widowControl/>
                    <w:adjustRightInd w:val="0"/>
                    <w:snapToGrid w:val="0"/>
                    <w:spacing w:line="340" w:lineRule="exact"/>
                    <w:jc w:val="center"/>
                    <w:rPr>
                      <w:snapToGrid w:val="0"/>
                      <w:szCs w:val="21"/>
                    </w:rPr>
                  </w:pPr>
                  <w:r>
                    <w:rPr>
                      <w:snapToGrid w:val="0"/>
                      <w:szCs w:val="21"/>
                    </w:rPr>
                    <w:t>间-二甲苯+对-二甲苯</w:t>
                  </w:r>
                </w:p>
              </w:tc>
              <w:tc>
                <w:tcPr>
                  <w:tcW w:w="851" w:type="pct"/>
                  <w:tcBorders>
                    <w:top w:val="single" w:color="auto" w:sz="4" w:space="0"/>
                    <w:left w:val="single" w:color="auto" w:sz="4" w:space="0"/>
                    <w:bottom w:val="single" w:color="auto" w:sz="4" w:space="0"/>
                  </w:tcBorders>
                  <w:vAlign w:val="center"/>
                </w:tcPr>
                <w:p w14:paraId="0FC4C0C8">
                  <w:pPr>
                    <w:widowControl/>
                    <w:adjustRightInd w:val="0"/>
                    <w:snapToGrid w:val="0"/>
                    <w:spacing w:line="340" w:lineRule="exact"/>
                    <w:jc w:val="center"/>
                    <w:rPr>
                      <w:snapToGrid w:val="0"/>
                      <w:szCs w:val="21"/>
                    </w:rPr>
                  </w:pPr>
                  <w:r>
                    <w:rPr>
                      <w:snapToGrid w:val="0"/>
                      <w:szCs w:val="21"/>
                    </w:rPr>
                    <w:t>570</w:t>
                  </w:r>
                </w:p>
              </w:tc>
              <w:tc>
                <w:tcPr>
                  <w:tcW w:w="2029" w:type="pct"/>
                  <w:vMerge w:val="continue"/>
                  <w:vAlign w:val="center"/>
                </w:tcPr>
                <w:p w14:paraId="0A24653E">
                  <w:pPr>
                    <w:adjustRightInd w:val="0"/>
                    <w:snapToGrid w:val="0"/>
                    <w:spacing w:line="340" w:lineRule="exact"/>
                    <w:jc w:val="center"/>
                    <w:rPr>
                      <w:snapToGrid w:val="0"/>
                      <w:szCs w:val="21"/>
                    </w:rPr>
                  </w:pPr>
                </w:p>
              </w:tc>
            </w:tr>
            <w:tr w14:paraId="4B72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66527FA0">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05F7159D">
                  <w:pPr>
                    <w:widowControl/>
                    <w:adjustRightInd w:val="0"/>
                    <w:snapToGrid w:val="0"/>
                    <w:spacing w:line="340" w:lineRule="exact"/>
                    <w:jc w:val="center"/>
                    <w:rPr>
                      <w:snapToGrid w:val="0"/>
                      <w:szCs w:val="21"/>
                    </w:rPr>
                  </w:pPr>
                  <w:r>
                    <w:rPr>
                      <w:snapToGrid w:val="0"/>
                      <w:szCs w:val="21"/>
                    </w:rPr>
                    <w:t>邻-二甲苯</w:t>
                  </w:r>
                </w:p>
              </w:tc>
              <w:tc>
                <w:tcPr>
                  <w:tcW w:w="851" w:type="pct"/>
                  <w:tcBorders>
                    <w:top w:val="single" w:color="auto" w:sz="4" w:space="0"/>
                    <w:left w:val="single" w:color="auto" w:sz="4" w:space="0"/>
                    <w:bottom w:val="single" w:color="auto" w:sz="4" w:space="0"/>
                  </w:tcBorders>
                  <w:vAlign w:val="center"/>
                </w:tcPr>
                <w:p w14:paraId="7304DE81">
                  <w:pPr>
                    <w:widowControl/>
                    <w:adjustRightInd w:val="0"/>
                    <w:snapToGrid w:val="0"/>
                    <w:spacing w:line="340" w:lineRule="exact"/>
                    <w:jc w:val="center"/>
                    <w:rPr>
                      <w:snapToGrid w:val="0"/>
                      <w:szCs w:val="21"/>
                    </w:rPr>
                  </w:pPr>
                  <w:r>
                    <w:rPr>
                      <w:snapToGrid w:val="0"/>
                      <w:szCs w:val="21"/>
                    </w:rPr>
                    <w:t>640</w:t>
                  </w:r>
                </w:p>
              </w:tc>
              <w:tc>
                <w:tcPr>
                  <w:tcW w:w="2029" w:type="pct"/>
                  <w:vMerge w:val="continue"/>
                  <w:vAlign w:val="center"/>
                </w:tcPr>
                <w:p w14:paraId="1CD8FD17">
                  <w:pPr>
                    <w:widowControl/>
                    <w:adjustRightInd w:val="0"/>
                    <w:snapToGrid w:val="0"/>
                    <w:spacing w:line="340" w:lineRule="exact"/>
                    <w:jc w:val="center"/>
                    <w:rPr>
                      <w:snapToGrid w:val="0"/>
                      <w:szCs w:val="21"/>
                    </w:rPr>
                  </w:pPr>
                </w:p>
              </w:tc>
            </w:tr>
            <w:tr w14:paraId="3F19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75AF2502">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5B2BB430">
                  <w:pPr>
                    <w:widowControl/>
                    <w:adjustRightInd w:val="0"/>
                    <w:snapToGrid w:val="0"/>
                    <w:spacing w:line="340" w:lineRule="exact"/>
                    <w:jc w:val="center"/>
                    <w:rPr>
                      <w:snapToGrid w:val="0"/>
                      <w:szCs w:val="21"/>
                    </w:rPr>
                  </w:pPr>
                  <w:r>
                    <w:rPr>
                      <w:snapToGrid w:val="0"/>
                      <w:szCs w:val="21"/>
                    </w:rPr>
                    <w:t>硝基苯</w:t>
                  </w:r>
                </w:p>
              </w:tc>
              <w:tc>
                <w:tcPr>
                  <w:tcW w:w="851" w:type="pct"/>
                  <w:tcBorders>
                    <w:top w:val="single" w:color="auto" w:sz="4" w:space="0"/>
                    <w:left w:val="single" w:color="auto" w:sz="4" w:space="0"/>
                    <w:bottom w:val="single" w:color="auto" w:sz="4" w:space="0"/>
                  </w:tcBorders>
                  <w:vAlign w:val="center"/>
                </w:tcPr>
                <w:p w14:paraId="36AC7605">
                  <w:pPr>
                    <w:widowControl/>
                    <w:adjustRightInd w:val="0"/>
                    <w:snapToGrid w:val="0"/>
                    <w:spacing w:line="340" w:lineRule="exact"/>
                    <w:jc w:val="center"/>
                    <w:rPr>
                      <w:snapToGrid w:val="0"/>
                      <w:szCs w:val="21"/>
                    </w:rPr>
                  </w:pPr>
                  <w:r>
                    <w:rPr>
                      <w:snapToGrid w:val="0"/>
                      <w:szCs w:val="21"/>
                    </w:rPr>
                    <w:t>76</w:t>
                  </w:r>
                </w:p>
              </w:tc>
              <w:tc>
                <w:tcPr>
                  <w:tcW w:w="2029" w:type="pct"/>
                  <w:vMerge w:val="continue"/>
                  <w:vAlign w:val="center"/>
                </w:tcPr>
                <w:p w14:paraId="11387CD4">
                  <w:pPr>
                    <w:widowControl/>
                    <w:adjustRightInd w:val="0"/>
                    <w:snapToGrid w:val="0"/>
                    <w:spacing w:line="340" w:lineRule="exact"/>
                    <w:jc w:val="center"/>
                    <w:rPr>
                      <w:snapToGrid w:val="0"/>
                      <w:szCs w:val="21"/>
                    </w:rPr>
                  </w:pPr>
                </w:p>
              </w:tc>
            </w:tr>
            <w:tr w14:paraId="726F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52D4123C">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2CCC6FE0">
                  <w:pPr>
                    <w:widowControl/>
                    <w:adjustRightInd w:val="0"/>
                    <w:snapToGrid w:val="0"/>
                    <w:spacing w:line="340" w:lineRule="exact"/>
                    <w:jc w:val="center"/>
                    <w:rPr>
                      <w:snapToGrid w:val="0"/>
                      <w:szCs w:val="21"/>
                    </w:rPr>
                  </w:pPr>
                  <w:r>
                    <w:rPr>
                      <w:snapToGrid w:val="0"/>
                      <w:szCs w:val="21"/>
                    </w:rPr>
                    <w:t>苯胺</w:t>
                  </w:r>
                </w:p>
              </w:tc>
              <w:tc>
                <w:tcPr>
                  <w:tcW w:w="851" w:type="pct"/>
                  <w:tcBorders>
                    <w:top w:val="single" w:color="auto" w:sz="4" w:space="0"/>
                    <w:left w:val="single" w:color="auto" w:sz="4" w:space="0"/>
                    <w:bottom w:val="single" w:color="auto" w:sz="4" w:space="0"/>
                  </w:tcBorders>
                  <w:vAlign w:val="center"/>
                </w:tcPr>
                <w:p w14:paraId="39ECA351">
                  <w:pPr>
                    <w:widowControl/>
                    <w:adjustRightInd w:val="0"/>
                    <w:snapToGrid w:val="0"/>
                    <w:spacing w:line="340" w:lineRule="exact"/>
                    <w:jc w:val="center"/>
                    <w:rPr>
                      <w:snapToGrid w:val="0"/>
                      <w:szCs w:val="21"/>
                    </w:rPr>
                  </w:pPr>
                  <w:r>
                    <w:rPr>
                      <w:snapToGrid w:val="0"/>
                      <w:szCs w:val="21"/>
                    </w:rPr>
                    <w:t>260</w:t>
                  </w:r>
                </w:p>
              </w:tc>
              <w:tc>
                <w:tcPr>
                  <w:tcW w:w="2029" w:type="pct"/>
                  <w:vMerge w:val="continue"/>
                  <w:vAlign w:val="center"/>
                </w:tcPr>
                <w:p w14:paraId="46422415">
                  <w:pPr>
                    <w:widowControl/>
                    <w:adjustRightInd w:val="0"/>
                    <w:snapToGrid w:val="0"/>
                    <w:spacing w:line="340" w:lineRule="exact"/>
                    <w:jc w:val="center"/>
                    <w:rPr>
                      <w:snapToGrid w:val="0"/>
                      <w:szCs w:val="21"/>
                    </w:rPr>
                  </w:pPr>
                </w:p>
              </w:tc>
            </w:tr>
            <w:tr w14:paraId="53DF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27B871E2">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9F5B534">
                  <w:pPr>
                    <w:widowControl/>
                    <w:adjustRightInd w:val="0"/>
                    <w:snapToGrid w:val="0"/>
                    <w:spacing w:line="340" w:lineRule="exact"/>
                    <w:jc w:val="center"/>
                    <w:rPr>
                      <w:snapToGrid w:val="0"/>
                      <w:szCs w:val="21"/>
                    </w:rPr>
                  </w:pPr>
                  <w:r>
                    <w:rPr>
                      <w:snapToGrid w:val="0"/>
                      <w:szCs w:val="21"/>
                    </w:rPr>
                    <w:t>2-氯酚</w:t>
                  </w:r>
                </w:p>
              </w:tc>
              <w:tc>
                <w:tcPr>
                  <w:tcW w:w="851" w:type="pct"/>
                  <w:tcBorders>
                    <w:top w:val="single" w:color="auto" w:sz="4" w:space="0"/>
                    <w:left w:val="single" w:color="auto" w:sz="4" w:space="0"/>
                    <w:bottom w:val="single" w:color="auto" w:sz="4" w:space="0"/>
                  </w:tcBorders>
                  <w:vAlign w:val="center"/>
                </w:tcPr>
                <w:p w14:paraId="12357E62">
                  <w:pPr>
                    <w:widowControl/>
                    <w:adjustRightInd w:val="0"/>
                    <w:snapToGrid w:val="0"/>
                    <w:spacing w:line="340" w:lineRule="exact"/>
                    <w:jc w:val="center"/>
                    <w:rPr>
                      <w:snapToGrid w:val="0"/>
                      <w:szCs w:val="21"/>
                    </w:rPr>
                  </w:pPr>
                  <w:r>
                    <w:rPr>
                      <w:snapToGrid w:val="0"/>
                      <w:szCs w:val="21"/>
                    </w:rPr>
                    <w:t>2256</w:t>
                  </w:r>
                </w:p>
              </w:tc>
              <w:tc>
                <w:tcPr>
                  <w:tcW w:w="2029" w:type="pct"/>
                  <w:vMerge w:val="continue"/>
                  <w:vAlign w:val="center"/>
                </w:tcPr>
                <w:p w14:paraId="293E3E0F">
                  <w:pPr>
                    <w:widowControl/>
                    <w:adjustRightInd w:val="0"/>
                    <w:snapToGrid w:val="0"/>
                    <w:spacing w:line="340" w:lineRule="exact"/>
                    <w:jc w:val="center"/>
                    <w:rPr>
                      <w:snapToGrid w:val="0"/>
                      <w:szCs w:val="21"/>
                    </w:rPr>
                  </w:pPr>
                </w:p>
              </w:tc>
            </w:tr>
            <w:tr w14:paraId="1A5B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2E662F6">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1B6F61C5">
                  <w:pPr>
                    <w:widowControl/>
                    <w:adjustRightInd w:val="0"/>
                    <w:snapToGrid w:val="0"/>
                    <w:spacing w:line="340" w:lineRule="exact"/>
                    <w:jc w:val="center"/>
                    <w:rPr>
                      <w:snapToGrid w:val="0"/>
                      <w:szCs w:val="21"/>
                    </w:rPr>
                  </w:pPr>
                  <w:r>
                    <w:rPr>
                      <w:snapToGrid w:val="0"/>
                      <w:szCs w:val="21"/>
                    </w:rPr>
                    <w:t>苯并[a]蒽</w:t>
                  </w:r>
                </w:p>
              </w:tc>
              <w:tc>
                <w:tcPr>
                  <w:tcW w:w="851" w:type="pct"/>
                  <w:tcBorders>
                    <w:top w:val="single" w:color="auto" w:sz="4" w:space="0"/>
                    <w:left w:val="single" w:color="auto" w:sz="4" w:space="0"/>
                    <w:bottom w:val="single" w:color="auto" w:sz="4" w:space="0"/>
                  </w:tcBorders>
                  <w:vAlign w:val="center"/>
                </w:tcPr>
                <w:p w14:paraId="1B067359">
                  <w:pPr>
                    <w:widowControl/>
                    <w:adjustRightInd w:val="0"/>
                    <w:snapToGrid w:val="0"/>
                    <w:spacing w:line="340" w:lineRule="exact"/>
                    <w:jc w:val="center"/>
                    <w:rPr>
                      <w:snapToGrid w:val="0"/>
                      <w:szCs w:val="21"/>
                    </w:rPr>
                  </w:pPr>
                  <w:r>
                    <w:rPr>
                      <w:snapToGrid w:val="0"/>
                      <w:szCs w:val="21"/>
                    </w:rPr>
                    <w:t>15</w:t>
                  </w:r>
                </w:p>
              </w:tc>
              <w:tc>
                <w:tcPr>
                  <w:tcW w:w="2029" w:type="pct"/>
                  <w:vMerge w:val="continue"/>
                  <w:vAlign w:val="center"/>
                </w:tcPr>
                <w:p w14:paraId="6183DA52">
                  <w:pPr>
                    <w:widowControl/>
                    <w:adjustRightInd w:val="0"/>
                    <w:snapToGrid w:val="0"/>
                    <w:spacing w:line="340" w:lineRule="exact"/>
                    <w:jc w:val="center"/>
                    <w:rPr>
                      <w:snapToGrid w:val="0"/>
                      <w:szCs w:val="21"/>
                    </w:rPr>
                  </w:pPr>
                </w:p>
              </w:tc>
            </w:tr>
            <w:tr w14:paraId="4A30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1DBDA84">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2A5AD165">
                  <w:pPr>
                    <w:widowControl/>
                    <w:adjustRightInd w:val="0"/>
                    <w:snapToGrid w:val="0"/>
                    <w:spacing w:line="340" w:lineRule="exact"/>
                    <w:jc w:val="center"/>
                    <w:rPr>
                      <w:snapToGrid w:val="0"/>
                      <w:szCs w:val="21"/>
                    </w:rPr>
                  </w:pPr>
                  <w:r>
                    <w:rPr>
                      <w:snapToGrid w:val="0"/>
                      <w:szCs w:val="21"/>
                    </w:rPr>
                    <w:t>苯并[a]芘</w:t>
                  </w:r>
                </w:p>
              </w:tc>
              <w:tc>
                <w:tcPr>
                  <w:tcW w:w="851" w:type="pct"/>
                  <w:tcBorders>
                    <w:top w:val="single" w:color="auto" w:sz="4" w:space="0"/>
                    <w:left w:val="single" w:color="auto" w:sz="4" w:space="0"/>
                    <w:bottom w:val="single" w:color="auto" w:sz="4" w:space="0"/>
                  </w:tcBorders>
                  <w:vAlign w:val="center"/>
                </w:tcPr>
                <w:p w14:paraId="791FE88E">
                  <w:pPr>
                    <w:widowControl/>
                    <w:adjustRightInd w:val="0"/>
                    <w:snapToGrid w:val="0"/>
                    <w:spacing w:line="340" w:lineRule="exact"/>
                    <w:jc w:val="center"/>
                    <w:rPr>
                      <w:snapToGrid w:val="0"/>
                      <w:szCs w:val="21"/>
                    </w:rPr>
                  </w:pPr>
                  <w:r>
                    <w:rPr>
                      <w:snapToGrid w:val="0"/>
                      <w:szCs w:val="21"/>
                    </w:rPr>
                    <w:t>1.5</w:t>
                  </w:r>
                </w:p>
              </w:tc>
              <w:tc>
                <w:tcPr>
                  <w:tcW w:w="2029" w:type="pct"/>
                  <w:vMerge w:val="continue"/>
                  <w:vAlign w:val="center"/>
                </w:tcPr>
                <w:p w14:paraId="582979C2">
                  <w:pPr>
                    <w:widowControl/>
                    <w:adjustRightInd w:val="0"/>
                    <w:snapToGrid w:val="0"/>
                    <w:spacing w:line="340" w:lineRule="exact"/>
                    <w:jc w:val="center"/>
                    <w:rPr>
                      <w:snapToGrid w:val="0"/>
                      <w:szCs w:val="21"/>
                    </w:rPr>
                  </w:pPr>
                </w:p>
              </w:tc>
            </w:tr>
            <w:tr w14:paraId="2739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5279D87E">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277328D3">
                  <w:pPr>
                    <w:widowControl/>
                    <w:adjustRightInd w:val="0"/>
                    <w:snapToGrid w:val="0"/>
                    <w:spacing w:line="340" w:lineRule="exact"/>
                    <w:jc w:val="center"/>
                    <w:rPr>
                      <w:snapToGrid w:val="0"/>
                      <w:szCs w:val="21"/>
                    </w:rPr>
                  </w:pPr>
                  <w:r>
                    <w:rPr>
                      <w:snapToGrid w:val="0"/>
                      <w:szCs w:val="21"/>
                    </w:rPr>
                    <w:t>苯并[b]荧蒽</w:t>
                  </w:r>
                </w:p>
              </w:tc>
              <w:tc>
                <w:tcPr>
                  <w:tcW w:w="851" w:type="pct"/>
                  <w:tcBorders>
                    <w:top w:val="single" w:color="auto" w:sz="4" w:space="0"/>
                    <w:left w:val="single" w:color="auto" w:sz="4" w:space="0"/>
                    <w:bottom w:val="single" w:color="auto" w:sz="4" w:space="0"/>
                  </w:tcBorders>
                  <w:vAlign w:val="center"/>
                </w:tcPr>
                <w:p w14:paraId="07F1F255">
                  <w:pPr>
                    <w:widowControl/>
                    <w:adjustRightInd w:val="0"/>
                    <w:snapToGrid w:val="0"/>
                    <w:spacing w:line="340" w:lineRule="exact"/>
                    <w:jc w:val="center"/>
                    <w:rPr>
                      <w:snapToGrid w:val="0"/>
                      <w:szCs w:val="21"/>
                    </w:rPr>
                  </w:pPr>
                  <w:r>
                    <w:rPr>
                      <w:snapToGrid w:val="0"/>
                      <w:szCs w:val="21"/>
                    </w:rPr>
                    <w:t>15</w:t>
                  </w:r>
                </w:p>
              </w:tc>
              <w:tc>
                <w:tcPr>
                  <w:tcW w:w="2029" w:type="pct"/>
                  <w:vMerge w:val="continue"/>
                  <w:vAlign w:val="center"/>
                </w:tcPr>
                <w:p w14:paraId="67EA6BE3">
                  <w:pPr>
                    <w:widowControl/>
                    <w:adjustRightInd w:val="0"/>
                    <w:snapToGrid w:val="0"/>
                    <w:spacing w:line="340" w:lineRule="exact"/>
                    <w:jc w:val="center"/>
                    <w:rPr>
                      <w:snapToGrid w:val="0"/>
                      <w:szCs w:val="21"/>
                    </w:rPr>
                  </w:pPr>
                </w:p>
              </w:tc>
            </w:tr>
            <w:tr w14:paraId="0DEB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6ECC77BC">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351A66D3">
                  <w:pPr>
                    <w:widowControl/>
                    <w:adjustRightInd w:val="0"/>
                    <w:snapToGrid w:val="0"/>
                    <w:spacing w:line="340" w:lineRule="exact"/>
                    <w:jc w:val="center"/>
                    <w:rPr>
                      <w:snapToGrid w:val="0"/>
                      <w:szCs w:val="21"/>
                    </w:rPr>
                  </w:pPr>
                  <w:r>
                    <w:rPr>
                      <w:snapToGrid w:val="0"/>
                      <w:szCs w:val="21"/>
                    </w:rPr>
                    <w:t>苯并[k]荧蒽</w:t>
                  </w:r>
                </w:p>
              </w:tc>
              <w:tc>
                <w:tcPr>
                  <w:tcW w:w="851" w:type="pct"/>
                  <w:tcBorders>
                    <w:top w:val="single" w:color="auto" w:sz="4" w:space="0"/>
                    <w:left w:val="single" w:color="auto" w:sz="4" w:space="0"/>
                    <w:bottom w:val="single" w:color="auto" w:sz="4" w:space="0"/>
                  </w:tcBorders>
                  <w:vAlign w:val="center"/>
                </w:tcPr>
                <w:p w14:paraId="50E78C7C">
                  <w:pPr>
                    <w:widowControl/>
                    <w:adjustRightInd w:val="0"/>
                    <w:snapToGrid w:val="0"/>
                    <w:spacing w:line="340" w:lineRule="exact"/>
                    <w:jc w:val="center"/>
                    <w:rPr>
                      <w:snapToGrid w:val="0"/>
                      <w:szCs w:val="21"/>
                    </w:rPr>
                  </w:pPr>
                  <w:r>
                    <w:rPr>
                      <w:snapToGrid w:val="0"/>
                      <w:szCs w:val="21"/>
                    </w:rPr>
                    <w:t>151</w:t>
                  </w:r>
                </w:p>
              </w:tc>
              <w:tc>
                <w:tcPr>
                  <w:tcW w:w="2029" w:type="pct"/>
                  <w:vMerge w:val="continue"/>
                  <w:vAlign w:val="center"/>
                </w:tcPr>
                <w:p w14:paraId="5E055719">
                  <w:pPr>
                    <w:widowControl/>
                    <w:adjustRightInd w:val="0"/>
                    <w:snapToGrid w:val="0"/>
                    <w:spacing w:line="340" w:lineRule="exact"/>
                    <w:jc w:val="center"/>
                    <w:rPr>
                      <w:snapToGrid w:val="0"/>
                      <w:szCs w:val="21"/>
                    </w:rPr>
                  </w:pPr>
                </w:p>
              </w:tc>
            </w:tr>
            <w:tr w14:paraId="5155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15785C49">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45791B16">
                  <w:pPr>
                    <w:widowControl/>
                    <w:adjustRightInd w:val="0"/>
                    <w:snapToGrid w:val="0"/>
                    <w:spacing w:line="340" w:lineRule="exact"/>
                    <w:jc w:val="center"/>
                    <w:rPr>
                      <w:snapToGrid w:val="0"/>
                      <w:szCs w:val="21"/>
                    </w:rPr>
                  </w:pPr>
                  <w:r>
                    <w:rPr>
                      <w:snapToGrid w:val="0"/>
                      <w:szCs w:val="21"/>
                    </w:rPr>
                    <w:t>䓛</w:t>
                  </w:r>
                </w:p>
              </w:tc>
              <w:tc>
                <w:tcPr>
                  <w:tcW w:w="851" w:type="pct"/>
                  <w:tcBorders>
                    <w:top w:val="single" w:color="auto" w:sz="4" w:space="0"/>
                    <w:left w:val="single" w:color="auto" w:sz="4" w:space="0"/>
                    <w:bottom w:val="single" w:color="auto" w:sz="4" w:space="0"/>
                  </w:tcBorders>
                  <w:vAlign w:val="center"/>
                </w:tcPr>
                <w:p w14:paraId="5210E82B">
                  <w:pPr>
                    <w:widowControl/>
                    <w:adjustRightInd w:val="0"/>
                    <w:snapToGrid w:val="0"/>
                    <w:spacing w:line="340" w:lineRule="exact"/>
                    <w:jc w:val="center"/>
                    <w:rPr>
                      <w:snapToGrid w:val="0"/>
                      <w:szCs w:val="21"/>
                    </w:rPr>
                  </w:pPr>
                  <w:r>
                    <w:rPr>
                      <w:snapToGrid w:val="0"/>
                      <w:szCs w:val="21"/>
                    </w:rPr>
                    <w:t>1293</w:t>
                  </w:r>
                </w:p>
              </w:tc>
              <w:tc>
                <w:tcPr>
                  <w:tcW w:w="2029" w:type="pct"/>
                  <w:vMerge w:val="continue"/>
                  <w:vAlign w:val="center"/>
                </w:tcPr>
                <w:p w14:paraId="6DA796E8">
                  <w:pPr>
                    <w:widowControl/>
                    <w:adjustRightInd w:val="0"/>
                    <w:snapToGrid w:val="0"/>
                    <w:spacing w:line="340" w:lineRule="exact"/>
                    <w:jc w:val="center"/>
                    <w:rPr>
                      <w:snapToGrid w:val="0"/>
                      <w:szCs w:val="21"/>
                    </w:rPr>
                  </w:pPr>
                </w:p>
              </w:tc>
            </w:tr>
            <w:tr w14:paraId="4B08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9F6797E">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0F9FB63C">
                  <w:pPr>
                    <w:widowControl/>
                    <w:adjustRightInd w:val="0"/>
                    <w:snapToGrid w:val="0"/>
                    <w:spacing w:line="340" w:lineRule="exact"/>
                    <w:jc w:val="center"/>
                    <w:rPr>
                      <w:snapToGrid w:val="0"/>
                      <w:szCs w:val="21"/>
                    </w:rPr>
                  </w:pPr>
                  <w:r>
                    <w:rPr>
                      <w:snapToGrid w:val="0"/>
                      <w:szCs w:val="21"/>
                    </w:rPr>
                    <w:t>二苯并[a,h]蒽</w:t>
                  </w:r>
                </w:p>
              </w:tc>
              <w:tc>
                <w:tcPr>
                  <w:tcW w:w="851" w:type="pct"/>
                  <w:tcBorders>
                    <w:top w:val="single" w:color="auto" w:sz="4" w:space="0"/>
                    <w:left w:val="single" w:color="auto" w:sz="4" w:space="0"/>
                    <w:bottom w:val="single" w:color="auto" w:sz="4" w:space="0"/>
                  </w:tcBorders>
                  <w:vAlign w:val="center"/>
                </w:tcPr>
                <w:p w14:paraId="7D1EDF01">
                  <w:pPr>
                    <w:widowControl/>
                    <w:adjustRightInd w:val="0"/>
                    <w:snapToGrid w:val="0"/>
                    <w:spacing w:line="340" w:lineRule="exact"/>
                    <w:jc w:val="center"/>
                    <w:rPr>
                      <w:snapToGrid w:val="0"/>
                      <w:szCs w:val="21"/>
                    </w:rPr>
                  </w:pPr>
                  <w:r>
                    <w:rPr>
                      <w:snapToGrid w:val="0"/>
                      <w:szCs w:val="21"/>
                    </w:rPr>
                    <w:t>1.5</w:t>
                  </w:r>
                </w:p>
              </w:tc>
              <w:tc>
                <w:tcPr>
                  <w:tcW w:w="2029" w:type="pct"/>
                  <w:vMerge w:val="continue"/>
                  <w:vAlign w:val="center"/>
                </w:tcPr>
                <w:p w14:paraId="245E26F2">
                  <w:pPr>
                    <w:widowControl/>
                    <w:adjustRightInd w:val="0"/>
                    <w:snapToGrid w:val="0"/>
                    <w:spacing w:line="340" w:lineRule="exact"/>
                    <w:jc w:val="center"/>
                    <w:rPr>
                      <w:snapToGrid w:val="0"/>
                      <w:szCs w:val="21"/>
                    </w:rPr>
                  </w:pPr>
                </w:p>
              </w:tc>
            </w:tr>
            <w:tr w14:paraId="0B49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2D01C28D">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37915C56">
                  <w:pPr>
                    <w:widowControl/>
                    <w:adjustRightInd w:val="0"/>
                    <w:snapToGrid w:val="0"/>
                    <w:spacing w:line="340" w:lineRule="exact"/>
                    <w:jc w:val="center"/>
                    <w:rPr>
                      <w:snapToGrid w:val="0"/>
                      <w:szCs w:val="21"/>
                    </w:rPr>
                  </w:pPr>
                  <w:r>
                    <w:rPr>
                      <w:snapToGrid w:val="0"/>
                      <w:szCs w:val="21"/>
                    </w:rPr>
                    <w:t>茚并[1,2,3-cd]芘</w:t>
                  </w:r>
                </w:p>
              </w:tc>
              <w:tc>
                <w:tcPr>
                  <w:tcW w:w="851" w:type="pct"/>
                  <w:tcBorders>
                    <w:top w:val="single" w:color="auto" w:sz="4" w:space="0"/>
                    <w:left w:val="single" w:color="auto" w:sz="4" w:space="0"/>
                    <w:bottom w:val="single" w:color="auto" w:sz="4" w:space="0"/>
                  </w:tcBorders>
                  <w:vAlign w:val="center"/>
                </w:tcPr>
                <w:p w14:paraId="5E902329">
                  <w:pPr>
                    <w:widowControl/>
                    <w:adjustRightInd w:val="0"/>
                    <w:snapToGrid w:val="0"/>
                    <w:spacing w:line="340" w:lineRule="exact"/>
                    <w:jc w:val="center"/>
                    <w:rPr>
                      <w:snapToGrid w:val="0"/>
                      <w:szCs w:val="21"/>
                    </w:rPr>
                  </w:pPr>
                  <w:r>
                    <w:rPr>
                      <w:snapToGrid w:val="0"/>
                      <w:szCs w:val="21"/>
                    </w:rPr>
                    <w:t>15</w:t>
                  </w:r>
                </w:p>
              </w:tc>
              <w:tc>
                <w:tcPr>
                  <w:tcW w:w="2029" w:type="pct"/>
                  <w:vMerge w:val="continue"/>
                  <w:vAlign w:val="center"/>
                </w:tcPr>
                <w:p w14:paraId="5AA1C684">
                  <w:pPr>
                    <w:widowControl/>
                    <w:adjustRightInd w:val="0"/>
                    <w:snapToGrid w:val="0"/>
                    <w:spacing w:line="340" w:lineRule="exact"/>
                    <w:jc w:val="center"/>
                    <w:rPr>
                      <w:snapToGrid w:val="0"/>
                      <w:szCs w:val="21"/>
                    </w:rPr>
                  </w:pPr>
                </w:p>
              </w:tc>
            </w:tr>
            <w:tr w14:paraId="561D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22D8B0FE">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6E0AD5B0">
                  <w:pPr>
                    <w:widowControl/>
                    <w:adjustRightInd w:val="0"/>
                    <w:snapToGrid w:val="0"/>
                    <w:spacing w:line="340" w:lineRule="exact"/>
                    <w:jc w:val="center"/>
                    <w:rPr>
                      <w:snapToGrid w:val="0"/>
                      <w:szCs w:val="21"/>
                    </w:rPr>
                  </w:pPr>
                  <w:r>
                    <w:rPr>
                      <w:snapToGrid w:val="0"/>
                      <w:szCs w:val="21"/>
                    </w:rPr>
                    <w:t>萘</w:t>
                  </w:r>
                </w:p>
              </w:tc>
              <w:tc>
                <w:tcPr>
                  <w:tcW w:w="851" w:type="pct"/>
                  <w:tcBorders>
                    <w:top w:val="single" w:color="auto" w:sz="4" w:space="0"/>
                    <w:left w:val="single" w:color="auto" w:sz="4" w:space="0"/>
                    <w:bottom w:val="single" w:color="auto" w:sz="4" w:space="0"/>
                  </w:tcBorders>
                  <w:vAlign w:val="center"/>
                </w:tcPr>
                <w:p w14:paraId="30B4C3D7">
                  <w:pPr>
                    <w:widowControl/>
                    <w:adjustRightInd w:val="0"/>
                    <w:snapToGrid w:val="0"/>
                    <w:spacing w:line="340" w:lineRule="exact"/>
                    <w:jc w:val="center"/>
                    <w:rPr>
                      <w:snapToGrid w:val="0"/>
                      <w:szCs w:val="21"/>
                    </w:rPr>
                  </w:pPr>
                  <w:r>
                    <w:rPr>
                      <w:snapToGrid w:val="0"/>
                      <w:szCs w:val="21"/>
                    </w:rPr>
                    <w:t>70</w:t>
                  </w:r>
                </w:p>
              </w:tc>
              <w:tc>
                <w:tcPr>
                  <w:tcW w:w="2029" w:type="pct"/>
                  <w:vMerge w:val="continue"/>
                  <w:vAlign w:val="center"/>
                </w:tcPr>
                <w:p w14:paraId="21C9CF2C">
                  <w:pPr>
                    <w:widowControl/>
                    <w:adjustRightInd w:val="0"/>
                    <w:snapToGrid w:val="0"/>
                    <w:spacing w:line="340" w:lineRule="exact"/>
                    <w:jc w:val="center"/>
                    <w:rPr>
                      <w:snapToGrid w:val="0"/>
                      <w:szCs w:val="21"/>
                    </w:rPr>
                  </w:pPr>
                </w:p>
              </w:tc>
            </w:tr>
            <w:tr w14:paraId="7FA7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646D27E">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26061294">
                  <w:pPr>
                    <w:widowControl/>
                    <w:adjustRightInd w:val="0"/>
                    <w:snapToGrid w:val="0"/>
                    <w:spacing w:line="340" w:lineRule="exact"/>
                    <w:jc w:val="center"/>
                    <w:rPr>
                      <w:snapToGrid w:val="0"/>
                      <w:szCs w:val="21"/>
                    </w:rPr>
                  </w:pPr>
                  <w:r>
                    <w:rPr>
                      <w:snapToGrid w:val="0"/>
                      <w:szCs w:val="21"/>
                    </w:rPr>
                    <w:t>氰化物</w:t>
                  </w:r>
                </w:p>
              </w:tc>
              <w:tc>
                <w:tcPr>
                  <w:tcW w:w="851" w:type="pct"/>
                  <w:tcBorders>
                    <w:top w:val="single" w:color="auto" w:sz="4" w:space="0"/>
                    <w:left w:val="single" w:color="auto" w:sz="4" w:space="0"/>
                    <w:bottom w:val="single" w:color="auto" w:sz="4" w:space="0"/>
                  </w:tcBorders>
                  <w:vAlign w:val="center"/>
                </w:tcPr>
                <w:p w14:paraId="52037355">
                  <w:pPr>
                    <w:widowControl/>
                    <w:adjustRightInd w:val="0"/>
                    <w:snapToGrid w:val="0"/>
                    <w:spacing w:line="340" w:lineRule="exact"/>
                    <w:jc w:val="center"/>
                    <w:rPr>
                      <w:snapToGrid w:val="0"/>
                      <w:szCs w:val="21"/>
                    </w:rPr>
                  </w:pPr>
                  <w:r>
                    <w:rPr>
                      <w:snapToGrid w:val="0"/>
                      <w:szCs w:val="21"/>
                    </w:rPr>
                    <w:t>135</w:t>
                  </w:r>
                </w:p>
              </w:tc>
              <w:tc>
                <w:tcPr>
                  <w:tcW w:w="2029" w:type="pct"/>
                  <w:vMerge w:val="continue"/>
                  <w:vAlign w:val="center"/>
                </w:tcPr>
                <w:p w14:paraId="696C6D3A">
                  <w:pPr>
                    <w:widowControl/>
                    <w:adjustRightInd w:val="0"/>
                    <w:snapToGrid w:val="0"/>
                    <w:spacing w:line="340" w:lineRule="exact"/>
                    <w:jc w:val="center"/>
                    <w:rPr>
                      <w:snapToGrid w:val="0"/>
                      <w:szCs w:val="21"/>
                    </w:rPr>
                  </w:pPr>
                </w:p>
              </w:tc>
            </w:tr>
            <w:tr w14:paraId="59ED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699" w:type="pct"/>
                  <w:vMerge w:val="continue"/>
                  <w:tcMar>
                    <w:left w:w="57" w:type="dxa"/>
                    <w:right w:w="57" w:type="dxa"/>
                  </w:tcMar>
                  <w:vAlign w:val="center"/>
                </w:tcPr>
                <w:p w14:paraId="4C5299B6">
                  <w:pPr>
                    <w:widowControl/>
                    <w:adjustRightInd w:val="0"/>
                    <w:snapToGrid w:val="0"/>
                    <w:spacing w:line="340" w:lineRule="exact"/>
                    <w:jc w:val="center"/>
                    <w:rPr>
                      <w:snapToGrid w:val="0"/>
                      <w:szCs w:val="21"/>
                    </w:rPr>
                  </w:pPr>
                </w:p>
              </w:tc>
              <w:tc>
                <w:tcPr>
                  <w:tcW w:w="1421" w:type="pct"/>
                  <w:tcBorders>
                    <w:top w:val="single" w:color="auto" w:sz="4" w:space="0"/>
                    <w:bottom w:val="single" w:color="auto" w:sz="4" w:space="0"/>
                    <w:right w:val="single" w:color="auto" w:sz="4" w:space="0"/>
                  </w:tcBorders>
                  <w:vAlign w:val="center"/>
                </w:tcPr>
                <w:p w14:paraId="17DFAA2B">
                  <w:pPr>
                    <w:widowControl/>
                    <w:adjustRightInd w:val="0"/>
                    <w:snapToGrid w:val="0"/>
                    <w:spacing w:line="340" w:lineRule="exact"/>
                    <w:jc w:val="center"/>
                    <w:rPr>
                      <w:snapToGrid w:val="0"/>
                      <w:szCs w:val="21"/>
                    </w:rPr>
                  </w:pPr>
                  <w:r>
                    <w:rPr>
                      <w:snapToGrid w:val="0"/>
                      <w:szCs w:val="21"/>
                    </w:rPr>
                    <w:t>石油烃</w:t>
                  </w:r>
                </w:p>
              </w:tc>
              <w:tc>
                <w:tcPr>
                  <w:tcW w:w="851" w:type="pct"/>
                  <w:tcBorders>
                    <w:top w:val="single" w:color="auto" w:sz="4" w:space="0"/>
                    <w:left w:val="single" w:color="auto" w:sz="4" w:space="0"/>
                    <w:bottom w:val="single" w:color="auto" w:sz="4" w:space="0"/>
                  </w:tcBorders>
                  <w:vAlign w:val="center"/>
                </w:tcPr>
                <w:p w14:paraId="7A8FFF4C">
                  <w:pPr>
                    <w:widowControl/>
                    <w:adjustRightInd w:val="0"/>
                    <w:snapToGrid w:val="0"/>
                    <w:spacing w:line="340" w:lineRule="exact"/>
                    <w:jc w:val="center"/>
                    <w:rPr>
                      <w:snapToGrid w:val="0"/>
                      <w:szCs w:val="21"/>
                    </w:rPr>
                  </w:pPr>
                  <w:r>
                    <w:rPr>
                      <w:snapToGrid w:val="0"/>
                      <w:szCs w:val="21"/>
                    </w:rPr>
                    <w:t>4500</w:t>
                  </w:r>
                </w:p>
              </w:tc>
              <w:tc>
                <w:tcPr>
                  <w:tcW w:w="2029" w:type="pct"/>
                  <w:vAlign w:val="center"/>
                </w:tcPr>
                <w:p w14:paraId="0141F1FC">
                  <w:pPr>
                    <w:widowControl/>
                    <w:adjustRightInd w:val="0"/>
                    <w:snapToGrid w:val="0"/>
                    <w:spacing w:line="340" w:lineRule="exact"/>
                    <w:jc w:val="center"/>
                    <w:rPr>
                      <w:snapToGrid w:val="0"/>
                      <w:szCs w:val="21"/>
                    </w:rPr>
                  </w:pPr>
                  <w:r>
                    <w:rPr>
                      <w:szCs w:val="21"/>
                    </w:rPr>
                    <w:t>《土壤环境质量 建设用地土壤污染风险管控标准（试行）》</w:t>
                  </w:r>
                  <w:r>
                    <w:rPr>
                      <w:rFonts w:hint="eastAsia"/>
                      <w:szCs w:val="21"/>
                    </w:rPr>
                    <w:t>（GB 36600-2018）</w:t>
                  </w:r>
                  <w:r>
                    <w:rPr>
                      <w:szCs w:val="21"/>
                    </w:rPr>
                    <w:t>表2中第二类用地筛选值</w:t>
                  </w:r>
                  <w:r>
                    <w:rPr>
                      <w:rFonts w:hint="eastAsia"/>
                      <w:szCs w:val="21"/>
                    </w:rPr>
                    <w:t>。</w:t>
                  </w:r>
                </w:p>
              </w:tc>
            </w:tr>
          </w:tbl>
          <w:p w14:paraId="766F5873">
            <w:pPr>
              <w:adjustRightInd w:val="0"/>
              <w:snapToGrid w:val="0"/>
              <w:spacing w:line="430" w:lineRule="exact"/>
              <w:ind w:firstLine="482" w:firstLineChars="200"/>
              <w:rPr>
                <w:b/>
                <w:sz w:val="24"/>
              </w:rPr>
            </w:pPr>
            <w:r>
              <w:rPr>
                <w:b/>
                <w:sz w:val="24"/>
              </w:rPr>
              <w:t>2</w:t>
            </w:r>
            <w:r>
              <w:rPr>
                <w:rFonts w:hint="eastAsia"/>
                <w:b/>
                <w:sz w:val="24"/>
              </w:rPr>
              <w:t>.</w:t>
            </w:r>
            <w:r>
              <w:rPr>
                <w:b/>
                <w:sz w:val="24"/>
              </w:rPr>
              <w:t>污染物排放标准</w:t>
            </w:r>
          </w:p>
          <w:p w14:paraId="28A13AA6">
            <w:pPr>
              <w:spacing w:line="440" w:lineRule="exact"/>
              <w:ind w:firstLine="480" w:firstLineChars="200"/>
              <w:rPr>
                <w:sz w:val="24"/>
                <w:szCs w:val="20"/>
              </w:rPr>
            </w:pPr>
            <w:r>
              <w:rPr>
                <w:rFonts w:hint="eastAsia"/>
                <w:sz w:val="24"/>
                <w:szCs w:val="20"/>
              </w:rPr>
              <w:t>（1）</w:t>
            </w:r>
            <w:r>
              <w:rPr>
                <w:sz w:val="24"/>
                <w:szCs w:val="20"/>
              </w:rPr>
              <w:t>大气污染物排放标准</w:t>
            </w:r>
          </w:p>
          <w:p w14:paraId="4C53CA58">
            <w:pPr>
              <w:spacing w:line="440" w:lineRule="exact"/>
              <w:ind w:firstLine="480" w:firstLineChars="200"/>
              <w:rPr>
                <w:sz w:val="24"/>
              </w:rPr>
            </w:pPr>
            <w:bookmarkStart w:id="35" w:name="_Hlk110429125"/>
            <w:r>
              <w:rPr>
                <w:sz w:val="24"/>
              </w:rPr>
              <w:t>项目施工期粉尘</w:t>
            </w:r>
            <w:r>
              <w:rPr>
                <w:rFonts w:hint="eastAsia"/>
                <w:sz w:val="24"/>
              </w:rPr>
              <w:t>、非甲烷总烃排放</w:t>
            </w:r>
            <w:r>
              <w:rPr>
                <w:sz w:val="24"/>
              </w:rPr>
              <w:t>执行《大气污染物综合排放标准》</w:t>
            </w:r>
            <w:r>
              <w:rPr>
                <w:rFonts w:hint="eastAsia"/>
                <w:sz w:val="24"/>
              </w:rPr>
              <w:t>（GB 16297-1996）</w:t>
            </w:r>
            <w:r>
              <w:rPr>
                <w:sz w:val="24"/>
              </w:rPr>
              <w:t>表2中无组织排放浓度限值。</w:t>
            </w:r>
          </w:p>
          <w:p w14:paraId="45867C38">
            <w:pPr>
              <w:spacing w:line="440" w:lineRule="exact"/>
              <w:ind w:firstLine="482" w:firstLineChars="200"/>
              <w:rPr>
                <w:b/>
                <w:bCs/>
                <w:sz w:val="24"/>
              </w:rPr>
            </w:pPr>
            <w:r>
              <w:rPr>
                <w:b/>
                <w:bCs/>
                <w:sz w:val="24"/>
              </w:rPr>
              <w:t>表 3-</w:t>
            </w:r>
            <w:r>
              <w:rPr>
                <w:rFonts w:hint="eastAsia"/>
                <w:b/>
                <w:bCs/>
                <w:sz w:val="24"/>
              </w:rPr>
              <w:t>8</w:t>
            </w:r>
            <w:r>
              <w:rPr>
                <w:b/>
                <w:bCs/>
                <w:sz w:val="24"/>
              </w:rPr>
              <w:t xml:space="preserve"> </w:t>
            </w:r>
            <w:r>
              <w:rPr>
                <w:rFonts w:hint="eastAsia"/>
                <w:b/>
                <w:bCs/>
                <w:sz w:val="24"/>
              </w:rPr>
              <w:t xml:space="preserve">  </w:t>
            </w:r>
            <w:r>
              <w:rPr>
                <w:b/>
                <w:bCs/>
                <w:sz w:val="24"/>
              </w:rPr>
              <w:t>施工期大气污染物排放标准</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4"/>
              <w:gridCol w:w="3036"/>
              <w:gridCol w:w="3839"/>
            </w:tblGrid>
            <w:tr w14:paraId="6D6A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868" w:type="pct"/>
                  <w:vAlign w:val="center"/>
                </w:tcPr>
                <w:p w14:paraId="5358398C">
                  <w:pPr>
                    <w:adjustRightInd w:val="0"/>
                    <w:snapToGrid w:val="0"/>
                    <w:spacing w:line="360" w:lineRule="exact"/>
                    <w:jc w:val="center"/>
                    <w:rPr>
                      <w:szCs w:val="21"/>
                      <w:lang w:eastAsia="en-US"/>
                    </w:rPr>
                  </w:pPr>
                  <w:r>
                    <w:rPr>
                      <w:szCs w:val="21"/>
                      <w:lang w:eastAsia="en-US"/>
                    </w:rPr>
                    <w:t>污染物</w:t>
                  </w:r>
                </w:p>
              </w:tc>
              <w:tc>
                <w:tcPr>
                  <w:tcW w:w="1825" w:type="pct"/>
                  <w:vAlign w:val="center"/>
                </w:tcPr>
                <w:p w14:paraId="7AA49B74">
                  <w:pPr>
                    <w:adjustRightInd w:val="0"/>
                    <w:snapToGrid w:val="0"/>
                    <w:spacing w:line="360" w:lineRule="exact"/>
                    <w:jc w:val="center"/>
                    <w:rPr>
                      <w:szCs w:val="21"/>
                      <w:lang w:eastAsia="en-US"/>
                    </w:rPr>
                  </w:pPr>
                  <w:r>
                    <w:rPr>
                      <w:szCs w:val="21"/>
                      <w:lang w:eastAsia="en-US"/>
                    </w:rPr>
                    <w:t>无组织排放浓度限值</w:t>
                  </w:r>
                </w:p>
              </w:tc>
              <w:tc>
                <w:tcPr>
                  <w:tcW w:w="2307" w:type="pct"/>
                  <w:vAlign w:val="center"/>
                </w:tcPr>
                <w:p w14:paraId="17ECAB0D">
                  <w:pPr>
                    <w:adjustRightInd w:val="0"/>
                    <w:snapToGrid w:val="0"/>
                    <w:spacing w:line="360" w:lineRule="exact"/>
                    <w:jc w:val="center"/>
                    <w:rPr>
                      <w:szCs w:val="21"/>
                      <w:lang w:eastAsia="en-US"/>
                    </w:rPr>
                  </w:pPr>
                  <w:r>
                    <w:rPr>
                      <w:szCs w:val="21"/>
                      <w:lang w:eastAsia="en-US"/>
                    </w:rPr>
                    <w:t>标准来源</w:t>
                  </w:r>
                </w:p>
              </w:tc>
            </w:tr>
            <w:tr w14:paraId="5928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868" w:type="pct"/>
                  <w:vAlign w:val="center"/>
                </w:tcPr>
                <w:p w14:paraId="3729E406">
                  <w:pPr>
                    <w:adjustRightInd w:val="0"/>
                    <w:snapToGrid w:val="0"/>
                    <w:spacing w:line="360" w:lineRule="exact"/>
                    <w:jc w:val="center"/>
                    <w:rPr>
                      <w:szCs w:val="21"/>
                      <w:lang w:eastAsia="en-US"/>
                    </w:rPr>
                  </w:pPr>
                  <w:r>
                    <w:rPr>
                      <w:szCs w:val="21"/>
                      <w:lang w:eastAsia="en-US"/>
                    </w:rPr>
                    <w:t>颗粒物</w:t>
                  </w:r>
                </w:p>
              </w:tc>
              <w:tc>
                <w:tcPr>
                  <w:tcW w:w="1825" w:type="pct"/>
                  <w:vAlign w:val="center"/>
                </w:tcPr>
                <w:p w14:paraId="5D1D8B53">
                  <w:pPr>
                    <w:adjustRightInd w:val="0"/>
                    <w:snapToGrid w:val="0"/>
                    <w:spacing w:line="360" w:lineRule="exact"/>
                    <w:jc w:val="center"/>
                    <w:rPr>
                      <w:rFonts w:eastAsia="等线"/>
                      <w:szCs w:val="21"/>
                    </w:rPr>
                  </w:pPr>
                  <w:bookmarkStart w:id="36" w:name="OLE_LINK36"/>
                  <w:r>
                    <w:rPr>
                      <w:rFonts w:eastAsia="Times New Roman"/>
                      <w:szCs w:val="21"/>
                    </w:rPr>
                    <w:t>1.0mg/</w:t>
                  </w:r>
                  <w:r>
                    <w:rPr>
                      <w:rFonts w:eastAsia="等线"/>
                      <w:szCs w:val="21"/>
                    </w:rPr>
                    <w:t>m</w:t>
                  </w:r>
                  <w:r>
                    <w:rPr>
                      <w:rFonts w:eastAsia="等线"/>
                      <w:szCs w:val="21"/>
                      <w:vertAlign w:val="superscript"/>
                    </w:rPr>
                    <w:t>3</w:t>
                  </w:r>
                  <w:bookmarkEnd w:id="36"/>
                </w:p>
              </w:tc>
              <w:tc>
                <w:tcPr>
                  <w:tcW w:w="2307" w:type="pct"/>
                  <w:vMerge w:val="restart"/>
                  <w:vAlign w:val="center"/>
                </w:tcPr>
                <w:p w14:paraId="5176E47D">
                  <w:pPr>
                    <w:adjustRightInd w:val="0"/>
                    <w:snapToGrid w:val="0"/>
                    <w:spacing w:line="360" w:lineRule="exact"/>
                    <w:jc w:val="center"/>
                    <w:rPr>
                      <w:szCs w:val="21"/>
                    </w:rPr>
                  </w:pPr>
                  <w:r>
                    <w:rPr>
                      <w:szCs w:val="21"/>
                    </w:rPr>
                    <w:t>《大气污染物综合排放标准》</w:t>
                  </w:r>
                  <w:r>
                    <w:rPr>
                      <w:rFonts w:hint="eastAsia"/>
                      <w:szCs w:val="21"/>
                    </w:rPr>
                    <w:t>（GB 16297-1996）</w:t>
                  </w:r>
                </w:p>
              </w:tc>
            </w:tr>
            <w:tr w14:paraId="692C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868" w:type="pct"/>
                  <w:vAlign w:val="center"/>
                </w:tcPr>
                <w:p w14:paraId="00EFB02E">
                  <w:pPr>
                    <w:adjustRightInd w:val="0"/>
                    <w:snapToGrid w:val="0"/>
                    <w:spacing w:line="360" w:lineRule="exact"/>
                    <w:jc w:val="center"/>
                    <w:rPr>
                      <w:szCs w:val="21"/>
                    </w:rPr>
                  </w:pPr>
                  <w:r>
                    <w:rPr>
                      <w:rFonts w:hint="eastAsia"/>
                      <w:szCs w:val="21"/>
                    </w:rPr>
                    <w:t>非甲烷总烃</w:t>
                  </w:r>
                </w:p>
              </w:tc>
              <w:tc>
                <w:tcPr>
                  <w:tcW w:w="1825" w:type="pct"/>
                  <w:vAlign w:val="center"/>
                </w:tcPr>
                <w:p w14:paraId="064692FB">
                  <w:pPr>
                    <w:adjustRightInd w:val="0"/>
                    <w:snapToGrid w:val="0"/>
                    <w:spacing w:line="360" w:lineRule="exact"/>
                    <w:jc w:val="center"/>
                    <w:rPr>
                      <w:rFonts w:eastAsia="Times New Roman"/>
                      <w:szCs w:val="21"/>
                    </w:rPr>
                  </w:pPr>
                  <w:r>
                    <w:rPr>
                      <w:rFonts w:hint="eastAsia" w:eastAsiaTheme="minorEastAsia"/>
                      <w:szCs w:val="21"/>
                    </w:rPr>
                    <w:t>4</w:t>
                  </w:r>
                  <w:r>
                    <w:rPr>
                      <w:rFonts w:eastAsia="Times New Roman"/>
                      <w:szCs w:val="21"/>
                    </w:rPr>
                    <w:t>.0mg/</w:t>
                  </w:r>
                  <w:r>
                    <w:rPr>
                      <w:rFonts w:eastAsia="等线"/>
                      <w:szCs w:val="21"/>
                    </w:rPr>
                    <w:t>m</w:t>
                  </w:r>
                  <w:r>
                    <w:rPr>
                      <w:rFonts w:eastAsia="等线"/>
                      <w:szCs w:val="21"/>
                      <w:vertAlign w:val="superscript"/>
                    </w:rPr>
                    <w:t>3</w:t>
                  </w:r>
                </w:p>
              </w:tc>
              <w:tc>
                <w:tcPr>
                  <w:tcW w:w="2307" w:type="pct"/>
                  <w:vMerge w:val="continue"/>
                  <w:vAlign w:val="center"/>
                </w:tcPr>
                <w:p w14:paraId="5C81587C">
                  <w:pPr>
                    <w:adjustRightInd w:val="0"/>
                    <w:snapToGrid w:val="0"/>
                    <w:spacing w:line="360" w:lineRule="exact"/>
                    <w:jc w:val="center"/>
                    <w:rPr>
                      <w:szCs w:val="21"/>
                    </w:rPr>
                  </w:pPr>
                </w:p>
              </w:tc>
            </w:tr>
          </w:tbl>
          <w:p w14:paraId="6C298FEA">
            <w:pPr>
              <w:spacing w:line="440" w:lineRule="exact"/>
              <w:ind w:firstLine="480" w:firstLineChars="200"/>
              <w:rPr>
                <w:sz w:val="24"/>
              </w:rPr>
            </w:pPr>
            <w:r>
              <w:rPr>
                <w:rFonts w:hint="eastAsia"/>
                <w:sz w:val="24"/>
              </w:rPr>
              <w:t>运营期不涉及废气排放。</w:t>
            </w:r>
          </w:p>
          <w:bookmarkEnd w:id="35"/>
          <w:p w14:paraId="1182F095">
            <w:pPr>
              <w:spacing w:line="440" w:lineRule="exact"/>
              <w:ind w:firstLine="480" w:firstLineChars="200"/>
              <w:rPr>
                <w:sz w:val="24"/>
                <w:szCs w:val="20"/>
              </w:rPr>
            </w:pPr>
            <w:r>
              <w:rPr>
                <w:rFonts w:hint="eastAsia"/>
                <w:sz w:val="24"/>
                <w:szCs w:val="20"/>
              </w:rPr>
              <w:t>（2）</w:t>
            </w:r>
            <w:r>
              <w:rPr>
                <w:sz w:val="24"/>
                <w:szCs w:val="20"/>
              </w:rPr>
              <w:t>噪声</w:t>
            </w:r>
          </w:p>
          <w:p w14:paraId="67543F3F">
            <w:pPr>
              <w:adjustRightInd w:val="0"/>
              <w:snapToGrid w:val="0"/>
              <w:spacing w:line="420" w:lineRule="exact"/>
              <w:ind w:firstLine="480" w:firstLineChars="200"/>
              <w:rPr>
                <w:sz w:val="24"/>
              </w:rPr>
            </w:pPr>
            <w:r>
              <w:rPr>
                <w:rFonts w:hint="eastAsia"/>
                <w:sz w:val="24"/>
              </w:rPr>
              <w:t>施工期噪声执行《建筑施工噪声排放标准》（GB 12523-2025）标准限值。</w:t>
            </w:r>
          </w:p>
          <w:p w14:paraId="260B39CB">
            <w:pPr>
              <w:adjustRightInd w:val="0"/>
              <w:snapToGrid w:val="0"/>
              <w:spacing w:line="420" w:lineRule="exact"/>
              <w:ind w:firstLine="480" w:firstLineChars="200"/>
              <w:rPr>
                <w:sz w:val="24"/>
              </w:rPr>
            </w:pPr>
            <w:r>
              <w:rPr>
                <w:sz w:val="24"/>
              </w:rPr>
              <w:t>运营期噪声执行《工业企业厂界环境噪声排放标准》</w:t>
            </w:r>
            <w:r>
              <w:rPr>
                <w:rFonts w:hint="eastAsia"/>
                <w:sz w:val="24"/>
              </w:rPr>
              <w:t>（GB 12348-2008）3</w:t>
            </w:r>
            <w:r>
              <w:rPr>
                <w:sz w:val="24"/>
              </w:rPr>
              <w:t>类标准，具体标准值如下。</w:t>
            </w:r>
          </w:p>
          <w:p w14:paraId="17B4D56C">
            <w:pPr>
              <w:snapToGrid w:val="0"/>
              <w:spacing w:line="420" w:lineRule="exact"/>
              <w:ind w:firstLine="482" w:firstLineChars="200"/>
              <w:jc w:val="left"/>
              <w:rPr>
                <w:b/>
                <w:sz w:val="24"/>
              </w:rPr>
            </w:pPr>
            <w:r>
              <w:rPr>
                <w:b/>
                <w:sz w:val="24"/>
              </w:rPr>
              <w:t>表</w:t>
            </w:r>
            <w:r>
              <w:rPr>
                <w:rFonts w:hint="eastAsia"/>
                <w:b/>
                <w:bCs/>
                <w:sz w:val="24"/>
              </w:rPr>
              <w:t>3-9</w:t>
            </w:r>
            <w:r>
              <w:rPr>
                <w:b/>
                <w:bCs/>
                <w:sz w:val="24"/>
              </w:rPr>
              <w:t xml:space="preserve"> </w:t>
            </w:r>
            <w:r>
              <w:rPr>
                <w:rFonts w:hint="eastAsia"/>
                <w:b/>
                <w:bCs/>
                <w:sz w:val="24"/>
              </w:rPr>
              <w:t xml:space="preserve"> </w:t>
            </w:r>
            <w:r>
              <w:rPr>
                <w:b/>
                <w:bCs/>
                <w:sz w:val="24"/>
              </w:rPr>
              <w:t xml:space="preserve">  噪声排放标准</w:t>
            </w:r>
          </w:p>
          <w:tbl>
            <w:tblPr>
              <w:tblStyle w:val="7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709"/>
              <w:gridCol w:w="777"/>
              <w:gridCol w:w="5926"/>
            </w:tblGrid>
            <w:tr w14:paraId="2205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45" w:type="pct"/>
                  <w:vMerge w:val="restart"/>
                  <w:vAlign w:val="center"/>
                </w:tcPr>
                <w:p w14:paraId="0F6C5E50">
                  <w:pPr>
                    <w:spacing w:line="320" w:lineRule="exact"/>
                    <w:jc w:val="center"/>
                    <w:rPr>
                      <w:szCs w:val="21"/>
                    </w:rPr>
                  </w:pPr>
                  <w:r>
                    <w:rPr>
                      <w:szCs w:val="21"/>
                    </w:rPr>
                    <w:t>时段</w:t>
                  </w:r>
                </w:p>
              </w:tc>
              <w:tc>
                <w:tcPr>
                  <w:tcW w:w="893" w:type="pct"/>
                  <w:gridSpan w:val="2"/>
                  <w:vAlign w:val="center"/>
                </w:tcPr>
                <w:p w14:paraId="4B6AE0E1">
                  <w:pPr>
                    <w:spacing w:line="320" w:lineRule="exact"/>
                    <w:jc w:val="center"/>
                    <w:rPr>
                      <w:szCs w:val="21"/>
                    </w:rPr>
                  </w:pPr>
                  <w:r>
                    <w:rPr>
                      <w:szCs w:val="21"/>
                    </w:rPr>
                    <w:t>标准值dB</w:t>
                  </w:r>
                  <w:r>
                    <w:rPr>
                      <w:rFonts w:hint="eastAsia"/>
                      <w:szCs w:val="21"/>
                    </w:rPr>
                    <w:t>（</w:t>
                  </w:r>
                  <w:r>
                    <w:rPr>
                      <w:szCs w:val="21"/>
                    </w:rPr>
                    <w:t>A</w:t>
                  </w:r>
                  <w:r>
                    <w:rPr>
                      <w:rFonts w:hint="eastAsia"/>
                      <w:szCs w:val="21"/>
                    </w:rPr>
                    <w:t>）</w:t>
                  </w:r>
                </w:p>
              </w:tc>
              <w:tc>
                <w:tcPr>
                  <w:tcW w:w="3562" w:type="pct"/>
                  <w:vMerge w:val="restart"/>
                  <w:vAlign w:val="center"/>
                </w:tcPr>
                <w:p w14:paraId="5E41EBF5">
                  <w:pPr>
                    <w:spacing w:line="320" w:lineRule="exact"/>
                    <w:jc w:val="center"/>
                    <w:rPr>
                      <w:spacing w:val="-10"/>
                      <w:szCs w:val="21"/>
                    </w:rPr>
                  </w:pPr>
                  <w:r>
                    <w:rPr>
                      <w:spacing w:val="-10"/>
                      <w:szCs w:val="21"/>
                    </w:rPr>
                    <w:t>执行标准</w:t>
                  </w:r>
                </w:p>
              </w:tc>
            </w:tr>
            <w:tr w14:paraId="575B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trPr>
              <w:tc>
                <w:tcPr>
                  <w:tcW w:w="545" w:type="pct"/>
                  <w:vMerge w:val="continue"/>
                  <w:vAlign w:val="center"/>
                </w:tcPr>
                <w:p w14:paraId="59C07847">
                  <w:pPr>
                    <w:spacing w:line="320" w:lineRule="exact"/>
                    <w:jc w:val="center"/>
                    <w:rPr>
                      <w:szCs w:val="21"/>
                    </w:rPr>
                  </w:pPr>
                </w:p>
              </w:tc>
              <w:tc>
                <w:tcPr>
                  <w:tcW w:w="426" w:type="pct"/>
                  <w:vAlign w:val="center"/>
                </w:tcPr>
                <w:p w14:paraId="47D31448">
                  <w:pPr>
                    <w:spacing w:line="320" w:lineRule="exact"/>
                    <w:jc w:val="center"/>
                    <w:rPr>
                      <w:szCs w:val="21"/>
                    </w:rPr>
                  </w:pPr>
                  <w:r>
                    <w:rPr>
                      <w:szCs w:val="21"/>
                    </w:rPr>
                    <w:t>昼间</w:t>
                  </w:r>
                </w:p>
              </w:tc>
              <w:tc>
                <w:tcPr>
                  <w:tcW w:w="467" w:type="pct"/>
                  <w:vAlign w:val="center"/>
                </w:tcPr>
                <w:p w14:paraId="07BDFBDB">
                  <w:pPr>
                    <w:spacing w:line="320" w:lineRule="exact"/>
                    <w:jc w:val="center"/>
                    <w:rPr>
                      <w:szCs w:val="21"/>
                    </w:rPr>
                  </w:pPr>
                  <w:r>
                    <w:rPr>
                      <w:szCs w:val="21"/>
                    </w:rPr>
                    <w:t>夜间</w:t>
                  </w:r>
                </w:p>
              </w:tc>
              <w:tc>
                <w:tcPr>
                  <w:tcW w:w="3562" w:type="pct"/>
                  <w:vMerge w:val="continue"/>
                  <w:vAlign w:val="center"/>
                </w:tcPr>
                <w:p w14:paraId="1E73B10A">
                  <w:pPr>
                    <w:spacing w:line="320" w:lineRule="exact"/>
                    <w:jc w:val="center"/>
                    <w:rPr>
                      <w:szCs w:val="21"/>
                    </w:rPr>
                  </w:pPr>
                </w:p>
              </w:tc>
            </w:tr>
            <w:tr w14:paraId="20D5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trPr>
              <w:tc>
                <w:tcPr>
                  <w:tcW w:w="545" w:type="pct"/>
                  <w:vAlign w:val="center"/>
                </w:tcPr>
                <w:p w14:paraId="6F4E0150">
                  <w:pPr>
                    <w:spacing w:line="320" w:lineRule="exact"/>
                    <w:jc w:val="center"/>
                    <w:rPr>
                      <w:szCs w:val="21"/>
                    </w:rPr>
                  </w:pPr>
                  <w:r>
                    <w:rPr>
                      <w:rFonts w:hint="eastAsia"/>
                      <w:szCs w:val="21"/>
                    </w:rPr>
                    <w:t>施工期</w:t>
                  </w:r>
                </w:p>
              </w:tc>
              <w:tc>
                <w:tcPr>
                  <w:tcW w:w="426" w:type="pct"/>
                  <w:vAlign w:val="center"/>
                </w:tcPr>
                <w:p w14:paraId="1E953FAB">
                  <w:pPr>
                    <w:spacing w:line="320" w:lineRule="exact"/>
                    <w:jc w:val="center"/>
                    <w:rPr>
                      <w:szCs w:val="21"/>
                    </w:rPr>
                  </w:pPr>
                  <w:r>
                    <w:rPr>
                      <w:rFonts w:hint="eastAsia"/>
                      <w:szCs w:val="21"/>
                    </w:rPr>
                    <w:t>70</w:t>
                  </w:r>
                </w:p>
              </w:tc>
              <w:tc>
                <w:tcPr>
                  <w:tcW w:w="467" w:type="pct"/>
                  <w:vAlign w:val="center"/>
                </w:tcPr>
                <w:p w14:paraId="5EB84249">
                  <w:pPr>
                    <w:spacing w:line="320" w:lineRule="exact"/>
                    <w:jc w:val="center"/>
                    <w:rPr>
                      <w:szCs w:val="21"/>
                    </w:rPr>
                  </w:pPr>
                  <w:r>
                    <w:rPr>
                      <w:rFonts w:hint="eastAsia"/>
                      <w:szCs w:val="21"/>
                    </w:rPr>
                    <w:t>55</w:t>
                  </w:r>
                </w:p>
              </w:tc>
              <w:tc>
                <w:tcPr>
                  <w:tcW w:w="3562" w:type="pct"/>
                  <w:vAlign w:val="center"/>
                </w:tcPr>
                <w:p w14:paraId="5DD3C914">
                  <w:pPr>
                    <w:spacing w:line="320" w:lineRule="exact"/>
                    <w:jc w:val="center"/>
                    <w:rPr>
                      <w:szCs w:val="21"/>
                    </w:rPr>
                  </w:pPr>
                  <w:r>
                    <w:rPr>
                      <w:rFonts w:hint="eastAsia"/>
                      <w:szCs w:val="21"/>
                    </w:rPr>
                    <w:t>《建筑施工噪声排放标准》（GB 12523-2025）</w:t>
                  </w:r>
                </w:p>
              </w:tc>
            </w:tr>
            <w:tr w14:paraId="02F3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45" w:type="pct"/>
                  <w:vAlign w:val="center"/>
                </w:tcPr>
                <w:p w14:paraId="4909B438">
                  <w:pPr>
                    <w:spacing w:line="320" w:lineRule="exact"/>
                    <w:jc w:val="center"/>
                    <w:rPr>
                      <w:szCs w:val="21"/>
                    </w:rPr>
                  </w:pPr>
                  <w:r>
                    <w:rPr>
                      <w:szCs w:val="21"/>
                    </w:rPr>
                    <w:t>运营期</w:t>
                  </w:r>
                </w:p>
              </w:tc>
              <w:tc>
                <w:tcPr>
                  <w:tcW w:w="426" w:type="pct"/>
                  <w:vAlign w:val="center"/>
                </w:tcPr>
                <w:p w14:paraId="1453AE2D">
                  <w:pPr>
                    <w:spacing w:line="320" w:lineRule="exact"/>
                    <w:jc w:val="center"/>
                    <w:rPr>
                      <w:szCs w:val="21"/>
                    </w:rPr>
                  </w:pPr>
                  <w:r>
                    <w:rPr>
                      <w:szCs w:val="21"/>
                    </w:rPr>
                    <w:t>6</w:t>
                  </w:r>
                  <w:r>
                    <w:rPr>
                      <w:rFonts w:hint="eastAsia"/>
                      <w:szCs w:val="21"/>
                    </w:rPr>
                    <w:t>5</w:t>
                  </w:r>
                </w:p>
              </w:tc>
              <w:tc>
                <w:tcPr>
                  <w:tcW w:w="467" w:type="pct"/>
                  <w:vAlign w:val="center"/>
                </w:tcPr>
                <w:p w14:paraId="694DA20D">
                  <w:pPr>
                    <w:spacing w:line="320" w:lineRule="exact"/>
                    <w:jc w:val="center"/>
                    <w:rPr>
                      <w:szCs w:val="21"/>
                    </w:rPr>
                  </w:pPr>
                  <w:r>
                    <w:rPr>
                      <w:szCs w:val="21"/>
                    </w:rPr>
                    <w:t>5</w:t>
                  </w:r>
                  <w:r>
                    <w:rPr>
                      <w:rFonts w:hint="eastAsia"/>
                      <w:szCs w:val="21"/>
                    </w:rPr>
                    <w:t>5</w:t>
                  </w:r>
                </w:p>
              </w:tc>
              <w:tc>
                <w:tcPr>
                  <w:tcW w:w="3562" w:type="pct"/>
                  <w:vAlign w:val="center"/>
                </w:tcPr>
                <w:p w14:paraId="624EC548">
                  <w:pPr>
                    <w:spacing w:line="320" w:lineRule="exact"/>
                    <w:rPr>
                      <w:szCs w:val="21"/>
                    </w:rPr>
                  </w:pPr>
                  <w:r>
                    <w:rPr>
                      <w:spacing w:val="-8"/>
                      <w:szCs w:val="21"/>
                    </w:rPr>
                    <w:t>《工业企业厂界环境噪声排放标准》</w:t>
                  </w:r>
                  <w:r>
                    <w:rPr>
                      <w:rFonts w:hint="eastAsia"/>
                      <w:spacing w:val="-8"/>
                      <w:szCs w:val="21"/>
                    </w:rPr>
                    <w:t>（</w:t>
                  </w:r>
                  <w:r>
                    <w:rPr>
                      <w:spacing w:val="-8"/>
                      <w:szCs w:val="21"/>
                    </w:rPr>
                    <w:t>GB 12348-2008）</w:t>
                  </w:r>
                  <w:r>
                    <w:rPr>
                      <w:rFonts w:hint="eastAsia"/>
                      <w:spacing w:val="-8"/>
                      <w:szCs w:val="21"/>
                    </w:rPr>
                    <w:t>3</w:t>
                  </w:r>
                  <w:r>
                    <w:rPr>
                      <w:spacing w:val="-8"/>
                      <w:szCs w:val="21"/>
                    </w:rPr>
                    <w:t>类标准</w:t>
                  </w:r>
                </w:p>
              </w:tc>
            </w:tr>
          </w:tbl>
          <w:p w14:paraId="48C33B1C">
            <w:pPr>
              <w:spacing w:line="440" w:lineRule="exact"/>
              <w:ind w:firstLine="480" w:firstLineChars="200"/>
              <w:rPr>
                <w:sz w:val="24"/>
                <w:szCs w:val="20"/>
              </w:rPr>
            </w:pPr>
            <w:r>
              <w:rPr>
                <w:rFonts w:hint="eastAsia"/>
                <w:sz w:val="24"/>
                <w:szCs w:val="20"/>
              </w:rPr>
              <w:t>（3）</w:t>
            </w:r>
            <w:r>
              <w:rPr>
                <w:sz w:val="24"/>
                <w:szCs w:val="20"/>
              </w:rPr>
              <w:t>固体废物</w:t>
            </w:r>
          </w:p>
          <w:p w14:paraId="04BF6F8E">
            <w:pPr>
              <w:wordWrap w:val="0"/>
              <w:spacing w:line="440" w:lineRule="exact"/>
              <w:ind w:firstLine="480" w:firstLineChars="200"/>
              <w:rPr>
                <w:sz w:val="24"/>
              </w:rPr>
            </w:pPr>
            <w:r>
              <w:rPr>
                <w:sz w:val="24"/>
                <w:szCs w:val="22"/>
              </w:rPr>
              <w:t>一般</w:t>
            </w:r>
            <w:r>
              <w:rPr>
                <w:sz w:val="24"/>
                <w:szCs w:val="20"/>
              </w:rPr>
              <w:t>固体废物</w:t>
            </w:r>
            <w:r>
              <w:rPr>
                <w:sz w:val="24"/>
                <w:szCs w:val="22"/>
              </w:rPr>
              <w:t>执行《一般工业固体废物贮存和填埋污染控制标准》（GB 18599-2020）中有关规定</w:t>
            </w:r>
            <w:r>
              <w:rPr>
                <w:rFonts w:hint="eastAsia"/>
                <w:sz w:val="24"/>
                <w:szCs w:val="22"/>
              </w:rPr>
              <w:t>；危险废物执行《危险废物贮存污染控制标准》（</w:t>
            </w:r>
            <w:r>
              <w:rPr>
                <w:sz w:val="24"/>
                <w:szCs w:val="22"/>
              </w:rPr>
              <w:t>GB 18597-2023</w:t>
            </w:r>
            <w:r>
              <w:rPr>
                <w:rFonts w:hint="eastAsia"/>
                <w:sz w:val="24"/>
                <w:szCs w:val="22"/>
              </w:rPr>
              <w:t>）</w:t>
            </w:r>
            <w:r>
              <w:rPr>
                <w:sz w:val="24"/>
                <w:szCs w:val="22"/>
              </w:rPr>
              <w:t>中有关规定</w:t>
            </w:r>
            <w:r>
              <w:rPr>
                <w:rFonts w:hint="eastAsia"/>
                <w:sz w:val="24"/>
                <w:szCs w:val="22"/>
              </w:rPr>
              <w:t>。</w:t>
            </w:r>
          </w:p>
        </w:tc>
      </w:tr>
      <w:tr w14:paraId="336967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31" w:hRule="atLeast"/>
          <w:jc w:val="center"/>
        </w:trPr>
        <w:tc>
          <w:tcPr>
            <w:tcW w:w="1717" w:type="dxa"/>
            <w:vAlign w:val="center"/>
          </w:tcPr>
          <w:p w14:paraId="5F978841">
            <w:pPr>
              <w:adjustRightInd w:val="0"/>
              <w:snapToGrid w:val="0"/>
              <w:jc w:val="center"/>
              <w:rPr>
                <w:kern w:val="0"/>
                <w:szCs w:val="21"/>
              </w:rPr>
            </w:pPr>
            <w:r>
              <w:rPr>
                <w:kern w:val="0"/>
                <w:szCs w:val="21"/>
              </w:rPr>
              <w:t>其他</w:t>
            </w:r>
          </w:p>
        </w:tc>
        <w:tc>
          <w:tcPr>
            <w:tcW w:w="7440" w:type="dxa"/>
            <w:vAlign w:val="center"/>
          </w:tcPr>
          <w:p w14:paraId="53530811">
            <w:pPr>
              <w:adjustRightInd w:val="0"/>
              <w:snapToGrid w:val="0"/>
              <w:spacing w:line="440" w:lineRule="exact"/>
              <w:ind w:firstLine="480" w:firstLineChars="200"/>
              <w:rPr>
                <w:kern w:val="0"/>
                <w:sz w:val="24"/>
              </w:rPr>
            </w:pPr>
            <w:r>
              <w:rPr>
                <w:kern w:val="0"/>
                <w:sz w:val="24"/>
              </w:rPr>
              <w:t>项目</w:t>
            </w:r>
            <w:r>
              <w:rPr>
                <w:rFonts w:hint="eastAsia"/>
                <w:sz w:val="24"/>
              </w:rPr>
              <w:t>运营期不涉及废气、废水，</w:t>
            </w:r>
            <w:r>
              <w:rPr>
                <w:kern w:val="0"/>
                <w:sz w:val="24"/>
              </w:rPr>
              <w:t>不设总量指标。</w:t>
            </w:r>
          </w:p>
        </w:tc>
      </w:tr>
    </w:tbl>
    <w:p w14:paraId="6DC55460">
      <w:pPr>
        <w:pStyle w:val="72"/>
        <w:adjustRightInd w:val="0"/>
        <w:snapToGrid w:val="0"/>
        <w:spacing w:before="0" w:beforeAutospacing="0" w:after="0" w:afterAutospacing="0" w:line="14" w:lineRule="auto"/>
        <w:jc w:val="center"/>
        <w:rPr>
          <w:rFonts w:ascii="Times New Roman" w:hAnsi="Times New Roman"/>
          <w:snapToGrid w:val="0"/>
          <w:kern w:val="2"/>
          <w:sz w:val="36"/>
          <w:szCs w:val="36"/>
        </w:rPr>
      </w:pPr>
    </w:p>
    <w:p w14:paraId="4642E02F">
      <w:pPr>
        <w:pStyle w:val="72"/>
        <w:jc w:val="center"/>
        <w:outlineLvl w:val="0"/>
        <w:rPr>
          <w:rFonts w:ascii="Times New Roman" w:hAnsi="Times New Roman"/>
          <w:b/>
          <w:bCs/>
          <w:snapToGrid w:val="0"/>
          <w:sz w:val="30"/>
          <w:szCs w:val="30"/>
        </w:rPr>
      </w:pPr>
      <w:r>
        <w:rPr>
          <w:rFonts w:ascii="Times New Roman" w:hAnsi="Times New Roman"/>
          <w:snapToGrid w:val="0"/>
          <w:sz w:val="30"/>
          <w:szCs w:val="30"/>
        </w:rPr>
        <w:br w:type="page"/>
      </w:r>
      <w:r>
        <w:rPr>
          <w:rFonts w:ascii="Times New Roman" w:hAnsi="Times New Roman"/>
          <w:b/>
          <w:bCs/>
          <w:snapToGrid w:val="0"/>
          <w:sz w:val="30"/>
          <w:szCs w:val="30"/>
        </w:rPr>
        <w:t>四、生态环境影响分析</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8412"/>
      </w:tblGrid>
      <w:tr w14:paraId="4F5F8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316" w:type="pct"/>
            <w:tcMar>
              <w:left w:w="28" w:type="dxa"/>
              <w:right w:w="28" w:type="dxa"/>
            </w:tcMar>
            <w:vAlign w:val="center"/>
          </w:tcPr>
          <w:p w14:paraId="0E9F47EA">
            <w:pPr>
              <w:pStyle w:val="72"/>
              <w:adjustRightInd w:val="0"/>
              <w:snapToGrid w:val="0"/>
              <w:spacing w:before="0" w:beforeAutospacing="0" w:after="0" w:afterAutospacing="0"/>
              <w:jc w:val="center"/>
              <w:rPr>
                <w:rFonts w:ascii="Times New Roman" w:hAnsi="Times New Roman"/>
                <w:bCs/>
                <w:kern w:val="2"/>
                <w:sz w:val="21"/>
                <w:szCs w:val="21"/>
              </w:rPr>
            </w:pPr>
            <w:bookmarkStart w:id="37" w:name="_Hlk49796138"/>
            <w:r>
              <w:rPr>
                <w:rFonts w:ascii="Times New Roman" w:hAnsi="Times New Roman"/>
                <w:bCs/>
                <w:spacing w:val="10"/>
                <w:kern w:val="2"/>
                <w:szCs w:val="24"/>
              </w:rPr>
              <w:t>施工期生态环境影响分析</w:t>
            </w:r>
            <w:bookmarkEnd w:id="37"/>
          </w:p>
        </w:tc>
        <w:tc>
          <w:tcPr>
            <w:tcW w:w="4684" w:type="pct"/>
          </w:tcPr>
          <w:p w14:paraId="0F969183">
            <w:pPr>
              <w:spacing w:line="440" w:lineRule="exact"/>
              <w:ind w:firstLine="482" w:firstLineChars="200"/>
              <w:rPr>
                <w:b/>
                <w:sz w:val="24"/>
                <w:szCs w:val="20"/>
              </w:rPr>
            </w:pPr>
            <w:r>
              <w:rPr>
                <w:b/>
                <w:sz w:val="24"/>
                <w:szCs w:val="20"/>
              </w:rPr>
              <w:t>1</w:t>
            </w:r>
            <w:r>
              <w:rPr>
                <w:rFonts w:hint="eastAsia"/>
                <w:b/>
                <w:sz w:val="24"/>
                <w:szCs w:val="20"/>
              </w:rPr>
              <w:t>.</w:t>
            </w:r>
            <w:r>
              <w:rPr>
                <w:b/>
                <w:sz w:val="24"/>
                <w:szCs w:val="20"/>
              </w:rPr>
              <w:t>生态影响分析</w:t>
            </w:r>
          </w:p>
          <w:p w14:paraId="1E58F63B">
            <w:pPr>
              <w:spacing w:line="434" w:lineRule="exact"/>
              <w:ind w:firstLine="480" w:firstLineChars="200"/>
              <w:rPr>
                <w:kern w:val="0"/>
                <w:sz w:val="24"/>
                <w:szCs w:val="20"/>
              </w:rPr>
            </w:pPr>
            <w:r>
              <w:rPr>
                <w:rFonts w:hint="eastAsia"/>
                <w:kern w:val="0"/>
                <w:sz w:val="24"/>
                <w:szCs w:val="20"/>
              </w:rPr>
              <w:t>项目为伊泰化工在现有管廊的基础上通过加固、加两层的方式，将管线布置在改造后的管廊上，不涉及对主体工程进行技改。项目现场不设置施工营地；道路依托厂区道路，不另设施工便道。</w:t>
            </w:r>
          </w:p>
          <w:p w14:paraId="55EAEC48">
            <w:pPr>
              <w:spacing w:line="434" w:lineRule="exact"/>
              <w:ind w:firstLine="480" w:firstLineChars="200"/>
              <w:rPr>
                <w:kern w:val="0"/>
                <w:sz w:val="24"/>
                <w:szCs w:val="20"/>
              </w:rPr>
            </w:pPr>
            <w:r>
              <w:rPr>
                <w:rFonts w:hint="eastAsia"/>
                <w:kern w:val="0"/>
                <w:sz w:val="24"/>
                <w:szCs w:val="20"/>
              </w:rPr>
              <w:t>临时占地主要为管道安装过程施工支架占地，占地面积为200m</w:t>
            </w:r>
            <w:r>
              <w:rPr>
                <w:rFonts w:hint="eastAsia"/>
                <w:kern w:val="0"/>
                <w:sz w:val="24"/>
                <w:szCs w:val="20"/>
                <w:vertAlign w:val="superscript"/>
              </w:rPr>
              <w:t>2</w:t>
            </w:r>
            <w:r>
              <w:rPr>
                <w:rFonts w:hint="eastAsia"/>
                <w:kern w:val="0"/>
                <w:sz w:val="24"/>
                <w:szCs w:val="20"/>
              </w:rPr>
              <w:t>，全部位于两个厂区内，地面均已进行硬化，占地类型为工业用地，不涉及植被恢复。</w:t>
            </w:r>
          </w:p>
          <w:p w14:paraId="30775E7F">
            <w:pPr>
              <w:spacing w:line="434" w:lineRule="exact"/>
              <w:ind w:firstLine="480" w:firstLineChars="200"/>
              <w:rPr>
                <w:kern w:val="0"/>
                <w:sz w:val="24"/>
                <w:szCs w:val="20"/>
              </w:rPr>
            </w:pPr>
            <w:r>
              <w:rPr>
                <w:rFonts w:hint="eastAsia"/>
                <w:kern w:val="0"/>
                <w:sz w:val="24"/>
                <w:szCs w:val="20"/>
              </w:rPr>
              <w:t>施工期结束后，除支架基础外，将拆除施工现场其他建筑物并恢复厂区原有状态。由于项目施工支架占地面积在整体区域范围内较小，且现有地面均已进行水泥硬化，因此项目不会对区域整体土地利用的性质产生明显影响。</w:t>
            </w:r>
          </w:p>
          <w:p w14:paraId="6E710DE4">
            <w:pPr>
              <w:autoSpaceDE w:val="0"/>
              <w:autoSpaceDN w:val="0"/>
              <w:adjustRightInd w:val="0"/>
              <w:spacing w:line="440" w:lineRule="exact"/>
              <w:ind w:firstLine="482" w:firstLineChars="200"/>
              <w:rPr>
                <w:b/>
                <w:bCs/>
                <w:kern w:val="0"/>
                <w:sz w:val="24"/>
                <w:szCs w:val="20"/>
              </w:rPr>
            </w:pPr>
            <w:r>
              <w:rPr>
                <w:b/>
                <w:bCs/>
                <w:kern w:val="0"/>
                <w:sz w:val="24"/>
                <w:szCs w:val="20"/>
              </w:rPr>
              <w:t>2</w:t>
            </w:r>
            <w:r>
              <w:rPr>
                <w:rFonts w:hint="eastAsia"/>
                <w:b/>
                <w:bCs/>
                <w:kern w:val="0"/>
                <w:sz w:val="24"/>
                <w:szCs w:val="20"/>
              </w:rPr>
              <w:t>.</w:t>
            </w:r>
            <w:r>
              <w:rPr>
                <w:b/>
                <w:bCs/>
                <w:kern w:val="0"/>
                <w:sz w:val="24"/>
                <w:szCs w:val="20"/>
              </w:rPr>
              <w:t>施工期环境空气影响分析</w:t>
            </w:r>
          </w:p>
          <w:p w14:paraId="022EE948">
            <w:pPr>
              <w:spacing w:line="440" w:lineRule="exact"/>
              <w:ind w:firstLine="480" w:firstLineChars="200"/>
              <w:rPr>
                <w:sz w:val="24"/>
                <w:szCs w:val="20"/>
              </w:rPr>
            </w:pPr>
            <w:r>
              <w:rPr>
                <w:sz w:val="24"/>
                <w:szCs w:val="20"/>
              </w:rPr>
              <w:t>施工期大气污染源主要有施工扬尘及施工机械设备尾气、焊接烟气及</w:t>
            </w:r>
            <w:r>
              <w:rPr>
                <w:rFonts w:hint="eastAsia"/>
                <w:sz w:val="24"/>
              </w:rPr>
              <w:t>喷漆废气（焊缝焊接处）</w:t>
            </w:r>
            <w:r>
              <w:rPr>
                <w:sz w:val="24"/>
                <w:szCs w:val="20"/>
              </w:rPr>
              <w:t>等。</w:t>
            </w:r>
          </w:p>
          <w:p w14:paraId="5CB80F99">
            <w:pPr>
              <w:spacing w:line="440" w:lineRule="exact"/>
              <w:ind w:firstLine="480" w:firstLineChars="200"/>
              <w:rPr>
                <w:sz w:val="24"/>
                <w:szCs w:val="20"/>
              </w:rPr>
            </w:pPr>
            <w:r>
              <w:rPr>
                <w:sz w:val="24"/>
                <w:szCs w:val="20"/>
              </w:rPr>
              <w:t>（1）施工扬尘</w:t>
            </w:r>
          </w:p>
          <w:p w14:paraId="1C3B5361">
            <w:pPr>
              <w:spacing w:line="440" w:lineRule="exact"/>
              <w:ind w:firstLine="480" w:firstLineChars="200"/>
              <w:rPr>
                <w:sz w:val="24"/>
                <w:szCs w:val="20"/>
              </w:rPr>
            </w:pPr>
            <w:r>
              <w:rPr>
                <w:sz w:val="24"/>
                <w:szCs w:val="20"/>
              </w:rPr>
              <w:t>项目为架空管线项目，施工作业过程</w:t>
            </w:r>
            <w:r>
              <w:rPr>
                <w:rFonts w:hint="eastAsia"/>
                <w:sz w:val="24"/>
                <w:szCs w:val="20"/>
              </w:rPr>
              <w:t>中</w:t>
            </w:r>
            <w:r>
              <w:rPr>
                <w:sz w:val="24"/>
                <w:szCs w:val="20"/>
              </w:rPr>
              <w:t>产生的扬尘（粉尘）为无组织面源排放</w:t>
            </w:r>
            <w:r>
              <w:rPr>
                <w:rFonts w:hint="eastAsia"/>
                <w:sz w:val="24"/>
                <w:szCs w:val="20"/>
              </w:rPr>
              <w:t>。</w:t>
            </w:r>
            <w:r>
              <w:rPr>
                <w:sz w:val="24"/>
                <w:szCs w:val="20"/>
              </w:rPr>
              <w:t>扬尘（粉尘）污染主要取决于施工作业方式、材料的堆放以及风力等因素，其中受风力的影响最大</w:t>
            </w:r>
            <w:r>
              <w:rPr>
                <w:rFonts w:hint="eastAsia"/>
                <w:sz w:val="24"/>
                <w:szCs w:val="20"/>
              </w:rPr>
              <w:t>。</w:t>
            </w:r>
            <w:r>
              <w:rPr>
                <w:sz w:val="24"/>
                <w:szCs w:val="20"/>
              </w:rPr>
              <w:t>随着风速的增大，施工扬尘（粉尘）的污染程度和超标范围也将随之增强和扩大。根据类似工程的实际现场调查：在大风情况下施工现场下风向1m处扬尘浓度可达3mg/m³以上，25m处为1.53mg/m³，下风向60m范围内TSP浓度超标。</w:t>
            </w:r>
          </w:p>
          <w:p w14:paraId="2AFA5ED8">
            <w:pPr>
              <w:spacing w:line="440" w:lineRule="exact"/>
              <w:ind w:firstLine="480" w:firstLineChars="200"/>
              <w:rPr>
                <w:sz w:val="24"/>
                <w:szCs w:val="20"/>
              </w:rPr>
            </w:pPr>
            <w:r>
              <w:rPr>
                <w:sz w:val="24"/>
                <w:szCs w:val="20"/>
              </w:rPr>
              <w:t>距离施工场地较近的敏感点会受到施工扬尘不同程度的影响。根据调查，项目管线周边</w:t>
            </w:r>
            <w:r>
              <w:rPr>
                <w:rFonts w:hint="eastAsia"/>
                <w:sz w:val="24"/>
                <w:szCs w:val="20"/>
              </w:rPr>
              <w:t>5</w:t>
            </w:r>
            <w:r>
              <w:rPr>
                <w:sz w:val="24"/>
                <w:szCs w:val="20"/>
              </w:rPr>
              <w:t>00m范围内无居民区。项目施工道路依托</w:t>
            </w:r>
            <w:r>
              <w:rPr>
                <w:rFonts w:hint="eastAsia"/>
                <w:sz w:val="24"/>
                <w:szCs w:val="20"/>
              </w:rPr>
              <w:t>伊泰化工</w:t>
            </w:r>
            <w:r>
              <w:rPr>
                <w:sz w:val="24"/>
                <w:szCs w:val="20"/>
              </w:rPr>
              <w:t>内部道路和园区现有道路，大风天停止作业</w:t>
            </w:r>
            <w:r>
              <w:rPr>
                <w:rFonts w:hint="eastAsia"/>
                <w:sz w:val="24"/>
                <w:szCs w:val="20"/>
              </w:rPr>
              <w:t>、采取</w:t>
            </w:r>
            <w:r>
              <w:rPr>
                <w:sz w:val="24"/>
                <w:szCs w:val="20"/>
              </w:rPr>
              <w:t>定期洒水抑尘措施。</w:t>
            </w:r>
          </w:p>
          <w:p w14:paraId="62155D8F">
            <w:pPr>
              <w:spacing w:line="440" w:lineRule="exact"/>
              <w:ind w:firstLine="480" w:firstLineChars="200"/>
              <w:rPr>
                <w:sz w:val="24"/>
                <w:szCs w:val="20"/>
              </w:rPr>
            </w:pPr>
            <w:r>
              <w:rPr>
                <w:sz w:val="24"/>
                <w:szCs w:val="20"/>
              </w:rPr>
              <w:t>施工阶段汽车运输过程中，也会产生扬尘污染。扬尘量、粒径大小等与多种因素有关，如路面状况、车辆行驶速度、载重量、天气情况等。其中风速、风向等天气状况直接影响扬尘的传输方向和距离。由于汽车运输过程中产生的扬尘时间短、扬尘落地快、影响范围主要集中在运输道路两侧，</w:t>
            </w:r>
            <w:r>
              <w:rPr>
                <w:rFonts w:hint="eastAsia"/>
                <w:sz w:val="24"/>
                <w:szCs w:val="20"/>
              </w:rPr>
              <w:t>且厂区地面均已硬化。</w:t>
            </w:r>
            <w:r>
              <w:rPr>
                <w:sz w:val="24"/>
                <w:szCs w:val="20"/>
              </w:rPr>
              <w:t>故汽车运输扬尘对周边的环境空气影响范围较小，影响时间也较短。采用对道路定时</w:t>
            </w:r>
            <w:r>
              <w:rPr>
                <w:rFonts w:hint="eastAsia"/>
                <w:sz w:val="24"/>
                <w:szCs w:val="20"/>
              </w:rPr>
              <w:t>洒</w:t>
            </w:r>
            <w:r>
              <w:rPr>
                <w:sz w:val="24"/>
                <w:szCs w:val="20"/>
              </w:rPr>
              <w:t>水抑尘等措施后，可大大减少运输扬尘对周围环境空气的影响。</w:t>
            </w:r>
          </w:p>
          <w:p w14:paraId="68B30FAA">
            <w:pPr>
              <w:spacing w:line="440" w:lineRule="exact"/>
              <w:ind w:firstLine="480" w:firstLineChars="200"/>
              <w:rPr>
                <w:sz w:val="24"/>
                <w:szCs w:val="20"/>
              </w:rPr>
            </w:pPr>
            <w:r>
              <w:rPr>
                <w:sz w:val="24"/>
                <w:szCs w:val="20"/>
              </w:rPr>
              <w:t>（2）施工</w:t>
            </w:r>
            <w:r>
              <w:rPr>
                <w:rFonts w:hint="eastAsia"/>
                <w:sz w:val="24"/>
                <w:szCs w:val="20"/>
              </w:rPr>
              <w:t>机械设备</w:t>
            </w:r>
            <w:r>
              <w:rPr>
                <w:sz w:val="24"/>
                <w:szCs w:val="20"/>
              </w:rPr>
              <w:t>尾气</w:t>
            </w:r>
          </w:p>
          <w:p w14:paraId="386CC8FF">
            <w:pPr>
              <w:spacing w:line="440" w:lineRule="exact"/>
              <w:ind w:firstLine="480" w:firstLineChars="200"/>
              <w:rPr>
                <w:sz w:val="24"/>
                <w:szCs w:val="20"/>
              </w:rPr>
            </w:pPr>
            <w:r>
              <w:rPr>
                <w:sz w:val="24"/>
                <w:szCs w:val="20"/>
              </w:rPr>
              <w:t>施工期间，运输汽车以及大型机械</w:t>
            </w:r>
            <w:r>
              <w:rPr>
                <w:rFonts w:hint="eastAsia"/>
                <w:sz w:val="24"/>
                <w:szCs w:val="20"/>
              </w:rPr>
              <w:t>在</w:t>
            </w:r>
            <w:r>
              <w:rPr>
                <w:sz w:val="24"/>
                <w:szCs w:val="20"/>
              </w:rPr>
              <w:t>施工中，将产生</w:t>
            </w:r>
            <w:r>
              <w:rPr>
                <w:rFonts w:hint="eastAsia"/>
                <w:sz w:val="24"/>
                <w:szCs w:val="20"/>
              </w:rPr>
              <w:t>尾气</w:t>
            </w:r>
            <w:r>
              <w:rPr>
                <w:sz w:val="24"/>
                <w:szCs w:val="20"/>
              </w:rPr>
              <w:t>，主要污染物为SO</w:t>
            </w:r>
            <w:r>
              <w:rPr>
                <w:sz w:val="24"/>
                <w:szCs w:val="20"/>
                <w:vertAlign w:val="subscript"/>
              </w:rPr>
              <w:t>2</w:t>
            </w:r>
            <w:r>
              <w:rPr>
                <w:sz w:val="24"/>
                <w:szCs w:val="20"/>
              </w:rPr>
              <w:t>、NOx等。但由于废气量较小，且施工现场均在</w:t>
            </w:r>
            <w:r>
              <w:rPr>
                <w:rFonts w:hint="eastAsia"/>
                <w:sz w:val="24"/>
                <w:szCs w:val="20"/>
              </w:rPr>
              <w:t>户</w:t>
            </w:r>
            <w:r>
              <w:rPr>
                <w:sz w:val="24"/>
                <w:szCs w:val="20"/>
              </w:rPr>
              <w:t>外，有利于空气的扩散，同时废气污染源具有间歇性和流动性，因此对局部地区的环境影响较小。</w:t>
            </w:r>
          </w:p>
          <w:p w14:paraId="4067A91E">
            <w:pPr>
              <w:spacing w:line="440" w:lineRule="exact"/>
              <w:ind w:firstLine="480" w:firstLineChars="200"/>
              <w:rPr>
                <w:sz w:val="24"/>
                <w:szCs w:val="20"/>
              </w:rPr>
            </w:pPr>
            <w:r>
              <w:rPr>
                <w:sz w:val="24"/>
                <w:szCs w:val="20"/>
              </w:rPr>
              <w:t>（3）焊接烟尘</w:t>
            </w:r>
          </w:p>
          <w:p w14:paraId="63CFAC81">
            <w:pPr>
              <w:spacing w:line="440" w:lineRule="exact"/>
              <w:ind w:firstLine="480" w:firstLineChars="200"/>
              <w:rPr>
                <w:sz w:val="24"/>
                <w:szCs w:val="20"/>
              </w:rPr>
            </w:pPr>
            <w:r>
              <w:rPr>
                <w:sz w:val="24"/>
                <w:szCs w:val="20"/>
              </w:rPr>
              <w:t>管道焊接过程中会产生少量的焊接烟尘。施工期管道焊接使用不锈钢焊丝，不含锡及其化合物、锰及其化合物等，因此焊接烟尘的主要污染物为颗粒物。由于项目管道长度较短，管径较小，焊接烟尘产生量较小，且项目施工现场位于开阔地带，有利于废气的扩散。同时焊接工序是随管道的敷设情况分段进行的，焊接烟尘具有间歇性，随着焊接工作的结束而结束。焊接烟尘的排放具有分散、间断排放和排放量小的特点，对周边环境影响较小</w:t>
            </w:r>
            <w:r>
              <w:rPr>
                <w:rFonts w:hint="eastAsia"/>
                <w:sz w:val="24"/>
                <w:szCs w:val="20"/>
              </w:rPr>
              <w:t>。</w:t>
            </w:r>
          </w:p>
          <w:p w14:paraId="3119AB14">
            <w:pPr>
              <w:spacing w:line="440" w:lineRule="exact"/>
              <w:ind w:firstLine="480" w:firstLineChars="200"/>
              <w:rPr>
                <w:sz w:val="24"/>
                <w:szCs w:val="20"/>
              </w:rPr>
            </w:pPr>
            <w:r>
              <w:rPr>
                <w:rFonts w:hint="eastAsia"/>
                <w:sz w:val="24"/>
                <w:szCs w:val="20"/>
              </w:rPr>
              <w:t>（4）喷漆废气（焊缝焊接处）</w:t>
            </w:r>
          </w:p>
          <w:p w14:paraId="40C4EC6B">
            <w:pPr>
              <w:spacing w:line="440" w:lineRule="exact"/>
              <w:ind w:firstLine="480" w:firstLineChars="200"/>
              <w:rPr>
                <w:sz w:val="24"/>
                <w:szCs w:val="20"/>
                <w:highlight w:val="yellow"/>
              </w:rPr>
            </w:pPr>
            <w:r>
              <w:rPr>
                <w:rFonts w:hint="eastAsia"/>
                <w:sz w:val="24"/>
                <w:szCs w:val="20"/>
              </w:rPr>
              <w:t>项目</w:t>
            </w:r>
            <w:r>
              <w:rPr>
                <w:sz w:val="24"/>
                <w:szCs w:val="20"/>
              </w:rPr>
              <w:t>管线来料已在厂家完成底漆及面漆喷涂工序，现场不进行喷漆。但是</w:t>
            </w:r>
            <w:r>
              <w:rPr>
                <w:rFonts w:hint="eastAsia"/>
                <w:sz w:val="24"/>
                <w:szCs w:val="20"/>
              </w:rPr>
              <w:t>在管道</w:t>
            </w:r>
            <w:r>
              <w:rPr>
                <w:sz w:val="24"/>
                <w:szCs w:val="20"/>
              </w:rPr>
              <w:t>焊接接口处需要重新补漆，补涂的面积小，</w:t>
            </w:r>
            <w:r>
              <w:rPr>
                <w:rFonts w:hint="eastAsia"/>
                <w:sz w:val="24"/>
                <w:szCs w:val="20"/>
              </w:rPr>
              <w:t>涂漆时会产生少量有机废气，主要为挥发性有机物。项目选用</w:t>
            </w:r>
            <w:bookmarkStart w:id="38" w:name="OLE_LINK37"/>
            <w:r>
              <w:rPr>
                <w:rFonts w:hint="eastAsia"/>
                <w:sz w:val="24"/>
                <w:szCs w:val="20"/>
              </w:rPr>
              <w:t>高固体份、低VOCs含量的防腐漆</w:t>
            </w:r>
            <w:bookmarkEnd w:id="38"/>
            <w:r>
              <w:rPr>
                <w:rFonts w:hint="eastAsia"/>
                <w:sz w:val="24"/>
                <w:szCs w:val="20"/>
              </w:rPr>
              <w:t>，且油漆用量较小，挥发性有机物产生量及排放量较小，本次进行定性评价。</w:t>
            </w:r>
          </w:p>
          <w:p w14:paraId="5DAE89A7">
            <w:pPr>
              <w:spacing w:line="440" w:lineRule="exact"/>
              <w:ind w:firstLine="480" w:firstLineChars="200"/>
              <w:rPr>
                <w:bCs/>
                <w:sz w:val="24"/>
                <w:szCs w:val="20"/>
              </w:rPr>
            </w:pPr>
            <w:r>
              <w:rPr>
                <w:bCs/>
                <w:sz w:val="24"/>
                <w:szCs w:val="20"/>
              </w:rPr>
              <w:t>工程施工期环境空气污染具有随时间变化程度大，影响距离和范围小等特点，对周围环境产生的影响较小</w:t>
            </w:r>
            <w:r>
              <w:rPr>
                <w:rFonts w:hint="eastAsia"/>
                <w:bCs/>
                <w:sz w:val="24"/>
                <w:szCs w:val="20"/>
              </w:rPr>
              <w:t>，</w:t>
            </w:r>
            <w:r>
              <w:rPr>
                <w:bCs/>
                <w:sz w:val="24"/>
                <w:szCs w:val="20"/>
              </w:rPr>
              <w:t>其影响只限于施工期，随建设期的结束而停止，不会产生累积的污染影响。</w:t>
            </w:r>
          </w:p>
          <w:p w14:paraId="0BE3C222">
            <w:pPr>
              <w:spacing w:line="440" w:lineRule="exact"/>
              <w:ind w:firstLine="482" w:firstLineChars="200"/>
              <w:rPr>
                <w:b/>
                <w:sz w:val="24"/>
                <w:szCs w:val="20"/>
              </w:rPr>
            </w:pPr>
            <w:r>
              <w:rPr>
                <w:b/>
                <w:sz w:val="24"/>
                <w:szCs w:val="20"/>
              </w:rPr>
              <w:t>3</w:t>
            </w:r>
            <w:r>
              <w:rPr>
                <w:rFonts w:hint="eastAsia"/>
                <w:b/>
                <w:sz w:val="24"/>
                <w:szCs w:val="20"/>
              </w:rPr>
              <w:t>.</w:t>
            </w:r>
            <w:r>
              <w:rPr>
                <w:b/>
                <w:sz w:val="24"/>
                <w:szCs w:val="20"/>
              </w:rPr>
              <w:t>水环境影响分析</w:t>
            </w:r>
          </w:p>
          <w:p w14:paraId="3B9B4C7F">
            <w:pPr>
              <w:snapToGrid w:val="0"/>
              <w:spacing w:line="440" w:lineRule="exact"/>
              <w:ind w:firstLine="480" w:firstLineChars="200"/>
              <w:rPr>
                <w:sz w:val="24"/>
              </w:rPr>
            </w:pPr>
            <w:r>
              <w:rPr>
                <w:rFonts w:hint="eastAsia"/>
                <w:sz w:val="24"/>
              </w:rPr>
              <w:t>项目</w:t>
            </w:r>
            <w:r>
              <w:rPr>
                <w:sz w:val="24"/>
              </w:rPr>
              <w:t>施工人员生活污水主要为盥洗废水，水质简单，水量较小，</w:t>
            </w:r>
            <w:r>
              <w:rPr>
                <w:rFonts w:hint="eastAsia"/>
                <w:sz w:val="24"/>
              </w:rPr>
              <w:t>依托厂区内现有污水处理站处理。</w:t>
            </w:r>
          </w:p>
          <w:p w14:paraId="4FD27C2D">
            <w:pPr>
              <w:spacing w:line="440" w:lineRule="exact"/>
              <w:ind w:firstLine="480" w:firstLineChars="200"/>
              <w:rPr>
                <w:sz w:val="24"/>
                <w:szCs w:val="20"/>
              </w:rPr>
            </w:pPr>
            <w:r>
              <w:rPr>
                <w:sz w:val="24"/>
                <w:szCs w:val="20"/>
              </w:rPr>
              <w:t>采取以上措施后，施工期废水不会对周边环境产生明显影响。</w:t>
            </w:r>
          </w:p>
          <w:p w14:paraId="58F2B498">
            <w:pPr>
              <w:spacing w:line="440" w:lineRule="exact"/>
              <w:ind w:firstLine="482" w:firstLineChars="200"/>
              <w:rPr>
                <w:b/>
                <w:sz w:val="24"/>
                <w:szCs w:val="20"/>
              </w:rPr>
            </w:pPr>
            <w:r>
              <w:rPr>
                <w:b/>
                <w:sz w:val="24"/>
                <w:szCs w:val="20"/>
              </w:rPr>
              <w:t>4</w:t>
            </w:r>
            <w:r>
              <w:rPr>
                <w:rFonts w:hint="eastAsia"/>
                <w:b/>
                <w:sz w:val="24"/>
                <w:szCs w:val="20"/>
              </w:rPr>
              <w:t>.</w:t>
            </w:r>
            <w:r>
              <w:rPr>
                <w:b/>
                <w:sz w:val="24"/>
                <w:szCs w:val="20"/>
              </w:rPr>
              <w:t>声环境影响分析</w:t>
            </w:r>
          </w:p>
          <w:p w14:paraId="72071AC9">
            <w:pPr>
              <w:spacing w:line="440" w:lineRule="exact"/>
              <w:ind w:firstLine="480" w:firstLineChars="200"/>
              <w:rPr>
                <w:bCs/>
                <w:sz w:val="24"/>
                <w:szCs w:val="20"/>
              </w:rPr>
            </w:pPr>
            <w:r>
              <w:rPr>
                <w:rFonts w:hint="eastAsia"/>
                <w:bCs/>
                <w:sz w:val="24"/>
                <w:szCs w:val="20"/>
              </w:rPr>
              <w:t>（1）噪声源强</w:t>
            </w:r>
          </w:p>
          <w:p w14:paraId="159B7C9F">
            <w:pPr>
              <w:spacing w:line="440" w:lineRule="exact"/>
              <w:ind w:firstLine="480" w:firstLineChars="200"/>
              <w:rPr>
                <w:bCs/>
                <w:sz w:val="24"/>
                <w:szCs w:val="20"/>
              </w:rPr>
            </w:pPr>
            <w:r>
              <w:rPr>
                <w:bCs/>
                <w:sz w:val="24"/>
                <w:szCs w:val="20"/>
              </w:rPr>
              <w:t>参照</w:t>
            </w:r>
            <w:r>
              <w:rPr>
                <w:rFonts w:hint="eastAsia"/>
                <w:bCs/>
                <w:sz w:val="24"/>
                <w:szCs w:val="20"/>
              </w:rPr>
              <w:t>同类型</w:t>
            </w:r>
            <w:r>
              <w:rPr>
                <w:bCs/>
                <w:sz w:val="24"/>
                <w:szCs w:val="20"/>
              </w:rPr>
              <w:t>管道施工现场类比调查结果，项目施工期主要噪声源见下表。</w:t>
            </w:r>
          </w:p>
          <w:p w14:paraId="09088CF2">
            <w:pPr>
              <w:spacing w:line="440" w:lineRule="exact"/>
              <w:ind w:firstLine="482" w:firstLineChars="200"/>
              <w:rPr>
                <w:b/>
                <w:szCs w:val="21"/>
              </w:rPr>
            </w:pPr>
            <w:r>
              <w:rPr>
                <w:rFonts w:hint="eastAsia"/>
                <w:b/>
                <w:sz w:val="24"/>
                <w:szCs w:val="20"/>
              </w:rPr>
              <w:t>表4-1   主要施工机械噪声强度</w:t>
            </w:r>
          </w:p>
          <w:tbl>
            <w:tblPr>
              <w:tblStyle w:val="7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29"/>
              <w:gridCol w:w="5676"/>
            </w:tblGrid>
            <w:tr w14:paraId="04EB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9" w:type="pct"/>
                  <w:vAlign w:val="center"/>
                </w:tcPr>
                <w:p w14:paraId="2813E7B2">
                  <w:pPr>
                    <w:spacing w:line="360" w:lineRule="exact"/>
                    <w:jc w:val="center"/>
                    <w:rPr>
                      <w:szCs w:val="21"/>
                      <w:lang w:val="zh-CN"/>
                    </w:rPr>
                  </w:pPr>
                  <w:r>
                    <w:rPr>
                      <w:szCs w:val="21"/>
                      <w:lang w:val="zh-CN"/>
                    </w:rPr>
                    <w:t>序号</w:t>
                  </w:r>
                </w:p>
              </w:tc>
              <w:tc>
                <w:tcPr>
                  <w:tcW w:w="873" w:type="pct"/>
                  <w:vAlign w:val="center"/>
                </w:tcPr>
                <w:p w14:paraId="1EAC71F4">
                  <w:pPr>
                    <w:spacing w:line="360" w:lineRule="exact"/>
                    <w:jc w:val="center"/>
                    <w:rPr>
                      <w:szCs w:val="21"/>
                      <w:lang w:val="zh-CN"/>
                    </w:rPr>
                  </w:pPr>
                  <w:r>
                    <w:rPr>
                      <w:szCs w:val="21"/>
                      <w:lang w:val="zh-CN"/>
                    </w:rPr>
                    <w:t>噪声源</w:t>
                  </w:r>
                </w:p>
              </w:tc>
              <w:tc>
                <w:tcPr>
                  <w:tcW w:w="3466" w:type="pct"/>
                  <w:vAlign w:val="center"/>
                </w:tcPr>
                <w:p w14:paraId="589C72C2">
                  <w:pPr>
                    <w:spacing w:line="360" w:lineRule="exact"/>
                    <w:jc w:val="center"/>
                    <w:rPr>
                      <w:szCs w:val="21"/>
                      <w:lang w:val="zh-CN"/>
                    </w:rPr>
                  </w:pPr>
                  <w:r>
                    <w:rPr>
                      <w:szCs w:val="21"/>
                      <w:lang w:val="zh-CN"/>
                    </w:rPr>
                    <w:t>距离声源5m处噪声强度dB（A）</w:t>
                  </w:r>
                </w:p>
              </w:tc>
            </w:tr>
            <w:tr w14:paraId="6D64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9" w:type="pct"/>
                  <w:vAlign w:val="center"/>
                </w:tcPr>
                <w:p w14:paraId="55551C56">
                  <w:pPr>
                    <w:spacing w:line="360" w:lineRule="exact"/>
                    <w:jc w:val="center"/>
                    <w:rPr>
                      <w:szCs w:val="21"/>
                      <w:lang w:val="zh-CN"/>
                    </w:rPr>
                  </w:pPr>
                  <w:r>
                    <w:rPr>
                      <w:szCs w:val="21"/>
                      <w:lang w:val="zh-CN"/>
                    </w:rPr>
                    <w:t>1</w:t>
                  </w:r>
                </w:p>
              </w:tc>
              <w:tc>
                <w:tcPr>
                  <w:tcW w:w="873" w:type="pct"/>
                  <w:vAlign w:val="center"/>
                </w:tcPr>
                <w:p w14:paraId="3D2CEC3B">
                  <w:pPr>
                    <w:spacing w:line="360" w:lineRule="exact"/>
                    <w:jc w:val="center"/>
                    <w:rPr>
                      <w:szCs w:val="21"/>
                      <w:lang w:val="zh-CN"/>
                    </w:rPr>
                  </w:pPr>
                  <w:r>
                    <w:rPr>
                      <w:szCs w:val="21"/>
                      <w:lang w:val="zh-CN"/>
                    </w:rPr>
                    <w:t>吊管机</w:t>
                  </w:r>
                </w:p>
              </w:tc>
              <w:tc>
                <w:tcPr>
                  <w:tcW w:w="3466" w:type="pct"/>
                  <w:vAlign w:val="center"/>
                </w:tcPr>
                <w:p w14:paraId="7F6F56DE">
                  <w:pPr>
                    <w:spacing w:line="360" w:lineRule="exact"/>
                    <w:jc w:val="center"/>
                    <w:rPr>
                      <w:szCs w:val="21"/>
                      <w:lang w:val="zh-CN"/>
                    </w:rPr>
                  </w:pPr>
                  <w:r>
                    <w:rPr>
                      <w:szCs w:val="21"/>
                      <w:lang w:val="zh-CN"/>
                    </w:rPr>
                    <w:t>81</w:t>
                  </w:r>
                </w:p>
              </w:tc>
            </w:tr>
            <w:tr w14:paraId="197A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659" w:type="pct"/>
                  <w:vAlign w:val="center"/>
                </w:tcPr>
                <w:p w14:paraId="40FA599A">
                  <w:pPr>
                    <w:spacing w:line="360" w:lineRule="exact"/>
                    <w:jc w:val="center"/>
                    <w:rPr>
                      <w:szCs w:val="21"/>
                      <w:lang w:val="zh-CN"/>
                    </w:rPr>
                  </w:pPr>
                  <w:r>
                    <w:rPr>
                      <w:szCs w:val="21"/>
                      <w:lang w:val="zh-CN"/>
                    </w:rPr>
                    <w:t>2</w:t>
                  </w:r>
                </w:p>
              </w:tc>
              <w:tc>
                <w:tcPr>
                  <w:tcW w:w="873" w:type="pct"/>
                  <w:vAlign w:val="center"/>
                </w:tcPr>
                <w:p w14:paraId="5F4C4149">
                  <w:pPr>
                    <w:spacing w:line="360" w:lineRule="exact"/>
                    <w:jc w:val="center"/>
                    <w:rPr>
                      <w:szCs w:val="21"/>
                      <w:lang w:val="zh-CN"/>
                    </w:rPr>
                  </w:pPr>
                  <w:r>
                    <w:rPr>
                      <w:szCs w:val="21"/>
                      <w:lang w:val="zh-CN"/>
                    </w:rPr>
                    <w:t>电焊机</w:t>
                  </w:r>
                </w:p>
              </w:tc>
              <w:tc>
                <w:tcPr>
                  <w:tcW w:w="3466" w:type="pct"/>
                  <w:vAlign w:val="center"/>
                </w:tcPr>
                <w:p w14:paraId="0B716D48">
                  <w:pPr>
                    <w:spacing w:line="360" w:lineRule="exact"/>
                    <w:jc w:val="center"/>
                    <w:rPr>
                      <w:szCs w:val="21"/>
                      <w:lang w:val="zh-CN"/>
                    </w:rPr>
                  </w:pPr>
                  <w:r>
                    <w:rPr>
                      <w:szCs w:val="21"/>
                      <w:lang w:val="zh-CN"/>
                    </w:rPr>
                    <w:t>87</w:t>
                  </w:r>
                </w:p>
              </w:tc>
            </w:tr>
            <w:tr w14:paraId="3159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9" w:type="pct"/>
                  <w:vAlign w:val="center"/>
                </w:tcPr>
                <w:p w14:paraId="7C8C4D78">
                  <w:pPr>
                    <w:spacing w:line="360" w:lineRule="exact"/>
                    <w:jc w:val="center"/>
                    <w:rPr>
                      <w:szCs w:val="21"/>
                      <w:lang w:val="zh-CN"/>
                    </w:rPr>
                  </w:pPr>
                  <w:r>
                    <w:rPr>
                      <w:szCs w:val="21"/>
                      <w:lang w:val="zh-CN"/>
                    </w:rPr>
                    <w:t>3</w:t>
                  </w:r>
                </w:p>
              </w:tc>
              <w:tc>
                <w:tcPr>
                  <w:tcW w:w="873" w:type="pct"/>
                  <w:vAlign w:val="center"/>
                </w:tcPr>
                <w:p w14:paraId="2D84E06B">
                  <w:pPr>
                    <w:spacing w:line="360" w:lineRule="exact"/>
                    <w:jc w:val="center"/>
                    <w:rPr>
                      <w:szCs w:val="21"/>
                      <w:lang w:val="zh-CN"/>
                    </w:rPr>
                  </w:pPr>
                  <w:r>
                    <w:rPr>
                      <w:szCs w:val="21"/>
                      <w:lang w:val="zh-CN"/>
                    </w:rPr>
                    <w:t>切割机</w:t>
                  </w:r>
                </w:p>
              </w:tc>
              <w:tc>
                <w:tcPr>
                  <w:tcW w:w="3466" w:type="pct"/>
                  <w:vAlign w:val="center"/>
                </w:tcPr>
                <w:p w14:paraId="5DA22B08">
                  <w:pPr>
                    <w:spacing w:line="360" w:lineRule="exact"/>
                    <w:jc w:val="center"/>
                    <w:rPr>
                      <w:szCs w:val="21"/>
                      <w:lang w:val="zh-CN"/>
                    </w:rPr>
                  </w:pPr>
                  <w:r>
                    <w:rPr>
                      <w:szCs w:val="21"/>
                      <w:lang w:val="zh-CN"/>
                    </w:rPr>
                    <w:t>95</w:t>
                  </w:r>
                </w:p>
              </w:tc>
            </w:tr>
          </w:tbl>
          <w:p w14:paraId="5A5A9652">
            <w:pPr>
              <w:spacing w:line="440" w:lineRule="exact"/>
              <w:ind w:firstLine="480" w:firstLineChars="200"/>
              <w:rPr>
                <w:bCs/>
                <w:sz w:val="24"/>
                <w:szCs w:val="20"/>
              </w:rPr>
            </w:pPr>
            <w:r>
              <w:rPr>
                <w:bCs/>
                <w:sz w:val="24"/>
                <w:szCs w:val="20"/>
              </w:rPr>
              <w:t>（2）噪声预测模式</w:t>
            </w:r>
          </w:p>
          <w:p w14:paraId="6045B914">
            <w:pPr>
              <w:spacing w:line="440" w:lineRule="exact"/>
              <w:ind w:firstLine="480" w:firstLineChars="200"/>
              <w:rPr>
                <w:sz w:val="24"/>
              </w:rPr>
            </w:pPr>
            <w:r>
              <w:rPr>
                <w:bCs/>
                <w:sz w:val="24"/>
                <w:szCs w:val="20"/>
              </w:rPr>
              <w:t>施工期工程噪声源可近似作为点声源处理，根据点声源噪声衰减模式，可估算施工期噪声源不同距离处的噪声值，预测模式如下：</w:t>
            </w:r>
          </w:p>
          <w:p w14:paraId="6DDA26AE">
            <w:pPr>
              <w:spacing w:line="360" w:lineRule="auto"/>
              <w:ind w:firstLine="480"/>
              <w:jc w:val="center"/>
              <w:rPr>
                <w:spacing w:val="8"/>
                <w:position w:val="2"/>
                <w:sz w:val="24"/>
                <w:lang w:eastAsia="en-US"/>
              </w:rPr>
            </w:pPr>
            <w:r>
              <w:rPr>
                <w:sz w:val="24"/>
              </w:rPr>
              <w:drawing>
                <wp:inline distT="0" distB="0" distL="114300" distR="114300">
                  <wp:extent cx="1565275" cy="389255"/>
                  <wp:effectExtent l="0" t="0" r="15875" b="10795"/>
                  <wp:docPr id="1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
                          <pic:cNvPicPr>
                            <a:picLocks noChangeAspect="1"/>
                          </pic:cNvPicPr>
                        </pic:nvPicPr>
                        <pic:blipFill>
                          <a:blip r:embed="rId17" cstate="print"/>
                          <a:stretch>
                            <a:fillRect/>
                          </a:stretch>
                        </pic:blipFill>
                        <pic:spPr>
                          <a:xfrm>
                            <a:off x="0" y="0"/>
                            <a:ext cx="1565275" cy="389255"/>
                          </a:xfrm>
                          <a:prstGeom prst="rect">
                            <a:avLst/>
                          </a:prstGeom>
                          <a:noFill/>
                          <a:ln>
                            <a:noFill/>
                          </a:ln>
                        </pic:spPr>
                      </pic:pic>
                    </a:graphicData>
                  </a:graphic>
                </wp:inline>
              </w:drawing>
            </w:r>
          </w:p>
          <w:p w14:paraId="650AC90F">
            <w:pPr>
              <w:spacing w:line="440" w:lineRule="exact"/>
              <w:ind w:firstLine="480" w:firstLineChars="200"/>
              <w:rPr>
                <w:bCs/>
                <w:sz w:val="24"/>
                <w:szCs w:val="20"/>
              </w:rPr>
            </w:pPr>
            <w:r>
              <w:rPr>
                <w:bCs/>
                <w:sz w:val="24"/>
                <w:szCs w:val="20"/>
              </w:rPr>
              <w:t>式中：Lp</w:t>
            </w:r>
            <w:r>
              <w:rPr>
                <w:rFonts w:hint="eastAsia"/>
                <w:bCs/>
                <w:sz w:val="24"/>
                <w:szCs w:val="20"/>
              </w:rPr>
              <w:t>（</w:t>
            </w:r>
            <w:r>
              <w:rPr>
                <w:bCs/>
                <w:sz w:val="24"/>
                <w:szCs w:val="20"/>
              </w:rPr>
              <w:t>r</w:t>
            </w:r>
            <w:r>
              <w:rPr>
                <w:rFonts w:hint="eastAsia"/>
                <w:bCs/>
                <w:sz w:val="24"/>
                <w:szCs w:val="20"/>
              </w:rPr>
              <w:t>）</w:t>
            </w:r>
            <w:r>
              <w:rPr>
                <w:bCs/>
                <w:sz w:val="24"/>
                <w:szCs w:val="20"/>
              </w:rPr>
              <w:t>--点声源在预测点产生的声压级，dB；</w:t>
            </w:r>
          </w:p>
          <w:p w14:paraId="69D03B5C">
            <w:pPr>
              <w:spacing w:line="440" w:lineRule="exact"/>
              <w:ind w:firstLine="1200" w:firstLineChars="500"/>
              <w:rPr>
                <w:bCs/>
                <w:sz w:val="24"/>
                <w:szCs w:val="20"/>
              </w:rPr>
            </w:pPr>
            <w:r>
              <w:rPr>
                <w:bCs/>
                <w:sz w:val="24"/>
                <w:szCs w:val="20"/>
              </w:rPr>
              <w:t>Lp</w:t>
            </w:r>
            <w:r>
              <w:rPr>
                <w:rFonts w:hint="eastAsia"/>
                <w:bCs/>
                <w:sz w:val="24"/>
                <w:szCs w:val="20"/>
              </w:rPr>
              <w:t>（</w:t>
            </w:r>
            <w:r>
              <w:rPr>
                <w:bCs/>
                <w:sz w:val="24"/>
                <w:szCs w:val="20"/>
              </w:rPr>
              <w:t>r0</w:t>
            </w:r>
            <w:r>
              <w:rPr>
                <w:rFonts w:hint="eastAsia"/>
                <w:bCs/>
                <w:sz w:val="24"/>
                <w:szCs w:val="20"/>
              </w:rPr>
              <w:t>）</w:t>
            </w:r>
            <w:r>
              <w:rPr>
                <w:bCs/>
                <w:sz w:val="24"/>
                <w:szCs w:val="20"/>
              </w:rPr>
              <w:t>--点声源在参考点产生的声压级，dB；</w:t>
            </w:r>
          </w:p>
          <w:p w14:paraId="74821C60">
            <w:pPr>
              <w:spacing w:line="440" w:lineRule="exact"/>
              <w:ind w:firstLine="1200" w:firstLineChars="500"/>
              <w:rPr>
                <w:bCs/>
                <w:sz w:val="24"/>
                <w:szCs w:val="20"/>
              </w:rPr>
            </w:pPr>
            <w:r>
              <w:rPr>
                <w:bCs/>
                <w:sz w:val="24"/>
                <w:szCs w:val="20"/>
              </w:rPr>
              <w:t>r--预测点距声源的距离，m；</w:t>
            </w:r>
          </w:p>
          <w:p w14:paraId="3E87748E">
            <w:pPr>
              <w:spacing w:line="440" w:lineRule="exact"/>
              <w:ind w:firstLine="1200" w:firstLineChars="500"/>
              <w:rPr>
                <w:bCs/>
                <w:sz w:val="24"/>
                <w:szCs w:val="20"/>
              </w:rPr>
            </w:pPr>
            <w:r>
              <w:rPr>
                <w:bCs/>
                <w:sz w:val="24"/>
                <w:szCs w:val="20"/>
              </w:rPr>
              <w:t>r0--参考点距声源的距离，m。</w:t>
            </w:r>
          </w:p>
          <w:p w14:paraId="6D8F31CB">
            <w:pPr>
              <w:spacing w:line="440" w:lineRule="exact"/>
              <w:ind w:firstLine="480" w:firstLineChars="200"/>
              <w:rPr>
                <w:bCs/>
                <w:sz w:val="24"/>
                <w:szCs w:val="20"/>
              </w:rPr>
            </w:pPr>
            <w:r>
              <w:rPr>
                <w:bCs/>
                <w:sz w:val="24"/>
                <w:szCs w:val="20"/>
              </w:rPr>
              <w:t>（3）预测结果及分析</w:t>
            </w:r>
          </w:p>
          <w:p w14:paraId="29761A28">
            <w:pPr>
              <w:spacing w:line="440" w:lineRule="exact"/>
              <w:ind w:firstLine="480" w:firstLineChars="200"/>
              <w:rPr>
                <w:sz w:val="24"/>
              </w:rPr>
            </w:pPr>
            <w:r>
              <w:rPr>
                <w:bCs/>
                <w:sz w:val="24"/>
                <w:szCs w:val="20"/>
              </w:rPr>
              <w:t>通常施工场地上有多台不同种类的施工机械同时作业，它们的辐射声级将叠加，其强度增量视噪声源种类、数量、相对分布的距离等因素而不同。施工噪声随距离衰减后的预测值见下表。</w:t>
            </w:r>
          </w:p>
          <w:p w14:paraId="32D6291A">
            <w:pPr>
              <w:spacing w:line="440" w:lineRule="exact"/>
              <w:ind w:firstLine="482" w:firstLineChars="200"/>
              <w:rPr>
                <w:b/>
                <w:spacing w:val="6"/>
              </w:rPr>
            </w:pPr>
            <w:r>
              <w:rPr>
                <w:b/>
                <w:sz w:val="24"/>
                <w:szCs w:val="20"/>
              </w:rPr>
              <w:t xml:space="preserve">表4-2   施工噪声随距离的衰减情况    </w:t>
            </w:r>
            <w:r>
              <w:rPr>
                <w:rFonts w:hint="eastAsia"/>
                <w:b/>
                <w:sz w:val="24"/>
                <w:szCs w:val="20"/>
              </w:rPr>
              <w:t xml:space="preserve">             </w:t>
            </w:r>
            <w:r>
              <w:rPr>
                <w:b/>
                <w:sz w:val="24"/>
                <w:szCs w:val="20"/>
              </w:rPr>
              <w:t>单位：dB（A）</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611"/>
              <w:gridCol w:w="612"/>
              <w:gridCol w:w="612"/>
              <w:gridCol w:w="612"/>
              <w:gridCol w:w="612"/>
              <w:gridCol w:w="763"/>
              <w:gridCol w:w="763"/>
              <w:gridCol w:w="765"/>
              <w:gridCol w:w="765"/>
              <w:gridCol w:w="637"/>
            </w:tblGrid>
            <w:tr w14:paraId="5BD3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76" w:type="pct"/>
                  <w:vAlign w:val="center"/>
                </w:tcPr>
                <w:p w14:paraId="5CF3A99A">
                  <w:pPr>
                    <w:spacing w:line="360" w:lineRule="exact"/>
                    <w:jc w:val="center"/>
                    <w:rPr>
                      <w:szCs w:val="21"/>
                      <w:lang w:val="zh-CN"/>
                    </w:rPr>
                  </w:pPr>
                  <w:r>
                    <w:rPr>
                      <w:szCs w:val="21"/>
                      <w:lang w:val="zh-CN"/>
                    </w:rPr>
                    <w:t>噪声源距离，m</w:t>
                  </w:r>
                </w:p>
              </w:tc>
              <w:tc>
                <w:tcPr>
                  <w:tcW w:w="373" w:type="pct"/>
                  <w:vAlign w:val="center"/>
                </w:tcPr>
                <w:p w14:paraId="0ABE6D03">
                  <w:pPr>
                    <w:spacing w:line="360" w:lineRule="exact"/>
                    <w:jc w:val="center"/>
                    <w:rPr>
                      <w:szCs w:val="21"/>
                      <w:lang w:val="zh-CN"/>
                    </w:rPr>
                  </w:pPr>
                  <w:r>
                    <w:rPr>
                      <w:szCs w:val="21"/>
                      <w:lang w:val="zh-CN"/>
                    </w:rPr>
                    <w:t>10</w:t>
                  </w:r>
                </w:p>
              </w:tc>
              <w:tc>
                <w:tcPr>
                  <w:tcW w:w="374" w:type="pct"/>
                  <w:vAlign w:val="center"/>
                </w:tcPr>
                <w:p w14:paraId="4668CD6D">
                  <w:pPr>
                    <w:spacing w:line="360" w:lineRule="exact"/>
                    <w:jc w:val="center"/>
                    <w:rPr>
                      <w:szCs w:val="21"/>
                      <w:lang w:val="zh-CN"/>
                    </w:rPr>
                  </w:pPr>
                  <w:r>
                    <w:rPr>
                      <w:szCs w:val="21"/>
                      <w:lang w:val="zh-CN"/>
                    </w:rPr>
                    <w:t>20</w:t>
                  </w:r>
                </w:p>
              </w:tc>
              <w:tc>
                <w:tcPr>
                  <w:tcW w:w="374" w:type="pct"/>
                  <w:vAlign w:val="center"/>
                </w:tcPr>
                <w:p w14:paraId="3D9DB76C">
                  <w:pPr>
                    <w:spacing w:line="360" w:lineRule="exact"/>
                    <w:jc w:val="center"/>
                    <w:rPr>
                      <w:szCs w:val="21"/>
                      <w:lang w:val="zh-CN"/>
                    </w:rPr>
                  </w:pPr>
                  <w:r>
                    <w:rPr>
                      <w:szCs w:val="21"/>
                      <w:lang w:val="zh-CN"/>
                    </w:rPr>
                    <w:t>40</w:t>
                  </w:r>
                </w:p>
              </w:tc>
              <w:tc>
                <w:tcPr>
                  <w:tcW w:w="374" w:type="pct"/>
                  <w:vAlign w:val="center"/>
                </w:tcPr>
                <w:p w14:paraId="6692887E">
                  <w:pPr>
                    <w:spacing w:line="360" w:lineRule="exact"/>
                    <w:jc w:val="center"/>
                    <w:rPr>
                      <w:szCs w:val="21"/>
                      <w:lang w:val="zh-CN"/>
                    </w:rPr>
                  </w:pPr>
                  <w:r>
                    <w:rPr>
                      <w:szCs w:val="21"/>
                      <w:lang w:val="zh-CN"/>
                    </w:rPr>
                    <w:t>60</w:t>
                  </w:r>
                </w:p>
              </w:tc>
              <w:tc>
                <w:tcPr>
                  <w:tcW w:w="374" w:type="pct"/>
                  <w:vAlign w:val="center"/>
                </w:tcPr>
                <w:p w14:paraId="1E8B36F2">
                  <w:pPr>
                    <w:spacing w:line="360" w:lineRule="exact"/>
                    <w:jc w:val="center"/>
                    <w:rPr>
                      <w:szCs w:val="21"/>
                      <w:lang w:val="zh-CN"/>
                    </w:rPr>
                  </w:pPr>
                  <w:r>
                    <w:rPr>
                      <w:szCs w:val="21"/>
                      <w:lang w:val="zh-CN"/>
                    </w:rPr>
                    <w:t>80</w:t>
                  </w:r>
                </w:p>
              </w:tc>
              <w:tc>
                <w:tcPr>
                  <w:tcW w:w="466" w:type="pct"/>
                  <w:vAlign w:val="center"/>
                </w:tcPr>
                <w:p w14:paraId="5DC7AE57">
                  <w:pPr>
                    <w:spacing w:line="360" w:lineRule="exact"/>
                    <w:jc w:val="center"/>
                    <w:rPr>
                      <w:szCs w:val="21"/>
                      <w:lang w:val="zh-CN"/>
                    </w:rPr>
                  </w:pPr>
                  <w:r>
                    <w:rPr>
                      <w:szCs w:val="21"/>
                      <w:lang w:val="zh-CN"/>
                    </w:rPr>
                    <w:t>100</w:t>
                  </w:r>
                </w:p>
              </w:tc>
              <w:tc>
                <w:tcPr>
                  <w:tcW w:w="466" w:type="pct"/>
                  <w:vAlign w:val="center"/>
                </w:tcPr>
                <w:p w14:paraId="507823EF">
                  <w:pPr>
                    <w:spacing w:line="360" w:lineRule="exact"/>
                    <w:jc w:val="center"/>
                    <w:rPr>
                      <w:szCs w:val="21"/>
                      <w:lang w:val="zh-CN"/>
                    </w:rPr>
                  </w:pPr>
                  <w:r>
                    <w:rPr>
                      <w:szCs w:val="21"/>
                      <w:lang w:val="zh-CN"/>
                    </w:rPr>
                    <w:t>200</w:t>
                  </w:r>
                </w:p>
              </w:tc>
              <w:tc>
                <w:tcPr>
                  <w:tcW w:w="467" w:type="pct"/>
                  <w:vAlign w:val="center"/>
                </w:tcPr>
                <w:p w14:paraId="2C0769FB">
                  <w:pPr>
                    <w:spacing w:line="360" w:lineRule="exact"/>
                    <w:jc w:val="center"/>
                    <w:rPr>
                      <w:szCs w:val="21"/>
                      <w:lang w:val="zh-CN"/>
                    </w:rPr>
                  </w:pPr>
                  <w:r>
                    <w:rPr>
                      <w:szCs w:val="21"/>
                      <w:lang w:val="zh-CN"/>
                    </w:rPr>
                    <w:t>400</w:t>
                  </w:r>
                </w:p>
              </w:tc>
              <w:tc>
                <w:tcPr>
                  <w:tcW w:w="467" w:type="pct"/>
                  <w:vAlign w:val="center"/>
                </w:tcPr>
                <w:p w14:paraId="33799A13">
                  <w:pPr>
                    <w:spacing w:line="360" w:lineRule="exact"/>
                    <w:jc w:val="center"/>
                    <w:rPr>
                      <w:szCs w:val="21"/>
                      <w:lang w:val="zh-CN"/>
                    </w:rPr>
                  </w:pPr>
                  <w:r>
                    <w:rPr>
                      <w:szCs w:val="21"/>
                      <w:lang w:val="zh-CN"/>
                    </w:rPr>
                    <w:t>800</w:t>
                  </w:r>
                </w:p>
              </w:tc>
              <w:tc>
                <w:tcPr>
                  <w:tcW w:w="389" w:type="pct"/>
                  <w:vAlign w:val="center"/>
                </w:tcPr>
                <w:p w14:paraId="5B18A736">
                  <w:pPr>
                    <w:spacing w:line="360" w:lineRule="exact"/>
                    <w:jc w:val="center"/>
                    <w:rPr>
                      <w:szCs w:val="21"/>
                    </w:rPr>
                  </w:pPr>
                  <w:r>
                    <w:rPr>
                      <w:szCs w:val="21"/>
                      <w:lang w:val="zh-CN"/>
                    </w:rPr>
                    <w:t>10</w:t>
                  </w:r>
                  <w:r>
                    <w:rPr>
                      <w:rFonts w:hint="eastAsia"/>
                      <w:szCs w:val="21"/>
                    </w:rPr>
                    <w:t>00</w:t>
                  </w:r>
                </w:p>
              </w:tc>
            </w:tr>
            <w:tr w14:paraId="3728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6" w:type="pct"/>
                  <w:vAlign w:val="center"/>
                </w:tcPr>
                <w:p w14:paraId="64A3D272">
                  <w:pPr>
                    <w:spacing w:line="360" w:lineRule="exact"/>
                    <w:jc w:val="center"/>
                    <w:rPr>
                      <w:szCs w:val="21"/>
                      <w:lang w:val="zh-CN"/>
                    </w:rPr>
                  </w:pPr>
                  <w:r>
                    <w:rPr>
                      <w:szCs w:val="21"/>
                      <w:lang w:val="zh-CN"/>
                    </w:rPr>
                    <w:t>吊管机</w:t>
                  </w:r>
                </w:p>
              </w:tc>
              <w:tc>
                <w:tcPr>
                  <w:tcW w:w="373" w:type="pct"/>
                  <w:vAlign w:val="center"/>
                </w:tcPr>
                <w:p w14:paraId="7BCD3A00">
                  <w:pPr>
                    <w:spacing w:line="360" w:lineRule="exact"/>
                    <w:jc w:val="center"/>
                    <w:rPr>
                      <w:szCs w:val="21"/>
                      <w:lang w:val="zh-CN"/>
                    </w:rPr>
                  </w:pPr>
                  <w:r>
                    <w:rPr>
                      <w:szCs w:val="21"/>
                      <w:lang w:val="zh-CN"/>
                    </w:rPr>
                    <w:t>75</w:t>
                  </w:r>
                </w:p>
              </w:tc>
              <w:tc>
                <w:tcPr>
                  <w:tcW w:w="374" w:type="pct"/>
                  <w:vAlign w:val="center"/>
                </w:tcPr>
                <w:p w14:paraId="0B3702FF">
                  <w:pPr>
                    <w:spacing w:line="360" w:lineRule="exact"/>
                    <w:jc w:val="center"/>
                    <w:rPr>
                      <w:szCs w:val="21"/>
                      <w:lang w:val="zh-CN"/>
                    </w:rPr>
                  </w:pPr>
                  <w:r>
                    <w:rPr>
                      <w:szCs w:val="21"/>
                      <w:lang w:val="zh-CN"/>
                    </w:rPr>
                    <w:t>69</w:t>
                  </w:r>
                </w:p>
              </w:tc>
              <w:tc>
                <w:tcPr>
                  <w:tcW w:w="374" w:type="pct"/>
                  <w:vAlign w:val="center"/>
                </w:tcPr>
                <w:p w14:paraId="587AA0D0">
                  <w:pPr>
                    <w:spacing w:line="360" w:lineRule="exact"/>
                    <w:jc w:val="center"/>
                    <w:rPr>
                      <w:szCs w:val="21"/>
                      <w:lang w:val="zh-CN"/>
                    </w:rPr>
                  </w:pPr>
                  <w:r>
                    <w:rPr>
                      <w:szCs w:val="21"/>
                      <w:lang w:val="zh-CN"/>
                    </w:rPr>
                    <w:t>63</w:t>
                  </w:r>
                </w:p>
              </w:tc>
              <w:tc>
                <w:tcPr>
                  <w:tcW w:w="374" w:type="pct"/>
                  <w:vAlign w:val="center"/>
                </w:tcPr>
                <w:p w14:paraId="737843E5">
                  <w:pPr>
                    <w:spacing w:line="360" w:lineRule="exact"/>
                    <w:jc w:val="center"/>
                    <w:rPr>
                      <w:szCs w:val="21"/>
                      <w:lang w:val="zh-CN"/>
                    </w:rPr>
                  </w:pPr>
                  <w:r>
                    <w:rPr>
                      <w:szCs w:val="21"/>
                      <w:lang w:val="zh-CN"/>
                    </w:rPr>
                    <w:t>59</w:t>
                  </w:r>
                </w:p>
              </w:tc>
              <w:tc>
                <w:tcPr>
                  <w:tcW w:w="374" w:type="pct"/>
                  <w:vAlign w:val="center"/>
                </w:tcPr>
                <w:p w14:paraId="67D19D74">
                  <w:pPr>
                    <w:spacing w:line="360" w:lineRule="exact"/>
                    <w:jc w:val="center"/>
                    <w:rPr>
                      <w:szCs w:val="21"/>
                      <w:lang w:val="zh-CN"/>
                    </w:rPr>
                  </w:pPr>
                  <w:r>
                    <w:rPr>
                      <w:szCs w:val="21"/>
                      <w:lang w:val="zh-CN"/>
                    </w:rPr>
                    <w:t>57</w:t>
                  </w:r>
                </w:p>
              </w:tc>
              <w:tc>
                <w:tcPr>
                  <w:tcW w:w="466" w:type="pct"/>
                  <w:vAlign w:val="center"/>
                </w:tcPr>
                <w:p w14:paraId="6F924F51">
                  <w:pPr>
                    <w:spacing w:line="360" w:lineRule="exact"/>
                    <w:jc w:val="center"/>
                    <w:rPr>
                      <w:szCs w:val="21"/>
                      <w:lang w:val="zh-CN"/>
                    </w:rPr>
                  </w:pPr>
                  <w:r>
                    <w:rPr>
                      <w:szCs w:val="21"/>
                      <w:lang w:val="zh-CN"/>
                    </w:rPr>
                    <w:t>55</w:t>
                  </w:r>
                </w:p>
              </w:tc>
              <w:tc>
                <w:tcPr>
                  <w:tcW w:w="466" w:type="pct"/>
                  <w:vAlign w:val="center"/>
                </w:tcPr>
                <w:p w14:paraId="5AF9D102">
                  <w:pPr>
                    <w:spacing w:line="360" w:lineRule="exact"/>
                    <w:jc w:val="center"/>
                    <w:rPr>
                      <w:szCs w:val="21"/>
                      <w:lang w:val="zh-CN"/>
                    </w:rPr>
                  </w:pPr>
                  <w:r>
                    <w:rPr>
                      <w:szCs w:val="21"/>
                      <w:lang w:val="zh-CN"/>
                    </w:rPr>
                    <w:t>49</w:t>
                  </w:r>
                </w:p>
              </w:tc>
              <w:tc>
                <w:tcPr>
                  <w:tcW w:w="467" w:type="pct"/>
                  <w:vAlign w:val="center"/>
                </w:tcPr>
                <w:p w14:paraId="3CD419DC">
                  <w:pPr>
                    <w:spacing w:line="360" w:lineRule="exact"/>
                    <w:jc w:val="center"/>
                    <w:rPr>
                      <w:szCs w:val="21"/>
                      <w:lang w:val="zh-CN"/>
                    </w:rPr>
                  </w:pPr>
                  <w:r>
                    <w:rPr>
                      <w:szCs w:val="21"/>
                      <w:lang w:val="zh-CN"/>
                    </w:rPr>
                    <w:t>43</w:t>
                  </w:r>
                </w:p>
              </w:tc>
              <w:tc>
                <w:tcPr>
                  <w:tcW w:w="467" w:type="pct"/>
                  <w:vAlign w:val="center"/>
                </w:tcPr>
                <w:p w14:paraId="2FF0E87C">
                  <w:pPr>
                    <w:spacing w:line="360" w:lineRule="exact"/>
                    <w:jc w:val="center"/>
                    <w:rPr>
                      <w:szCs w:val="21"/>
                      <w:lang w:val="zh-CN"/>
                    </w:rPr>
                  </w:pPr>
                  <w:r>
                    <w:rPr>
                      <w:szCs w:val="21"/>
                      <w:lang w:val="zh-CN"/>
                    </w:rPr>
                    <w:t>37</w:t>
                  </w:r>
                </w:p>
              </w:tc>
              <w:tc>
                <w:tcPr>
                  <w:tcW w:w="389" w:type="pct"/>
                  <w:vAlign w:val="center"/>
                </w:tcPr>
                <w:p w14:paraId="4813B589">
                  <w:pPr>
                    <w:spacing w:line="360" w:lineRule="exact"/>
                    <w:jc w:val="center"/>
                    <w:rPr>
                      <w:szCs w:val="21"/>
                    </w:rPr>
                  </w:pPr>
                  <w:r>
                    <w:rPr>
                      <w:szCs w:val="21"/>
                      <w:lang w:val="zh-CN"/>
                    </w:rPr>
                    <w:t>3</w:t>
                  </w:r>
                  <w:r>
                    <w:rPr>
                      <w:rFonts w:hint="eastAsia"/>
                      <w:szCs w:val="21"/>
                    </w:rPr>
                    <w:t>4</w:t>
                  </w:r>
                </w:p>
              </w:tc>
            </w:tr>
            <w:tr w14:paraId="6543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6" w:type="pct"/>
                  <w:vAlign w:val="center"/>
                </w:tcPr>
                <w:p w14:paraId="1CBE4A13">
                  <w:pPr>
                    <w:spacing w:line="360" w:lineRule="exact"/>
                    <w:jc w:val="center"/>
                    <w:rPr>
                      <w:szCs w:val="21"/>
                      <w:lang w:val="zh-CN"/>
                    </w:rPr>
                  </w:pPr>
                  <w:r>
                    <w:rPr>
                      <w:szCs w:val="21"/>
                      <w:lang w:val="zh-CN"/>
                    </w:rPr>
                    <w:t>电焊机</w:t>
                  </w:r>
                </w:p>
              </w:tc>
              <w:tc>
                <w:tcPr>
                  <w:tcW w:w="373" w:type="pct"/>
                  <w:vAlign w:val="center"/>
                </w:tcPr>
                <w:p w14:paraId="4B2C8262">
                  <w:pPr>
                    <w:spacing w:line="360" w:lineRule="exact"/>
                    <w:jc w:val="center"/>
                    <w:rPr>
                      <w:szCs w:val="21"/>
                      <w:lang w:val="zh-CN"/>
                    </w:rPr>
                  </w:pPr>
                  <w:r>
                    <w:rPr>
                      <w:szCs w:val="21"/>
                      <w:lang w:val="zh-CN"/>
                    </w:rPr>
                    <w:t>81</w:t>
                  </w:r>
                </w:p>
              </w:tc>
              <w:tc>
                <w:tcPr>
                  <w:tcW w:w="374" w:type="pct"/>
                  <w:vAlign w:val="center"/>
                </w:tcPr>
                <w:p w14:paraId="0592CE62">
                  <w:pPr>
                    <w:spacing w:line="360" w:lineRule="exact"/>
                    <w:jc w:val="center"/>
                    <w:rPr>
                      <w:szCs w:val="21"/>
                      <w:lang w:val="zh-CN"/>
                    </w:rPr>
                  </w:pPr>
                  <w:r>
                    <w:rPr>
                      <w:szCs w:val="21"/>
                      <w:lang w:val="zh-CN"/>
                    </w:rPr>
                    <w:t>75</w:t>
                  </w:r>
                </w:p>
              </w:tc>
              <w:tc>
                <w:tcPr>
                  <w:tcW w:w="374" w:type="pct"/>
                  <w:vAlign w:val="center"/>
                </w:tcPr>
                <w:p w14:paraId="6C0444D7">
                  <w:pPr>
                    <w:spacing w:line="360" w:lineRule="exact"/>
                    <w:jc w:val="center"/>
                    <w:rPr>
                      <w:szCs w:val="21"/>
                      <w:lang w:val="zh-CN"/>
                    </w:rPr>
                  </w:pPr>
                  <w:r>
                    <w:rPr>
                      <w:szCs w:val="21"/>
                      <w:lang w:val="zh-CN"/>
                    </w:rPr>
                    <w:t>69</w:t>
                  </w:r>
                </w:p>
              </w:tc>
              <w:tc>
                <w:tcPr>
                  <w:tcW w:w="374" w:type="pct"/>
                  <w:vAlign w:val="center"/>
                </w:tcPr>
                <w:p w14:paraId="7AD1D1A1">
                  <w:pPr>
                    <w:spacing w:line="360" w:lineRule="exact"/>
                    <w:jc w:val="center"/>
                    <w:rPr>
                      <w:szCs w:val="21"/>
                      <w:lang w:val="zh-CN"/>
                    </w:rPr>
                  </w:pPr>
                  <w:r>
                    <w:rPr>
                      <w:szCs w:val="21"/>
                      <w:lang w:val="zh-CN"/>
                    </w:rPr>
                    <w:t>65</w:t>
                  </w:r>
                </w:p>
              </w:tc>
              <w:tc>
                <w:tcPr>
                  <w:tcW w:w="374" w:type="pct"/>
                  <w:vAlign w:val="center"/>
                </w:tcPr>
                <w:p w14:paraId="5E64127C">
                  <w:pPr>
                    <w:spacing w:line="360" w:lineRule="exact"/>
                    <w:jc w:val="center"/>
                    <w:rPr>
                      <w:szCs w:val="21"/>
                      <w:lang w:val="zh-CN"/>
                    </w:rPr>
                  </w:pPr>
                  <w:r>
                    <w:rPr>
                      <w:szCs w:val="21"/>
                      <w:lang w:val="zh-CN"/>
                    </w:rPr>
                    <w:t>63</w:t>
                  </w:r>
                </w:p>
              </w:tc>
              <w:tc>
                <w:tcPr>
                  <w:tcW w:w="466" w:type="pct"/>
                  <w:vAlign w:val="center"/>
                </w:tcPr>
                <w:p w14:paraId="402608C5">
                  <w:pPr>
                    <w:spacing w:line="360" w:lineRule="exact"/>
                    <w:jc w:val="center"/>
                    <w:rPr>
                      <w:szCs w:val="21"/>
                      <w:lang w:val="zh-CN"/>
                    </w:rPr>
                  </w:pPr>
                  <w:r>
                    <w:rPr>
                      <w:szCs w:val="21"/>
                      <w:lang w:val="zh-CN"/>
                    </w:rPr>
                    <w:t>61</w:t>
                  </w:r>
                </w:p>
              </w:tc>
              <w:tc>
                <w:tcPr>
                  <w:tcW w:w="466" w:type="pct"/>
                  <w:vAlign w:val="center"/>
                </w:tcPr>
                <w:p w14:paraId="0E2B52B9">
                  <w:pPr>
                    <w:spacing w:line="360" w:lineRule="exact"/>
                    <w:jc w:val="center"/>
                    <w:rPr>
                      <w:szCs w:val="21"/>
                      <w:lang w:val="zh-CN"/>
                    </w:rPr>
                  </w:pPr>
                  <w:r>
                    <w:rPr>
                      <w:szCs w:val="21"/>
                      <w:lang w:val="zh-CN"/>
                    </w:rPr>
                    <w:t>55</w:t>
                  </w:r>
                </w:p>
              </w:tc>
              <w:tc>
                <w:tcPr>
                  <w:tcW w:w="467" w:type="pct"/>
                  <w:vAlign w:val="center"/>
                </w:tcPr>
                <w:p w14:paraId="2F113EED">
                  <w:pPr>
                    <w:spacing w:line="360" w:lineRule="exact"/>
                    <w:jc w:val="center"/>
                    <w:rPr>
                      <w:szCs w:val="21"/>
                      <w:lang w:val="zh-CN"/>
                    </w:rPr>
                  </w:pPr>
                  <w:r>
                    <w:rPr>
                      <w:szCs w:val="21"/>
                      <w:lang w:val="zh-CN"/>
                    </w:rPr>
                    <w:t>49</w:t>
                  </w:r>
                </w:p>
              </w:tc>
              <w:tc>
                <w:tcPr>
                  <w:tcW w:w="467" w:type="pct"/>
                  <w:vAlign w:val="center"/>
                </w:tcPr>
                <w:p w14:paraId="43A7DB05">
                  <w:pPr>
                    <w:spacing w:line="360" w:lineRule="exact"/>
                    <w:jc w:val="center"/>
                    <w:rPr>
                      <w:szCs w:val="21"/>
                      <w:lang w:val="zh-CN"/>
                    </w:rPr>
                  </w:pPr>
                  <w:r>
                    <w:rPr>
                      <w:szCs w:val="21"/>
                      <w:lang w:val="zh-CN"/>
                    </w:rPr>
                    <w:t>43</w:t>
                  </w:r>
                </w:p>
              </w:tc>
              <w:tc>
                <w:tcPr>
                  <w:tcW w:w="389" w:type="pct"/>
                  <w:vAlign w:val="center"/>
                </w:tcPr>
                <w:p w14:paraId="198A2F40">
                  <w:pPr>
                    <w:spacing w:line="360" w:lineRule="exact"/>
                    <w:jc w:val="center"/>
                    <w:rPr>
                      <w:szCs w:val="21"/>
                    </w:rPr>
                  </w:pPr>
                  <w:r>
                    <w:rPr>
                      <w:szCs w:val="21"/>
                      <w:lang w:val="zh-CN"/>
                    </w:rPr>
                    <w:t>4</w:t>
                  </w:r>
                  <w:r>
                    <w:rPr>
                      <w:rFonts w:hint="eastAsia"/>
                      <w:szCs w:val="21"/>
                    </w:rPr>
                    <w:t>2</w:t>
                  </w:r>
                </w:p>
              </w:tc>
            </w:tr>
            <w:tr w14:paraId="6F49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6" w:type="pct"/>
                  <w:vAlign w:val="center"/>
                </w:tcPr>
                <w:p w14:paraId="68DEE728">
                  <w:pPr>
                    <w:spacing w:line="360" w:lineRule="exact"/>
                    <w:jc w:val="center"/>
                    <w:rPr>
                      <w:szCs w:val="21"/>
                      <w:lang w:val="zh-CN"/>
                    </w:rPr>
                  </w:pPr>
                  <w:r>
                    <w:rPr>
                      <w:szCs w:val="21"/>
                      <w:lang w:val="zh-CN"/>
                    </w:rPr>
                    <w:t>切割机</w:t>
                  </w:r>
                </w:p>
              </w:tc>
              <w:tc>
                <w:tcPr>
                  <w:tcW w:w="373" w:type="pct"/>
                  <w:vAlign w:val="center"/>
                </w:tcPr>
                <w:p w14:paraId="4A56D8B9">
                  <w:pPr>
                    <w:spacing w:line="360" w:lineRule="exact"/>
                    <w:jc w:val="center"/>
                    <w:rPr>
                      <w:szCs w:val="21"/>
                      <w:lang w:val="zh-CN"/>
                    </w:rPr>
                  </w:pPr>
                  <w:r>
                    <w:rPr>
                      <w:szCs w:val="21"/>
                      <w:lang w:val="zh-CN"/>
                    </w:rPr>
                    <w:t>89</w:t>
                  </w:r>
                </w:p>
              </w:tc>
              <w:tc>
                <w:tcPr>
                  <w:tcW w:w="374" w:type="pct"/>
                  <w:vAlign w:val="center"/>
                </w:tcPr>
                <w:p w14:paraId="00C52054">
                  <w:pPr>
                    <w:spacing w:line="360" w:lineRule="exact"/>
                    <w:jc w:val="center"/>
                    <w:rPr>
                      <w:szCs w:val="21"/>
                      <w:lang w:val="zh-CN"/>
                    </w:rPr>
                  </w:pPr>
                  <w:r>
                    <w:rPr>
                      <w:szCs w:val="21"/>
                      <w:lang w:val="zh-CN"/>
                    </w:rPr>
                    <w:t>83</w:t>
                  </w:r>
                </w:p>
              </w:tc>
              <w:tc>
                <w:tcPr>
                  <w:tcW w:w="374" w:type="pct"/>
                  <w:vAlign w:val="center"/>
                </w:tcPr>
                <w:p w14:paraId="2575F84E">
                  <w:pPr>
                    <w:spacing w:line="360" w:lineRule="exact"/>
                    <w:jc w:val="center"/>
                    <w:rPr>
                      <w:szCs w:val="21"/>
                      <w:lang w:val="zh-CN"/>
                    </w:rPr>
                  </w:pPr>
                  <w:r>
                    <w:rPr>
                      <w:szCs w:val="21"/>
                      <w:lang w:val="zh-CN"/>
                    </w:rPr>
                    <w:t>77</w:t>
                  </w:r>
                </w:p>
              </w:tc>
              <w:tc>
                <w:tcPr>
                  <w:tcW w:w="374" w:type="pct"/>
                  <w:vAlign w:val="center"/>
                </w:tcPr>
                <w:p w14:paraId="39C38E3F">
                  <w:pPr>
                    <w:spacing w:line="360" w:lineRule="exact"/>
                    <w:jc w:val="center"/>
                    <w:rPr>
                      <w:szCs w:val="21"/>
                      <w:lang w:val="zh-CN"/>
                    </w:rPr>
                  </w:pPr>
                  <w:r>
                    <w:rPr>
                      <w:szCs w:val="21"/>
                      <w:lang w:val="zh-CN"/>
                    </w:rPr>
                    <w:t>73</w:t>
                  </w:r>
                </w:p>
              </w:tc>
              <w:tc>
                <w:tcPr>
                  <w:tcW w:w="374" w:type="pct"/>
                  <w:vAlign w:val="center"/>
                </w:tcPr>
                <w:p w14:paraId="1E34D7ED">
                  <w:pPr>
                    <w:spacing w:line="360" w:lineRule="exact"/>
                    <w:jc w:val="center"/>
                    <w:rPr>
                      <w:szCs w:val="21"/>
                      <w:lang w:val="zh-CN"/>
                    </w:rPr>
                  </w:pPr>
                  <w:r>
                    <w:rPr>
                      <w:szCs w:val="21"/>
                      <w:lang w:val="zh-CN"/>
                    </w:rPr>
                    <w:t>71</w:t>
                  </w:r>
                </w:p>
              </w:tc>
              <w:tc>
                <w:tcPr>
                  <w:tcW w:w="466" w:type="pct"/>
                  <w:vAlign w:val="center"/>
                </w:tcPr>
                <w:p w14:paraId="6C4C5066">
                  <w:pPr>
                    <w:spacing w:line="360" w:lineRule="exact"/>
                    <w:jc w:val="center"/>
                    <w:rPr>
                      <w:szCs w:val="21"/>
                      <w:lang w:val="zh-CN"/>
                    </w:rPr>
                  </w:pPr>
                  <w:r>
                    <w:rPr>
                      <w:szCs w:val="21"/>
                      <w:lang w:val="zh-CN"/>
                    </w:rPr>
                    <w:t>69</w:t>
                  </w:r>
                </w:p>
              </w:tc>
              <w:tc>
                <w:tcPr>
                  <w:tcW w:w="466" w:type="pct"/>
                  <w:vAlign w:val="center"/>
                </w:tcPr>
                <w:p w14:paraId="46B546D3">
                  <w:pPr>
                    <w:spacing w:line="360" w:lineRule="exact"/>
                    <w:jc w:val="center"/>
                    <w:rPr>
                      <w:szCs w:val="21"/>
                      <w:lang w:val="zh-CN"/>
                    </w:rPr>
                  </w:pPr>
                  <w:r>
                    <w:rPr>
                      <w:szCs w:val="21"/>
                      <w:lang w:val="zh-CN"/>
                    </w:rPr>
                    <w:t>63</w:t>
                  </w:r>
                </w:p>
              </w:tc>
              <w:tc>
                <w:tcPr>
                  <w:tcW w:w="467" w:type="pct"/>
                  <w:vAlign w:val="center"/>
                </w:tcPr>
                <w:p w14:paraId="336AEA8A">
                  <w:pPr>
                    <w:spacing w:line="360" w:lineRule="exact"/>
                    <w:jc w:val="center"/>
                    <w:rPr>
                      <w:szCs w:val="21"/>
                      <w:lang w:val="zh-CN"/>
                    </w:rPr>
                  </w:pPr>
                  <w:r>
                    <w:rPr>
                      <w:szCs w:val="21"/>
                      <w:lang w:val="zh-CN"/>
                    </w:rPr>
                    <w:t>57</w:t>
                  </w:r>
                </w:p>
              </w:tc>
              <w:tc>
                <w:tcPr>
                  <w:tcW w:w="467" w:type="pct"/>
                  <w:vAlign w:val="center"/>
                </w:tcPr>
                <w:p w14:paraId="27B47A77">
                  <w:pPr>
                    <w:spacing w:line="360" w:lineRule="exact"/>
                    <w:jc w:val="center"/>
                    <w:rPr>
                      <w:szCs w:val="21"/>
                      <w:lang w:val="zh-CN"/>
                    </w:rPr>
                  </w:pPr>
                  <w:r>
                    <w:rPr>
                      <w:szCs w:val="21"/>
                      <w:lang w:val="zh-CN"/>
                    </w:rPr>
                    <w:t>51</w:t>
                  </w:r>
                </w:p>
              </w:tc>
              <w:tc>
                <w:tcPr>
                  <w:tcW w:w="389" w:type="pct"/>
                  <w:vAlign w:val="center"/>
                </w:tcPr>
                <w:p w14:paraId="51CAE1E6">
                  <w:pPr>
                    <w:spacing w:line="360" w:lineRule="exact"/>
                    <w:jc w:val="center"/>
                    <w:rPr>
                      <w:szCs w:val="21"/>
                    </w:rPr>
                  </w:pPr>
                  <w:r>
                    <w:rPr>
                      <w:szCs w:val="21"/>
                      <w:lang w:val="zh-CN"/>
                    </w:rPr>
                    <w:t>4</w:t>
                  </w:r>
                  <w:r>
                    <w:rPr>
                      <w:rFonts w:hint="eastAsia"/>
                      <w:szCs w:val="21"/>
                    </w:rPr>
                    <w:t>6</w:t>
                  </w:r>
                </w:p>
              </w:tc>
            </w:tr>
          </w:tbl>
          <w:p w14:paraId="62049B7D">
            <w:pPr>
              <w:spacing w:line="440" w:lineRule="exact"/>
              <w:ind w:firstLine="480" w:firstLineChars="200"/>
              <w:rPr>
                <w:bCs/>
                <w:sz w:val="24"/>
                <w:szCs w:val="20"/>
              </w:rPr>
            </w:pPr>
            <w:r>
              <w:rPr>
                <w:rFonts w:hint="eastAsia"/>
                <w:bCs/>
                <w:sz w:val="24"/>
                <w:szCs w:val="20"/>
              </w:rPr>
              <w:t>根据上表可知，</w:t>
            </w:r>
            <w:r>
              <w:rPr>
                <w:bCs/>
                <w:sz w:val="24"/>
                <w:szCs w:val="20"/>
              </w:rPr>
              <w:t>主要机械在60m以外均不会超过建筑物施工场界昼间噪声限值75dB（A），而在夜间无施工作业且施工噪声是短暂的且具有分散性，一般在白天施工，不会对夜间声环境产生影响。</w:t>
            </w:r>
          </w:p>
          <w:p w14:paraId="65CDFCAC">
            <w:pPr>
              <w:spacing w:line="440" w:lineRule="exact"/>
              <w:ind w:firstLine="480" w:firstLineChars="200"/>
              <w:rPr>
                <w:bCs/>
                <w:sz w:val="24"/>
                <w:szCs w:val="20"/>
              </w:rPr>
            </w:pPr>
            <w:r>
              <w:rPr>
                <w:bCs/>
                <w:sz w:val="24"/>
                <w:szCs w:val="20"/>
              </w:rPr>
              <w:t>施工机械产生噪声将对敏感点昼间有一定程度的影响</w:t>
            </w:r>
            <w:r>
              <w:rPr>
                <w:rFonts w:hint="eastAsia"/>
                <w:bCs/>
                <w:sz w:val="24"/>
                <w:szCs w:val="20"/>
              </w:rPr>
              <w:t>，</w:t>
            </w:r>
            <w:r>
              <w:rPr>
                <w:bCs/>
                <w:sz w:val="24"/>
                <w:szCs w:val="20"/>
              </w:rPr>
              <w:t>为避免施工机械对沿线敏感点声环境的影响，本评价要求项目施工期间采取以下措施：</w:t>
            </w:r>
          </w:p>
          <w:p w14:paraId="2A6352C3">
            <w:pPr>
              <w:spacing w:line="440" w:lineRule="exact"/>
              <w:ind w:firstLine="480" w:firstLineChars="200"/>
              <w:rPr>
                <w:bCs/>
                <w:sz w:val="24"/>
                <w:szCs w:val="20"/>
              </w:rPr>
            </w:pPr>
            <w:r>
              <w:rPr>
                <w:rFonts w:hint="eastAsia"/>
                <w:bCs/>
                <w:sz w:val="24"/>
                <w:szCs w:val="20"/>
              </w:rPr>
              <w:t>①</w:t>
            </w:r>
            <w:r>
              <w:rPr>
                <w:bCs/>
                <w:sz w:val="24"/>
                <w:szCs w:val="20"/>
              </w:rPr>
              <w:t>合理安排施工</w:t>
            </w:r>
          </w:p>
          <w:p w14:paraId="3F6ADB7B">
            <w:pPr>
              <w:spacing w:line="440" w:lineRule="exact"/>
              <w:ind w:firstLine="480" w:firstLineChars="200"/>
              <w:rPr>
                <w:bCs/>
                <w:sz w:val="24"/>
                <w:szCs w:val="20"/>
              </w:rPr>
            </w:pPr>
            <w:r>
              <w:rPr>
                <w:bCs/>
                <w:sz w:val="24"/>
                <w:szCs w:val="20"/>
              </w:rPr>
              <w:t>根据《建筑施工噪声排放标准》</w:t>
            </w:r>
            <w:r>
              <w:rPr>
                <w:rFonts w:hint="eastAsia"/>
                <w:bCs/>
                <w:sz w:val="24"/>
                <w:szCs w:val="20"/>
              </w:rPr>
              <w:t>（GB 12523-2025）</w:t>
            </w:r>
            <w:r>
              <w:rPr>
                <w:bCs/>
                <w:sz w:val="24"/>
                <w:szCs w:val="20"/>
              </w:rPr>
              <w:t>确定工程施工场界，合理科学地布局施工现场，施工机械</w:t>
            </w:r>
            <w:r>
              <w:rPr>
                <w:rFonts w:hint="eastAsia"/>
                <w:bCs/>
                <w:sz w:val="24"/>
                <w:szCs w:val="20"/>
              </w:rPr>
              <w:t>应</w:t>
            </w:r>
            <w:r>
              <w:rPr>
                <w:bCs/>
                <w:sz w:val="24"/>
                <w:szCs w:val="20"/>
              </w:rPr>
              <w:t>布置在施工场地内远离周边</w:t>
            </w:r>
            <w:r>
              <w:rPr>
                <w:rFonts w:hint="eastAsia"/>
                <w:bCs/>
                <w:sz w:val="24"/>
                <w:szCs w:val="20"/>
              </w:rPr>
              <w:t>噪声</w:t>
            </w:r>
            <w:r>
              <w:rPr>
                <w:bCs/>
                <w:sz w:val="24"/>
                <w:szCs w:val="20"/>
              </w:rPr>
              <w:t>敏感点</w:t>
            </w:r>
            <w:r>
              <w:rPr>
                <w:rFonts w:hint="eastAsia"/>
                <w:bCs/>
                <w:sz w:val="24"/>
                <w:szCs w:val="20"/>
              </w:rPr>
              <w:t>的</w:t>
            </w:r>
            <w:r>
              <w:rPr>
                <w:bCs/>
                <w:sz w:val="24"/>
                <w:szCs w:val="20"/>
              </w:rPr>
              <w:t>一侧。</w:t>
            </w:r>
          </w:p>
          <w:p w14:paraId="0172D2F5">
            <w:pPr>
              <w:spacing w:line="440" w:lineRule="exact"/>
              <w:ind w:firstLine="480" w:firstLineChars="200"/>
              <w:rPr>
                <w:bCs/>
                <w:sz w:val="24"/>
                <w:szCs w:val="20"/>
              </w:rPr>
            </w:pPr>
            <w:r>
              <w:rPr>
                <w:bCs/>
                <w:sz w:val="24"/>
                <w:szCs w:val="20"/>
              </w:rPr>
              <w:t>施工现场设置施工标志，并将施工计划报交通管理部门，以便做好车辆的疏通工作，保证交通的安全、畅通。</w:t>
            </w:r>
          </w:p>
          <w:p w14:paraId="2D13A93E">
            <w:pPr>
              <w:spacing w:line="440" w:lineRule="exact"/>
              <w:ind w:firstLine="480" w:firstLineChars="200"/>
              <w:rPr>
                <w:bCs/>
                <w:sz w:val="24"/>
                <w:szCs w:val="20"/>
              </w:rPr>
            </w:pPr>
            <w:r>
              <w:rPr>
                <w:rFonts w:hint="eastAsia" w:ascii="宋体" w:hAnsi="宋体"/>
                <w:bCs/>
                <w:sz w:val="24"/>
                <w:szCs w:val="20"/>
              </w:rPr>
              <w:t>②</w:t>
            </w:r>
            <w:r>
              <w:rPr>
                <w:bCs/>
                <w:sz w:val="24"/>
                <w:szCs w:val="20"/>
              </w:rPr>
              <w:t>合理安排施工时间</w:t>
            </w:r>
          </w:p>
          <w:p w14:paraId="665077C1">
            <w:pPr>
              <w:spacing w:line="440" w:lineRule="exact"/>
              <w:ind w:firstLine="480" w:firstLineChars="200"/>
              <w:rPr>
                <w:bCs/>
                <w:sz w:val="24"/>
                <w:szCs w:val="20"/>
              </w:rPr>
            </w:pPr>
            <w:r>
              <w:rPr>
                <w:bCs/>
                <w:sz w:val="24"/>
                <w:szCs w:val="20"/>
              </w:rPr>
              <w:t>施工单位合理安排施工时间</w:t>
            </w:r>
            <w:r>
              <w:rPr>
                <w:rFonts w:hint="eastAsia"/>
                <w:bCs/>
                <w:sz w:val="24"/>
                <w:szCs w:val="20"/>
              </w:rPr>
              <w:t>，</w:t>
            </w:r>
            <w:r>
              <w:rPr>
                <w:bCs/>
                <w:sz w:val="24"/>
                <w:szCs w:val="20"/>
              </w:rPr>
              <w:t>按照《建筑施工噪声排放标准》</w:t>
            </w:r>
            <w:r>
              <w:rPr>
                <w:rFonts w:hint="eastAsia"/>
                <w:bCs/>
                <w:sz w:val="24"/>
                <w:szCs w:val="20"/>
              </w:rPr>
              <w:t>（GB 12523-2025）</w:t>
            </w:r>
            <w:r>
              <w:rPr>
                <w:bCs/>
                <w:sz w:val="24"/>
                <w:szCs w:val="20"/>
              </w:rPr>
              <w:t>要求，严禁夜间施工（夜间22：00～次日06：00）。减少施工交通噪声，施工期间运输车辆均为大型重车，限制大型载重车的车速，运输路线安排上应尽量</w:t>
            </w:r>
            <w:r>
              <w:rPr>
                <w:rFonts w:hint="eastAsia"/>
                <w:bCs/>
                <w:sz w:val="24"/>
                <w:szCs w:val="20"/>
              </w:rPr>
              <w:t>避开</w:t>
            </w:r>
            <w:r>
              <w:rPr>
                <w:bCs/>
                <w:sz w:val="24"/>
                <w:szCs w:val="20"/>
              </w:rPr>
              <w:t>环境敏感目标。</w:t>
            </w:r>
          </w:p>
          <w:p w14:paraId="380F105A">
            <w:pPr>
              <w:spacing w:line="440" w:lineRule="exact"/>
              <w:ind w:firstLine="480" w:firstLineChars="200"/>
              <w:rPr>
                <w:bCs/>
                <w:sz w:val="24"/>
                <w:szCs w:val="20"/>
              </w:rPr>
            </w:pPr>
            <w:r>
              <w:rPr>
                <w:rFonts w:hint="eastAsia" w:ascii="宋体" w:hAnsi="宋体"/>
                <w:bCs/>
                <w:sz w:val="24"/>
                <w:szCs w:val="20"/>
              </w:rPr>
              <w:t>③</w:t>
            </w:r>
            <w:r>
              <w:rPr>
                <w:bCs/>
                <w:sz w:val="24"/>
                <w:szCs w:val="20"/>
              </w:rPr>
              <w:t>采取噪声控制措施</w:t>
            </w:r>
          </w:p>
          <w:p w14:paraId="34F317C6">
            <w:pPr>
              <w:spacing w:line="440" w:lineRule="exact"/>
              <w:ind w:firstLine="480" w:firstLineChars="200"/>
              <w:rPr>
                <w:bCs/>
                <w:sz w:val="24"/>
                <w:szCs w:val="20"/>
              </w:rPr>
            </w:pPr>
            <w:r>
              <w:rPr>
                <w:bCs/>
                <w:sz w:val="24"/>
                <w:szCs w:val="20"/>
              </w:rPr>
              <w:t>施工单位应尽量选用低噪声、低振动的施工机械设备和带有消声、隔音</w:t>
            </w:r>
            <w:r>
              <w:rPr>
                <w:rFonts w:hint="eastAsia"/>
                <w:bCs/>
                <w:sz w:val="24"/>
                <w:szCs w:val="20"/>
              </w:rPr>
              <w:t>功能</w:t>
            </w:r>
            <w:r>
              <w:rPr>
                <w:bCs/>
                <w:sz w:val="24"/>
                <w:szCs w:val="20"/>
              </w:rPr>
              <w:t>的附属设备，减少对周围声环境的影响。加强施工机械的保养维护，使其处于良好运行状态。做好宣传工作，倡导科学管理和文明施工。</w:t>
            </w:r>
          </w:p>
          <w:p w14:paraId="6CE3E0EB">
            <w:pPr>
              <w:spacing w:line="440" w:lineRule="exact"/>
              <w:ind w:firstLine="480" w:firstLineChars="200"/>
              <w:rPr>
                <w:sz w:val="24"/>
                <w:szCs w:val="20"/>
              </w:rPr>
            </w:pPr>
            <w:r>
              <w:rPr>
                <w:bCs/>
                <w:sz w:val="24"/>
                <w:szCs w:val="20"/>
              </w:rPr>
              <w:t>通过以上控制措施，建筑施工过程中场界环境噪声不得超过《建筑施工噪声排放标准》</w:t>
            </w:r>
            <w:r>
              <w:rPr>
                <w:rFonts w:hint="eastAsia"/>
                <w:bCs/>
                <w:sz w:val="24"/>
                <w:szCs w:val="20"/>
              </w:rPr>
              <w:t>（GB 12523-2025）</w:t>
            </w:r>
            <w:r>
              <w:rPr>
                <w:bCs/>
                <w:sz w:val="24"/>
                <w:szCs w:val="20"/>
              </w:rPr>
              <w:t>中的标准要求</w:t>
            </w:r>
            <w:r>
              <w:rPr>
                <w:rFonts w:hint="eastAsia"/>
                <w:bCs/>
                <w:sz w:val="24"/>
                <w:szCs w:val="20"/>
              </w:rPr>
              <w:t>。</w:t>
            </w:r>
            <w:r>
              <w:rPr>
                <w:bCs/>
                <w:sz w:val="24"/>
                <w:szCs w:val="20"/>
              </w:rPr>
              <w:t>施工期属于短期行为，总体上存在无规则、强度大、暂时性等特点。加强施工期间的施工组织和施工管理，合理安排施工进度和时间，环保施工、文明施工</w:t>
            </w:r>
            <w:r>
              <w:rPr>
                <w:rFonts w:hint="eastAsia"/>
                <w:bCs/>
                <w:sz w:val="24"/>
                <w:szCs w:val="20"/>
              </w:rPr>
              <w:t>、</w:t>
            </w:r>
            <w:r>
              <w:rPr>
                <w:bCs/>
                <w:sz w:val="24"/>
                <w:szCs w:val="20"/>
              </w:rPr>
              <w:t>快速施工，并因地制宜地制定有效的临时降噪措施，不会对声环境产生明显影响。</w:t>
            </w:r>
          </w:p>
          <w:p w14:paraId="7D3876FA">
            <w:pPr>
              <w:spacing w:line="440" w:lineRule="exact"/>
              <w:ind w:firstLine="482" w:firstLineChars="200"/>
              <w:jc w:val="left"/>
              <w:rPr>
                <w:b/>
                <w:sz w:val="24"/>
                <w:szCs w:val="20"/>
              </w:rPr>
            </w:pPr>
            <w:r>
              <w:rPr>
                <w:b/>
                <w:sz w:val="24"/>
                <w:szCs w:val="20"/>
              </w:rPr>
              <w:t>5</w:t>
            </w:r>
            <w:r>
              <w:rPr>
                <w:rFonts w:hint="eastAsia"/>
                <w:b/>
                <w:sz w:val="24"/>
                <w:szCs w:val="20"/>
              </w:rPr>
              <w:t>.</w:t>
            </w:r>
            <w:r>
              <w:rPr>
                <w:b/>
                <w:sz w:val="24"/>
                <w:szCs w:val="20"/>
              </w:rPr>
              <w:t>固体废物环境影响分析</w:t>
            </w:r>
          </w:p>
          <w:p w14:paraId="7A394C54">
            <w:pPr>
              <w:spacing w:line="440" w:lineRule="exact"/>
              <w:ind w:firstLine="480" w:firstLineChars="200"/>
              <w:rPr>
                <w:sz w:val="24"/>
                <w:szCs w:val="20"/>
              </w:rPr>
            </w:pPr>
            <w:r>
              <w:rPr>
                <w:rFonts w:hint="eastAsia"/>
                <w:sz w:val="24"/>
                <w:szCs w:val="20"/>
              </w:rPr>
              <w:t>施工期产生的固体废物主要为施工废料、废油漆桶及生活垃圾。</w:t>
            </w:r>
          </w:p>
          <w:p w14:paraId="033227EF">
            <w:pPr>
              <w:spacing w:line="440" w:lineRule="exact"/>
              <w:ind w:firstLine="480" w:firstLineChars="200"/>
              <w:rPr>
                <w:sz w:val="24"/>
                <w:szCs w:val="20"/>
              </w:rPr>
            </w:pPr>
            <w:r>
              <w:rPr>
                <w:rFonts w:hint="eastAsia"/>
                <w:sz w:val="24"/>
                <w:szCs w:val="20"/>
              </w:rPr>
              <w:t>施工废料共计0.5t，收集后运送至市政指定地点；废油漆桶产生量为5kg，暂存在伊泰化工厂区危废间后委托有资质的单位处置。施工期生活垃圾经收集后，交由当地环卫部门处置。</w:t>
            </w:r>
          </w:p>
          <w:p w14:paraId="3632A137">
            <w:pPr>
              <w:spacing w:line="440" w:lineRule="exact"/>
              <w:ind w:firstLine="480" w:firstLineChars="200"/>
              <w:rPr>
                <w:sz w:val="24"/>
              </w:rPr>
            </w:pPr>
            <w:r>
              <w:rPr>
                <w:rFonts w:hint="eastAsia"/>
                <w:sz w:val="24"/>
                <w:szCs w:val="20"/>
              </w:rPr>
              <w:t>施工期产生的各类固废均能有效处置，基本不会对周边环境造成影响。</w:t>
            </w:r>
          </w:p>
        </w:tc>
      </w:tr>
      <w:tr w14:paraId="2C59E9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316" w:type="pct"/>
            <w:tcMar>
              <w:left w:w="28" w:type="dxa"/>
              <w:right w:w="28" w:type="dxa"/>
            </w:tcMar>
            <w:vAlign w:val="center"/>
          </w:tcPr>
          <w:p w14:paraId="1EC95CE4">
            <w:pPr>
              <w:pStyle w:val="72"/>
              <w:adjustRightInd w:val="0"/>
              <w:snapToGrid w:val="0"/>
              <w:spacing w:before="0" w:beforeAutospacing="0" w:after="0" w:afterAutospacing="0"/>
              <w:jc w:val="center"/>
              <w:rPr>
                <w:rFonts w:ascii="Times New Roman" w:hAnsi="Times New Roman"/>
                <w:bCs/>
                <w:kern w:val="2"/>
                <w:sz w:val="21"/>
                <w:szCs w:val="21"/>
              </w:rPr>
            </w:pPr>
            <w:r>
              <w:rPr>
                <w:rFonts w:ascii="Times New Roman" w:hAnsi="Times New Roman"/>
                <w:bCs/>
                <w:spacing w:val="10"/>
                <w:kern w:val="2"/>
                <w:szCs w:val="24"/>
              </w:rPr>
              <w:t>运营期生态环境影响分析</w:t>
            </w:r>
          </w:p>
        </w:tc>
        <w:tc>
          <w:tcPr>
            <w:tcW w:w="4684" w:type="pct"/>
          </w:tcPr>
          <w:p w14:paraId="2DFD6248">
            <w:pPr>
              <w:adjustRightInd w:val="0"/>
              <w:snapToGrid w:val="0"/>
              <w:spacing w:line="440" w:lineRule="exact"/>
              <w:ind w:firstLine="482" w:firstLineChars="200"/>
              <w:rPr>
                <w:b/>
                <w:bCs/>
                <w:sz w:val="24"/>
              </w:rPr>
            </w:pPr>
            <w:r>
              <w:rPr>
                <w:rFonts w:hint="eastAsia"/>
                <w:b/>
                <w:bCs/>
                <w:sz w:val="24"/>
              </w:rPr>
              <w:t>1.大气环境影响分析</w:t>
            </w:r>
          </w:p>
          <w:p w14:paraId="6CB03A9F">
            <w:pPr>
              <w:adjustRightInd w:val="0"/>
              <w:snapToGrid w:val="0"/>
              <w:spacing w:line="440" w:lineRule="exact"/>
              <w:ind w:firstLine="480" w:firstLineChars="200"/>
              <w:rPr>
                <w:sz w:val="24"/>
              </w:rPr>
            </w:pPr>
            <w:r>
              <w:rPr>
                <w:rFonts w:hint="eastAsia"/>
                <w:sz w:val="24"/>
              </w:rPr>
              <w:t>项目运营后，正常工况下不会产生废气。</w:t>
            </w:r>
          </w:p>
          <w:p w14:paraId="3FC5D721">
            <w:pPr>
              <w:adjustRightInd w:val="0"/>
              <w:snapToGrid w:val="0"/>
              <w:spacing w:line="440" w:lineRule="exact"/>
              <w:ind w:firstLine="482" w:firstLineChars="200"/>
              <w:rPr>
                <w:b/>
                <w:bCs/>
                <w:sz w:val="24"/>
              </w:rPr>
            </w:pPr>
            <w:r>
              <w:rPr>
                <w:rFonts w:hint="eastAsia"/>
                <w:b/>
                <w:bCs/>
                <w:sz w:val="24"/>
              </w:rPr>
              <w:t>2.水环境影响分析</w:t>
            </w:r>
          </w:p>
          <w:p w14:paraId="23DAE016">
            <w:pPr>
              <w:adjustRightInd w:val="0"/>
              <w:snapToGrid w:val="0"/>
              <w:spacing w:line="440" w:lineRule="exact"/>
              <w:ind w:firstLine="480" w:firstLineChars="200"/>
              <w:rPr>
                <w:sz w:val="24"/>
              </w:rPr>
            </w:pPr>
            <w:r>
              <w:rPr>
                <w:rFonts w:hint="eastAsia"/>
                <w:sz w:val="24"/>
              </w:rPr>
              <w:t>项目运营后，正常工况下不会产生废水。</w:t>
            </w:r>
          </w:p>
          <w:p w14:paraId="1ED37054">
            <w:pPr>
              <w:adjustRightInd w:val="0"/>
              <w:snapToGrid w:val="0"/>
              <w:spacing w:line="440" w:lineRule="exact"/>
              <w:ind w:firstLine="480" w:firstLineChars="200"/>
              <w:rPr>
                <w:sz w:val="24"/>
              </w:rPr>
            </w:pPr>
            <w:r>
              <w:rPr>
                <w:sz w:val="24"/>
              </w:rPr>
              <w:t>项目为</w:t>
            </w:r>
            <w:r>
              <w:rPr>
                <w:rFonts w:hint="eastAsia"/>
                <w:sz w:val="24"/>
              </w:rPr>
              <w:t>架空管线</w:t>
            </w:r>
            <w:r>
              <w:rPr>
                <w:sz w:val="24"/>
              </w:rPr>
              <w:t>项目，</w:t>
            </w:r>
            <w:r>
              <w:rPr>
                <w:rFonts w:hint="eastAsia"/>
                <w:sz w:val="24"/>
              </w:rPr>
              <w:t>架空管线工程本身主体结构不直接接触地下水，且项目管线不涉及管线支架、塔基等基础建设，均在原有基础上直接建设，本次建设内容均为空中管线，不涉及地面工程，管线支撑结构（如杆塔基础、支架底座等）检修、维护均不属于本次评价内容，均依托现有工程。项目对地下水影响较小。</w:t>
            </w:r>
          </w:p>
          <w:p w14:paraId="3089132B">
            <w:pPr>
              <w:spacing w:line="440" w:lineRule="exact"/>
              <w:ind w:firstLine="482" w:firstLineChars="200"/>
              <w:rPr>
                <w:b/>
                <w:sz w:val="24"/>
                <w:szCs w:val="20"/>
              </w:rPr>
            </w:pPr>
            <w:r>
              <w:rPr>
                <w:b/>
                <w:sz w:val="24"/>
              </w:rPr>
              <w:t>3</w:t>
            </w:r>
            <w:r>
              <w:rPr>
                <w:rFonts w:hint="eastAsia"/>
                <w:b/>
                <w:sz w:val="24"/>
              </w:rPr>
              <w:t>.</w:t>
            </w:r>
            <w:r>
              <w:rPr>
                <w:b/>
                <w:bCs/>
                <w:sz w:val="24"/>
              </w:rPr>
              <w:t>声环境影响分析</w:t>
            </w:r>
          </w:p>
          <w:p w14:paraId="15B12B7F">
            <w:pPr>
              <w:adjustRightInd w:val="0"/>
              <w:snapToGrid w:val="0"/>
              <w:spacing w:line="440" w:lineRule="exact"/>
              <w:ind w:firstLine="480" w:firstLineChars="200"/>
              <w:rPr>
                <w:b/>
                <w:bCs/>
                <w:sz w:val="24"/>
              </w:rPr>
            </w:pPr>
            <w:r>
              <w:rPr>
                <w:kern w:val="0"/>
                <w:sz w:val="24"/>
              </w:rPr>
              <w:t>项目运营期无噪声排放。</w:t>
            </w:r>
          </w:p>
          <w:p w14:paraId="48DE5691">
            <w:pPr>
              <w:adjustRightInd w:val="0"/>
              <w:snapToGrid w:val="0"/>
              <w:spacing w:line="440" w:lineRule="exact"/>
              <w:ind w:firstLine="482" w:firstLineChars="200"/>
              <w:rPr>
                <w:b/>
                <w:bCs/>
                <w:sz w:val="24"/>
              </w:rPr>
            </w:pPr>
            <w:r>
              <w:rPr>
                <w:rFonts w:hint="eastAsia"/>
                <w:b/>
                <w:bCs/>
                <w:sz w:val="24"/>
              </w:rPr>
              <w:t>4.固体废物影响分析</w:t>
            </w:r>
          </w:p>
          <w:p w14:paraId="14ABD1B2">
            <w:pPr>
              <w:adjustRightInd w:val="0"/>
              <w:snapToGrid w:val="0"/>
              <w:spacing w:line="440" w:lineRule="exact"/>
              <w:ind w:firstLine="480" w:firstLineChars="200"/>
              <w:rPr>
                <w:b/>
                <w:sz w:val="24"/>
              </w:rPr>
            </w:pPr>
            <w:r>
              <w:rPr>
                <w:rFonts w:hint="eastAsia"/>
                <w:sz w:val="24"/>
              </w:rPr>
              <w:t>项目正常运营后，正常工况下不会产生固体废物。管线维修均依托现有管廊维修人员及系统，不涉及新增生产排污。</w:t>
            </w:r>
          </w:p>
          <w:p w14:paraId="1E98450D">
            <w:pPr>
              <w:spacing w:line="420" w:lineRule="exact"/>
              <w:ind w:firstLine="482" w:firstLineChars="200"/>
              <w:rPr>
                <w:b/>
                <w:bCs/>
                <w:sz w:val="24"/>
              </w:rPr>
            </w:pPr>
            <w:r>
              <w:rPr>
                <w:rFonts w:hint="eastAsia"/>
                <w:b/>
                <w:bCs/>
                <w:sz w:val="24"/>
              </w:rPr>
              <w:t>5.生态环境影响分析</w:t>
            </w:r>
          </w:p>
          <w:p w14:paraId="529DBDB7">
            <w:pPr>
              <w:spacing w:line="420" w:lineRule="exact"/>
              <w:ind w:firstLine="480" w:firstLineChars="200"/>
              <w:rPr>
                <w:bCs/>
                <w:sz w:val="24"/>
              </w:rPr>
            </w:pPr>
            <w:r>
              <w:rPr>
                <w:bCs/>
                <w:sz w:val="24"/>
              </w:rPr>
              <w:t>项目为</w:t>
            </w:r>
            <w:r>
              <w:rPr>
                <w:rFonts w:hint="eastAsia"/>
                <w:bCs/>
                <w:sz w:val="24"/>
              </w:rPr>
              <w:t>架空管线</w:t>
            </w:r>
            <w:r>
              <w:rPr>
                <w:bCs/>
                <w:sz w:val="24"/>
              </w:rPr>
              <w:t>项目，</w:t>
            </w:r>
            <w:r>
              <w:rPr>
                <w:rFonts w:hint="eastAsia"/>
                <w:bCs/>
                <w:sz w:val="24"/>
              </w:rPr>
              <w:t>不涉及土方工程。项目建设未涉及占用基本农田、生态公益林等保护目标。项目厂区内现状为碎石地面、硬化道路、空地等，无保护植被，因此项目运营期对生态环境的影响可接受。</w:t>
            </w:r>
          </w:p>
          <w:p w14:paraId="088405F4">
            <w:pPr>
              <w:spacing w:line="420" w:lineRule="exact"/>
              <w:ind w:firstLine="482" w:firstLineChars="200"/>
              <w:rPr>
                <w:b/>
                <w:bCs/>
                <w:sz w:val="24"/>
              </w:rPr>
            </w:pPr>
            <w:r>
              <w:rPr>
                <w:rFonts w:hint="eastAsia"/>
                <w:b/>
                <w:bCs/>
                <w:sz w:val="24"/>
              </w:rPr>
              <w:t>6.</w:t>
            </w:r>
            <w:r>
              <w:rPr>
                <w:rFonts w:hint="eastAsia"/>
              </w:rPr>
              <w:t xml:space="preserve"> </w:t>
            </w:r>
            <w:r>
              <w:rPr>
                <w:rFonts w:hint="eastAsia"/>
                <w:b/>
                <w:bCs/>
                <w:sz w:val="24"/>
              </w:rPr>
              <w:t>生态环境风险分析</w:t>
            </w:r>
          </w:p>
          <w:p w14:paraId="4BE50767">
            <w:pPr>
              <w:spacing w:line="420" w:lineRule="exact"/>
              <w:ind w:firstLine="480" w:firstLineChars="200"/>
              <w:rPr>
                <w:bCs/>
                <w:sz w:val="24"/>
              </w:rPr>
            </w:pPr>
            <w:r>
              <w:rPr>
                <w:rFonts w:hint="eastAsia"/>
                <w:bCs/>
                <w:sz w:val="24"/>
              </w:rPr>
              <w:t>根据生态环境风险专题，在落实本评价提出的各项生态环境风险防范措施后，项目的生态环境风险可防可控。</w:t>
            </w:r>
          </w:p>
        </w:tc>
      </w:tr>
      <w:tr w14:paraId="66BFC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Align w:val="center"/>
          </w:tcPr>
          <w:p w14:paraId="10559571">
            <w:pPr>
              <w:pStyle w:val="72"/>
              <w:adjustRightInd w:val="0"/>
              <w:snapToGrid w:val="0"/>
              <w:spacing w:before="0" w:beforeAutospacing="0" w:after="0" w:afterAutospacing="0"/>
              <w:jc w:val="center"/>
              <w:rPr>
                <w:rFonts w:ascii="Times New Roman" w:hAnsi="Times New Roman"/>
                <w:bCs/>
                <w:kern w:val="2"/>
                <w:sz w:val="21"/>
                <w:szCs w:val="21"/>
              </w:rPr>
            </w:pPr>
            <w:r>
              <w:rPr>
                <w:rFonts w:ascii="Times New Roman" w:hAnsi="Times New Roman"/>
                <w:bCs/>
                <w:kern w:val="2"/>
                <w:szCs w:val="24"/>
              </w:rPr>
              <w:t>选址选线环境合理性分析</w:t>
            </w:r>
          </w:p>
        </w:tc>
        <w:tc>
          <w:tcPr>
            <w:tcW w:w="4684" w:type="pct"/>
            <w:vAlign w:val="center"/>
          </w:tcPr>
          <w:p w14:paraId="3E52C015">
            <w:pPr>
              <w:spacing w:line="440" w:lineRule="exact"/>
              <w:ind w:firstLine="480" w:firstLineChars="200"/>
              <w:rPr>
                <w:bCs/>
                <w:sz w:val="24"/>
              </w:rPr>
            </w:pPr>
            <w:r>
              <w:rPr>
                <w:rFonts w:hint="eastAsia"/>
                <w:bCs/>
                <w:sz w:val="24"/>
              </w:rPr>
              <w:t>项目位于鄂尔多斯市杭锦旗独贵塔拉工业园区南项目区（又名锦泰精细化工园）内蒙古伊泰化工有限责任公司，沿线不涉及生态敏感目标。</w:t>
            </w:r>
          </w:p>
          <w:p w14:paraId="079FA9AB">
            <w:pPr>
              <w:spacing w:line="440" w:lineRule="exact"/>
              <w:ind w:firstLine="480" w:firstLineChars="200"/>
              <w:rPr>
                <w:bCs/>
                <w:sz w:val="24"/>
              </w:rPr>
            </w:pPr>
            <w:r>
              <w:rPr>
                <w:rFonts w:hint="eastAsia"/>
                <w:bCs/>
                <w:sz w:val="24"/>
              </w:rPr>
              <w:t>工程沿线均为工业用地，项目沿线500m范围无敏感目标，不涉及环境敏感点，位于伊泰化工及宏城化工厂区内，符合园区规划。</w:t>
            </w:r>
          </w:p>
          <w:p w14:paraId="133CB5E7">
            <w:pPr>
              <w:spacing w:line="440" w:lineRule="exact"/>
              <w:ind w:firstLine="480" w:firstLineChars="200"/>
              <w:rPr>
                <w:bCs/>
                <w:sz w:val="24"/>
              </w:rPr>
            </w:pPr>
            <w:r>
              <w:rPr>
                <w:rFonts w:hint="eastAsia"/>
                <w:bCs/>
                <w:sz w:val="24"/>
              </w:rPr>
              <w:t>管线均采取架空敷设的方式，不涉及土方工程，对周边环境影响较小。总体来看，周边环境不敏感，因此占地及施工对区域生态环境的影响很小。项目施工期应严格管理，尽量避免对自然环境和生态平衡的破坏，防止水土流失，保护自然景观，使管线布设和自然景观与城市生态相协调，不会对当地生态系统产生严重的影响。</w:t>
            </w:r>
          </w:p>
          <w:p w14:paraId="1B1B1BEA">
            <w:pPr>
              <w:spacing w:line="440" w:lineRule="exact"/>
              <w:ind w:firstLine="480" w:firstLineChars="200"/>
              <w:rPr>
                <w:bCs/>
                <w:sz w:val="24"/>
              </w:rPr>
            </w:pPr>
            <w:r>
              <w:rPr>
                <w:rFonts w:hint="eastAsia"/>
                <w:bCs/>
                <w:sz w:val="24"/>
              </w:rPr>
              <w:t>项目</w:t>
            </w:r>
            <w:r>
              <w:rPr>
                <w:bCs/>
                <w:sz w:val="24"/>
              </w:rPr>
              <w:t>已于202</w:t>
            </w:r>
            <w:r>
              <w:rPr>
                <w:rFonts w:hint="eastAsia"/>
                <w:bCs/>
                <w:sz w:val="24"/>
              </w:rPr>
              <w:t>6</w:t>
            </w:r>
            <w:r>
              <w:rPr>
                <w:bCs/>
                <w:sz w:val="24"/>
              </w:rPr>
              <w:t>年</w:t>
            </w:r>
            <w:r>
              <w:rPr>
                <w:rFonts w:hint="eastAsia"/>
                <w:bCs/>
                <w:sz w:val="24"/>
              </w:rPr>
              <w:t>6</w:t>
            </w:r>
            <w:r>
              <w:rPr>
                <w:bCs/>
                <w:sz w:val="24"/>
              </w:rPr>
              <w:t>月</w:t>
            </w:r>
            <w:r>
              <w:rPr>
                <w:rFonts w:hint="eastAsia"/>
                <w:bCs/>
                <w:sz w:val="24"/>
              </w:rPr>
              <w:t>15</w:t>
            </w:r>
            <w:r>
              <w:rPr>
                <w:bCs/>
                <w:sz w:val="24"/>
              </w:rPr>
              <w:t>日在</w:t>
            </w:r>
            <w:r>
              <w:rPr>
                <w:rFonts w:hint="eastAsia"/>
                <w:bCs/>
                <w:sz w:val="24"/>
              </w:rPr>
              <w:t>杭锦旗工信和科技局</w:t>
            </w:r>
            <w:r>
              <w:rPr>
                <w:bCs/>
                <w:sz w:val="24"/>
              </w:rPr>
              <w:t>备案，项目代码</w:t>
            </w:r>
            <w:r>
              <w:rPr>
                <w:rFonts w:hint="eastAsia"/>
                <w:bCs/>
                <w:sz w:val="24"/>
                <w:lang w:eastAsia="zh-CN"/>
              </w:rPr>
              <w:t>为</w:t>
            </w:r>
            <w:r>
              <w:rPr>
                <w:bCs/>
                <w:sz w:val="24"/>
              </w:rPr>
              <w:t>260</w:t>
            </w:r>
            <w:r>
              <w:rPr>
                <w:rFonts w:hint="eastAsia"/>
                <w:bCs/>
                <w:sz w:val="24"/>
              </w:rPr>
              <w:t>6</w:t>
            </w:r>
            <w:r>
              <w:rPr>
                <w:bCs/>
                <w:sz w:val="24"/>
              </w:rPr>
              <w:t>-150625-07-02-</w:t>
            </w:r>
            <w:r>
              <w:rPr>
                <w:rFonts w:hint="eastAsia"/>
                <w:bCs/>
                <w:sz w:val="24"/>
              </w:rPr>
              <w:t>886710。</w:t>
            </w:r>
          </w:p>
          <w:p w14:paraId="7A0A8DF0">
            <w:pPr>
              <w:spacing w:line="440" w:lineRule="exact"/>
              <w:ind w:firstLine="480" w:firstLineChars="200"/>
              <w:rPr>
                <w:bCs/>
                <w:sz w:val="24"/>
              </w:rPr>
            </w:pPr>
            <w:r>
              <w:rPr>
                <w:rFonts w:hint="eastAsia"/>
                <w:kern w:val="0"/>
                <w:sz w:val="24"/>
              </w:rPr>
              <w:t>根据内蒙古自治区文物考古研究院出具的《鄂尔多斯杭锦经济开发区项目文物核查报告》（内文考基字〔2021〕261号），园区范围内不涉及重点文物保护单位（详见附件），且本项目在现有厂区内建设，不新增占地。</w:t>
            </w:r>
          </w:p>
          <w:p w14:paraId="01F4174B">
            <w:pPr>
              <w:spacing w:line="440" w:lineRule="exact"/>
              <w:ind w:firstLine="480" w:firstLineChars="200"/>
              <w:rPr>
                <w:bCs/>
                <w:sz w:val="24"/>
              </w:rPr>
            </w:pPr>
            <w:r>
              <w:rPr>
                <w:rFonts w:hint="eastAsia"/>
                <w:bCs/>
                <w:sz w:val="24"/>
              </w:rPr>
              <w:t>项目建设主要影响要素为生态环境风险，在落实各项生态环境风险防控措施后，生态环境风险可防可控。</w:t>
            </w:r>
          </w:p>
          <w:p w14:paraId="0C2E4954">
            <w:pPr>
              <w:spacing w:line="440" w:lineRule="exact"/>
              <w:ind w:firstLine="480" w:firstLineChars="200"/>
              <w:jc w:val="left"/>
              <w:rPr>
                <w:bCs/>
                <w:sz w:val="24"/>
              </w:rPr>
            </w:pPr>
            <w:r>
              <w:rPr>
                <w:rFonts w:hint="eastAsia"/>
                <w:bCs/>
                <w:sz w:val="24"/>
              </w:rPr>
              <w:t>综上分析，从生态环境影响角度分析，项目选址和选线合理可行。</w:t>
            </w:r>
          </w:p>
        </w:tc>
      </w:tr>
    </w:tbl>
    <w:p w14:paraId="674F709E">
      <w:pPr>
        <w:pStyle w:val="72"/>
        <w:jc w:val="center"/>
        <w:rPr>
          <w:rFonts w:ascii="Times New Roman" w:hAnsi="Times New Roman"/>
          <w:snapToGrid w:val="0"/>
          <w:sz w:val="36"/>
          <w:szCs w:val="36"/>
        </w:rPr>
        <w:sectPr>
          <w:pgSz w:w="11906" w:h="16838"/>
          <w:pgMar w:top="1701" w:right="1531" w:bottom="1701" w:left="1531" w:header="851" w:footer="1077" w:gutter="0"/>
          <w:cols w:space="720" w:num="1"/>
          <w:docGrid w:linePitch="312" w:charSpace="0"/>
        </w:sectPr>
      </w:pPr>
    </w:p>
    <w:p w14:paraId="6DA05402">
      <w:pPr>
        <w:pStyle w:val="72"/>
        <w:adjustRightInd w:val="0"/>
        <w:snapToGrid w:val="0"/>
        <w:spacing w:before="0" w:beforeAutospacing="0" w:after="0" w:afterAutospacing="0" w:line="14" w:lineRule="auto"/>
        <w:jc w:val="center"/>
        <w:rPr>
          <w:rFonts w:ascii="Times New Roman" w:hAnsi="Times New Roman"/>
          <w:snapToGrid w:val="0"/>
          <w:sz w:val="30"/>
          <w:szCs w:val="30"/>
        </w:rPr>
      </w:pPr>
    </w:p>
    <w:p w14:paraId="3AC3BF2C">
      <w:pPr>
        <w:pStyle w:val="72"/>
        <w:jc w:val="center"/>
        <w:outlineLvl w:val="0"/>
        <w:rPr>
          <w:rFonts w:ascii="Times New Roman" w:hAnsi="Times New Roman"/>
          <w:b/>
          <w:bCs/>
          <w:snapToGrid w:val="0"/>
          <w:sz w:val="30"/>
          <w:szCs w:val="30"/>
        </w:rPr>
      </w:pPr>
      <w:r>
        <w:rPr>
          <w:rFonts w:ascii="Times New Roman" w:hAnsi="Times New Roman"/>
          <w:b/>
          <w:bCs/>
          <w:snapToGrid w:val="0"/>
          <w:sz w:val="30"/>
          <w:szCs w:val="30"/>
        </w:rPr>
        <w:t>五、主要生态环境保护措施</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8246"/>
      </w:tblGrid>
      <w:tr w14:paraId="24EEB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09" w:type="pct"/>
            <w:tcMar>
              <w:left w:w="28" w:type="dxa"/>
              <w:right w:w="28" w:type="dxa"/>
            </w:tcMar>
            <w:vAlign w:val="center"/>
          </w:tcPr>
          <w:p w14:paraId="0289CAF0">
            <w:pPr>
              <w:adjustRightInd w:val="0"/>
              <w:snapToGrid w:val="0"/>
              <w:jc w:val="center"/>
              <w:rPr>
                <w:bCs/>
                <w:szCs w:val="21"/>
              </w:rPr>
            </w:pPr>
            <w:r>
              <w:rPr>
                <w:bCs/>
                <w:spacing w:val="10"/>
                <w:sz w:val="24"/>
              </w:rPr>
              <w:t>施工期生态环境保护措施</w:t>
            </w:r>
          </w:p>
        </w:tc>
        <w:tc>
          <w:tcPr>
            <w:tcW w:w="4591" w:type="pct"/>
          </w:tcPr>
          <w:p w14:paraId="7B3B0564">
            <w:pPr>
              <w:spacing w:line="440" w:lineRule="exact"/>
              <w:ind w:firstLine="482" w:firstLineChars="200"/>
              <w:rPr>
                <w:b/>
                <w:sz w:val="24"/>
                <w:szCs w:val="20"/>
              </w:rPr>
            </w:pPr>
            <w:r>
              <w:rPr>
                <w:b/>
                <w:sz w:val="24"/>
                <w:szCs w:val="20"/>
              </w:rPr>
              <w:t>1</w:t>
            </w:r>
            <w:r>
              <w:rPr>
                <w:rFonts w:hint="eastAsia"/>
                <w:b/>
                <w:sz w:val="24"/>
                <w:szCs w:val="20"/>
              </w:rPr>
              <w:t>.</w:t>
            </w:r>
            <w:r>
              <w:rPr>
                <w:b/>
                <w:sz w:val="24"/>
                <w:szCs w:val="20"/>
              </w:rPr>
              <w:t>生态影响保护措施</w:t>
            </w:r>
          </w:p>
          <w:p w14:paraId="224AD3FB">
            <w:pPr>
              <w:spacing w:line="440" w:lineRule="exact"/>
              <w:ind w:firstLine="480" w:firstLineChars="200"/>
              <w:rPr>
                <w:sz w:val="24"/>
              </w:rPr>
            </w:pPr>
            <w:r>
              <w:rPr>
                <w:rFonts w:hint="eastAsia"/>
                <w:sz w:val="24"/>
              </w:rPr>
              <w:t>项目主要采取以下措施减缓施工期对生态环境的影响。</w:t>
            </w:r>
          </w:p>
          <w:p w14:paraId="2BB2F7F6">
            <w:pPr>
              <w:spacing w:line="440" w:lineRule="exact"/>
              <w:ind w:firstLine="480" w:firstLineChars="200"/>
              <w:rPr>
                <w:sz w:val="24"/>
              </w:rPr>
            </w:pPr>
            <w:r>
              <w:rPr>
                <w:rFonts w:hint="eastAsia"/>
                <w:sz w:val="24"/>
              </w:rPr>
              <w:t>①管线施工时，划定施工活动范围；严格控制和管理车辆及重型机械的运行范围，以减少施工活动的范围。</w:t>
            </w:r>
          </w:p>
          <w:p w14:paraId="0BDF5F8D">
            <w:pPr>
              <w:spacing w:line="440" w:lineRule="exact"/>
              <w:ind w:firstLine="480" w:firstLineChars="200"/>
              <w:rPr>
                <w:sz w:val="24"/>
              </w:rPr>
            </w:pPr>
            <w:r>
              <w:rPr>
                <w:rFonts w:hint="eastAsia"/>
                <w:sz w:val="24"/>
              </w:rPr>
              <w:t>②不新设施工便道，利用已有道路。</w:t>
            </w:r>
          </w:p>
          <w:p w14:paraId="13616D22">
            <w:pPr>
              <w:spacing w:line="440" w:lineRule="exact"/>
              <w:ind w:firstLine="480" w:firstLineChars="200"/>
              <w:rPr>
                <w:sz w:val="24"/>
              </w:rPr>
            </w:pPr>
            <w:r>
              <w:rPr>
                <w:rFonts w:hint="eastAsia"/>
                <w:sz w:val="24"/>
              </w:rPr>
              <w:t>③</w:t>
            </w:r>
            <w:r>
              <w:rPr>
                <w:sz w:val="24"/>
              </w:rPr>
              <w:t>工程施工过程中，禁止将工程临时废渣随处乱排，场内运输车辆严格按照指定运输道路行驶。</w:t>
            </w:r>
          </w:p>
          <w:p w14:paraId="1BA45AB7">
            <w:pPr>
              <w:spacing w:line="440" w:lineRule="exact"/>
              <w:ind w:firstLine="480" w:firstLineChars="200"/>
              <w:rPr>
                <w:kern w:val="0"/>
                <w:sz w:val="24"/>
              </w:rPr>
            </w:pPr>
            <w:r>
              <w:rPr>
                <w:rFonts w:hint="eastAsia"/>
                <w:sz w:val="24"/>
              </w:rPr>
              <w:t>④</w:t>
            </w:r>
            <w:r>
              <w:rPr>
                <w:sz w:val="24"/>
              </w:rPr>
              <w:t>施工进度安排应紧凑合理，尽量缩短施工工期</w:t>
            </w:r>
            <w:r>
              <w:rPr>
                <w:kern w:val="0"/>
                <w:sz w:val="24"/>
              </w:rPr>
              <w:t>。</w:t>
            </w:r>
          </w:p>
          <w:p w14:paraId="0B38DC26">
            <w:pPr>
              <w:spacing w:line="440" w:lineRule="exact"/>
              <w:ind w:firstLine="482" w:firstLineChars="200"/>
              <w:rPr>
                <w:b/>
                <w:sz w:val="24"/>
                <w:szCs w:val="20"/>
              </w:rPr>
            </w:pPr>
            <w:r>
              <w:rPr>
                <w:b/>
                <w:sz w:val="24"/>
                <w:szCs w:val="20"/>
              </w:rPr>
              <w:t>2</w:t>
            </w:r>
            <w:r>
              <w:rPr>
                <w:rFonts w:hint="eastAsia"/>
                <w:b/>
                <w:sz w:val="24"/>
                <w:szCs w:val="20"/>
              </w:rPr>
              <w:t>.</w:t>
            </w:r>
            <w:r>
              <w:rPr>
                <w:b/>
                <w:sz w:val="24"/>
                <w:szCs w:val="20"/>
              </w:rPr>
              <w:t>施工期大气污染防治措施</w:t>
            </w:r>
          </w:p>
          <w:p w14:paraId="1F626417">
            <w:pPr>
              <w:spacing w:line="440" w:lineRule="exact"/>
              <w:ind w:firstLine="480" w:firstLineChars="200"/>
              <w:rPr>
                <w:sz w:val="24"/>
              </w:rPr>
            </w:pPr>
            <w:r>
              <w:rPr>
                <w:rFonts w:hint="eastAsia"/>
                <w:sz w:val="24"/>
              </w:rPr>
              <w:t>（1）施工机械设备尾气</w:t>
            </w:r>
          </w:p>
          <w:p w14:paraId="1CA6885F">
            <w:pPr>
              <w:spacing w:line="440" w:lineRule="exact"/>
              <w:ind w:firstLine="480" w:firstLineChars="200"/>
              <w:rPr>
                <w:sz w:val="24"/>
              </w:rPr>
            </w:pPr>
            <w:r>
              <w:rPr>
                <w:sz w:val="24"/>
              </w:rPr>
              <w:t>项目施工机械和运输车辆排放的大气</w:t>
            </w:r>
            <w:r>
              <w:rPr>
                <w:rFonts w:hint="eastAsia"/>
                <w:sz w:val="24"/>
              </w:rPr>
              <w:t>污染物</w:t>
            </w:r>
            <w:r>
              <w:rPr>
                <w:sz w:val="24"/>
              </w:rPr>
              <w:t>相对较少，对周边</w:t>
            </w:r>
            <w:r>
              <w:rPr>
                <w:rFonts w:hint="eastAsia"/>
                <w:sz w:val="24"/>
              </w:rPr>
              <w:t>环境</w:t>
            </w:r>
            <w:r>
              <w:rPr>
                <w:sz w:val="24"/>
              </w:rPr>
              <w:t>影响程度及范围较小，通过采取限制</w:t>
            </w:r>
            <w:r>
              <w:rPr>
                <w:rFonts w:hint="eastAsia"/>
                <w:sz w:val="24"/>
              </w:rPr>
              <w:t>超载</w:t>
            </w:r>
            <w:r>
              <w:rPr>
                <w:sz w:val="24"/>
              </w:rPr>
              <w:t>、限制超速等措施，现场施工机械和人员活动范围严格</w:t>
            </w:r>
            <w:r>
              <w:rPr>
                <w:rFonts w:hint="eastAsia"/>
                <w:sz w:val="24"/>
              </w:rPr>
              <w:t>限制</w:t>
            </w:r>
            <w:r>
              <w:rPr>
                <w:sz w:val="24"/>
              </w:rPr>
              <w:t>在作业带范围内，尽量减少施工破坏面</w:t>
            </w:r>
            <w:r>
              <w:rPr>
                <w:rFonts w:hint="eastAsia"/>
                <w:sz w:val="24"/>
              </w:rPr>
              <w:t>，避免大风天气作业，</w:t>
            </w:r>
            <w:r>
              <w:rPr>
                <w:sz w:val="24"/>
              </w:rPr>
              <w:t>可以大大降低运输车辆及施工机械尾气对周围环境的影响。</w:t>
            </w:r>
            <w:r>
              <w:rPr>
                <w:rFonts w:hint="eastAsia"/>
                <w:sz w:val="24"/>
              </w:rPr>
              <w:t>车辆在开阔的地段运输，运输并不是连续运输，有利于车辆尾气的扩散，</w:t>
            </w:r>
            <w:r>
              <w:rPr>
                <w:sz w:val="24"/>
              </w:rPr>
              <w:t>因此运输车辆所排放的尾气对周围环境影响较小。</w:t>
            </w:r>
          </w:p>
          <w:p w14:paraId="3BCA58F6">
            <w:pPr>
              <w:spacing w:line="440" w:lineRule="exact"/>
              <w:ind w:firstLine="480" w:firstLineChars="200"/>
              <w:rPr>
                <w:sz w:val="24"/>
              </w:rPr>
            </w:pPr>
            <w:r>
              <w:rPr>
                <w:rFonts w:hint="eastAsia"/>
                <w:sz w:val="24"/>
              </w:rPr>
              <w:t>（2）施工扬尘</w:t>
            </w:r>
          </w:p>
          <w:p w14:paraId="5CC3B4E6">
            <w:pPr>
              <w:spacing w:line="440" w:lineRule="exact"/>
              <w:ind w:firstLine="480" w:firstLineChars="200"/>
              <w:rPr>
                <w:sz w:val="24"/>
              </w:rPr>
            </w:pPr>
            <w:r>
              <w:rPr>
                <w:rFonts w:hint="eastAsia"/>
                <w:sz w:val="24"/>
              </w:rPr>
              <w:t>项目在施工过程中扬尘量甚微，项目管线均为架空敷设，不涉及管沟开挖。施工过程中适当进行洒水抑尘，防止扬尘产生。</w:t>
            </w:r>
          </w:p>
          <w:p w14:paraId="5AFFCC18">
            <w:pPr>
              <w:spacing w:line="440" w:lineRule="exact"/>
              <w:ind w:firstLine="480" w:firstLineChars="200"/>
              <w:rPr>
                <w:sz w:val="24"/>
              </w:rPr>
            </w:pPr>
            <w:r>
              <w:rPr>
                <w:rFonts w:hint="eastAsia"/>
                <w:sz w:val="24"/>
              </w:rPr>
              <w:t>（3）焊接废气</w:t>
            </w:r>
          </w:p>
          <w:p w14:paraId="2245AE2E">
            <w:pPr>
              <w:spacing w:line="440" w:lineRule="exact"/>
              <w:ind w:firstLine="480" w:firstLineChars="200"/>
              <w:rPr>
                <w:sz w:val="24"/>
              </w:rPr>
            </w:pPr>
            <w:r>
              <w:rPr>
                <w:rFonts w:hint="eastAsia"/>
                <w:sz w:val="24"/>
              </w:rPr>
              <w:t>由于焊接烟尘的排放具有分散、间断排放和排放量小的特点，且焊接均为户外作业，故焊接烟尘对周围环境空气质量影响较小。</w:t>
            </w:r>
          </w:p>
          <w:p w14:paraId="6637DF0B">
            <w:pPr>
              <w:spacing w:line="440" w:lineRule="exact"/>
              <w:ind w:firstLine="480" w:firstLineChars="200"/>
              <w:rPr>
                <w:sz w:val="24"/>
              </w:rPr>
            </w:pPr>
            <w:r>
              <w:rPr>
                <w:rFonts w:hint="eastAsia"/>
                <w:sz w:val="24"/>
              </w:rPr>
              <w:t>（4）喷漆废气（焊缝焊接处）</w:t>
            </w:r>
          </w:p>
          <w:p w14:paraId="08749C04">
            <w:pPr>
              <w:spacing w:line="440" w:lineRule="exact"/>
              <w:ind w:firstLine="480" w:firstLineChars="200"/>
              <w:rPr>
                <w:sz w:val="24"/>
              </w:rPr>
            </w:pPr>
            <w:r>
              <w:rPr>
                <w:rFonts w:hint="eastAsia"/>
                <w:sz w:val="24"/>
              </w:rPr>
              <w:t>项目</w:t>
            </w:r>
            <w:r>
              <w:rPr>
                <w:sz w:val="24"/>
              </w:rPr>
              <w:t>管线来料已在厂家完成底漆及面漆喷涂工序，现场不进行喷漆。但是</w:t>
            </w:r>
            <w:r>
              <w:rPr>
                <w:rFonts w:hint="eastAsia"/>
                <w:sz w:val="24"/>
              </w:rPr>
              <w:t>在管道</w:t>
            </w:r>
            <w:r>
              <w:rPr>
                <w:sz w:val="24"/>
              </w:rPr>
              <w:t>焊接接口处需要重新补漆，补涂的面积小，</w:t>
            </w:r>
            <w:r>
              <w:rPr>
                <w:rFonts w:hint="eastAsia"/>
                <w:sz w:val="24"/>
              </w:rPr>
              <w:t>涂漆时会产生少量有机废气，主要为挥发性有机物。项目选用</w:t>
            </w:r>
            <w:r>
              <w:rPr>
                <w:rFonts w:hint="eastAsia"/>
                <w:sz w:val="24"/>
                <w:szCs w:val="20"/>
              </w:rPr>
              <w:t>高固体份、低VOCs含量的防腐漆</w:t>
            </w:r>
            <w:r>
              <w:rPr>
                <w:rFonts w:hint="eastAsia"/>
                <w:sz w:val="24"/>
              </w:rPr>
              <w:t>，且油漆用量较小，挥发性有机物产生量及排放量较小，加之当地大气扩散条件良好，因此对周围环境空气质量影响较小。</w:t>
            </w:r>
          </w:p>
          <w:p w14:paraId="7C91F1F5">
            <w:pPr>
              <w:spacing w:line="440" w:lineRule="exact"/>
              <w:ind w:firstLine="480" w:firstLineChars="200"/>
              <w:rPr>
                <w:kern w:val="0"/>
                <w:sz w:val="24"/>
                <w:szCs w:val="22"/>
              </w:rPr>
            </w:pPr>
            <w:r>
              <w:rPr>
                <w:sz w:val="24"/>
              </w:rPr>
              <w:t>采取以上措施后，</w:t>
            </w:r>
            <w:r>
              <w:rPr>
                <w:rFonts w:hint="eastAsia"/>
                <w:sz w:val="24"/>
              </w:rPr>
              <w:t>施工扬尘、补漆过程无组织非甲烷总烃</w:t>
            </w:r>
            <w:r>
              <w:rPr>
                <w:sz w:val="24"/>
              </w:rPr>
              <w:t>排放能够满足《大气污染物综合排放标准》</w:t>
            </w:r>
            <w:r>
              <w:rPr>
                <w:rFonts w:hint="eastAsia"/>
                <w:sz w:val="24"/>
              </w:rPr>
              <w:t>（GB 16297-1996）</w:t>
            </w:r>
            <w:r>
              <w:rPr>
                <w:sz w:val="24"/>
              </w:rPr>
              <w:t>中表2标准限值</w:t>
            </w:r>
            <w:r>
              <w:rPr>
                <w:rFonts w:hint="eastAsia"/>
                <w:sz w:val="24"/>
              </w:rPr>
              <w:t>，</w:t>
            </w:r>
            <w:r>
              <w:rPr>
                <w:sz w:val="24"/>
              </w:rPr>
              <w:t>可使其对</w:t>
            </w:r>
            <w:r>
              <w:rPr>
                <w:rFonts w:hint="eastAsia"/>
                <w:sz w:val="24"/>
              </w:rPr>
              <w:t>周边</w:t>
            </w:r>
            <w:r>
              <w:rPr>
                <w:sz w:val="24"/>
              </w:rPr>
              <w:t>环境的影响降至最低。随着施工的完成，这些影响也将消失，因此不会对周围环境产生较大的不利影响。</w:t>
            </w:r>
          </w:p>
          <w:p w14:paraId="05FC402A">
            <w:pPr>
              <w:spacing w:line="440" w:lineRule="exact"/>
              <w:ind w:firstLine="482" w:firstLineChars="200"/>
              <w:rPr>
                <w:b/>
                <w:sz w:val="24"/>
                <w:szCs w:val="20"/>
              </w:rPr>
            </w:pPr>
            <w:r>
              <w:rPr>
                <w:b/>
                <w:sz w:val="24"/>
                <w:szCs w:val="20"/>
              </w:rPr>
              <w:t>3</w:t>
            </w:r>
            <w:r>
              <w:rPr>
                <w:rFonts w:hint="eastAsia"/>
                <w:b/>
                <w:sz w:val="24"/>
                <w:szCs w:val="20"/>
              </w:rPr>
              <w:t>.</w:t>
            </w:r>
            <w:r>
              <w:rPr>
                <w:b/>
                <w:sz w:val="24"/>
                <w:szCs w:val="20"/>
              </w:rPr>
              <w:t>施工期水污染防治措施</w:t>
            </w:r>
          </w:p>
          <w:p w14:paraId="39363DFC">
            <w:pPr>
              <w:spacing w:line="440" w:lineRule="exact"/>
              <w:ind w:firstLine="480" w:firstLineChars="200"/>
              <w:rPr>
                <w:rFonts w:ascii="宋体"/>
                <w:sz w:val="24"/>
                <w:szCs w:val="20"/>
              </w:rPr>
            </w:pPr>
            <w:r>
              <w:rPr>
                <w:rFonts w:hint="eastAsia" w:ascii="宋体"/>
                <w:sz w:val="24"/>
                <w:szCs w:val="20"/>
              </w:rPr>
              <w:t>项目施工期废水主要来自施工人员在施工作业中产生的生活污水。</w:t>
            </w:r>
          </w:p>
          <w:p w14:paraId="70F4C542">
            <w:pPr>
              <w:spacing w:line="440" w:lineRule="exact"/>
              <w:ind w:firstLine="480" w:firstLineChars="200"/>
              <w:rPr>
                <w:rFonts w:ascii="宋体"/>
                <w:sz w:val="24"/>
                <w:szCs w:val="20"/>
              </w:rPr>
            </w:pPr>
            <w:r>
              <w:rPr>
                <w:rFonts w:hint="eastAsia" w:ascii="宋体"/>
                <w:sz w:val="24"/>
                <w:szCs w:val="20"/>
              </w:rPr>
              <w:t>项目施工期间</w:t>
            </w:r>
            <w:bookmarkStart w:id="39" w:name="OLE_LINK38"/>
            <w:r>
              <w:rPr>
                <w:rFonts w:hint="eastAsia" w:ascii="宋体"/>
                <w:sz w:val="24"/>
                <w:szCs w:val="20"/>
              </w:rPr>
              <w:t>，生活污水</w:t>
            </w:r>
            <w:bookmarkEnd w:id="39"/>
            <w:r>
              <w:rPr>
                <w:rFonts w:hint="eastAsia" w:ascii="宋体"/>
                <w:sz w:val="24"/>
                <w:szCs w:val="20"/>
              </w:rPr>
              <w:t>依托厂区现有设施，最终排向厂区污水处理站。</w:t>
            </w:r>
          </w:p>
          <w:p w14:paraId="79407793">
            <w:pPr>
              <w:spacing w:line="440" w:lineRule="exact"/>
              <w:ind w:firstLine="480" w:firstLineChars="200"/>
              <w:rPr>
                <w:sz w:val="24"/>
                <w:szCs w:val="20"/>
              </w:rPr>
            </w:pPr>
            <w:r>
              <w:rPr>
                <w:sz w:val="24"/>
                <w:szCs w:val="20"/>
              </w:rPr>
              <w:t>采取以上措施后，施工期废水不会对沿线水环境产生明显影响，施工期废水治理措施可行。</w:t>
            </w:r>
          </w:p>
          <w:p w14:paraId="39383352">
            <w:pPr>
              <w:spacing w:line="440" w:lineRule="exact"/>
              <w:ind w:firstLine="482" w:firstLineChars="200"/>
              <w:rPr>
                <w:sz w:val="24"/>
                <w:szCs w:val="20"/>
              </w:rPr>
            </w:pPr>
            <w:r>
              <w:rPr>
                <w:b/>
                <w:sz w:val="24"/>
                <w:szCs w:val="20"/>
              </w:rPr>
              <w:t>4</w:t>
            </w:r>
            <w:r>
              <w:rPr>
                <w:rFonts w:hint="eastAsia"/>
                <w:b/>
                <w:sz w:val="24"/>
                <w:szCs w:val="20"/>
              </w:rPr>
              <w:t>.</w:t>
            </w:r>
            <w:r>
              <w:rPr>
                <w:b/>
                <w:sz w:val="24"/>
                <w:szCs w:val="20"/>
              </w:rPr>
              <w:t>施工期主要噪声</w:t>
            </w:r>
            <w:r>
              <w:rPr>
                <w:rFonts w:hint="eastAsia"/>
                <w:b/>
                <w:sz w:val="24"/>
                <w:szCs w:val="20"/>
              </w:rPr>
              <w:t>减缓</w:t>
            </w:r>
            <w:r>
              <w:rPr>
                <w:b/>
                <w:sz w:val="24"/>
                <w:szCs w:val="20"/>
              </w:rPr>
              <w:t>措施</w:t>
            </w:r>
          </w:p>
          <w:p w14:paraId="3C15A070">
            <w:pPr>
              <w:spacing w:line="440" w:lineRule="exact"/>
              <w:ind w:firstLine="480" w:firstLineChars="200"/>
              <w:rPr>
                <w:sz w:val="24"/>
                <w:szCs w:val="20"/>
              </w:rPr>
            </w:pPr>
            <w:r>
              <w:rPr>
                <w:sz w:val="24"/>
                <w:szCs w:val="20"/>
              </w:rPr>
              <w:t>根据现场调查，项目沿线周边200m范围内无噪声敏感点。在采取以下措施后，不会对区域声环境产生明显影响：</w:t>
            </w:r>
          </w:p>
          <w:p w14:paraId="24B8C5C0">
            <w:pPr>
              <w:spacing w:line="440" w:lineRule="exact"/>
              <w:ind w:firstLine="480" w:firstLineChars="200"/>
              <w:rPr>
                <w:kern w:val="0"/>
                <w:sz w:val="24"/>
              </w:rPr>
            </w:pPr>
            <w:r>
              <w:rPr>
                <w:rFonts w:ascii="宋体"/>
                <w:kern w:val="0"/>
                <w:sz w:val="24"/>
              </w:rPr>
              <w:t>①</w:t>
            </w:r>
            <w:r>
              <w:rPr>
                <w:kern w:val="0"/>
                <w:sz w:val="24"/>
              </w:rPr>
              <w:t>施工期的噪声主要来自施工机械和运输车辆。施工单位必须选用符合国家有关标准的施工机械和运输车辆，尽量选用低噪声的施工机械和工艺。同时加强施工机械的养护和正确操作。</w:t>
            </w:r>
          </w:p>
          <w:p w14:paraId="5F872127">
            <w:pPr>
              <w:spacing w:line="440" w:lineRule="exact"/>
              <w:ind w:firstLine="480" w:firstLineChars="200"/>
              <w:rPr>
                <w:kern w:val="0"/>
                <w:sz w:val="24"/>
              </w:rPr>
            </w:pPr>
            <w:r>
              <w:rPr>
                <w:rFonts w:ascii="宋体"/>
                <w:kern w:val="0"/>
                <w:sz w:val="24"/>
              </w:rPr>
              <w:t>②</w:t>
            </w:r>
            <w:r>
              <w:rPr>
                <w:kern w:val="0"/>
                <w:sz w:val="24"/>
              </w:rPr>
              <w:t>合理安排施工时间。</w:t>
            </w:r>
          </w:p>
          <w:p w14:paraId="5E0FBD2B">
            <w:pPr>
              <w:spacing w:line="440" w:lineRule="exact"/>
              <w:ind w:firstLine="480" w:firstLineChars="200"/>
              <w:rPr>
                <w:kern w:val="0"/>
                <w:sz w:val="24"/>
              </w:rPr>
            </w:pPr>
            <w:r>
              <w:rPr>
                <w:rFonts w:ascii="宋体"/>
                <w:kern w:val="0"/>
                <w:sz w:val="24"/>
              </w:rPr>
              <w:t>③</w:t>
            </w:r>
            <w:r>
              <w:rPr>
                <w:kern w:val="0"/>
                <w:sz w:val="24"/>
              </w:rPr>
              <w:t>加强施工现场的科学管理，做好施工人员的环境保护意识的教育。</w:t>
            </w:r>
          </w:p>
          <w:p w14:paraId="1CD8F8F5">
            <w:pPr>
              <w:spacing w:line="440" w:lineRule="exact"/>
              <w:ind w:firstLine="480" w:firstLineChars="200"/>
              <w:rPr>
                <w:kern w:val="0"/>
                <w:sz w:val="24"/>
              </w:rPr>
            </w:pPr>
            <w:r>
              <w:rPr>
                <w:kern w:val="0"/>
                <w:sz w:val="24"/>
              </w:rPr>
              <w:t>本工程在采取合理布局、合理安排施工时间、采用低噪声设备等措施以后，</w:t>
            </w:r>
            <w:r>
              <w:rPr>
                <w:rFonts w:hint="eastAsia"/>
                <w:bCs/>
                <w:sz w:val="24"/>
              </w:rPr>
              <w:t>施工期噪声能够满足《建筑施工噪声排放标准》（GB 12523-2025）中各施工时间段的作业噪声限值要求，</w:t>
            </w:r>
            <w:r>
              <w:rPr>
                <w:kern w:val="0"/>
                <w:sz w:val="24"/>
              </w:rPr>
              <w:t>可将施工期噪声对周边声环境的影响降至最低。</w:t>
            </w:r>
          </w:p>
          <w:p w14:paraId="4AD39CC7">
            <w:pPr>
              <w:spacing w:line="440" w:lineRule="exact"/>
              <w:ind w:firstLine="482" w:firstLineChars="200"/>
              <w:jc w:val="left"/>
              <w:rPr>
                <w:b/>
                <w:sz w:val="24"/>
                <w:szCs w:val="20"/>
              </w:rPr>
            </w:pPr>
            <w:r>
              <w:rPr>
                <w:b/>
                <w:sz w:val="24"/>
                <w:szCs w:val="20"/>
              </w:rPr>
              <w:t>5</w:t>
            </w:r>
            <w:r>
              <w:rPr>
                <w:rFonts w:hint="eastAsia"/>
                <w:b/>
                <w:sz w:val="24"/>
                <w:szCs w:val="20"/>
              </w:rPr>
              <w:t>.</w:t>
            </w:r>
            <w:r>
              <w:rPr>
                <w:b/>
                <w:sz w:val="24"/>
                <w:szCs w:val="20"/>
              </w:rPr>
              <w:t>施工期固体废物污染防治措施</w:t>
            </w:r>
          </w:p>
          <w:p w14:paraId="33326CF7">
            <w:pPr>
              <w:spacing w:line="440" w:lineRule="exact"/>
              <w:ind w:firstLine="480" w:firstLineChars="200"/>
              <w:rPr>
                <w:sz w:val="24"/>
                <w:szCs w:val="20"/>
              </w:rPr>
            </w:pPr>
            <w:r>
              <w:rPr>
                <w:rFonts w:hint="eastAsia"/>
                <w:sz w:val="24"/>
                <w:szCs w:val="20"/>
              </w:rPr>
              <w:t>施工期产生的固体废物主要为施工废料、废漆桶及生活垃圾。</w:t>
            </w:r>
          </w:p>
          <w:p w14:paraId="308AFE12">
            <w:pPr>
              <w:spacing w:line="440" w:lineRule="exact"/>
              <w:ind w:firstLine="480" w:firstLineChars="200"/>
              <w:rPr>
                <w:sz w:val="24"/>
                <w:szCs w:val="20"/>
              </w:rPr>
            </w:pPr>
            <w:r>
              <w:rPr>
                <w:rFonts w:hint="eastAsia"/>
                <w:sz w:val="24"/>
                <w:szCs w:val="20"/>
              </w:rPr>
              <w:t>①施工废料</w:t>
            </w:r>
          </w:p>
          <w:p w14:paraId="5F41D72C">
            <w:pPr>
              <w:spacing w:line="440" w:lineRule="exact"/>
              <w:ind w:firstLine="480" w:firstLineChars="200"/>
              <w:rPr>
                <w:bCs/>
                <w:sz w:val="24"/>
                <w:szCs w:val="20"/>
              </w:rPr>
            </w:pPr>
            <w:r>
              <w:rPr>
                <w:rFonts w:hint="eastAsia"/>
                <w:sz w:val="24"/>
                <w:szCs w:val="20"/>
              </w:rPr>
              <w:t>施工废料主要包括管道焊接作业中产生的废焊条、焊渣、防腐材料、保温作业中产生的废防腐材料、废保温材料等，均为一般固废。项目施工过程产生的施工废料量约为0.5t，</w:t>
            </w:r>
            <w:r>
              <w:rPr>
                <w:rFonts w:hint="eastAsia"/>
                <w:bCs/>
                <w:sz w:val="24"/>
                <w:szCs w:val="20"/>
              </w:rPr>
              <w:t>收集后运送至市政指定地点</w:t>
            </w:r>
            <w:r>
              <w:rPr>
                <w:bCs/>
                <w:sz w:val="24"/>
                <w:szCs w:val="20"/>
              </w:rPr>
              <w:t>。</w:t>
            </w:r>
          </w:p>
          <w:p w14:paraId="7BE89CA1">
            <w:pPr>
              <w:spacing w:line="440" w:lineRule="exact"/>
              <w:ind w:firstLine="480" w:firstLineChars="200"/>
              <w:rPr>
                <w:sz w:val="24"/>
                <w:szCs w:val="20"/>
              </w:rPr>
            </w:pPr>
            <w:r>
              <w:rPr>
                <w:rFonts w:hint="eastAsia"/>
                <w:sz w:val="24"/>
                <w:szCs w:val="20"/>
              </w:rPr>
              <w:t>②废</w:t>
            </w:r>
            <w:r>
              <w:rPr>
                <w:rFonts w:hint="eastAsia"/>
                <w:sz w:val="24"/>
              </w:rPr>
              <w:t>油漆</w:t>
            </w:r>
            <w:r>
              <w:rPr>
                <w:rFonts w:hint="eastAsia"/>
                <w:sz w:val="24"/>
                <w:szCs w:val="20"/>
              </w:rPr>
              <w:t>桶</w:t>
            </w:r>
          </w:p>
          <w:p w14:paraId="25CDD10A">
            <w:pPr>
              <w:spacing w:line="440" w:lineRule="exact"/>
              <w:ind w:firstLine="480" w:firstLineChars="200"/>
              <w:rPr>
                <w:sz w:val="24"/>
                <w:szCs w:val="20"/>
              </w:rPr>
            </w:pPr>
            <w:r>
              <w:rPr>
                <w:rFonts w:hint="eastAsia"/>
                <w:sz w:val="24"/>
                <w:szCs w:val="20"/>
              </w:rPr>
              <w:t>项目产生废</w:t>
            </w:r>
            <w:r>
              <w:rPr>
                <w:rFonts w:hint="eastAsia"/>
                <w:sz w:val="24"/>
              </w:rPr>
              <w:t>油漆</w:t>
            </w:r>
            <w:r>
              <w:rPr>
                <w:rFonts w:hint="eastAsia"/>
                <w:sz w:val="24"/>
                <w:szCs w:val="20"/>
              </w:rPr>
              <w:t>桶共计5kg，依托内蒙古伊泰化工有限责任公司现有危险废物暂存库，2021年4月，《内蒙古伊泰化工有限责任公司危险废物储存仓库建设项目环境影响报告表》取得鄂尔多斯市生态环境局批复（鄂环审〔2021〕349号），2022年3月通过自主验收。</w:t>
            </w:r>
          </w:p>
          <w:p w14:paraId="63D92C8B">
            <w:pPr>
              <w:spacing w:line="440" w:lineRule="exact"/>
              <w:ind w:firstLine="480" w:firstLineChars="200"/>
              <w:rPr>
                <w:sz w:val="24"/>
                <w:szCs w:val="20"/>
              </w:rPr>
            </w:pPr>
            <w:r>
              <w:rPr>
                <w:rFonts w:hint="eastAsia"/>
                <w:sz w:val="24"/>
                <w:szCs w:val="20"/>
              </w:rPr>
              <w:t>利用现有1座危废暂存库，占地面积417.28</w:t>
            </w:r>
            <w:r>
              <w:rPr>
                <w:sz w:val="24"/>
                <w:szCs w:val="20"/>
              </w:rPr>
              <w:t>m</w:t>
            </w:r>
            <w:r>
              <w:rPr>
                <w:sz w:val="24"/>
                <w:szCs w:val="20"/>
                <w:vertAlign w:val="superscript"/>
              </w:rPr>
              <w:t>2</w:t>
            </w:r>
            <w:r>
              <w:rPr>
                <w:rFonts w:hint="eastAsia"/>
                <w:sz w:val="24"/>
                <w:szCs w:val="20"/>
              </w:rPr>
              <w:t>。危废暂存库地面及裙脚、导流渠、集液池防渗措施自下而上依次为：基</w:t>
            </w:r>
            <w:r>
              <w:rPr>
                <w:sz w:val="24"/>
                <w:szCs w:val="20"/>
              </w:rPr>
              <w:t>础防渗层+2mm厚HDPE防渗膜+30cm抗渗C30混凝土结构+环氧树脂涂层防腐，防渗系数≤1.0×10</w:t>
            </w:r>
            <w:r>
              <w:rPr>
                <w:sz w:val="24"/>
                <w:szCs w:val="20"/>
                <w:vertAlign w:val="superscript"/>
              </w:rPr>
              <w:t>-10</w:t>
            </w:r>
            <w:r>
              <w:rPr>
                <w:sz w:val="24"/>
                <w:szCs w:val="20"/>
              </w:rPr>
              <w:t>cm/s；配备消防沙箱；库房内外均设有视频监控设施，设有危险废物标识牌、防爆灯及应急照明装置；管理制度完善，危废暂存库采取双人双锁管理。</w:t>
            </w:r>
          </w:p>
          <w:p w14:paraId="1D8ECE61">
            <w:pPr>
              <w:spacing w:line="440" w:lineRule="exact"/>
              <w:ind w:firstLine="480" w:firstLineChars="200"/>
              <w:rPr>
                <w:sz w:val="24"/>
                <w:szCs w:val="20"/>
              </w:rPr>
            </w:pPr>
            <w:r>
              <w:rPr>
                <w:sz w:val="24"/>
                <w:szCs w:val="20"/>
              </w:rPr>
              <w:t>项目废油漆桶属于《国家危险废物名录（2025年版）》中HW49其他废物，废物代码为900-041-49</w:t>
            </w:r>
            <w:r>
              <w:rPr>
                <w:rFonts w:hint="eastAsia" w:ascii="宋体" w:hAnsi="宋体"/>
                <w:sz w:val="24"/>
                <w:szCs w:val="20"/>
              </w:rPr>
              <w:t>“</w:t>
            </w:r>
            <w:r>
              <w:rPr>
                <w:sz w:val="24"/>
                <w:szCs w:val="20"/>
              </w:rPr>
              <w:t>含有或沾染毒性、感染性危险废</w:t>
            </w:r>
            <w:r>
              <w:rPr>
                <w:rFonts w:hint="eastAsia"/>
                <w:sz w:val="24"/>
                <w:szCs w:val="20"/>
              </w:rPr>
              <w:t>物的废弃包装物、容器、过滤吸附介质”，应分类收集，可满足项目需求。</w:t>
            </w:r>
          </w:p>
          <w:p w14:paraId="0A9018B6">
            <w:pPr>
              <w:spacing w:line="440" w:lineRule="exact"/>
              <w:ind w:firstLine="480" w:firstLineChars="200"/>
              <w:rPr>
                <w:sz w:val="24"/>
                <w:szCs w:val="20"/>
              </w:rPr>
            </w:pPr>
            <w:r>
              <w:rPr>
                <w:rFonts w:hint="eastAsia"/>
                <w:sz w:val="24"/>
                <w:szCs w:val="20"/>
              </w:rPr>
              <w:t>③生活垃圾</w:t>
            </w:r>
          </w:p>
          <w:p w14:paraId="5510BDCE">
            <w:pPr>
              <w:spacing w:line="440" w:lineRule="exact"/>
              <w:ind w:firstLine="480" w:firstLineChars="200"/>
              <w:rPr>
                <w:sz w:val="24"/>
                <w:szCs w:val="20"/>
              </w:rPr>
            </w:pPr>
            <w:r>
              <w:rPr>
                <w:rFonts w:hint="eastAsia"/>
                <w:bCs/>
                <w:sz w:val="24"/>
                <w:szCs w:val="20"/>
              </w:rPr>
              <w:t>施工人员依托内蒙古伊泰化工有限责任公司现有设施，</w:t>
            </w:r>
            <w:r>
              <w:rPr>
                <w:bCs/>
                <w:sz w:val="24"/>
                <w:szCs w:val="20"/>
              </w:rPr>
              <w:t>经</w:t>
            </w:r>
            <w:r>
              <w:rPr>
                <w:rFonts w:hint="eastAsia"/>
                <w:bCs/>
                <w:sz w:val="24"/>
                <w:szCs w:val="20"/>
              </w:rPr>
              <w:t>厂区垃圾桶</w:t>
            </w:r>
            <w:r>
              <w:rPr>
                <w:bCs/>
                <w:sz w:val="24"/>
                <w:szCs w:val="20"/>
              </w:rPr>
              <w:t>收集后</w:t>
            </w:r>
            <w:r>
              <w:rPr>
                <w:rFonts w:hint="eastAsia"/>
                <w:bCs/>
                <w:sz w:val="24"/>
                <w:szCs w:val="20"/>
              </w:rPr>
              <w:t>，统一由环卫部门处置</w:t>
            </w:r>
            <w:r>
              <w:rPr>
                <w:bCs/>
                <w:sz w:val="24"/>
                <w:szCs w:val="20"/>
              </w:rPr>
              <w:t>。</w:t>
            </w:r>
          </w:p>
          <w:p w14:paraId="4B12A271">
            <w:pPr>
              <w:adjustRightInd w:val="0"/>
              <w:snapToGrid w:val="0"/>
              <w:spacing w:line="440" w:lineRule="atLeast"/>
              <w:ind w:firstLine="480" w:firstLineChars="200"/>
              <w:rPr>
                <w:rFonts w:hint="eastAsia"/>
                <w:sz w:val="24"/>
              </w:rPr>
            </w:pPr>
            <w:r>
              <w:rPr>
                <w:rFonts w:hint="eastAsia"/>
                <w:sz w:val="24"/>
              </w:rPr>
              <w:t>综上，项目产生的固体废物全部得到妥善处置，对周围环境产生的影响可接受。</w:t>
            </w:r>
          </w:p>
        </w:tc>
      </w:tr>
      <w:tr w14:paraId="08456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409" w:type="pct"/>
            <w:tcMar>
              <w:left w:w="28" w:type="dxa"/>
              <w:right w:w="28" w:type="dxa"/>
            </w:tcMar>
            <w:vAlign w:val="center"/>
          </w:tcPr>
          <w:p w14:paraId="73F6FEF6">
            <w:pPr>
              <w:adjustRightInd w:val="0"/>
              <w:snapToGrid w:val="0"/>
              <w:jc w:val="center"/>
              <w:rPr>
                <w:bCs/>
                <w:spacing w:val="10"/>
                <w:szCs w:val="21"/>
              </w:rPr>
            </w:pPr>
            <w:r>
              <w:rPr>
                <w:bCs/>
                <w:spacing w:val="10"/>
                <w:sz w:val="24"/>
              </w:rPr>
              <w:t>运营期生态环境保护措施</w:t>
            </w:r>
          </w:p>
        </w:tc>
        <w:tc>
          <w:tcPr>
            <w:tcW w:w="4591" w:type="pct"/>
          </w:tcPr>
          <w:p w14:paraId="65A00DFD">
            <w:pPr>
              <w:spacing w:line="440" w:lineRule="exact"/>
              <w:ind w:firstLine="480" w:firstLineChars="200"/>
              <w:rPr>
                <w:bCs/>
                <w:sz w:val="24"/>
              </w:rPr>
            </w:pPr>
            <w:r>
              <w:rPr>
                <w:rFonts w:hint="eastAsia"/>
                <w:bCs/>
                <w:sz w:val="24"/>
              </w:rPr>
              <w:t>项目运营期正常情况下不产生废气、废水、固废，不对生态环境产生不利影响。</w:t>
            </w:r>
          </w:p>
          <w:p w14:paraId="48458F08">
            <w:pPr>
              <w:spacing w:line="440" w:lineRule="exact"/>
              <w:ind w:firstLine="482" w:firstLineChars="200"/>
              <w:rPr>
                <w:b/>
                <w:bCs/>
                <w:sz w:val="24"/>
              </w:rPr>
            </w:pPr>
            <w:r>
              <w:rPr>
                <w:rFonts w:hint="eastAsia"/>
                <w:b/>
                <w:bCs/>
                <w:sz w:val="24"/>
              </w:rPr>
              <w:t>1.运营期水环境保护措施</w:t>
            </w:r>
          </w:p>
          <w:p w14:paraId="2F8D03DE">
            <w:pPr>
              <w:spacing w:line="440" w:lineRule="exact"/>
              <w:ind w:firstLine="480" w:firstLineChars="200"/>
              <w:rPr>
                <w:sz w:val="24"/>
              </w:rPr>
            </w:pPr>
            <w:r>
              <w:rPr>
                <w:sz w:val="24"/>
              </w:rPr>
              <w:t>项目为</w:t>
            </w:r>
            <w:r>
              <w:rPr>
                <w:rFonts w:hint="eastAsia"/>
                <w:sz w:val="24"/>
              </w:rPr>
              <w:t>架空管线</w:t>
            </w:r>
            <w:r>
              <w:rPr>
                <w:sz w:val="24"/>
              </w:rPr>
              <w:t>项目，</w:t>
            </w:r>
            <w:r>
              <w:rPr>
                <w:rFonts w:hint="eastAsia"/>
                <w:sz w:val="24"/>
              </w:rPr>
              <w:t>架空管线工程本身主体结构不直接接触地下水，且项目管线不涉及管线支架、塔基基础建设，加固、加两层均在原有基础上直接建设，本次建设内容均为空中管线，不涉及地面工程，管线支撑结构（如杆塔基础、支架底座等）检修、维护均不属于本次评价内容，均依托现有工程。</w:t>
            </w:r>
          </w:p>
          <w:p w14:paraId="4FDA2CF2">
            <w:pPr>
              <w:spacing w:line="440" w:lineRule="exact"/>
              <w:ind w:firstLine="480" w:firstLineChars="200"/>
              <w:rPr>
                <w:sz w:val="24"/>
              </w:rPr>
            </w:pPr>
            <w:r>
              <w:rPr>
                <w:rFonts w:hint="eastAsia"/>
                <w:sz w:val="24"/>
              </w:rPr>
              <w:t>架空管线地下水污染防治以“预防为主”，通过严格源头控制减少泄漏风险，结合基础防渗和地面管理阻断迁移途径，重点依托现有下游监测井网络+定期监测+动态预警及时发现潜在污染，最终实现“早发现、早处置、少影响”的目标。项目不开展地下水评价，不单独设置地下水监测计划。</w:t>
            </w:r>
          </w:p>
          <w:p w14:paraId="7FFB1CD2">
            <w:pPr>
              <w:spacing w:line="440" w:lineRule="exact"/>
              <w:ind w:firstLine="482" w:firstLineChars="200"/>
              <w:rPr>
                <w:b/>
                <w:bCs/>
                <w:sz w:val="24"/>
              </w:rPr>
            </w:pPr>
            <w:r>
              <w:rPr>
                <w:rFonts w:hint="eastAsia"/>
                <w:b/>
                <w:bCs/>
                <w:sz w:val="24"/>
              </w:rPr>
              <w:t>2.运营期声环境保护措施</w:t>
            </w:r>
          </w:p>
          <w:p w14:paraId="5F8DAD7B">
            <w:pPr>
              <w:spacing w:line="440" w:lineRule="exact"/>
              <w:ind w:firstLine="480" w:firstLineChars="200"/>
              <w:rPr>
                <w:sz w:val="24"/>
              </w:rPr>
            </w:pPr>
            <w:r>
              <w:rPr>
                <w:sz w:val="24"/>
              </w:rPr>
              <w:t>项目运营期依托现有输送泵</w:t>
            </w:r>
            <w:r>
              <w:rPr>
                <w:rFonts w:hint="eastAsia"/>
                <w:sz w:val="24"/>
              </w:rPr>
              <w:t>，不涉及新增噪声源</w:t>
            </w:r>
            <w:r>
              <w:rPr>
                <w:sz w:val="24"/>
              </w:rPr>
              <w:t>。</w:t>
            </w:r>
            <w:r>
              <w:rPr>
                <w:rFonts w:hint="eastAsia"/>
                <w:sz w:val="24"/>
              </w:rPr>
              <w:t>项目运营期不产生噪声影响，厂内工程不单独设置噪声监测计划，纳入全厂现有声环境监测计划。</w:t>
            </w:r>
          </w:p>
          <w:p w14:paraId="59453800">
            <w:pPr>
              <w:spacing w:line="440" w:lineRule="exact"/>
              <w:ind w:firstLine="482" w:firstLineChars="200"/>
              <w:rPr>
                <w:b/>
                <w:bCs/>
                <w:szCs w:val="21"/>
              </w:rPr>
            </w:pPr>
            <w:r>
              <w:rPr>
                <w:rFonts w:hint="eastAsia"/>
                <w:b/>
                <w:bCs/>
                <w:sz w:val="24"/>
              </w:rPr>
              <w:t>表5-1   噪声监测计划一览表</w:t>
            </w:r>
          </w:p>
          <w:tbl>
            <w:tblPr>
              <w:tblStyle w:val="78"/>
              <w:tblW w:w="7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3"/>
              <w:gridCol w:w="993"/>
              <w:gridCol w:w="1141"/>
              <w:gridCol w:w="985"/>
              <w:gridCol w:w="2410"/>
              <w:gridCol w:w="1775"/>
            </w:tblGrid>
            <w:tr w14:paraId="3152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 w:hRule="atLeast"/>
                <w:jc w:val="center"/>
              </w:trPr>
              <w:tc>
                <w:tcPr>
                  <w:tcW w:w="364" w:type="pct"/>
                  <w:vAlign w:val="center"/>
                </w:tcPr>
                <w:p w14:paraId="4F823C8E">
                  <w:pPr>
                    <w:spacing w:line="360" w:lineRule="exact"/>
                    <w:jc w:val="center"/>
                    <w:rPr>
                      <w:szCs w:val="21"/>
                    </w:rPr>
                  </w:pPr>
                  <w:r>
                    <w:rPr>
                      <w:szCs w:val="21"/>
                    </w:rPr>
                    <w:t>类别</w:t>
                  </w:r>
                </w:p>
              </w:tc>
              <w:tc>
                <w:tcPr>
                  <w:tcW w:w="630" w:type="pct"/>
                  <w:vAlign w:val="center"/>
                </w:tcPr>
                <w:p w14:paraId="5259E448">
                  <w:pPr>
                    <w:spacing w:line="360" w:lineRule="exact"/>
                    <w:jc w:val="center"/>
                    <w:rPr>
                      <w:szCs w:val="21"/>
                    </w:rPr>
                  </w:pPr>
                  <w:r>
                    <w:rPr>
                      <w:szCs w:val="21"/>
                    </w:rPr>
                    <w:t>监测项目</w:t>
                  </w:r>
                </w:p>
              </w:tc>
              <w:tc>
                <w:tcPr>
                  <w:tcW w:w="724" w:type="pct"/>
                  <w:vAlign w:val="center"/>
                </w:tcPr>
                <w:p w14:paraId="5D97900C">
                  <w:pPr>
                    <w:spacing w:line="360" w:lineRule="exact"/>
                    <w:jc w:val="center"/>
                    <w:rPr>
                      <w:szCs w:val="21"/>
                    </w:rPr>
                  </w:pPr>
                  <w:r>
                    <w:rPr>
                      <w:szCs w:val="21"/>
                    </w:rPr>
                    <w:t>监测点位置</w:t>
                  </w:r>
                </w:p>
              </w:tc>
              <w:tc>
                <w:tcPr>
                  <w:tcW w:w="625" w:type="pct"/>
                  <w:vAlign w:val="center"/>
                </w:tcPr>
                <w:p w14:paraId="1A7DF9CC">
                  <w:pPr>
                    <w:spacing w:line="360" w:lineRule="exact"/>
                    <w:jc w:val="center"/>
                    <w:rPr>
                      <w:szCs w:val="21"/>
                    </w:rPr>
                  </w:pPr>
                  <w:r>
                    <w:rPr>
                      <w:szCs w:val="21"/>
                    </w:rPr>
                    <w:t>监测频次</w:t>
                  </w:r>
                </w:p>
              </w:tc>
              <w:tc>
                <w:tcPr>
                  <w:tcW w:w="1530" w:type="pct"/>
                  <w:vAlign w:val="center"/>
                </w:tcPr>
                <w:p w14:paraId="6DE4CDFD">
                  <w:pPr>
                    <w:spacing w:line="360" w:lineRule="exact"/>
                    <w:jc w:val="center"/>
                    <w:rPr>
                      <w:szCs w:val="21"/>
                    </w:rPr>
                  </w:pPr>
                  <w:r>
                    <w:rPr>
                      <w:szCs w:val="21"/>
                    </w:rPr>
                    <w:t>执行标准</w:t>
                  </w:r>
                </w:p>
              </w:tc>
              <w:tc>
                <w:tcPr>
                  <w:tcW w:w="1127" w:type="pct"/>
                  <w:vAlign w:val="center"/>
                </w:tcPr>
                <w:p w14:paraId="7DBF5CAA">
                  <w:pPr>
                    <w:spacing w:line="360" w:lineRule="exact"/>
                    <w:jc w:val="center"/>
                    <w:rPr>
                      <w:szCs w:val="21"/>
                    </w:rPr>
                  </w:pPr>
                  <w:r>
                    <w:rPr>
                      <w:rFonts w:hint="eastAsia"/>
                      <w:szCs w:val="21"/>
                    </w:rPr>
                    <w:t>备注</w:t>
                  </w:r>
                </w:p>
              </w:tc>
            </w:tr>
            <w:tr w14:paraId="0E0C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8" w:hRule="atLeast"/>
                <w:jc w:val="center"/>
              </w:trPr>
              <w:tc>
                <w:tcPr>
                  <w:tcW w:w="364" w:type="pct"/>
                  <w:vAlign w:val="center"/>
                </w:tcPr>
                <w:p w14:paraId="554414FE">
                  <w:pPr>
                    <w:spacing w:line="360" w:lineRule="exact"/>
                    <w:jc w:val="center"/>
                    <w:rPr>
                      <w:szCs w:val="21"/>
                    </w:rPr>
                  </w:pPr>
                  <w:r>
                    <w:rPr>
                      <w:szCs w:val="21"/>
                    </w:rPr>
                    <w:t>噪声</w:t>
                  </w:r>
                </w:p>
              </w:tc>
              <w:tc>
                <w:tcPr>
                  <w:tcW w:w="630" w:type="pct"/>
                  <w:vAlign w:val="center"/>
                </w:tcPr>
                <w:p w14:paraId="2FE62B7E">
                  <w:pPr>
                    <w:spacing w:line="360" w:lineRule="exact"/>
                    <w:jc w:val="center"/>
                    <w:rPr>
                      <w:szCs w:val="21"/>
                    </w:rPr>
                  </w:pPr>
                  <w:r>
                    <w:rPr>
                      <w:szCs w:val="21"/>
                    </w:rPr>
                    <w:t>Leq（A）</w:t>
                  </w:r>
                </w:p>
              </w:tc>
              <w:tc>
                <w:tcPr>
                  <w:tcW w:w="724" w:type="pct"/>
                  <w:vAlign w:val="center"/>
                </w:tcPr>
                <w:p w14:paraId="2C1F44BC">
                  <w:pPr>
                    <w:spacing w:line="360" w:lineRule="exact"/>
                    <w:jc w:val="center"/>
                    <w:rPr>
                      <w:szCs w:val="21"/>
                    </w:rPr>
                  </w:pPr>
                  <w:r>
                    <w:rPr>
                      <w:szCs w:val="21"/>
                    </w:rPr>
                    <w:t>厂界四周</w:t>
                  </w:r>
                </w:p>
              </w:tc>
              <w:tc>
                <w:tcPr>
                  <w:tcW w:w="625" w:type="pct"/>
                  <w:vAlign w:val="center"/>
                </w:tcPr>
                <w:p w14:paraId="469CB078">
                  <w:pPr>
                    <w:spacing w:line="360" w:lineRule="exact"/>
                    <w:jc w:val="center"/>
                    <w:rPr>
                      <w:szCs w:val="21"/>
                    </w:rPr>
                  </w:pPr>
                  <w:r>
                    <w:rPr>
                      <w:szCs w:val="21"/>
                    </w:rPr>
                    <w:t>1次/</w:t>
                  </w:r>
                  <w:r>
                    <w:rPr>
                      <w:rFonts w:hint="eastAsia"/>
                      <w:szCs w:val="21"/>
                    </w:rPr>
                    <w:t>季</w:t>
                  </w:r>
                </w:p>
              </w:tc>
              <w:tc>
                <w:tcPr>
                  <w:tcW w:w="1530" w:type="pct"/>
                  <w:vAlign w:val="center"/>
                </w:tcPr>
                <w:p w14:paraId="042AD313">
                  <w:pPr>
                    <w:spacing w:line="360" w:lineRule="exact"/>
                    <w:jc w:val="center"/>
                    <w:rPr>
                      <w:szCs w:val="21"/>
                    </w:rPr>
                  </w:pPr>
                  <w:r>
                    <w:rPr>
                      <w:szCs w:val="21"/>
                    </w:rPr>
                    <w:t>《工业企业厂界环境噪声排放标准》</w:t>
                  </w:r>
                  <w:r>
                    <w:rPr>
                      <w:rFonts w:hint="eastAsia"/>
                      <w:szCs w:val="21"/>
                    </w:rPr>
                    <w:t>3</w:t>
                  </w:r>
                  <w:r>
                    <w:rPr>
                      <w:szCs w:val="21"/>
                    </w:rPr>
                    <w:t>类标准</w:t>
                  </w:r>
                </w:p>
              </w:tc>
              <w:tc>
                <w:tcPr>
                  <w:tcW w:w="1127" w:type="pct"/>
                  <w:vAlign w:val="center"/>
                </w:tcPr>
                <w:p w14:paraId="79F02D75">
                  <w:pPr>
                    <w:spacing w:line="360" w:lineRule="exact"/>
                    <w:jc w:val="center"/>
                    <w:rPr>
                      <w:szCs w:val="21"/>
                    </w:rPr>
                  </w:pPr>
                  <w:r>
                    <w:rPr>
                      <w:rFonts w:hint="eastAsia"/>
                      <w:szCs w:val="21"/>
                    </w:rPr>
                    <w:t>纳入现有监测计划</w:t>
                  </w:r>
                </w:p>
              </w:tc>
            </w:tr>
          </w:tbl>
          <w:p w14:paraId="1BFFD3C0">
            <w:pPr>
              <w:spacing w:line="440" w:lineRule="exact"/>
              <w:ind w:firstLine="482" w:firstLineChars="200"/>
              <w:rPr>
                <w:b/>
                <w:bCs/>
                <w:sz w:val="24"/>
              </w:rPr>
            </w:pPr>
            <w:r>
              <w:rPr>
                <w:rFonts w:hint="eastAsia"/>
                <w:b/>
                <w:bCs/>
                <w:sz w:val="24"/>
              </w:rPr>
              <w:t>3.环境风险防范措施</w:t>
            </w:r>
          </w:p>
          <w:p w14:paraId="406B2459">
            <w:pPr>
              <w:spacing w:line="440" w:lineRule="exact"/>
              <w:ind w:firstLine="480" w:firstLineChars="200"/>
              <w:rPr>
                <w:bCs/>
                <w:sz w:val="24"/>
              </w:rPr>
            </w:pPr>
            <w:r>
              <w:rPr>
                <w:rFonts w:hint="eastAsia"/>
                <w:bCs/>
                <w:sz w:val="24"/>
              </w:rPr>
              <w:t>（1）项目管道采用优质钢管材质，壁厚选取考虑腐蚀裕量，管外防腐采用特加强级处理，可有效防范管道破损泄漏污染地下水和土壤环境。</w:t>
            </w:r>
          </w:p>
          <w:p w14:paraId="695E3BA1">
            <w:pPr>
              <w:spacing w:line="440" w:lineRule="exact"/>
              <w:ind w:firstLine="480" w:firstLineChars="200"/>
              <w:rPr>
                <w:bCs/>
                <w:sz w:val="24"/>
              </w:rPr>
            </w:pPr>
            <w:r>
              <w:rPr>
                <w:rFonts w:hint="eastAsia"/>
                <w:bCs/>
                <w:sz w:val="24"/>
              </w:rPr>
              <w:t>（2）环境风险防范与应急措施：</w:t>
            </w:r>
          </w:p>
          <w:p w14:paraId="5F226C66">
            <w:pPr>
              <w:spacing w:line="440" w:lineRule="exact"/>
              <w:ind w:firstLine="480" w:firstLineChars="200"/>
              <w:rPr>
                <w:bCs/>
                <w:sz w:val="24"/>
              </w:rPr>
            </w:pPr>
            <w:r>
              <w:rPr>
                <w:rFonts w:hint="eastAsia"/>
                <w:bCs/>
                <w:sz w:val="24"/>
              </w:rPr>
              <w:t>①项目具有潜在的风险物质泄漏危险性以及火灾危险性，因此，建设项目的管道设计、施工和运营等必须进行科学规划、合理布置、严格执行国家的安全设计规范，特别是管道防腐，应保证施工质量，避免或减少事故的发生。</w:t>
            </w:r>
          </w:p>
          <w:p w14:paraId="46A567E3">
            <w:pPr>
              <w:spacing w:line="440" w:lineRule="exact"/>
              <w:ind w:firstLine="480" w:firstLineChars="200"/>
              <w:rPr>
                <w:bCs/>
                <w:sz w:val="24"/>
              </w:rPr>
            </w:pPr>
            <w:r>
              <w:rPr>
                <w:rFonts w:hint="eastAsia"/>
                <w:bCs/>
                <w:sz w:val="24"/>
              </w:rPr>
              <w:t>②在管道附近设置安全标识，防止人为破坏等。</w:t>
            </w:r>
          </w:p>
          <w:p w14:paraId="528F3958">
            <w:pPr>
              <w:spacing w:line="440" w:lineRule="exact"/>
              <w:ind w:firstLine="480" w:firstLineChars="200"/>
              <w:rPr>
                <w:bCs/>
                <w:sz w:val="24"/>
              </w:rPr>
            </w:pPr>
            <w:r>
              <w:rPr>
                <w:rFonts w:hint="eastAsia"/>
                <w:bCs/>
                <w:sz w:val="24"/>
              </w:rPr>
              <w:t>③运营期间，及时对管道进行泄漏性检查，若发现泄漏及时修复，建立完善的泄漏检查制度。</w:t>
            </w:r>
          </w:p>
          <w:p w14:paraId="5B97C28E">
            <w:pPr>
              <w:spacing w:line="440" w:lineRule="exact"/>
              <w:ind w:firstLine="480" w:firstLineChars="200"/>
              <w:rPr>
                <w:bCs/>
                <w:sz w:val="24"/>
              </w:rPr>
            </w:pPr>
            <w:r>
              <w:rPr>
                <w:rFonts w:hint="eastAsia"/>
                <w:bCs/>
                <w:sz w:val="24"/>
              </w:rPr>
              <w:t>④如突发火灾，应迅速按应急预案紧急处理。</w:t>
            </w:r>
          </w:p>
          <w:p w14:paraId="680F9667">
            <w:pPr>
              <w:spacing w:line="440" w:lineRule="exact"/>
              <w:ind w:firstLine="480" w:firstLineChars="200"/>
              <w:rPr>
                <w:bCs/>
                <w:sz w:val="24"/>
              </w:rPr>
            </w:pPr>
            <w:r>
              <w:rPr>
                <w:rFonts w:hint="eastAsia"/>
                <w:bCs/>
                <w:sz w:val="24"/>
              </w:rPr>
              <w:t>⑤制定严格的消防管理制度，在厂区内配备泡沫炮、灭火栓、干粉灭火器和灭火沙箱等消防器材，定期组织消防演练。</w:t>
            </w:r>
          </w:p>
          <w:p w14:paraId="3909DEEF">
            <w:pPr>
              <w:spacing w:line="440" w:lineRule="exact"/>
              <w:ind w:firstLine="480" w:firstLineChars="200"/>
              <w:rPr>
                <w:bCs/>
                <w:sz w:val="24"/>
              </w:rPr>
            </w:pPr>
            <w:r>
              <w:rPr>
                <w:rFonts w:hint="eastAsia"/>
                <w:bCs/>
                <w:sz w:val="24"/>
              </w:rPr>
              <w:t>（3）依托现有工程的风险防控措施</w:t>
            </w:r>
          </w:p>
          <w:p w14:paraId="4ABA57C8">
            <w:pPr>
              <w:spacing w:line="440" w:lineRule="exact"/>
              <w:ind w:firstLine="480" w:firstLineChars="200"/>
              <w:rPr>
                <w:bCs/>
                <w:sz w:val="24"/>
              </w:rPr>
            </w:pPr>
            <w:r>
              <w:rPr>
                <w:rFonts w:hint="eastAsia"/>
                <w:bCs/>
                <w:sz w:val="24"/>
              </w:rPr>
              <w:t>设置手动切断阀组。在物料输出端和接收端设置中控系统和紧急切断阀，阀门和仪表的控制信号接入伊泰化工公司DCS系统。项目所有阀门、法兰全部安装在装置区内，不涉及装置区以外占地。</w:t>
            </w:r>
          </w:p>
          <w:p w14:paraId="69C66F24">
            <w:pPr>
              <w:spacing w:line="440" w:lineRule="exact"/>
              <w:ind w:firstLine="480" w:firstLineChars="200"/>
              <w:rPr>
                <w:bCs/>
                <w:sz w:val="24"/>
              </w:rPr>
            </w:pPr>
            <w:r>
              <w:rPr>
                <w:rFonts w:hint="eastAsia"/>
                <w:bCs/>
                <w:sz w:val="24"/>
              </w:rPr>
              <w:t>并入内蒙古伊泰化工有限责任公司已建立的环境风险防控体系；制定完整的安全管理机构和严格的安全管理制度。装置和班组设有专职或兼职的安全员，负责日常的安全生产管理监督工作。</w:t>
            </w:r>
          </w:p>
          <w:p w14:paraId="7CA2AFF6">
            <w:pPr>
              <w:spacing w:line="440" w:lineRule="exact"/>
              <w:ind w:firstLine="480" w:firstLineChars="200"/>
              <w:rPr>
                <w:bCs/>
                <w:sz w:val="24"/>
              </w:rPr>
            </w:pPr>
            <w:r>
              <w:rPr>
                <w:rFonts w:hint="eastAsia"/>
                <w:bCs/>
                <w:sz w:val="24"/>
              </w:rPr>
              <w:t>依托内蒙古伊泰化工有限责任公司配备的应急物资，同时与工业区及地方政府成立突发环境事件应急预案指挥与协调领导小组。与邻近企业签订应急救援合作协议，建立定期交流机制，充分发挥信息互通、资源共享的区域联防优势，提高应急响应效率，有效控制</w:t>
            </w:r>
            <w:r>
              <w:rPr>
                <w:rFonts w:hint="eastAsia"/>
                <w:bCs/>
                <w:sz w:val="24"/>
                <w:lang w:eastAsia="zh-CN"/>
              </w:rPr>
              <w:t>突发</w:t>
            </w:r>
            <w:r>
              <w:rPr>
                <w:rFonts w:hint="eastAsia"/>
                <w:bCs/>
                <w:sz w:val="24"/>
              </w:rPr>
              <w:t>环境事件的扩大。</w:t>
            </w:r>
          </w:p>
        </w:tc>
      </w:tr>
      <w:tr w14:paraId="54DAC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04" w:hRule="atLeast"/>
          <w:jc w:val="center"/>
        </w:trPr>
        <w:tc>
          <w:tcPr>
            <w:tcW w:w="409" w:type="pct"/>
            <w:vAlign w:val="center"/>
          </w:tcPr>
          <w:p w14:paraId="68D47B9D">
            <w:pPr>
              <w:adjustRightInd w:val="0"/>
              <w:snapToGrid w:val="0"/>
              <w:jc w:val="center"/>
              <w:rPr>
                <w:bCs/>
                <w:spacing w:val="10"/>
                <w:szCs w:val="21"/>
              </w:rPr>
            </w:pPr>
            <w:r>
              <w:rPr>
                <w:bCs/>
                <w:szCs w:val="21"/>
              </w:rPr>
              <w:t>其他</w:t>
            </w:r>
          </w:p>
        </w:tc>
        <w:tc>
          <w:tcPr>
            <w:tcW w:w="4591" w:type="pct"/>
            <w:vAlign w:val="center"/>
          </w:tcPr>
          <w:p w14:paraId="3A972E5F">
            <w:pPr>
              <w:adjustRightInd w:val="0"/>
              <w:snapToGrid w:val="0"/>
              <w:jc w:val="center"/>
              <w:rPr>
                <w:bCs/>
                <w:spacing w:val="10"/>
                <w:sz w:val="24"/>
              </w:rPr>
            </w:pPr>
            <w:r>
              <w:rPr>
                <w:bCs/>
                <w:spacing w:val="10"/>
                <w:sz w:val="24"/>
              </w:rPr>
              <w:t>无</w:t>
            </w:r>
          </w:p>
        </w:tc>
      </w:tr>
      <w:tr w14:paraId="7BEDE0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84" w:hRule="atLeast"/>
          <w:jc w:val="center"/>
        </w:trPr>
        <w:tc>
          <w:tcPr>
            <w:tcW w:w="409" w:type="pct"/>
            <w:vAlign w:val="center"/>
          </w:tcPr>
          <w:p w14:paraId="673ABD3F">
            <w:pPr>
              <w:adjustRightInd w:val="0"/>
              <w:snapToGrid w:val="0"/>
              <w:jc w:val="center"/>
              <w:rPr>
                <w:bCs/>
                <w:spacing w:val="10"/>
                <w:szCs w:val="21"/>
              </w:rPr>
            </w:pPr>
            <w:r>
              <w:rPr>
                <w:bCs/>
                <w:sz w:val="24"/>
              </w:rPr>
              <w:t>环保投资</w:t>
            </w:r>
          </w:p>
        </w:tc>
        <w:tc>
          <w:tcPr>
            <w:tcW w:w="4591" w:type="pct"/>
          </w:tcPr>
          <w:p w14:paraId="537B0D80">
            <w:pPr>
              <w:spacing w:line="440" w:lineRule="exact"/>
              <w:ind w:firstLine="480" w:firstLineChars="200"/>
              <w:rPr>
                <w:sz w:val="24"/>
              </w:rPr>
            </w:pPr>
            <w:r>
              <w:rPr>
                <w:rFonts w:hint="eastAsia"/>
                <w:sz w:val="24"/>
              </w:rPr>
              <w:t>本项目总投资概算705.8万元，其中环保投资25万元，占总投资比例的3.54%。环保投资分为施工期和运营期投资，环保投资情况见表5-2。</w:t>
            </w:r>
          </w:p>
          <w:p w14:paraId="32C1CBC1">
            <w:pPr>
              <w:spacing w:line="440" w:lineRule="exact"/>
              <w:ind w:firstLine="482" w:firstLineChars="200"/>
              <w:rPr>
                <w:b/>
                <w:bCs/>
                <w:kern w:val="0"/>
                <w:sz w:val="24"/>
              </w:rPr>
            </w:pPr>
            <w:r>
              <w:rPr>
                <w:b/>
                <w:bCs/>
                <w:kern w:val="0"/>
                <w:sz w:val="24"/>
              </w:rPr>
              <w:t>表5</w:t>
            </w:r>
            <w:r>
              <w:rPr>
                <w:rFonts w:hint="eastAsia"/>
                <w:b/>
                <w:bCs/>
                <w:kern w:val="0"/>
                <w:sz w:val="24"/>
              </w:rPr>
              <w:t>-2</w:t>
            </w:r>
            <w:r>
              <w:rPr>
                <w:b/>
                <w:bCs/>
                <w:kern w:val="0"/>
                <w:sz w:val="24"/>
              </w:rPr>
              <w:t xml:space="preserve">    环保投资估算表</w:t>
            </w:r>
          </w:p>
          <w:tbl>
            <w:tblPr>
              <w:tblStyle w:val="7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4"/>
              <w:gridCol w:w="5317"/>
              <w:gridCol w:w="1519"/>
            </w:tblGrid>
            <w:tr w14:paraId="1D02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38" w:type="pct"/>
                  <w:tcMar>
                    <w:left w:w="0" w:type="dxa"/>
                    <w:right w:w="0" w:type="dxa"/>
                  </w:tcMar>
                  <w:vAlign w:val="center"/>
                </w:tcPr>
                <w:p w14:paraId="4FB2864D">
                  <w:pPr>
                    <w:spacing w:line="360" w:lineRule="exact"/>
                    <w:jc w:val="center"/>
                    <w:rPr>
                      <w:szCs w:val="21"/>
                    </w:rPr>
                  </w:pPr>
                  <w:r>
                    <w:rPr>
                      <w:szCs w:val="21"/>
                    </w:rPr>
                    <w:t>类别</w:t>
                  </w:r>
                </w:p>
              </w:tc>
              <w:tc>
                <w:tcPr>
                  <w:tcW w:w="3315" w:type="pct"/>
                  <w:tcMar>
                    <w:left w:w="0" w:type="dxa"/>
                    <w:right w:w="0" w:type="dxa"/>
                  </w:tcMar>
                  <w:vAlign w:val="center"/>
                </w:tcPr>
                <w:p w14:paraId="0ED713FD">
                  <w:pPr>
                    <w:spacing w:line="360" w:lineRule="exact"/>
                    <w:jc w:val="center"/>
                    <w:rPr>
                      <w:szCs w:val="21"/>
                    </w:rPr>
                  </w:pPr>
                  <w:r>
                    <w:rPr>
                      <w:szCs w:val="21"/>
                    </w:rPr>
                    <w:t>环保措施</w:t>
                  </w:r>
                </w:p>
              </w:tc>
              <w:tc>
                <w:tcPr>
                  <w:tcW w:w="947" w:type="pct"/>
                  <w:tcMar>
                    <w:left w:w="0" w:type="dxa"/>
                    <w:right w:w="0" w:type="dxa"/>
                  </w:tcMar>
                  <w:vAlign w:val="center"/>
                </w:tcPr>
                <w:p w14:paraId="6C26867B">
                  <w:pPr>
                    <w:spacing w:line="360" w:lineRule="exact"/>
                    <w:jc w:val="center"/>
                    <w:rPr>
                      <w:szCs w:val="21"/>
                    </w:rPr>
                  </w:pPr>
                  <w:r>
                    <w:rPr>
                      <w:szCs w:val="21"/>
                    </w:rPr>
                    <w:t>投资（万元）</w:t>
                  </w:r>
                </w:p>
              </w:tc>
            </w:tr>
            <w:tr w14:paraId="2852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3"/>
                  <w:tcMar>
                    <w:left w:w="0" w:type="dxa"/>
                    <w:right w:w="0" w:type="dxa"/>
                  </w:tcMar>
                  <w:vAlign w:val="center"/>
                </w:tcPr>
                <w:p w14:paraId="74602AB1">
                  <w:pPr>
                    <w:spacing w:line="360" w:lineRule="exact"/>
                    <w:jc w:val="center"/>
                    <w:rPr>
                      <w:szCs w:val="21"/>
                    </w:rPr>
                  </w:pPr>
                  <w:r>
                    <w:rPr>
                      <w:szCs w:val="21"/>
                    </w:rPr>
                    <w:t>施工期</w:t>
                  </w:r>
                </w:p>
              </w:tc>
            </w:tr>
            <w:tr w14:paraId="758F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738" w:type="pct"/>
                  <w:tcMar>
                    <w:left w:w="0" w:type="dxa"/>
                    <w:right w:w="0" w:type="dxa"/>
                  </w:tcMar>
                  <w:vAlign w:val="center"/>
                </w:tcPr>
                <w:p w14:paraId="070E9ACA">
                  <w:pPr>
                    <w:spacing w:line="360" w:lineRule="exact"/>
                    <w:jc w:val="center"/>
                    <w:rPr>
                      <w:szCs w:val="21"/>
                    </w:rPr>
                  </w:pPr>
                  <w:r>
                    <w:rPr>
                      <w:szCs w:val="21"/>
                    </w:rPr>
                    <w:t>废气治理</w:t>
                  </w:r>
                </w:p>
              </w:tc>
              <w:tc>
                <w:tcPr>
                  <w:tcW w:w="3315" w:type="pct"/>
                  <w:tcMar>
                    <w:left w:w="0" w:type="dxa"/>
                    <w:right w:w="0" w:type="dxa"/>
                  </w:tcMar>
                  <w:vAlign w:val="center"/>
                </w:tcPr>
                <w:p w14:paraId="5654EA2F">
                  <w:pPr>
                    <w:spacing w:line="360" w:lineRule="exact"/>
                    <w:jc w:val="center"/>
                    <w:rPr>
                      <w:szCs w:val="21"/>
                    </w:rPr>
                  </w:pPr>
                  <w:r>
                    <w:rPr>
                      <w:rFonts w:hint="eastAsia"/>
                      <w:szCs w:val="21"/>
                    </w:rPr>
                    <w:t>依托厂区现有洒水车、车辆减速慢行。</w:t>
                  </w:r>
                </w:p>
              </w:tc>
              <w:tc>
                <w:tcPr>
                  <w:tcW w:w="947" w:type="pct"/>
                  <w:tcMar>
                    <w:left w:w="0" w:type="dxa"/>
                    <w:right w:w="0" w:type="dxa"/>
                  </w:tcMar>
                  <w:vAlign w:val="center"/>
                </w:tcPr>
                <w:p w14:paraId="12A8ECC3">
                  <w:pPr>
                    <w:spacing w:line="360" w:lineRule="exact"/>
                    <w:jc w:val="center"/>
                    <w:rPr>
                      <w:szCs w:val="21"/>
                    </w:rPr>
                  </w:pPr>
                  <w:r>
                    <w:rPr>
                      <w:rFonts w:hint="eastAsia"/>
                      <w:szCs w:val="21"/>
                    </w:rPr>
                    <w:t>/</w:t>
                  </w:r>
                </w:p>
              </w:tc>
            </w:tr>
            <w:tr w14:paraId="07C8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738" w:type="pct"/>
                  <w:tcMar>
                    <w:left w:w="0" w:type="dxa"/>
                    <w:right w:w="0" w:type="dxa"/>
                  </w:tcMar>
                  <w:vAlign w:val="center"/>
                </w:tcPr>
                <w:p w14:paraId="22F6E013">
                  <w:pPr>
                    <w:spacing w:line="360" w:lineRule="exact"/>
                    <w:jc w:val="center"/>
                    <w:rPr>
                      <w:szCs w:val="21"/>
                    </w:rPr>
                  </w:pPr>
                  <w:r>
                    <w:rPr>
                      <w:szCs w:val="21"/>
                    </w:rPr>
                    <w:t>废水处理</w:t>
                  </w:r>
                </w:p>
              </w:tc>
              <w:tc>
                <w:tcPr>
                  <w:tcW w:w="3315" w:type="pct"/>
                  <w:tcMar>
                    <w:left w:w="0" w:type="dxa"/>
                    <w:right w:w="0" w:type="dxa"/>
                  </w:tcMar>
                  <w:vAlign w:val="center"/>
                </w:tcPr>
                <w:p w14:paraId="73FEFE0F">
                  <w:pPr>
                    <w:spacing w:line="360" w:lineRule="exact"/>
                    <w:jc w:val="center"/>
                    <w:rPr>
                      <w:szCs w:val="21"/>
                    </w:rPr>
                  </w:pPr>
                  <w:r>
                    <w:rPr>
                      <w:rFonts w:hint="eastAsia"/>
                      <w:szCs w:val="21"/>
                    </w:rPr>
                    <w:t>依托现有生活污水处理设施处理。</w:t>
                  </w:r>
                </w:p>
              </w:tc>
              <w:tc>
                <w:tcPr>
                  <w:tcW w:w="947" w:type="pct"/>
                  <w:tcMar>
                    <w:left w:w="0" w:type="dxa"/>
                    <w:right w:w="0" w:type="dxa"/>
                  </w:tcMar>
                  <w:vAlign w:val="center"/>
                </w:tcPr>
                <w:p w14:paraId="18657864">
                  <w:pPr>
                    <w:spacing w:line="360" w:lineRule="exact"/>
                    <w:jc w:val="center"/>
                    <w:rPr>
                      <w:szCs w:val="21"/>
                    </w:rPr>
                  </w:pPr>
                  <w:r>
                    <w:rPr>
                      <w:rFonts w:hint="eastAsia"/>
                      <w:szCs w:val="21"/>
                    </w:rPr>
                    <w:t>/</w:t>
                  </w:r>
                </w:p>
              </w:tc>
            </w:tr>
            <w:tr w14:paraId="3E8E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38" w:type="pct"/>
                  <w:tcMar>
                    <w:left w:w="0" w:type="dxa"/>
                    <w:right w:w="0" w:type="dxa"/>
                  </w:tcMar>
                  <w:vAlign w:val="center"/>
                </w:tcPr>
                <w:p w14:paraId="2D265117">
                  <w:pPr>
                    <w:spacing w:line="360" w:lineRule="exact"/>
                    <w:jc w:val="center"/>
                    <w:rPr>
                      <w:szCs w:val="21"/>
                    </w:rPr>
                  </w:pPr>
                  <w:r>
                    <w:rPr>
                      <w:szCs w:val="21"/>
                    </w:rPr>
                    <w:t>噪声防治</w:t>
                  </w:r>
                </w:p>
              </w:tc>
              <w:tc>
                <w:tcPr>
                  <w:tcW w:w="3315" w:type="pct"/>
                  <w:tcMar>
                    <w:left w:w="0" w:type="dxa"/>
                    <w:right w:w="0" w:type="dxa"/>
                  </w:tcMar>
                  <w:vAlign w:val="center"/>
                </w:tcPr>
                <w:p w14:paraId="3201AFC1">
                  <w:pPr>
                    <w:spacing w:line="360" w:lineRule="exact"/>
                    <w:rPr>
                      <w:szCs w:val="21"/>
                    </w:rPr>
                  </w:pPr>
                  <w:r>
                    <w:rPr>
                      <w:szCs w:val="21"/>
                    </w:rPr>
                    <w:t>采用先进施工工艺，选用低噪设备，车辆定期保养维护、避开午间及夜间运输</w:t>
                  </w:r>
                  <w:r>
                    <w:rPr>
                      <w:rFonts w:hint="eastAsia"/>
                      <w:szCs w:val="21"/>
                    </w:rPr>
                    <w:t>。</w:t>
                  </w:r>
                </w:p>
              </w:tc>
              <w:tc>
                <w:tcPr>
                  <w:tcW w:w="947" w:type="pct"/>
                  <w:tcMar>
                    <w:left w:w="0" w:type="dxa"/>
                    <w:right w:w="0" w:type="dxa"/>
                  </w:tcMar>
                  <w:vAlign w:val="center"/>
                </w:tcPr>
                <w:p w14:paraId="05C05523">
                  <w:pPr>
                    <w:spacing w:line="360" w:lineRule="exact"/>
                    <w:jc w:val="center"/>
                    <w:rPr>
                      <w:szCs w:val="21"/>
                    </w:rPr>
                  </w:pPr>
                  <w:r>
                    <w:rPr>
                      <w:rFonts w:hint="eastAsia"/>
                      <w:szCs w:val="21"/>
                    </w:rPr>
                    <w:t>10</w:t>
                  </w:r>
                </w:p>
              </w:tc>
            </w:tr>
            <w:tr w14:paraId="6F3A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38" w:type="pct"/>
                  <w:vMerge w:val="restart"/>
                  <w:tcMar>
                    <w:left w:w="0" w:type="dxa"/>
                    <w:right w:w="0" w:type="dxa"/>
                  </w:tcMar>
                  <w:vAlign w:val="center"/>
                </w:tcPr>
                <w:p w14:paraId="058B7008">
                  <w:pPr>
                    <w:spacing w:line="360" w:lineRule="exact"/>
                    <w:jc w:val="center"/>
                    <w:rPr>
                      <w:szCs w:val="21"/>
                    </w:rPr>
                  </w:pPr>
                  <w:r>
                    <w:rPr>
                      <w:szCs w:val="21"/>
                    </w:rPr>
                    <w:t>固废处置</w:t>
                  </w:r>
                </w:p>
              </w:tc>
              <w:tc>
                <w:tcPr>
                  <w:tcW w:w="3315" w:type="pct"/>
                  <w:tcMar>
                    <w:left w:w="0" w:type="dxa"/>
                    <w:right w:w="0" w:type="dxa"/>
                  </w:tcMar>
                  <w:vAlign w:val="center"/>
                </w:tcPr>
                <w:p w14:paraId="51559E06">
                  <w:pPr>
                    <w:spacing w:line="360" w:lineRule="exact"/>
                    <w:rPr>
                      <w:szCs w:val="21"/>
                    </w:rPr>
                  </w:pPr>
                  <w:r>
                    <w:rPr>
                      <w:rFonts w:hint="eastAsia"/>
                      <w:szCs w:val="21"/>
                    </w:rPr>
                    <w:t>施工废料收集后运送至市政指定地点；废油漆桶暂存于伊泰化工危废间，交由有资质的单位处置。</w:t>
                  </w:r>
                </w:p>
              </w:tc>
              <w:tc>
                <w:tcPr>
                  <w:tcW w:w="947" w:type="pct"/>
                  <w:tcMar>
                    <w:left w:w="0" w:type="dxa"/>
                    <w:right w:w="0" w:type="dxa"/>
                  </w:tcMar>
                  <w:vAlign w:val="center"/>
                </w:tcPr>
                <w:p w14:paraId="5C9C3215">
                  <w:pPr>
                    <w:spacing w:line="360" w:lineRule="exact"/>
                    <w:jc w:val="center"/>
                    <w:rPr>
                      <w:szCs w:val="21"/>
                    </w:rPr>
                  </w:pPr>
                  <w:r>
                    <w:rPr>
                      <w:rFonts w:hint="eastAsia"/>
                      <w:szCs w:val="21"/>
                    </w:rPr>
                    <w:t>2</w:t>
                  </w:r>
                </w:p>
              </w:tc>
            </w:tr>
            <w:tr w14:paraId="4719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trPr>
              <w:tc>
                <w:tcPr>
                  <w:tcW w:w="738" w:type="pct"/>
                  <w:vMerge w:val="continue"/>
                  <w:tcMar>
                    <w:left w:w="0" w:type="dxa"/>
                    <w:right w:w="0" w:type="dxa"/>
                  </w:tcMar>
                  <w:vAlign w:val="center"/>
                </w:tcPr>
                <w:p w14:paraId="2583B033">
                  <w:pPr>
                    <w:spacing w:line="360" w:lineRule="exact"/>
                    <w:jc w:val="center"/>
                    <w:rPr>
                      <w:szCs w:val="21"/>
                    </w:rPr>
                  </w:pPr>
                </w:p>
              </w:tc>
              <w:tc>
                <w:tcPr>
                  <w:tcW w:w="3315" w:type="pct"/>
                  <w:tcMar>
                    <w:left w:w="0" w:type="dxa"/>
                    <w:right w:w="0" w:type="dxa"/>
                  </w:tcMar>
                  <w:vAlign w:val="center"/>
                </w:tcPr>
                <w:p w14:paraId="480B527E">
                  <w:pPr>
                    <w:spacing w:line="360" w:lineRule="exact"/>
                    <w:jc w:val="center"/>
                    <w:rPr>
                      <w:szCs w:val="21"/>
                    </w:rPr>
                  </w:pPr>
                  <w:r>
                    <w:rPr>
                      <w:rFonts w:hint="eastAsia"/>
                      <w:szCs w:val="21"/>
                    </w:rPr>
                    <w:t>生活垃圾经收集后由环卫部门统一处理。</w:t>
                  </w:r>
                </w:p>
              </w:tc>
              <w:tc>
                <w:tcPr>
                  <w:tcW w:w="947" w:type="pct"/>
                  <w:tcMar>
                    <w:left w:w="0" w:type="dxa"/>
                    <w:right w:w="0" w:type="dxa"/>
                  </w:tcMar>
                  <w:vAlign w:val="center"/>
                </w:tcPr>
                <w:p w14:paraId="75688DED">
                  <w:pPr>
                    <w:spacing w:line="360" w:lineRule="exact"/>
                    <w:jc w:val="center"/>
                    <w:rPr>
                      <w:szCs w:val="21"/>
                    </w:rPr>
                  </w:pPr>
                  <w:r>
                    <w:rPr>
                      <w:rFonts w:hint="eastAsia"/>
                      <w:szCs w:val="21"/>
                    </w:rPr>
                    <w:t>1</w:t>
                  </w:r>
                </w:p>
              </w:tc>
            </w:tr>
            <w:tr w14:paraId="6698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738" w:type="pct"/>
                  <w:tcMar>
                    <w:left w:w="0" w:type="dxa"/>
                    <w:right w:w="0" w:type="dxa"/>
                  </w:tcMar>
                  <w:vAlign w:val="center"/>
                </w:tcPr>
                <w:p w14:paraId="41354815">
                  <w:pPr>
                    <w:spacing w:line="360" w:lineRule="exact"/>
                    <w:jc w:val="center"/>
                    <w:rPr>
                      <w:szCs w:val="21"/>
                    </w:rPr>
                  </w:pPr>
                  <w:r>
                    <w:rPr>
                      <w:szCs w:val="21"/>
                    </w:rPr>
                    <w:t>生态环境</w:t>
                  </w:r>
                </w:p>
              </w:tc>
              <w:tc>
                <w:tcPr>
                  <w:tcW w:w="3315" w:type="pct"/>
                  <w:tcMar>
                    <w:left w:w="0" w:type="dxa"/>
                    <w:right w:w="0" w:type="dxa"/>
                  </w:tcMar>
                  <w:vAlign w:val="center"/>
                </w:tcPr>
                <w:p w14:paraId="341B260C">
                  <w:pPr>
                    <w:spacing w:line="360" w:lineRule="exact"/>
                    <w:rPr>
                      <w:szCs w:val="21"/>
                    </w:rPr>
                  </w:pPr>
                  <w:r>
                    <w:rPr>
                      <w:spacing w:val="-6"/>
                      <w:szCs w:val="21"/>
                    </w:rPr>
                    <w:t>合理规划，</w:t>
                  </w:r>
                  <w:r>
                    <w:rPr>
                      <w:szCs w:val="21"/>
                    </w:rPr>
                    <w:t>减少</w:t>
                  </w:r>
                  <w:r>
                    <w:rPr>
                      <w:rFonts w:hint="eastAsia"/>
                      <w:szCs w:val="21"/>
                    </w:rPr>
                    <w:t>施工支架</w:t>
                  </w:r>
                  <w:r>
                    <w:rPr>
                      <w:szCs w:val="21"/>
                    </w:rPr>
                    <w:t>临时占</w:t>
                  </w:r>
                  <w:r>
                    <w:rPr>
                      <w:spacing w:val="-6"/>
                      <w:szCs w:val="21"/>
                    </w:rPr>
                    <w:t>地</w:t>
                  </w:r>
                  <w:r>
                    <w:rPr>
                      <w:rFonts w:hint="eastAsia"/>
                      <w:spacing w:val="-6"/>
                      <w:szCs w:val="21"/>
                    </w:rPr>
                    <w:t>；</w:t>
                  </w:r>
                  <w:r>
                    <w:rPr>
                      <w:rFonts w:hint="eastAsia"/>
                      <w:szCs w:val="21"/>
                    </w:rPr>
                    <w:t>管线施工时，划定施工活动范围，严格控制和管理车辆及重型机械的运行范围，以减少活动的范围；不新设施工便道，利用已有道路；工程施工过程中，禁止将工程临时废渣随处乱排，场内运输车辆严格按照指定运输道路行驶。</w:t>
                  </w:r>
                </w:p>
              </w:tc>
              <w:tc>
                <w:tcPr>
                  <w:tcW w:w="947" w:type="pct"/>
                  <w:tcMar>
                    <w:left w:w="0" w:type="dxa"/>
                    <w:right w:w="0" w:type="dxa"/>
                  </w:tcMar>
                  <w:vAlign w:val="center"/>
                </w:tcPr>
                <w:p w14:paraId="108F5ABA">
                  <w:pPr>
                    <w:spacing w:line="360" w:lineRule="exact"/>
                    <w:jc w:val="center"/>
                    <w:rPr>
                      <w:szCs w:val="21"/>
                    </w:rPr>
                  </w:pPr>
                  <w:r>
                    <w:rPr>
                      <w:rFonts w:hint="eastAsia"/>
                      <w:szCs w:val="21"/>
                    </w:rPr>
                    <w:t>2</w:t>
                  </w:r>
                </w:p>
              </w:tc>
            </w:tr>
            <w:tr w14:paraId="7774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3" w:type="pct"/>
                  <w:gridSpan w:val="2"/>
                  <w:tcMar>
                    <w:left w:w="0" w:type="dxa"/>
                    <w:right w:w="0" w:type="dxa"/>
                  </w:tcMar>
                  <w:vAlign w:val="center"/>
                </w:tcPr>
                <w:p w14:paraId="7AC8CD17">
                  <w:pPr>
                    <w:spacing w:line="360" w:lineRule="exact"/>
                    <w:jc w:val="center"/>
                    <w:rPr>
                      <w:szCs w:val="21"/>
                    </w:rPr>
                  </w:pPr>
                  <w:r>
                    <w:rPr>
                      <w:szCs w:val="21"/>
                    </w:rPr>
                    <w:t>小计</w:t>
                  </w:r>
                </w:p>
              </w:tc>
              <w:tc>
                <w:tcPr>
                  <w:tcW w:w="947" w:type="pct"/>
                  <w:tcMar>
                    <w:left w:w="0" w:type="dxa"/>
                    <w:right w:w="0" w:type="dxa"/>
                  </w:tcMar>
                  <w:vAlign w:val="center"/>
                </w:tcPr>
                <w:p w14:paraId="0470D3A9">
                  <w:pPr>
                    <w:spacing w:line="360" w:lineRule="exact"/>
                    <w:jc w:val="center"/>
                    <w:rPr>
                      <w:szCs w:val="21"/>
                    </w:rPr>
                  </w:pPr>
                  <w:r>
                    <w:rPr>
                      <w:rFonts w:hint="eastAsia"/>
                      <w:szCs w:val="21"/>
                    </w:rPr>
                    <w:t>15</w:t>
                  </w:r>
                </w:p>
              </w:tc>
            </w:tr>
            <w:tr w14:paraId="632E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3"/>
                  <w:tcMar>
                    <w:left w:w="0" w:type="dxa"/>
                    <w:right w:w="0" w:type="dxa"/>
                  </w:tcMar>
                  <w:vAlign w:val="center"/>
                </w:tcPr>
                <w:p w14:paraId="51592007">
                  <w:pPr>
                    <w:widowControl/>
                    <w:spacing w:line="360" w:lineRule="exact"/>
                    <w:jc w:val="center"/>
                    <w:rPr>
                      <w:szCs w:val="21"/>
                    </w:rPr>
                  </w:pPr>
                  <w:r>
                    <w:rPr>
                      <w:szCs w:val="21"/>
                    </w:rPr>
                    <w:t>运营期</w:t>
                  </w:r>
                </w:p>
              </w:tc>
            </w:tr>
            <w:tr w14:paraId="431D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trPr>
              <w:tc>
                <w:tcPr>
                  <w:tcW w:w="738" w:type="pct"/>
                  <w:tcMar>
                    <w:left w:w="0" w:type="dxa"/>
                    <w:right w:w="0" w:type="dxa"/>
                  </w:tcMar>
                  <w:vAlign w:val="center"/>
                </w:tcPr>
                <w:p w14:paraId="0E44887B">
                  <w:pPr>
                    <w:spacing w:line="360" w:lineRule="exact"/>
                    <w:jc w:val="center"/>
                    <w:rPr>
                      <w:szCs w:val="21"/>
                    </w:rPr>
                  </w:pPr>
                  <w:r>
                    <w:rPr>
                      <w:rFonts w:hint="eastAsia"/>
                      <w:szCs w:val="21"/>
                    </w:rPr>
                    <w:t>生态环境</w:t>
                  </w:r>
                  <w:r>
                    <w:rPr>
                      <w:szCs w:val="21"/>
                    </w:rPr>
                    <w:t>风险</w:t>
                  </w:r>
                </w:p>
              </w:tc>
              <w:tc>
                <w:tcPr>
                  <w:tcW w:w="3315" w:type="pct"/>
                  <w:tcMar>
                    <w:left w:w="0" w:type="dxa"/>
                    <w:right w:w="0" w:type="dxa"/>
                  </w:tcMar>
                  <w:vAlign w:val="center"/>
                </w:tcPr>
                <w:p w14:paraId="76348104">
                  <w:pPr>
                    <w:spacing w:line="360" w:lineRule="exact"/>
                    <w:rPr>
                      <w:szCs w:val="21"/>
                    </w:rPr>
                  </w:pPr>
                  <w:r>
                    <w:rPr>
                      <w:rFonts w:hint="eastAsia"/>
                      <w:szCs w:val="21"/>
                    </w:rPr>
                    <w:t>严格按照相关要求进行设计、施工、管理和维护。管线采用法兰连接和焊接方式，项目管道架空敷设，设置流量计用于计量结算，管线末端设置手动切断阀组。在物料输出端和接收端设置中控系统和紧急切断阀，阀门和仪表的控制信号接入伊泰化工公司</w:t>
                  </w:r>
                  <w:r>
                    <w:rPr>
                      <w:szCs w:val="21"/>
                    </w:rPr>
                    <w:t>DCS</w:t>
                  </w:r>
                  <w:r>
                    <w:rPr>
                      <w:rFonts w:hint="eastAsia"/>
                      <w:szCs w:val="21"/>
                    </w:rPr>
                    <w:t>系统。依托内蒙古伊泰化工有限责任公司筹措应急物资。</w:t>
                  </w:r>
                </w:p>
              </w:tc>
              <w:tc>
                <w:tcPr>
                  <w:tcW w:w="947" w:type="pct"/>
                  <w:tcMar>
                    <w:left w:w="0" w:type="dxa"/>
                    <w:right w:w="0" w:type="dxa"/>
                  </w:tcMar>
                  <w:vAlign w:val="center"/>
                </w:tcPr>
                <w:p w14:paraId="57466858">
                  <w:pPr>
                    <w:spacing w:line="360" w:lineRule="exact"/>
                    <w:jc w:val="center"/>
                    <w:rPr>
                      <w:szCs w:val="21"/>
                    </w:rPr>
                  </w:pPr>
                  <w:r>
                    <w:rPr>
                      <w:rFonts w:hint="eastAsia"/>
                      <w:szCs w:val="21"/>
                    </w:rPr>
                    <w:t>10</w:t>
                  </w:r>
                </w:p>
              </w:tc>
            </w:tr>
            <w:tr w14:paraId="3198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3" w:type="pct"/>
                  <w:gridSpan w:val="2"/>
                  <w:tcMar>
                    <w:left w:w="0" w:type="dxa"/>
                    <w:right w:w="0" w:type="dxa"/>
                  </w:tcMar>
                  <w:vAlign w:val="center"/>
                </w:tcPr>
                <w:p w14:paraId="6A90BDA9">
                  <w:pPr>
                    <w:spacing w:line="360" w:lineRule="exact"/>
                    <w:jc w:val="center"/>
                    <w:rPr>
                      <w:szCs w:val="21"/>
                    </w:rPr>
                  </w:pPr>
                  <w:r>
                    <w:rPr>
                      <w:szCs w:val="21"/>
                    </w:rPr>
                    <w:t>小计</w:t>
                  </w:r>
                </w:p>
              </w:tc>
              <w:tc>
                <w:tcPr>
                  <w:tcW w:w="947" w:type="pct"/>
                  <w:tcMar>
                    <w:left w:w="0" w:type="dxa"/>
                    <w:right w:w="0" w:type="dxa"/>
                  </w:tcMar>
                  <w:vAlign w:val="center"/>
                </w:tcPr>
                <w:p w14:paraId="4DC8F627">
                  <w:pPr>
                    <w:spacing w:line="360" w:lineRule="exact"/>
                    <w:jc w:val="center"/>
                    <w:rPr>
                      <w:szCs w:val="21"/>
                    </w:rPr>
                  </w:pPr>
                  <w:r>
                    <w:rPr>
                      <w:rFonts w:hint="eastAsia"/>
                      <w:szCs w:val="21"/>
                    </w:rPr>
                    <w:t>10</w:t>
                  </w:r>
                </w:p>
              </w:tc>
            </w:tr>
            <w:tr w14:paraId="7CA3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3" w:type="pct"/>
                  <w:gridSpan w:val="2"/>
                  <w:tcMar>
                    <w:left w:w="0" w:type="dxa"/>
                    <w:right w:w="0" w:type="dxa"/>
                  </w:tcMar>
                  <w:vAlign w:val="center"/>
                </w:tcPr>
                <w:p w14:paraId="329F4368">
                  <w:pPr>
                    <w:spacing w:line="360" w:lineRule="exact"/>
                    <w:jc w:val="center"/>
                    <w:rPr>
                      <w:szCs w:val="21"/>
                    </w:rPr>
                  </w:pPr>
                  <w:r>
                    <w:rPr>
                      <w:szCs w:val="21"/>
                    </w:rPr>
                    <w:t>合计</w:t>
                  </w:r>
                </w:p>
              </w:tc>
              <w:tc>
                <w:tcPr>
                  <w:tcW w:w="947" w:type="pct"/>
                  <w:tcMar>
                    <w:left w:w="0" w:type="dxa"/>
                    <w:right w:w="0" w:type="dxa"/>
                  </w:tcMar>
                  <w:vAlign w:val="center"/>
                </w:tcPr>
                <w:p w14:paraId="22E9C127">
                  <w:pPr>
                    <w:spacing w:line="360" w:lineRule="exact"/>
                    <w:jc w:val="center"/>
                    <w:rPr>
                      <w:szCs w:val="21"/>
                    </w:rPr>
                  </w:pPr>
                  <w:r>
                    <w:rPr>
                      <w:rFonts w:hint="eastAsia"/>
                      <w:szCs w:val="21"/>
                    </w:rPr>
                    <w:t>25</w:t>
                  </w:r>
                </w:p>
              </w:tc>
            </w:tr>
          </w:tbl>
          <w:p w14:paraId="3091B0B2"/>
          <w:p w14:paraId="603475E7"/>
          <w:p w14:paraId="579C0592"/>
          <w:p w14:paraId="178E8609"/>
          <w:p w14:paraId="51B8D27F"/>
          <w:p w14:paraId="3A703A10"/>
          <w:p w14:paraId="7E704F2D"/>
          <w:p w14:paraId="359A699C"/>
          <w:p w14:paraId="7FD24DAD"/>
          <w:p w14:paraId="41FAD50B"/>
          <w:p w14:paraId="4ECBCFC0">
            <w:pPr>
              <w:adjustRightInd w:val="0"/>
              <w:snapToGrid w:val="0"/>
              <w:rPr>
                <w:bCs/>
                <w:spacing w:val="10"/>
                <w:szCs w:val="21"/>
              </w:rPr>
            </w:pPr>
          </w:p>
        </w:tc>
      </w:tr>
    </w:tbl>
    <w:p w14:paraId="6FD9C3D3">
      <w:pPr>
        <w:sectPr>
          <w:pgSz w:w="11907" w:h="16840"/>
          <w:pgMar w:top="1701" w:right="1531" w:bottom="1701" w:left="1531" w:header="851" w:footer="1077" w:gutter="0"/>
          <w:cols w:space="720" w:num="1"/>
          <w:docGrid w:linePitch="312" w:charSpace="0"/>
        </w:sectPr>
      </w:pPr>
    </w:p>
    <w:p w14:paraId="103A61A1">
      <w:pPr>
        <w:pStyle w:val="72"/>
        <w:jc w:val="center"/>
        <w:outlineLvl w:val="0"/>
        <w:rPr>
          <w:rFonts w:ascii="Times New Roman" w:hAnsi="Times New Roman"/>
          <w:b/>
          <w:bCs/>
          <w:snapToGrid w:val="0"/>
          <w:sz w:val="30"/>
          <w:szCs w:val="30"/>
        </w:rPr>
      </w:pPr>
      <w:r>
        <w:rPr>
          <w:rFonts w:ascii="Times New Roman" w:hAnsi="Times New Roman"/>
          <w:b/>
          <w:bCs/>
          <w:snapToGrid w:val="0"/>
          <w:sz w:val="30"/>
          <w:szCs w:val="30"/>
        </w:rPr>
        <w:t>六、生态环境保护措施监督检查清单</w:t>
      </w:r>
    </w:p>
    <w:tbl>
      <w:tblPr>
        <w:tblStyle w:val="78"/>
        <w:tblW w:w="527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216"/>
        <w:gridCol w:w="2421"/>
        <w:gridCol w:w="2397"/>
        <w:gridCol w:w="1726"/>
        <w:gridCol w:w="1692"/>
      </w:tblGrid>
      <w:tr w14:paraId="789513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6" w:hRule="atLeast"/>
          <w:jc w:val="center"/>
        </w:trPr>
        <w:tc>
          <w:tcPr>
            <w:tcW w:w="643" w:type="pct"/>
            <w:vMerge w:val="restart"/>
            <w:tcBorders>
              <w:tl2br w:val="single" w:color="auto" w:sz="4" w:space="0"/>
            </w:tcBorders>
          </w:tcPr>
          <w:p w14:paraId="2AC0073A">
            <w:pPr>
              <w:pStyle w:val="72"/>
              <w:adjustRightInd w:val="0"/>
              <w:snapToGrid w:val="0"/>
              <w:spacing w:before="72" w:beforeLines="30" w:beforeAutospacing="0" w:after="0" w:afterAutospacing="0"/>
              <w:jc w:val="center"/>
              <w:outlineLvl w:val="0"/>
              <w:rPr>
                <w:rFonts w:ascii="Times New Roman" w:hAnsi="Times New Roman"/>
                <w:kern w:val="2"/>
                <w:szCs w:val="24"/>
              </w:rPr>
            </w:pPr>
            <w:r>
              <w:rPr>
                <w:rFonts w:ascii="Times New Roman" w:hAnsi="Times New Roman"/>
                <w:kern w:val="2"/>
                <w:szCs w:val="24"/>
              </w:rPr>
              <w:t xml:space="preserve">   内容</w:t>
            </w:r>
          </w:p>
          <w:p w14:paraId="23E1F637">
            <w:pPr>
              <w:pStyle w:val="72"/>
              <w:adjustRightInd w:val="0"/>
              <w:snapToGrid w:val="0"/>
              <w:spacing w:before="0" w:beforeAutospacing="0" w:after="0" w:afterAutospacing="0" w:line="14" w:lineRule="auto"/>
              <w:outlineLvl w:val="0"/>
              <w:rPr>
                <w:rFonts w:ascii="Times New Roman" w:hAnsi="Times New Roman"/>
                <w:kern w:val="2"/>
                <w:szCs w:val="24"/>
              </w:rPr>
            </w:pPr>
            <w:r>
              <w:rPr>
                <w:rFonts w:ascii="Times New Roman" w:hAnsi="Times New Roman"/>
                <w:kern w:val="2"/>
                <w:szCs w:val="24"/>
              </w:rPr>
              <w:t xml:space="preserve">  </w:t>
            </w:r>
          </w:p>
          <w:p w14:paraId="2EAF7406">
            <w:pPr>
              <w:pStyle w:val="72"/>
              <w:adjustRightInd w:val="0"/>
              <w:snapToGrid w:val="0"/>
              <w:spacing w:before="0" w:beforeAutospacing="0" w:after="0" w:afterAutospacing="0"/>
              <w:outlineLvl w:val="0"/>
              <w:rPr>
                <w:rFonts w:ascii="Times New Roman" w:hAnsi="Times New Roman"/>
                <w:kern w:val="2"/>
                <w:szCs w:val="24"/>
              </w:rPr>
            </w:pPr>
            <w:r>
              <w:rPr>
                <w:rFonts w:ascii="Times New Roman" w:hAnsi="Times New Roman"/>
                <w:kern w:val="2"/>
                <w:szCs w:val="24"/>
              </w:rPr>
              <w:t>要素</w:t>
            </w:r>
          </w:p>
        </w:tc>
        <w:tc>
          <w:tcPr>
            <w:tcW w:w="2549" w:type="pct"/>
            <w:gridSpan w:val="2"/>
            <w:vAlign w:val="center"/>
          </w:tcPr>
          <w:p w14:paraId="1C02CE11">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施工期</w:t>
            </w:r>
          </w:p>
        </w:tc>
        <w:tc>
          <w:tcPr>
            <w:tcW w:w="1808" w:type="pct"/>
            <w:gridSpan w:val="2"/>
            <w:vAlign w:val="center"/>
          </w:tcPr>
          <w:p w14:paraId="32A82B62">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运营期</w:t>
            </w:r>
          </w:p>
        </w:tc>
      </w:tr>
      <w:tr w14:paraId="014B38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10" w:hRule="atLeast"/>
          <w:jc w:val="center"/>
        </w:trPr>
        <w:tc>
          <w:tcPr>
            <w:tcW w:w="643" w:type="pct"/>
            <w:vMerge w:val="continue"/>
          </w:tcPr>
          <w:p w14:paraId="0A26CC4A">
            <w:pPr>
              <w:pStyle w:val="72"/>
              <w:adjustRightInd w:val="0"/>
              <w:snapToGrid w:val="0"/>
              <w:spacing w:before="0" w:beforeAutospacing="0" w:after="0" w:afterAutospacing="0"/>
              <w:ind w:firstLine="840"/>
              <w:jc w:val="center"/>
              <w:outlineLvl w:val="0"/>
              <w:rPr>
                <w:rFonts w:ascii="Times New Roman" w:hAnsi="Times New Roman"/>
                <w:kern w:val="2"/>
                <w:szCs w:val="24"/>
              </w:rPr>
            </w:pPr>
          </w:p>
        </w:tc>
        <w:tc>
          <w:tcPr>
            <w:tcW w:w="1281" w:type="pct"/>
            <w:vAlign w:val="center"/>
          </w:tcPr>
          <w:p w14:paraId="0D77FABE">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环境保护措施</w:t>
            </w:r>
          </w:p>
        </w:tc>
        <w:tc>
          <w:tcPr>
            <w:tcW w:w="1268" w:type="pct"/>
            <w:vAlign w:val="center"/>
          </w:tcPr>
          <w:p w14:paraId="4EDB05EB">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验收要求</w:t>
            </w:r>
          </w:p>
        </w:tc>
        <w:tc>
          <w:tcPr>
            <w:tcW w:w="913" w:type="pct"/>
            <w:vAlign w:val="center"/>
          </w:tcPr>
          <w:p w14:paraId="437ED95E">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环境保护措施</w:t>
            </w:r>
          </w:p>
        </w:tc>
        <w:tc>
          <w:tcPr>
            <w:tcW w:w="895" w:type="pct"/>
            <w:vAlign w:val="center"/>
          </w:tcPr>
          <w:p w14:paraId="7465D28C">
            <w:pPr>
              <w:pStyle w:val="72"/>
              <w:adjustRightInd w:val="0"/>
              <w:snapToGrid w:val="0"/>
              <w:spacing w:before="0" w:beforeAutospacing="0" w:after="0" w:afterAutospacing="0"/>
              <w:jc w:val="center"/>
              <w:outlineLvl w:val="0"/>
              <w:rPr>
                <w:rFonts w:ascii="Times New Roman" w:hAnsi="Times New Roman"/>
                <w:kern w:val="2"/>
                <w:szCs w:val="24"/>
              </w:rPr>
            </w:pPr>
            <w:r>
              <w:rPr>
                <w:rFonts w:ascii="Times New Roman" w:hAnsi="Times New Roman"/>
                <w:kern w:val="2"/>
                <w:szCs w:val="24"/>
              </w:rPr>
              <w:t>验收要求</w:t>
            </w:r>
          </w:p>
        </w:tc>
      </w:tr>
      <w:tr w14:paraId="48260C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18" w:hRule="atLeast"/>
          <w:jc w:val="center"/>
        </w:trPr>
        <w:tc>
          <w:tcPr>
            <w:tcW w:w="643" w:type="pct"/>
            <w:vAlign w:val="center"/>
          </w:tcPr>
          <w:p w14:paraId="3DB6DECE">
            <w:pPr>
              <w:adjustRightInd w:val="0"/>
              <w:snapToGrid w:val="0"/>
              <w:jc w:val="center"/>
              <w:rPr>
                <w:sz w:val="24"/>
              </w:rPr>
            </w:pPr>
            <w:r>
              <w:rPr>
                <w:sz w:val="24"/>
              </w:rPr>
              <w:t>陆生生态</w:t>
            </w:r>
          </w:p>
        </w:tc>
        <w:tc>
          <w:tcPr>
            <w:tcW w:w="1281" w:type="pct"/>
            <w:vAlign w:val="center"/>
          </w:tcPr>
          <w:p w14:paraId="2B8E511E">
            <w:pPr>
              <w:adjustRightInd w:val="0"/>
              <w:snapToGrid w:val="0"/>
              <w:rPr>
                <w:sz w:val="24"/>
              </w:rPr>
            </w:pPr>
            <w:r>
              <w:rPr>
                <w:rFonts w:hint="eastAsia"/>
                <w:sz w:val="24"/>
                <w:lang w:eastAsia="zh-CN"/>
              </w:rPr>
              <w:t>①</w:t>
            </w:r>
            <w:r>
              <w:rPr>
                <w:rFonts w:hint="eastAsia"/>
                <w:sz w:val="24"/>
              </w:rPr>
              <w:t>严格</w:t>
            </w:r>
            <w:r>
              <w:rPr>
                <w:sz w:val="24"/>
              </w:rPr>
              <w:t>采取限制</w:t>
            </w:r>
            <w:r>
              <w:rPr>
                <w:rFonts w:hint="eastAsia"/>
                <w:sz w:val="24"/>
              </w:rPr>
              <w:t>超载</w:t>
            </w:r>
            <w:r>
              <w:rPr>
                <w:sz w:val="24"/>
              </w:rPr>
              <w:t>、限制超速</w:t>
            </w:r>
            <w:r>
              <w:rPr>
                <w:rFonts w:hint="eastAsia"/>
                <w:sz w:val="24"/>
              </w:rPr>
              <w:t>等措施</w:t>
            </w:r>
            <w:r>
              <w:rPr>
                <w:sz w:val="24"/>
              </w:rPr>
              <w:t>。</w:t>
            </w:r>
          </w:p>
          <w:p w14:paraId="0DCAA765">
            <w:pPr>
              <w:adjustRightInd w:val="0"/>
              <w:snapToGrid w:val="0"/>
              <w:rPr>
                <w:sz w:val="24"/>
              </w:rPr>
            </w:pPr>
            <w:r>
              <w:rPr>
                <w:rFonts w:hint="eastAsia"/>
                <w:sz w:val="24"/>
                <w:lang w:eastAsia="zh-CN"/>
              </w:rPr>
              <w:t>②</w:t>
            </w:r>
            <w:r>
              <w:rPr>
                <w:sz w:val="24"/>
              </w:rPr>
              <w:t>现场施工机械和人员活动范围严格限</w:t>
            </w:r>
            <w:r>
              <w:rPr>
                <w:rFonts w:hint="eastAsia"/>
                <w:sz w:val="24"/>
                <w:lang w:eastAsia="zh-CN"/>
              </w:rPr>
              <w:t>制</w:t>
            </w:r>
            <w:r>
              <w:rPr>
                <w:sz w:val="24"/>
              </w:rPr>
              <w:t>在作业带范围内，尽量减少施工破坏面，同时避免在大风天气下进行施工作业</w:t>
            </w:r>
            <w:r>
              <w:rPr>
                <w:rFonts w:hint="eastAsia"/>
                <w:sz w:val="24"/>
              </w:rPr>
              <w:t>。</w:t>
            </w:r>
          </w:p>
          <w:p w14:paraId="328489B6">
            <w:pPr>
              <w:adjustRightInd w:val="0"/>
              <w:snapToGrid w:val="0"/>
              <w:rPr>
                <w:sz w:val="24"/>
              </w:rPr>
            </w:pPr>
            <w:r>
              <w:rPr>
                <w:rFonts w:hint="eastAsia"/>
                <w:sz w:val="24"/>
              </w:rPr>
              <w:t>③</w:t>
            </w:r>
            <w:r>
              <w:rPr>
                <w:sz w:val="24"/>
              </w:rPr>
              <w:t>项目施工材料及设备尽量分拆改小</w:t>
            </w:r>
            <w:r>
              <w:rPr>
                <w:rFonts w:hint="eastAsia"/>
                <w:sz w:val="24"/>
              </w:rPr>
              <w:t>，以减少对周边环境的影响</w:t>
            </w:r>
            <w:r>
              <w:rPr>
                <w:sz w:val="24"/>
              </w:rPr>
              <w:t>。</w:t>
            </w:r>
          </w:p>
          <w:p w14:paraId="21A3D18D">
            <w:pPr>
              <w:adjustRightInd w:val="0"/>
              <w:snapToGrid w:val="0"/>
              <w:rPr>
                <w:sz w:val="24"/>
              </w:rPr>
            </w:pPr>
            <w:r>
              <w:rPr>
                <w:rFonts w:hint="eastAsia"/>
                <w:sz w:val="24"/>
              </w:rPr>
              <w:t>④</w:t>
            </w:r>
            <w:r>
              <w:rPr>
                <w:sz w:val="24"/>
              </w:rPr>
              <w:t>施工</w:t>
            </w:r>
            <w:r>
              <w:rPr>
                <w:rFonts w:hint="eastAsia"/>
                <w:sz w:val="24"/>
              </w:rPr>
              <w:t>单位要加强施工设备的维护保养。</w:t>
            </w:r>
          </w:p>
        </w:tc>
        <w:tc>
          <w:tcPr>
            <w:tcW w:w="1268" w:type="pct"/>
            <w:vAlign w:val="center"/>
          </w:tcPr>
          <w:p w14:paraId="64F9F7DE">
            <w:pPr>
              <w:adjustRightInd w:val="0"/>
              <w:snapToGrid w:val="0"/>
              <w:rPr>
                <w:sz w:val="24"/>
              </w:rPr>
            </w:pPr>
            <w:r>
              <w:rPr>
                <w:rFonts w:hint="eastAsia"/>
                <w:sz w:val="24"/>
                <w:lang w:eastAsia="zh-CN"/>
              </w:rPr>
              <w:t>①</w:t>
            </w:r>
            <w:r>
              <w:rPr>
                <w:rFonts w:hint="eastAsia"/>
                <w:sz w:val="24"/>
              </w:rPr>
              <w:t>严格</w:t>
            </w:r>
            <w:r>
              <w:rPr>
                <w:sz w:val="24"/>
              </w:rPr>
              <w:t>采取限制</w:t>
            </w:r>
            <w:r>
              <w:rPr>
                <w:rFonts w:hint="eastAsia"/>
                <w:sz w:val="24"/>
              </w:rPr>
              <w:t>超载</w:t>
            </w:r>
            <w:r>
              <w:rPr>
                <w:sz w:val="24"/>
              </w:rPr>
              <w:t>、限制超速</w:t>
            </w:r>
            <w:r>
              <w:rPr>
                <w:rFonts w:hint="eastAsia"/>
                <w:sz w:val="24"/>
                <w:lang w:eastAsia="zh-CN"/>
              </w:rPr>
              <w:t>等</w:t>
            </w:r>
            <w:r>
              <w:rPr>
                <w:rFonts w:hint="eastAsia"/>
                <w:sz w:val="24"/>
              </w:rPr>
              <w:t>措施</w:t>
            </w:r>
            <w:r>
              <w:rPr>
                <w:sz w:val="24"/>
              </w:rPr>
              <w:t>。</w:t>
            </w:r>
            <w:r>
              <w:rPr>
                <w:rFonts w:hint="eastAsia"/>
                <w:sz w:val="24"/>
                <w:lang w:eastAsia="zh-CN"/>
              </w:rPr>
              <w:t>②</w:t>
            </w:r>
            <w:r>
              <w:rPr>
                <w:sz w:val="24"/>
              </w:rPr>
              <w:t>现场施工机械和人员活动范围严格</w:t>
            </w:r>
            <w:r>
              <w:rPr>
                <w:rFonts w:hint="eastAsia"/>
                <w:sz w:val="24"/>
              </w:rPr>
              <w:t>限定</w:t>
            </w:r>
            <w:r>
              <w:rPr>
                <w:sz w:val="24"/>
              </w:rPr>
              <w:t>在作业带范围内，尽量减少施工破坏面，同时避免在大风天气下进行施工作业</w:t>
            </w:r>
            <w:r>
              <w:rPr>
                <w:rFonts w:hint="eastAsia"/>
                <w:sz w:val="24"/>
              </w:rPr>
              <w:t>。</w:t>
            </w:r>
            <w:r>
              <w:rPr>
                <w:rFonts w:hint="eastAsia"/>
                <w:sz w:val="24"/>
                <w:lang w:eastAsia="zh-CN"/>
              </w:rPr>
              <w:t>③</w:t>
            </w:r>
            <w:r>
              <w:rPr>
                <w:sz w:val="24"/>
              </w:rPr>
              <w:t>项目施工材料及设备尽量分拆</w:t>
            </w:r>
            <w:r>
              <w:rPr>
                <w:rFonts w:hint="eastAsia"/>
                <w:sz w:val="24"/>
              </w:rPr>
              <w:t>改小，以减少对周边环境影响</w:t>
            </w:r>
            <w:r>
              <w:rPr>
                <w:sz w:val="24"/>
              </w:rPr>
              <w:t>。</w:t>
            </w:r>
            <w:r>
              <w:rPr>
                <w:rFonts w:hint="eastAsia"/>
                <w:sz w:val="24"/>
              </w:rPr>
              <w:t>④</w:t>
            </w:r>
            <w:r>
              <w:rPr>
                <w:sz w:val="24"/>
              </w:rPr>
              <w:t>施工</w:t>
            </w:r>
            <w:r>
              <w:rPr>
                <w:rFonts w:hint="eastAsia"/>
                <w:sz w:val="24"/>
              </w:rPr>
              <w:t>单位要加强施工设备的维护保养。</w:t>
            </w:r>
          </w:p>
        </w:tc>
        <w:tc>
          <w:tcPr>
            <w:tcW w:w="913" w:type="pct"/>
            <w:vAlign w:val="center"/>
          </w:tcPr>
          <w:p w14:paraId="64A6E925">
            <w:pPr>
              <w:adjustRightInd w:val="0"/>
              <w:snapToGrid w:val="0"/>
              <w:jc w:val="center"/>
              <w:rPr>
                <w:sz w:val="24"/>
              </w:rPr>
            </w:pPr>
            <w:r>
              <w:rPr>
                <w:sz w:val="24"/>
              </w:rPr>
              <w:t>--</w:t>
            </w:r>
          </w:p>
        </w:tc>
        <w:tc>
          <w:tcPr>
            <w:tcW w:w="895" w:type="pct"/>
            <w:vAlign w:val="center"/>
          </w:tcPr>
          <w:p w14:paraId="724B270D">
            <w:pPr>
              <w:adjustRightInd w:val="0"/>
              <w:snapToGrid w:val="0"/>
              <w:jc w:val="center"/>
              <w:rPr>
                <w:sz w:val="24"/>
              </w:rPr>
            </w:pPr>
            <w:r>
              <w:rPr>
                <w:sz w:val="24"/>
              </w:rPr>
              <w:t>--</w:t>
            </w:r>
          </w:p>
        </w:tc>
      </w:tr>
      <w:tr w14:paraId="2B732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3" w:hRule="atLeast"/>
          <w:jc w:val="center"/>
        </w:trPr>
        <w:tc>
          <w:tcPr>
            <w:tcW w:w="643" w:type="pct"/>
            <w:vAlign w:val="center"/>
          </w:tcPr>
          <w:p w14:paraId="76AD9D91">
            <w:pPr>
              <w:adjustRightInd w:val="0"/>
              <w:snapToGrid w:val="0"/>
              <w:jc w:val="center"/>
              <w:rPr>
                <w:sz w:val="24"/>
              </w:rPr>
            </w:pPr>
            <w:r>
              <w:rPr>
                <w:sz w:val="24"/>
              </w:rPr>
              <w:t>水生生态</w:t>
            </w:r>
          </w:p>
        </w:tc>
        <w:tc>
          <w:tcPr>
            <w:tcW w:w="1281" w:type="pct"/>
            <w:vAlign w:val="center"/>
          </w:tcPr>
          <w:p w14:paraId="7D82BC9B">
            <w:pPr>
              <w:adjustRightInd w:val="0"/>
              <w:snapToGrid w:val="0"/>
              <w:jc w:val="center"/>
              <w:rPr>
                <w:sz w:val="24"/>
              </w:rPr>
            </w:pPr>
            <w:r>
              <w:rPr>
                <w:sz w:val="24"/>
              </w:rPr>
              <w:t>--</w:t>
            </w:r>
          </w:p>
        </w:tc>
        <w:tc>
          <w:tcPr>
            <w:tcW w:w="1268" w:type="pct"/>
            <w:vAlign w:val="center"/>
          </w:tcPr>
          <w:p w14:paraId="1B8A8D1B">
            <w:pPr>
              <w:adjustRightInd w:val="0"/>
              <w:snapToGrid w:val="0"/>
              <w:jc w:val="center"/>
              <w:rPr>
                <w:sz w:val="24"/>
              </w:rPr>
            </w:pPr>
            <w:r>
              <w:rPr>
                <w:sz w:val="24"/>
              </w:rPr>
              <w:t>--</w:t>
            </w:r>
          </w:p>
        </w:tc>
        <w:tc>
          <w:tcPr>
            <w:tcW w:w="913" w:type="pct"/>
            <w:vAlign w:val="center"/>
          </w:tcPr>
          <w:p w14:paraId="2D5415F5">
            <w:pPr>
              <w:adjustRightInd w:val="0"/>
              <w:snapToGrid w:val="0"/>
              <w:jc w:val="center"/>
              <w:rPr>
                <w:sz w:val="24"/>
              </w:rPr>
            </w:pPr>
            <w:r>
              <w:rPr>
                <w:sz w:val="24"/>
              </w:rPr>
              <w:t>--</w:t>
            </w:r>
          </w:p>
        </w:tc>
        <w:tc>
          <w:tcPr>
            <w:tcW w:w="895" w:type="pct"/>
            <w:vAlign w:val="center"/>
          </w:tcPr>
          <w:p w14:paraId="0DDB26FB">
            <w:pPr>
              <w:adjustRightInd w:val="0"/>
              <w:snapToGrid w:val="0"/>
              <w:jc w:val="center"/>
              <w:rPr>
                <w:sz w:val="24"/>
              </w:rPr>
            </w:pPr>
            <w:r>
              <w:rPr>
                <w:sz w:val="24"/>
              </w:rPr>
              <w:t>--</w:t>
            </w:r>
          </w:p>
        </w:tc>
      </w:tr>
      <w:tr w14:paraId="24B84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261" w:hRule="atLeast"/>
          <w:jc w:val="center"/>
        </w:trPr>
        <w:tc>
          <w:tcPr>
            <w:tcW w:w="643" w:type="pct"/>
            <w:vAlign w:val="center"/>
          </w:tcPr>
          <w:p w14:paraId="7D012D51">
            <w:pPr>
              <w:adjustRightInd w:val="0"/>
              <w:snapToGrid w:val="0"/>
              <w:jc w:val="center"/>
              <w:rPr>
                <w:sz w:val="24"/>
              </w:rPr>
            </w:pPr>
            <w:r>
              <w:rPr>
                <w:sz w:val="24"/>
              </w:rPr>
              <w:t>地表水环境</w:t>
            </w:r>
          </w:p>
        </w:tc>
        <w:tc>
          <w:tcPr>
            <w:tcW w:w="1281" w:type="pct"/>
            <w:vAlign w:val="center"/>
          </w:tcPr>
          <w:p w14:paraId="3134876B">
            <w:pPr>
              <w:adjustRightInd w:val="0"/>
              <w:snapToGrid w:val="0"/>
              <w:jc w:val="center"/>
              <w:rPr>
                <w:sz w:val="24"/>
              </w:rPr>
            </w:pPr>
            <w:r>
              <w:rPr>
                <w:rFonts w:hint="eastAsia"/>
                <w:sz w:val="24"/>
              </w:rPr>
              <w:t>施工人员盥洗废水依托伊泰化工现有生活污水处理设施</w:t>
            </w:r>
          </w:p>
        </w:tc>
        <w:tc>
          <w:tcPr>
            <w:tcW w:w="1268" w:type="pct"/>
            <w:vAlign w:val="center"/>
          </w:tcPr>
          <w:p w14:paraId="473BEB9D">
            <w:pPr>
              <w:adjustRightInd w:val="0"/>
              <w:snapToGrid w:val="0"/>
              <w:jc w:val="center"/>
              <w:rPr>
                <w:sz w:val="24"/>
              </w:rPr>
            </w:pPr>
            <w:r>
              <w:rPr>
                <w:sz w:val="24"/>
              </w:rPr>
              <w:t>不外排</w:t>
            </w:r>
          </w:p>
        </w:tc>
        <w:tc>
          <w:tcPr>
            <w:tcW w:w="913" w:type="pct"/>
            <w:vAlign w:val="center"/>
          </w:tcPr>
          <w:p w14:paraId="60CAB469">
            <w:pPr>
              <w:adjustRightInd w:val="0"/>
              <w:snapToGrid w:val="0"/>
              <w:jc w:val="center"/>
              <w:rPr>
                <w:sz w:val="24"/>
              </w:rPr>
            </w:pPr>
            <w:r>
              <w:rPr>
                <w:rFonts w:hint="eastAsia"/>
                <w:sz w:val="24"/>
              </w:rPr>
              <w:t>加强</w:t>
            </w:r>
            <w:r>
              <w:rPr>
                <w:sz w:val="24"/>
              </w:rPr>
              <w:t>管线巡检</w:t>
            </w:r>
          </w:p>
        </w:tc>
        <w:tc>
          <w:tcPr>
            <w:tcW w:w="895" w:type="pct"/>
            <w:vAlign w:val="center"/>
          </w:tcPr>
          <w:p w14:paraId="5B77F9D5">
            <w:pPr>
              <w:adjustRightInd w:val="0"/>
              <w:snapToGrid w:val="0"/>
              <w:rPr>
                <w:sz w:val="24"/>
              </w:rPr>
            </w:pPr>
            <w:r>
              <w:rPr>
                <w:sz w:val="24"/>
              </w:rPr>
              <w:t>制定巡检制度，落实巡检</w:t>
            </w:r>
            <w:r>
              <w:rPr>
                <w:rFonts w:hint="eastAsia"/>
                <w:sz w:val="24"/>
              </w:rPr>
              <w:t>、</w:t>
            </w:r>
            <w:r>
              <w:rPr>
                <w:sz w:val="24"/>
              </w:rPr>
              <w:t>记录台账</w:t>
            </w:r>
          </w:p>
        </w:tc>
      </w:tr>
      <w:tr w14:paraId="24CD19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98" w:hRule="atLeast"/>
          <w:jc w:val="center"/>
        </w:trPr>
        <w:tc>
          <w:tcPr>
            <w:tcW w:w="643" w:type="pct"/>
            <w:vAlign w:val="center"/>
          </w:tcPr>
          <w:p w14:paraId="4D0E0BF4">
            <w:pPr>
              <w:adjustRightInd w:val="0"/>
              <w:snapToGrid w:val="0"/>
              <w:jc w:val="center"/>
              <w:rPr>
                <w:sz w:val="24"/>
              </w:rPr>
            </w:pPr>
            <w:r>
              <w:rPr>
                <w:sz w:val="24"/>
              </w:rPr>
              <w:t>地下水及土壤环境</w:t>
            </w:r>
          </w:p>
        </w:tc>
        <w:tc>
          <w:tcPr>
            <w:tcW w:w="1281" w:type="pct"/>
            <w:vAlign w:val="center"/>
          </w:tcPr>
          <w:p w14:paraId="2EED5D1E">
            <w:pPr>
              <w:adjustRightInd w:val="0"/>
              <w:snapToGrid w:val="0"/>
              <w:jc w:val="center"/>
              <w:rPr>
                <w:sz w:val="24"/>
              </w:rPr>
            </w:pPr>
            <w:r>
              <w:rPr>
                <w:sz w:val="24"/>
              </w:rPr>
              <w:t>--</w:t>
            </w:r>
          </w:p>
        </w:tc>
        <w:tc>
          <w:tcPr>
            <w:tcW w:w="1268" w:type="pct"/>
            <w:vAlign w:val="center"/>
          </w:tcPr>
          <w:p w14:paraId="631A1AB1">
            <w:pPr>
              <w:adjustRightInd w:val="0"/>
              <w:snapToGrid w:val="0"/>
              <w:jc w:val="center"/>
              <w:rPr>
                <w:sz w:val="24"/>
              </w:rPr>
            </w:pPr>
            <w:r>
              <w:rPr>
                <w:sz w:val="24"/>
              </w:rPr>
              <w:t>--</w:t>
            </w:r>
          </w:p>
        </w:tc>
        <w:tc>
          <w:tcPr>
            <w:tcW w:w="913" w:type="pct"/>
            <w:vAlign w:val="center"/>
          </w:tcPr>
          <w:p w14:paraId="7B7EED7C">
            <w:pPr>
              <w:adjustRightInd w:val="0"/>
              <w:snapToGrid w:val="0"/>
              <w:jc w:val="center"/>
              <w:rPr>
                <w:sz w:val="24"/>
              </w:rPr>
            </w:pPr>
            <w:r>
              <w:rPr>
                <w:rFonts w:hint="eastAsia"/>
                <w:sz w:val="24"/>
              </w:rPr>
              <w:t>加强</w:t>
            </w:r>
            <w:r>
              <w:rPr>
                <w:sz w:val="24"/>
              </w:rPr>
              <w:t>管线巡检</w:t>
            </w:r>
          </w:p>
        </w:tc>
        <w:tc>
          <w:tcPr>
            <w:tcW w:w="895" w:type="pct"/>
            <w:vAlign w:val="center"/>
          </w:tcPr>
          <w:p w14:paraId="4F69B18C">
            <w:pPr>
              <w:adjustRightInd w:val="0"/>
              <w:snapToGrid w:val="0"/>
              <w:jc w:val="center"/>
              <w:rPr>
                <w:sz w:val="24"/>
              </w:rPr>
            </w:pPr>
            <w:r>
              <w:rPr>
                <w:sz w:val="24"/>
              </w:rPr>
              <w:t>制定巡检制度，落实巡检</w:t>
            </w:r>
            <w:r>
              <w:rPr>
                <w:rFonts w:hint="eastAsia"/>
                <w:sz w:val="24"/>
              </w:rPr>
              <w:t>、</w:t>
            </w:r>
            <w:r>
              <w:rPr>
                <w:sz w:val="24"/>
              </w:rPr>
              <w:t>记录台账</w:t>
            </w:r>
          </w:p>
        </w:tc>
      </w:tr>
      <w:tr w14:paraId="3F7401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461" w:hRule="atLeast"/>
          <w:jc w:val="center"/>
        </w:trPr>
        <w:tc>
          <w:tcPr>
            <w:tcW w:w="643" w:type="pct"/>
            <w:vAlign w:val="center"/>
          </w:tcPr>
          <w:p w14:paraId="6B50B02E">
            <w:pPr>
              <w:adjustRightInd w:val="0"/>
              <w:snapToGrid w:val="0"/>
              <w:jc w:val="center"/>
              <w:rPr>
                <w:sz w:val="24"/>
              </w:rPr>
            </w:pPr>
            <w:r>
              <w:rPr>
                <w:sz w:val="24"/>
              </w:rPr>
              <w:t>声环境</w:t>
            </w:r>
          </w:p>
        </w:tc>
        <w:tc>
          <w:tcPr>
            <w:tcW w:w="1281" w:type="pct"/>
            <w:vAlign w:val="center"/>
          </w:tcPr>
          <w:p w14:paraId="1183D5AA">
            <w:pPr>
              <w:adjustRightInd w:val="0"/>
              <w:snapToGrid w:val="0"/>
              <w:rPr>
                <w:sz w:val="24"/>
              </w:rPr>
            </w:pPr>
            <w:r>
              <w:rPr>
                <w:sz w:val="24"/>
              </w:rPr>
              <w:t>选用低噪设备</w:t>
            </w:r>
            <w:r>
              <w:rPr>
                <w:rFonts w:hint="eastAsia"/>
                <w:sz w:val="24"/>
              </w:rPr>
              <w:t>，</w:t>
            </w:r>
            <w:r>
              <w:rPr>
                <w:sz w:val="24"/>
              </w:rPr>
              <w:t>施工车辆减速慢行；加强施工设备的维护保养，避免不正常高噪声排放。</w:t>
            </w:r>
          </w:p>
        </w:tc>
        <w:tc>
          <w:tcPr>
            <w:tcW w:w="1268" w:type="pct"/>
            <w:vAlign w:val="center"/>
          </w:tcPr>
          <w:p w14:paraId="09A8A577">
            <w:pPr>
              <w:adjustRightInd w:val="0"/>
              <w:snapToGrid w:val="0"/>
              <w:rPr>
                <w:sz w:val="24"/>
              </w:rPr>
            </w:pPr>
            <w:r>
              <w:rPr>
                <w:sz w:val="24"/>
              </w:rPr>
              <w:t>满足</w:t>
            </w:r>
            <w:r>
              <w:rPr>
                <w:rFonts w:hint="eastAsia"/>
                <w:sz w:val="24"/>
              </w:rPr>
              <w:t>《</w:t>
            </w:r>
            <w:bookmarkStart w:id="40" w:name="OLE_LINK30"/>
            <w:r>
              <w:rPr>
                <w:rFonts w:hint="eastAsia"/>
                <w:sz w:val="24"/>
              </w:rPr>
              <w:t>建筑施工噪声排放标准</w:t>
            </w:r>
            <w:bookmarkEnd w:id="40"/>
            <w:r>
              <w:rPr>
                <w:rFonts w:hint="eastAsia"/>
                <w:sz w:val="24"/>
              </w:rPr>
              <w:t>》（GB 12523-2025）</w:t>
            </w:r>
            <w:r>
              <w:rPr>
                <w:sz w:val="24"/>
              </w:rPr>
              <w:t>限值</w:t>
            </w:r>
            <w:r>
              <w:rPr>
                <w:rFonts w:hint="eastAsia"/>
                <w:sz w:val="24"/>
              </w:rPr>
              <w:t>要求。</w:t>
            </w:r>
          </w:p>
        </w:tc>
        <w:tc>
          <w:tcPr>
            <w:tcW w:w="913" w:type="pct"/>
            <w:vAlign w:val="center"/>
          </w:tcPr>
          <w:p w14:paraId="25E07D61">
            <w:pPr>
              <w:adjustRightInd w:val="0"/>
              <w:snapToGrid w:val="0"/>
              <w:jc w:val="center"/>
              <w:rPr>
                <w:sz w:val="24"/>
              </w:rPr>
            </w:pPr>
            <w:r>
              <w:rPr>
                <w:rFonts w:hint="eastAsia"/>
                <w:sz w:val="24"/>
              </w:rPr>
              <w:t>依托现有输送泵，不涉及新增噪声源。</w:t>
            </w:r>
          </w:p>
        </w:tc>
        <w:tc>
          <w:tcPr>
            <w:tcW w:w="895" w:type="pct"/>
            <w:vAlign w:val="center"/>
          </w:tcPr>
          <w:p w14:paraId="3036C017">
            <w:pPr>
              <w:adjustRightInd w:val="0"/>
              <w:snapToGrid w:val="0"/>
              <w:rPr>
                <w:sz w:val="24"/>
              </w:rPr>
            </w:pPr>
            <w:r>
              <w:rPr>
                <w:rFonts w:hint="eastAsia"/>
                <w:sz w:val="24"/>
              </w:rPr>
              <w:t>《工业企业厂界环境噪声排放标准》（GB 12348-2008）3类标准</w:t>
            </w:r>
          </w:p>
        </w:tc>
      </w:tr>
      <w:tr w14:paraId="0B9D0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9" w:hRule="atLeast"/>
          <w:jc w:val="center"/>
        </w:trPr>
        <w:tc>
          <w:tcPr>
            <w:tcW w:w="643" w:type="pct"/>
            <w:vAlign w:val="center"/>
          </w:tcPr>
          <w:p w14:paraId="606F5E12">
            <w:pPr>
              <w:adjustRightInd w:val="0"/>
              <w:snapToGrid w:val="0"/>
              <w:jc w:val="center"/>
              <w:rPr>
                <w:sz w:val="24"/>
              </w:rPr>
            </w:pPr>
            <w:r>
              <w:rPr>
                <w:sz w:val="24"/>
              </w:rPr>
              <w:t>大气环境</w:t>
            </w:r>
          </w:p>
        </w:tc>
        <w:tc>
          <w:tcPr>
            <w:tcW w:w="1281" w:type="pct"/>
            <w:vAlign w:val="center"/>
          </w:tcPr>
          <w:p w14:paraId="2B78B78D">
            <w:pPr>
              <w:adjustRightInd w:val="0"/>
              <w:snapToGrid w:val="0"/>
              <w:rPr>
                <w:sz w:val="24"/>
              </w:rPr>
            </w:pPr>
            <w:r>
              <w:rPr>
                <w:sz w:val="24"/>
              </w:rPr>
              <w:t>避开易起尘天气施工</w:t>
            </w:r>
            <w:r>
              <w:rPr>
                <w:rFonts w:hint="eastAsia"/>
                <w:sz w:val="24"/>
              </w:rPr>
              <w:t>，</w:t>
            </w:r>
            <w:r>
              <w:rPr>
                <w:sz w:val="24"/>
              </w:rPr>
              <w:t>运输车辆低速行驶、路面及现场定期</w:t>
            </w:r>
            <w:r>
              <w:rPr>
                <w:rFonts w:hint="eastAsia"/>
                <w:sz w:val="24"/>
              </w:rPr>
              <w:t>洒水</w:t>
            </w:r>
            <w:r>
              <w:rPr>
                <w:sz w:val="24"/>
              </w:rPr>
              <w:t>。</w:t>
            </w:r>
          </w:p>
        </w:tc>
        <w:tc>
          <w:tcPr>
            <w:tcW w:w="1268" w:type="pct"/>
            <w:vAlign w:val="center"/>
          </w:tcPr>
          <w:p w14:paraId="51265BFC">
            <w:pPr>
              <w:adjustRightInd w:val="0"/>
              <w:snapToGrid w:val="0"/>
              <w:jc w:val="left"/>
              <w:rPr>
                <w:sz w:val="24"/>
              </w:rPr>
            </w:pPr>
            <w:r>
              <w:rPr>
                <w:kern w:val="0"/>
                <w:sz w:val="24"/>
              </w:rPr>
              <w:t>《大气污染物综合排放标准》</w:t>
            </w:r>
            <w:r>
              <w:rPr>
                <w:rFonts w:hint="eastAsia"/>
                <w:kern w:val="0"/>
                <w:sz w:val="24"/>
              </w:rPr>
              <w:t>（GB 16297-1996）</w:t>
            </w:r>
            <w:r>
              <w:rPr>
                <w:kern w:val="0"/>
                <w:sz w:val="24"/>
              </w:rPr>
              <w:t>中表2标准限值</w:t>
            </w:r>
            <w:r>
              <w:rPr>
                <w:rFonts w:hint="eastAsia"/>
                <w:kern w:val="0"/>
                <w:sz w:val="24"/>
              </w:rPr>
              <w:t>。</w:t>
            </w:r>
          </w:p>
        </w:tc>
        <w:tc>
          <w:tcPr>
            <w:tcW w:w="913" w:type="pct"/>
            <w:vAlign w:val="center"/>
          </w:tcPr>
          <w:p w14:paraId="47A3C27D">
            <w:pPr>
              <w:adjustRightInd w:val="0"/>
              <w:snapToGrid w:val="0"/>
              <w:jc w:val="center"/>
              <w:rPr>
                <w:sz w:val="24"/>
              </w:rPr>
            </w:pPr>
            <w:r>
              <w:rPr>
                <w:sz w:val="24"/>
              </w:rPr>
              <w:t>定期巡检和维护，避免</w:t>
            </w:r>
            <w:r>
              <w:rPr>
                <w:rFonts w:hint="eastAsia"/>
                <w:sz w:val="24"/>
              </w:rPr>
              <w:t>管道泄漏</w:t>
            </w:r>
            <w:r>
              <w:rPr>
                <w:sz w:val="24"/>
              </w:rPr>
              <w:t>。</w:t>
            </w:r>
          </w:p>
        </w:tc>
        <w:tc>
          <w:tcPr>
            <w:tcW w:w="895" w:type="pct"/>
            <w:vAlign w:val="center"/>
          </w:tcPr>
          <w:p w14:paraId="70691D7C">
            <w:pPr>
              <w:adjustRightInd w:val="0"/>
              <w:snapToGrid w:val="0"/>
              <w:jc w:val="center"/>
              <w:rPr>
                <w:sz w:val="24"/>
              </w:rPr>
            </w:pPr>
            <w:r>
              <w:rPr>
                <w:sz w:val="24"/>
              </w:rPr>
              <w:t>落实巡检和维护</w:t>
            </w:r>
            <w:r>
              <w:rPr>
                <w:rFonts w:hint="eastAsia"/>
                <w:sz w:val="24"/>
              </w:rPr>
              <w:t>责任</w:t>
            </w:r>
            <w:r>
              <w:rPr>
                <w:sz w:val="24"/>
              </w:rPr>
              <w:t>。</w:t>
            </w:r>
          </w:p>
        </w:tc>
      </w:tr>
      <w:tr w14:paraId="13E585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643" w:type="pct"/>
            <w:vAlign w:val="center"/>
          </w:tcPr>
          <w:p w14:paraId="21965D5A">
            <w:pPr>
              <w:adjustRightInd w:val="0"/>
              <w:snapToGrid w:val="0"/>
              <w:jc w:val="center"/>
              <w:rPr>
                <w:sz w:val="24"/>
              </w:rPr>
            </w:pPr>
            <w:r>
              <w:rPr>
                <w:sz w:val="24"/>
              </w:rPr>
              <w:t>固体废物</w:t>
            </w:r>
          </w:p>
        </w:tc>
        <w:tc>
          <w:tcPr>
            <w:tcW w:w="1281" w:type="pct"/>
            <w:vAlign w:val="center"/>
          </w:tcPr>
          <w:p w14:paraId="20880E61">
            <w:pPr>
              <w:adjustRightInd w:val="0"/>
              <w:snapToGrid w:val="0"/>
              <w:rPr>
                <w:sz w:val="24"/>
              </w:rPr>
            </w:pPr>
            <w:r>
              <w:rPr>
                <w:rFonts w:hint="eastAsia"/>
                <w:sz w:val="24"/>
              </w:rPr>
              <w:t>施工废料收集后运送至市政指定地点；废油漆桶暂存于伊泰化工危废间，交由有资质单位处置。</w:t>
            </w:r>
          </w:p>
        </w:tc>
        <w:tc>
          <w:tcPr>
            <w:tcW w:w="1268" w:type="pct"/>
            <w:vAlign w:val="center"/>
          </w:tcPr>
          <w:p w14:paraId="1E9C5A0F">
            <w:pPr>
              <w:adjustRightInd w:val="0"/>
              <w:snapToGrid w:val="0"/>
              <w:jc w:val="center"/>
              <w:rPr>
                <w:sz w:val="24"/>
              </w:rPr>
            </w:pPr>
            <w:r>
              <w:rPr>
                <w:rFonts w:hint="eastAsia"/>
                <w:sz w:val="24"/>
              </w:rPr>
              <w:t>综合利用，不外排</w:t>
            </w:r>
          </w:p>
        </w:tc>
        <w:tc>
          <w:tcPr>
            <w:tcW w:w="913" w:type="pct"/>
            <w:vAlign w:val="center"/>
          </w:tcPr>
          <w:p w14:paraId="6F37BB7A">
            <w:pPr>
              <w:adjustRightInd w:val="0"/>
              <w:snapToGrid w:val="0"/>
              <w:jc w:val="center"/>
              <w:rPr>
                <w:sz w:val="24"/>
              </w:rPr>
            </w:pPr>
            <w:r>
              <w:rPr>
                <w:sz w:val="24"/>
              </w:rPr>
              <w:t>--</w:t>
            </w:r>
          </w:p>
        </w:tc>
        <w:tc>
          <w:tcPr>
            <w:tcW w:w="895" w:type="pct"/>
            <w:vAlign w:val="center"/>
          </w:tcPr>
          <w:p w14:paraId="482022D8">
            <w:pPr>
              <w:adjustRightInd w:val="0"/>
              <w:snapToGrid w:val="0"/>
              <w:jc w:val="center"/>
              <w:rPr>
                <w:sz w:val="24"/>
              </w:rPr>
            </w:pPr>
            <w:r>
              <w:rPr>
                <w:sz w:val="24"/>
              </w:rPr>
              <w:t>--</w:t>
            </w:r>
          </w:p>
        </w:tc>
      </w:tr>
      <w:tr w14:paraId="7CE56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2" w:hRule="atLeast"/>
          <w:jc w:val="center"/>
        </w:trPr>
        <w:tc>
          <w:tcPr>
            <w:tcW w:w="643" w:type="pct"/>
            <w:vAlign w:val="center"/>
          </w:tcPr>
          <w:p w14:paraId="6730C921">
            <w:pPr>
              <w:adjustRightInd w:val="0"/>
              <w:snapToGrid w:val="0"/>
              <w:jc w:val="center"/>
              <w:rPr>
                <w:sz w:val="24"/>
              </w:rPr>
            </w:pPr>
            <w:r>
              <w:rPr>
                <w:sz w:val="24"/>
              </w:rPr>
              <w:t>电磁环境</w:t>
            </w:r>
          </w:p>
        </w:tc>
        <w:tc>
          <w:tcPr>
            <w:tcW w:w="1281" w:type="pct"/>
            <w:vAlign w:val="center"/>
          </w:tcPr>
          <w:p w14:paraId="55A0F325">
            <w:pPr>
              <w:adjustRightInd w:val="0"/>
              <w:snapToGrid w:val="0"/>
              <w:jc w:val="center"/>
              <w:rPr>
                <w:sz w:val="24"/>
              </w:rPr>
            </w:pPr>
            <w:r>
              <w:rPr>
                <w:sz w:val="24"/>
              </w:rPr>
              <w:t>--</w:t>
            </w:r>
          </w:p>
        </w:tc>
        <w:tc>
          <w:tcPr>
            <w:tcW w:w="1268" w:type="pct"/>
            <w:vAlign w:val="center"/>
          </w:tcPr>
          <w:p w14:paraId="1A9CAB75">
            <w:pPr>
              <w:adjustRightInd w:val="0"/>
              <w:snapToGrid w:val="0"/>
              <w:jc w:val="center"/>
              <w:rPr>
                <w:sz w:val="24"/>
              </w:rPr>
            </w:pPr>
            <w:r>
              <w:rPr>
                <w:sz w:val="24"/>
              </w:rPr>
              <w:t>--</w:t>
            </w:r>
          </w:p>
        </w:tc>
        <w:tc>
          <w:tcPr>
            <w:tcW w:w="913" w:type="pct"/>
            <w:vAlign w:val="center"/>
          </w:tcPr>
          <w:p w14:paraId="076A7941">
            <w:pPr>
              <w:adjustRightInd w:val="0"/>
              <w:snapToGrid w:val="0"/>
              <w:jc w:val="center"/>
              <w:rPr>
                <w:sz w:val="24"/>
              </w:rPr>
            </w:pPr>
            <w:r>
              <w:rPr>
                <w:sz w:val="24"/>
              </w:rPr>
              <w:t>--</w:t>
            </w:r>
          </w:p>
        </w:tc>
        <w:tc>
          <w:tcPr>
            <w:tcW w:w="895" w:type="pct"/>
            <w:vAlign w:val="center"/>
          </w:tcPr>
          <w:p w14:paraId="1ABA6C9C">
            <w:pPr>
              <w:adjustRightInd w:val="0"/>
              <w:snapToGrid w:val="0"/>
              <w:jc w:val="center"/>
              <w:rPr>
                <w:sz w:val="24"/>
              </w:rPr>
            </w:pPr>
            <w:r>
              <w:rPr>
                <w:sz w:val="24"/>
              </w:rPr>
              <w:t>--</w:t>
            </w:r>
          </w:p>
        </w:tc>
      </w:tr>
      <w:tr w14:paraId="44348C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66" w:hRule="atLeast"/>
          <w:jc w:val="center"/>
        </w:trPr>
        <w:tc>
          <w:tcPr>
            <w:tcW w:w="643" w:type="pct"/>
            <w:vAlign w:val="center"/>
          </w:tcPr>
          <w:p w14:paraId="07A4AC6D">
            <w:pPr>
              <w:adjustRightInd w:val="0"/>
              <w:snapToGrid w:val="0"/>
              <w:jc w:val="center"/>
              <w:rPr>
                <w:sz w:val="24"/>
              </w:rPr>
            </w:pPr>
            <w:r>
              <w:rPr>
                <w:rFonts w:hint="eastAsia"/>
                <w:sz w:val="24"/>
              </w:rPr>
              <w:t>生态</w:t>
            </w:r>
            <w:r>
              <w:rPr>
                <w:sz w:val="24"/>
              </w:rPr>
              <w:t>环境风险</w:t>
            </w:r>
          </w:p>
        </w:tc>
        <w:tc>
          <w:tcPr>
            <w:tcW w:w="1281" w:type="pct"/>
            <w:vAlign w:val="center"/>
          </w:tcPr>
          <w:p w14:paraId="537773B0">
            <w:pPr>
              <w:adjustRightInd w:val="0"/>
              <w:snapToGrid w:val="0"/>
              <w:rPr>
                <w:sz w:val="24"/>
              </w:rPr>
            </w:pPr>
            <w:r>
              <w:rPr>
                <w:rFonts w:hint="eastAsia"/>
                <w:sz w:val="24"/>
              </w:rPr>
              <w:t>①建设项目的管道设计、施工和运营等必须进行科学规划、合理布置、严格执行国家的安全设计规范，特别是管道防腐，应保证施工质量，避免或减少事故的发生。</w:t>
            </w:r>
          </w:p>
          <w:p w14:paraId="289E1994">
            <w:pPr>
              <w:adjustRightInd w:val="0"/>
              <w:snapToGrid w:val="0"/>
              <w:rPr>
                <w:sz w:val="24"/>
              </w:rPr>
            </w:pPr>
            <w:r>
              <w:rPr>
                <w:rFonts w:hint="eastAsia"/>
                <w:sz w:val="24"/>
              </w:rPr>
              <w:t>②在管道附近设置安全标识，防止人为破坏等。</w:t>
            </w:r>
          </w:p>
          <w:p w14:paraId="54481928">
            <w:pPr>
              <w:adjustRightInd w:val="0"/>
              <w:snapToGrid w:val="0"/>
              <w:rPr>
                <w:sz w:val="24"/>
              </w:rPr>
            </w:pPr>
            <w:r>
              <w:rPr>
                <w:rFonts w:hint="eastAsia"/>
                <w:sz w:val="24"/>
              </w:rPr>
              <w:t>③</w:t>
            </w:r>
            <w:r>
              <w:rPr>
                <w:sz w:val="24"/>
              </w:rPr>
              <w:t>管线末端设置手动切断阀组。在物料输出端和接收端设置中控系统和紧急切断阀，阀门和仪表的控制信号接入伊泰化工公司DCS系统。</w:t>
            </w:r>
          </w:p>
        </w:tc>
        <w:tc>
          <w:tcPr>
            <w:tcW w:w="1268" w:type="pct"/>
            <w:vAlign w:val="center"/>
          </w:tcPr>
          <w:p w14:paraId="6CF9FDED">
            <w:pPr>
              <w:adjustRightInd w:val="0"/>
              <w:snapToGrid w:val="0"/>
              <w:jc w:val="center"/>
              <w:rPr>
                <w:sz w:val="24"/>
              </w:rPr>
            </w:pPr>
            <w:r>
              <w:rPr>
                <w:rFonts w:hint="eastAsia"/>
                <w:sz w:val="24"/>
              </w:rPr>
              <w:t>生态环境风险可防控</w:t>
            </w:r>
          </w:p>
        </w:tc>
        <w:tc>
          <w:tcPr>
            <w:tcW w:w="913" w:type="pct"/>
            <w:vAlign w:val="center"/>
          </w:tcPr>
          <w:p w14:paraId="4D8F6A9A">
            <w:pPr>
              <w:adjustRightInd w:val="0"/>
              <w:snapToGrid w:val="0"/>
              <w:rPr>
                <w:sz w:val="24"/>
              </w:rPr>
            </w:pPr>
            <w:r>
              <w:rPr>
                <w:rFonts w:hint="eastAsia"/>
                <w:sz w:val="24"/>
              </w:rPr>
              <w:t>①</w:t>
            </w:r>
            <w:r>
              <w:rPr>
                <w:sz w:val="24"/>
              </w:rPr>
              <w:t>依托和完善内蒙古伊泰化工有限责任公司已制定的风险防范执行制度，加强管线的日常巡检</w:t>
            </w:r>
            <w:r>
              <w:rPr>
                <w:rFonts w:hint="eastAsia"/>
                <w:sz w:val="24"/>
              </w:rPr>
              <w:t>（</w:t>
            </w:r>
            <w:r>
              <w:rPr>
                <w:sz w:val="24"/>
              </w:rPr>
              <w:t>包括巡查巡视和探测</w:t>
            </w:r>
            <w:r>
              <w:rPr>
                <w:rFonts w:hint="eastAsia"/>
                <w:sz w:val="24"/>
              </w:rPr>
              <w:t>）</w:t>
            </w:r>
            <w:r>
              <w:rPr>
                <w:sz w:val="24"/>
              </w:rPr>
              <w:t>，以及加强管线警示标志的维护管理</w:t>
            </w:r>
            <w:r>
              <w:rPr>
                <w:rFonts w:hint="eastAsia"/>
                <w:sz w:val="24"/>
              </w:rPr>
              <w:t>。    ②</w:t>
            </w:r>
            <w:r>
              <w:rPr>
                <w:sz w:val="24"/>
              </w:rPr>
              <w:t>定期检查</w:t>
            </w:r>
            <w:r>
              <w:rPr>
                <w:rFonts w:hint="eastAsia"/>
                <w:sz w:val="24"/>
              </w:rPr>
              <w:t>伊泰化工公</w:t>
            </w:r>
            <w:r>
              <w:rPr>
                <w:sz w:val="24"/>
              </w:rPr>
              <w:t>司</w:t>
            </w:r>
            <w:r>
              <w:rPr>
                <w:rFonts w:hint="eastAsia"/>
                <w:sz w:val="24"/>
              </w:rPr>
              <w:t>的</w:t>
            </w:r>
            <w:r>
              <w:rPr>
                <w:sz w:val="24"/>
              </w:rPr>
              <w:t>DCS系统</w:t>
            </w:r>
            <w:r>
              <w:rPr>
                <w:rFonts w:hint="eastAsia"/>
                <w:sz w:val="24"/>
              </w:rPr>
              <w:t>。</w:t>
            </w:r>
            <w:r>
              <w:rPr>
                <w:sz w:val="24"/>
              </w:rPr>
              <w:t>加强中控</w:t>
            </w:r>
            <w:r>
              <w:rPr>
                <w:rFonts w:hint="eastAsia"/>
                <w:sz w:val="24"/>
              </w:rPr>
              <w:t>系统</w:t>
            </w:r>
            <w:r>
              <w:rPr>
                <w:sz w:val="24"/>
              </w:rPr>
              <w:t>监视</w:t>
            </w:r>
            <w:r>
              <w:rPr>
                <w:rFonts w:hint="eastAsia"/>
                <w:sz w:val="24"/>
              </w:rPr>
              <w:t>。</w:t>
            </w:r>
          </w:p>
          <w:p w14:paraId="11F97961">
            <w:pPr>
              <w:adjustRightInd w:val="0"/>
              <w:snapToGrid w:val="0"/>
              <w:rPr>
                <w:sz w:val="24"/>
              </w:rPr>
            </w:pPr>
            <w:r>
              <w:rPr>
                <w:rFonts w:hint="eastAsia"/>
                <w:sz w:val="24"/>
              </w:rPr>
              <w:t>③</w:t>
            </w:r>
            <w:r>
              <w:rPr>
                <w:sz w:val="24"/>
              </w:rPr>
              <w:t>将本</w:t>
            </w:r>
            <w:r>
              <w:rPr>
                <w:rFonts w:hint="eastAsia"/>
                <w:sz w:val="24"/>
              </w:rPr>
              <w:t>项目</w:t>
            </w:r>
            <w:r>
              <w:rPr>
                <w:sz w:val="24"/>
              </w:rPr>
              <w:t>纳入内蒙古伊泰化工有限责任公司</w:t>
            </w:r>
            <w:r>
              <w:rPr>
                <w:rFonts w:hint="eastAsia"/>
                <w:sz w:val="24"/>
              </w:rPr>
              <w:t>突发环境事件应急预案体系，修订突发环境事件应急预案，定期开展应急演练。</w:t>
            </w:r>
          </w:p>
          <w:p w14:paraId="2AB23324">
            <w:pPr>
              <w:adjustRightInd w:val="0"/>
              <w:snapToGrid w:val="0"/>
              <w:rPr>
                <w:sz w:val="24"/>
              </w:rPr>
            </w:pPr>
            <w:r>
              <w:rPr>
                <w:rFonts w:hint="eastAsia"/>
                <w:sz w:val="24"/>
              </w:rPr>
              <w:t>④</w:t>
            </w:r>
            <w:r>
              <w:rPr>
                <w:sz w:val="24"/>
              </w:rPr>
              <w:t>加强与周边企业联防联控。</w:t>
            </w:r>
          </w:p>
        </w:tc>
        <w:tc>
          <w:tcPr>
            <w:tcW w:w="895" w:type="pct"/>
            <w:vAlign w:val="center"/>
          </w:tcPr>
          <w:p w14:paraId="1160A8B3">
            <w:pPr>
              <w:adjustRightInd w:val="0"/>
              <w:snapToGrid w:val="0"/>
              <w:jc w:val="center"/>
              <w:rPr>
                <w:sz w:val="24"/>
              </w:rPr>
            </w:pPr>
            <w:r>
              <w:rPr>
                <w:rFonts w:hint="eastAsia"/>
                <w:sz w:val="24"/>
              </w:rPr>
              <w:t>生态环境风险可防控</w:t>
            </w:r>
          </w:p>
        </w:tc>
      </w:tr>
      <w:tr w14:paraId="62927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3" w:hRule="atLeast"/>
          <w:jc w:val="center"/>
        </w:trPr>
        <w:tc>
          <w:tcPr>
            <w:tcW w:w="643" w:type="pct"/>
            <w:vAlign w:val="center"/>
          </w:tcPr>
          <w:p w14:paraId="2EFE2007">
            <w:pPr>
              <w:adjustRightInd w:val="0"/>
              <w:snapToGrid w:val="0"/>
              <w:jc w:val="center"/>
              <w:rPr>
                <w:sz w:val="24"/>
              </w:rPr>
            </w:pPr>
            <w:r>
              <w:rPr>
                <w:sz w:val="24"/>
              </w:rPr>
              <w:t>环境监测</w:t>
            </w:r>
          </w:p>
        </w:tc>
        <w:tc>
          <w:tcPr>
            <w:tcW w:w="1281" w:type="pct"/>
            <w:vAlign w:val="center"/>
          </w:tcPr>
          <w:p w14:paraId="661F821C">
            <w:pPr>
              <w:spacing w:line="360" w:lineRule="exact"/>
              <w:jc w:val="center"/>
              <w:rPr>
                <w:sz w:val="24"/>
              </w:rPr>
            </w:pPr>
            <w:r>
              <w:rPr>
                <w:rFonts w:hint="eastAsia"/>
                <w:sz w:val="24"/>
              </w:rPr>
              <w:t>--</w:t>
            </w:r>
          </w:p>
        </w:tc>
        <w:tc>
          <w:tcPr>
            <w:tcW w:w="1268" w:type="pct"/>
            <w:vAlign w:val="center"/>
          </w:tcPr>
          <w:p w14:paraId="61CF56A5">
            <w:pPr>
              <w:adjustRightInd w:val="0"/>
              <w:snapToGrid w:val="0"/>
              <w:jc w:val="center"/>
              <w:rPr>
                <w:sz w:val="24"/>
              </w:rPr>
            </w:pPr>
            <w:r>
              <w:rPr>
                <w:rFonts w:hint="eastAsia"/>
                <w:sz w:val="24"/>
              </w:rPr>
              <w:t>--</w:t>
            </w:r>
          </w:p>
        </w:tc>
        <w:tc>
          <w:tcPr>
            <w:tcW w:w="913" w:type="pct"/>
            <w:vAlign w:val="center"/>
          </w:tcPr>
          <w:p w14:paraId="6A3BD60D">
            <w:pPr>
              <w:adjustRightInd w:val="0"/>
              <w:snapToGrid w:val="0"/>
              <w:jc w:val="center"/>
              <w:rPr>
                <w:sz w:val="24"/>
              </w:rPr>
            </w:pPr>
            <w:r>
              <w:rPr>
                <w:sz w:val="24"/>
              </w:rPr>
              <w:t>--</w:t>
            </w:r>
          </w:p>
        </w:tc>
        <w:tc>
          <w:tcPr>
            <w:tcW w:w="895" w:type="pct"/>
            <w:vAlign w:val="center"/>
          </w:tcPr>
          <w:p w14:paraId="148F8FF6">
            <w:pPr>
              <w:adjustRightInd w:val="0"/>
              <w:snapToGrid w:val="0"/>
              <w:jc w:val="center"/>
              <w:rPr>
                <w:sz w:val="24"/>
              </w:rPr>
            </w:pPr>
            <w:r>
              <w:rPr>
                <w:sz w:val="24"/>
              </w:rPr>
              <w:t>--</w:t>
            </w:r>
          </w:p>
        </w:tc>
      </w:tr>
      <w:tr w14:paraId="49E19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74" w:hRule="atLeast"/>
          <w:jc w:val="center"/>
        </w:trPr>
        <w:tc>
          <w:tcPr>
            <w:tcW w:w="643" w:type="pct"/>
            <w:vAlign w:val="center"/>
          </w:tcPr>
          <w:p w14:paraId="29127011">
            <w:pPr>
              <w:adjustRightInd w:val="0"/>
              <w:snapToGrid w:val="0"/>
              <w:jc w:val="center"/>
              <w:rPr>
                <w:sz w:val="24"/>
              </w:rPr>
            </w:pPr>
            <w:r>
              <w:rPr>
                <w:sz w:val="24"/>
              </w:rPr>
              <w:t>其他</w:t>
            </w:r>
          </w:p>
        </w:tc>
        <w:tc>
          <w:tcPr>
            <w:tcW w:w="1281" w:type="pct"/>
            <w:vAlign w:val="center"/>
          </w:tcPr>
          <w:p w14:paraId="4361FF03">
            <w:pPr>
              <w:adjustRightInd w:val="0"/>
              <w:snapToGrid w:val="0"/>
              <w:jc w:val="center"/>
              <w:rPr>
                <w:sz w:val="24"/>
              </w:rPr>
            </w:pPr>
            <w:r>
              <w:rPr>
                <w:sz w:val="24"/>
              </w:rPr>
              <w:t>--</w:t>
            </w:r>
          </w:p>
        </w:tc>
        <w:tc>
          <w:tcPr>
            <w:tcW w:w="1268" w:type="pct"/>
            <w:vAlign w:val="center"/>
          </w:tcPr>
          <w:p w14:paraId="2180F0D5">
            <w:pPr>
              <w:adjustRightInd w:val="0"/>
              <w:snapToGrid w:val="0"/>
              <w:jc w:val="center"/>
              <w:rPr>
                <w:sz w:val="24"/>
              </w:rPr>
            </w:pPr>
            <w:r>
              <w:rPr>
                <w:sz w:val="24"/>
              </w:rPr>
              <w:t>--</w:t>
            </w:r>
          </w:p>
        </w:tc>
        <w:tc>
          <w:tcPr>
            <w:tcW w:w="913" w:type="pct"/>
            <w:vAlign w:val="center"/>
          </w:tcPr>
          <w:p w14:paraId="6AA3CD94">
            <w:pPr>
              <w:adjustRightInd w:val="0"/>
              <w:snapToGrid w:val="0"/>
              <w:jc w:val="center"/>
              <w:rPr>
                <w:sz w:val="24"/>
              </w:rPr>
            </w:pPr>
            <w:r>
              <w:rPr>
                <w:sz w:val="24"/>
              </w:rPr>
              <w:t>--</w:t>
            </w:r>
          </w:p>
        </w:tc>
        <w:tc>
          <w:tcPr>
            <w:tcW w:w="895" w:type="pct"/>
            <w:vAlign w:val="center"/>
          </w:tcPr>
          <w:p w14:paraId="29129B6E">
            <w:pPr>
              <w:adjustRightInd w:val="0"/>
              <w:snapToGrid w:val="0"/>
              <w:jc w:val="center"/>
              <w:rPr>
                <w:sz w:val="24"/>
              </w:rPr>
            </w:pPr>
            <w:r>
              <w:rPr>
                <w:sz w:val="24"/>
              </w:rPr>
              <w:t>--</w:t>
            </w:r>
          </w:p>
        </w:tc>
      </w:tr>
    </w:tbl>
    <w:p w14:paraId="6F6B0A6E">
      <w:pPr>
        <w:pStyle w:val="72"/>
        <w:spacing w:before="192" w:beforeLines="80" w:beforeAutospacing="0"/>
        <w:jc w:val="center"/>
        <w:outlineLvl w:val="0"/>
        <w:rPr>
          <w:rFonts w:ascii="Times New Roman" w:hAnsi="Times New Roman"/>
          <w:b/>
          <w:bCs/>
          <w:snapToGrid w:val="0"/>
          <w:sz w:val="30"/>
          <w:szCs w:val="30"/>
        </w:rPr>
      </w:pPr>
      <w:r>
        <w:rPr>
          <w:rFonts w:ascii="Times New Roman" w:hAnsi="Times New Roman"/>
          <w:snapToGrid w:val="0"/>
          <w:sz w:val="30"/>
          <w:szCs w:val="30"/>
        </w:rPr>
        <w:br w:type="page"/>
      </w:r>
      <w:r>
        <w:rPr>
          <w:rFonts w:ascii="Times New Roman" w:hAnsi="Times New Roman"/>
          <w:b/>
          <w:bCs/>
          <w:snapToGrid w:val="0"/>
          <w:sz w:val="30"/>
          <w:szCs w:val="30"/>
        </w:rPr>
        <w:t>七、结论</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D502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5000" w:type="pct"/>
          </w:tcPr>
          <w:p w14:paraId="787BFF37">
            <w:pPr>
              <w:adjustRightInd w:val="0"/>
              <w:snapToGrid w:val="0"/>
              <w:spacing w:line="440" w:lineRule="exact"/>
              <w:ind w:firstLine="480" w:firstLineChars="200"/>
              <w:rPr>
                <w:bCs/>
                <w:sz w:val="24"/>
              </w:rPr>
            </w:pPr>
            <w:r>
              <w:rPr>
                <w:rFonts w:hint="eastAsia"/>
                <w:bCs/>
                <w:sz w:val="24"/>
              </w:rPr>
              <w:t>伊泰化工下游物料输送管线技改项目</w:t>
            </w:r>
            <w:r>
              <w:rPr>
                <w:bCs/>
                <w:sz w:val="24"/>
              </w:rPr>
              <w:t>位于</w:t>
            </w:r>
            <w:r>
              <w:rPr>
                <w:rFonts w:hint="eastAsia"/>
                <w:sz w:val="24"/>
              </w:rPr>
              <w:t>内蒙古自治区鄂尔多斯市杭锦旗独贵塔拉工业园区</w:t>
            </w:r>
            <w:r>
              <w:rPr>
                <w:bCs/>
                <w:sz w:val="24"/>
              </w:rPr>
              <w:t>，符合相关规划要求；项</w:t>
            </w:r>
            <w:r>
              <w:rPr>
                <w:rFonts w:hint="eastAsia"/>
                <w:bCs/>
                <w:sz w:val="24"/>
              </w:rPr>
              <w:t>目</w:t>
            </w:r>
            <w:r>
              <w:rPr>
                <w:bCs/>
                <w:sz w:val="24"/>
              </w:rPr>
              <w:t>符合国家及地方产业政策，满足</w:t>
            </w:r>
            <w:r>
              <w:rPr>
                <w:rFonts w:hint="eastAsia"/>
                <w:bCs/>
                <w:sz w:val="24"/>
              </w:rPr>
              <w:t>生态环境分区管控</w:t>
            </w:r>
            <w:r>
              <w:rPr>
                <w:bCs/>
                <w:sz w:val="24"/>
              </w:rPr>
              <w:t>要求；项目在采取生态恢复措施后，对沿线生态环境影响较小；在采取</w:t>
            </w:r>
            <w:r>
              <w:rPr>
                <w:rFonts w:hint="eastAsia"/>
                <w:bCs/>
                <w:sz w:val="24"/>
              </w:rPr>
              <w:t>生态</w:t>
            </w:r>
            <w:r>
              <w:rPr>
                <w:bCs/>
                <w:sz w:val="24"/>
              </w:rPr>
              <w:t>环境风险防范措施后，可将</w:t>
            </w:r>
            <w:r>
              <w:rPr>
                <w:rFonts w:hint="eastAsia"/>
                <w:bCs/>
                <w:sz w:val="24"/>
              </w:rPr>
              <w:t>生态</w:t>
            </w:r>
            <w:r>
              <w:rPr>
                <w:bCs/>
                <w:sz w:val="24"/>
              </w:rPr>
              <w:t>环境风险控制在可接受范围内。</w:t>
            </w:r>
          </w:p>
          <w:p w14:paraId="47FAD87E">
            <w:pPr>
              <w:adjustRightInd w:val="0"/>
              <w:snapToGrid w:val="0"/>
              <w:spacing w:line="440" w:lineRule="exact"/>
              <w:ind w:firstLine="480" w:firstLineChars="200"/>
              <w:rPr>
                <w:bCs/>
                <w:spacing w:val="10"/>
                <w:sz w:val="24"/>
              </w:rPr>
            </w:pPr>
            <w:r>
              <w:rPr>
                <w:bCs/>
                <w:sz w:val="24"/>
              </w:rPr>
              <w:t>因此，本评价从环保角度认为，该项目的建设是可行的。</w:t>
            </w:r>
          </w:p>
        </w:tc>
      </w:tr>
    </w:tbl>
    <w:p w14:paraId="073AF255"/>
    <w:p w14:paraId="7B6F6C09">
      <w:pPr>
        <w:sectPr>
          <w:pgSz w:w="11906" w:h="16838"/>
          <w:pgMar w:top="1701" w:right="1531" w:bottom="1701" w:left="1531" w:header="851" w:footer="1077" w:gutter="0"/>
          <w:cols w:space="720" w:num="1"/>
          <w:docGrid w:linePitch="312" w:charSpace="0"/>
        </w:sectPr>
      </w:pPr>
    </w:p>
    <w:p w14:paraId="7C908835">
      <w:pPr>
        <w:keepNext/>
        <w:keepLines/>
        <w:spacing w:before="340" w:after="330" w:line="576" w:lineRule="auto"/>
        <w:jc w:val="center"/>
        <w:rPr>
          <w:b/>
          <w:sz w:val="48"/>
          <w:szCs w:val="48"/>
        </w:rPr>
      </w:pPr>
    </w:p>
    <w:p w14:paraId="4FC64BAB">
      <w:pPr>
        <w:keepNext/>
        <w:keepLines/>
        <w:spacing w:line="360" w:lineRule="auto"/>
        <w:jc w:val="center"/>
        <w:rPr>
          <w:b/>
          <w:sz w:val="48"/>
          <w:szCs w:val="48"/>
        </w:rPr>
      </w:pPr>
      <w:r>
        <w:rPr>
          <w:rFonts w:hint="eastAsia"/>
          <w:b/>
          <w:sz w:val="48"/>
          <w:szCs w:val="48"/>
        </w:rPr>
        <w:t>伊泰化工下游物料输送管线技改项目</w:t>
      </w:r>
    </w:p>
    <w:p w14:paraId="0551C70D">
      <w:pPr>
        <w:keepNext/>
        <w:keepLines/>
        <w:spacing w:before="340" w:after="330" w:line="576" w:lineRule="auto"/>
        <w:jc w:val="center"/>
        <w:outlineLvl w:val="0"/>
        <w:rPr>
          <w:b/>
          <w:sz w:val="48"/>
          <w:szCs w:val="48"/>
        </w:rPr>
      </w:pPr>
      <w:r>
        <w:rPr>
          <w:rFonts w:hint="eastAsia"/>
          <w:b/>
          <w:sz w:val="48"/>
          <w:szCs w:val="48"/>
        </w:rPr>
        <w:t>生态环境风险专项评价</w:t>
      </w:r>
    </w:p>
    <w:p w14:paraId="2D4DEEBA">
      <w:pPr>
        <w:rPr>
          <w:sz w:val="24"/>
        </w:rPr>
      </w:pPr>
    </w:p>
    <w:p w14:paraId="21CC2778">
      <w:pPr>
        <w:rPr>
          <w:sz w:val="24"/>
        </w:rPr>
      </w:pPr>
    </w:p>
    <w:p w14:paraId="3012EE87">
      <w:pPr>
        <w:rPr>
          <w:sz w:val="24"/>
        </w:rPr>
      </w:pPr>
    </w:p>
    <w:p w14:paraId="615572E7">
      <w:pPr>
        <w:rPr>
          <w:sz w:val="24"/>
        </w:rPr>
      </w:pPr>
    </w:p>
    <w:p w14:paraId="2625FB29">
      <w:pPr>
        <w:rPr>
          <w:sz w:val="24"/>
        </w:rPr>
      </w:pPr>
    </w:p>
    <w:p w14:paraId="1A21154F">
      <w:pPr>
        <w:rPr>
          <w:sz w:val="24"/>
        </w:rPr>
      </w:pPr>
    </w:p>
    <w:p w14:paraId="023B4122">
      <w:pPr>
        <w:rPr>
          <w:sz w:val="24"/>
        </w:rPr>
      </w:pPr>
    </w:p>
    <w:p w14:paraId="363E6921">
      <w:pPr>
        <w:rPr>
          <w:sz w:val="24"/>
        </w:rPr>
      </w:pPr>
    </w:p>
    <w:p w14:paraId="1353DE2D">
      <w:pPr>
        <w:rPr>
          <w:sz w:val="24"/>
        </w:rPr>
      </w:pPr>
    </w:p>
    <w:p w14:paraId="137F1DE5">
      <w:pPr>
        <w:rPr>
          <w:sz w:val="24"/>
        </w:rPr>
      </w:pPr>
    </w:p>
    <w:p w14:paraId="0EAAA0DA">
      <w:pPr>
        <w:rPr>
          <w:sz w:val="24"/>
        </w:rPr>
      </w:pPr>
    </w:p>
    <w:p w14:paraId="42E989B0">
      <w:pPr>
        <w:rPr>
          <w:sz w:val="24"/>
        </w:rPr>
      </w:pPr>
    </w:p>
    <w:p w14:paraId="1453EB26">
      <w:pPr>
        <w:rPr>
          <w:sz w:val="24"/>
        </w:rPr>
      </w:pPr>
    </w:p>
    <w:p w14:paraId="7270CBD8">
      <w:pPr>
        <w:rPr>
          <w:sz w:val="24"/>
        </w:rPr>
      </w:pPr>
    </w:p>
    <w:p w14:paraId="6C4922C4">
      <w:pPr>
        <w:rPr>
          <w:sz w:val="24"/>
        </w:rPr>
      </w:pPr>
    </w:p>
    <w:p w14:paraId="4CC79870">
      <w:pPr>
        <w:rPr>
          <w:sz w:val="24"/>
        </w:rPr>
      </w:pPr>
    </w:p>
    <w:p w14:paraId="202FD56F">
      <w:pPr>
        <w:rPr>
          <w:sz w:val="24"/>
        </w:rPr>
      </w:pPr>
    </w:p>
    <w:p w14:paraId="661BC782">
      <w:pPr>
        <w:rPr>
          <w:sz w:val="24"/>
        </w:rPr>
      </w:pPr>
    </w:p>
    <w:p w14:paraId="52C1AB4E">
      <w:pPr>
        <w:rPr>
          <w:sz w:val="24"/>
        </w:rPr>
      </w:pPr>
    </w:p>
    <w:p w14:paraId="6AD5AA72">
      <w:pPr>
        <w:rPr>
          <w:sz w:val="24"/>
        </w:rPr>
      </w:pPr>
    </w:p>
    <w:p w14:paraId="21F8D2D3">
      <w:pPr>
        <w:rPr>
          <w:sz w:val="24"/>
        </w:rPr>
      </w:pPr>
    </w:p>
    <w:p w14:paraId="61BCA26C">
      <w:pPr>
        <w:rPr>
          <w:sz w:val="24"/>
        </w:rPr>
      </w:pPr>
    </w:p>
    <w:p w14:paraId="1CAFE4CD">
      <w:pPr>
        <w:rPr>
          <w:sz w:val="24"/>
        </w:rPr>
      </w:pPr>
    </w:p>
    <w:p w14:paraId="22E93E9A">
      <w:pPr>
        <w:spacing w:line="360" w:lineRule="auto"/>
        <w:jc w:val="center"/>
        <w:rPr>
          <w:b/>
          <w:bCs/>
          <w:sz w:val="24"/>
          <w:szCs w:val="32"/>
        </w:rPr>
      </w:pPr>
      <w:r>
        <w:rPr>
          <w:rFonts w:hint="eastAsia"/>
          <w:b/>
          <w:sz w:val="30"/>
          <w:szCs w:val="30"/>
        </w:rPr>
        <w:t>建设单位：内蒙古伊泰化工有限责任公司</w:t>
      </w:r>
    </w:p>
    <w:p w14:paraId="69136146">
      <w:pPr>
        <w:spacing w:line="360" w:lineRule="auto"/>
        <w:jc w:val="center"/>
        <w:rPr>
          <w:b/>
          <w:sz w:val="30"/>
          <w:szCs w:val="30"/>
        </w:rPr>
      </w:pPr>
      <w:r>
        <w:rPr>
          <w:rFonts w:hint="eastAsia"/>
          <w:b/>
          <w:sz w:val="30"/>
          <w:szCs w:val="30"/>
        </w:rPr>
        <w:t>编制单位：鄂尔多斯市环保投资有限公司</w:t>
      </w:r>
    </w:p>
    <w:p w14:paraId="2787B7A3">
      <w:pPr>
        <w:ind w:firstLine="1506" w:firstLineChars="500"/>
        <w:rPr>
          <w:b/>
          <w:bCs/>
          <w:sz w:val="24"/>
          <w:szCs w:val="32"/>
        </w:rPr>
      </w:pPr>
      <w:r>
        <w:rPr>
          <w:rFonts w:hint="eastAsia"/>
          <w:b/>
          <w:sz w:val="30"/>
          <w:szCs w:val="30"/>
        </w:rPr>
        <w:t>编制日期：二〇二六年六月</w:t>
      </w:r>
    </w:p>
    <w:p w14:paraId="1C9CAFB3">
      <w:pPr>
        <w:rPr>
          <w:b/>
          <w:bCs/>
          <w:sz w:val="24"/>
          <w:szCs w:val="32"/>
        </w:rPr>
      </w:pPr>
    </w:p>
    <w:p w14:paraId="420D2471">
      <w:pPr>
        <w:widowControl/>
        <w:jc w:val="left"/>
        <w:rPr>
          <w:b/>
          <w:bCs/>
          <w:sz w:val="24"/>
          <w:szCs w:val="32"/>
        </w:rPr>
      </w:pPr>
      <w:r>
        <w:rPr>
          <w:b/>
          <w:bCs/>
          <w:sz w:val="24"/>
          <w:szCs w:val="32"/>
        </w:rPr>
        <w:br w:type="page"/>
      </w:r>
    </w:p>
    <w:p w14:paraId="0D3BE8A8">
      <w:pPr>
        <w:overflowPunct w:val="0"/>
        <w:spacing w:before="180" w:after="180" w:line="440" w:lineRule="exact"/>
        <w:jc w:val="left"/>
        <w:outlineLvl w:val="0"/>
        <w:rPr>
          <w:b/>
          <w:kern w:val="44"/>
          <w:sz w:val="30"/>
          <w:szCs w:val="30"/>
        </w:rPr>
      </w:pPr>
      <w:bookmarkStart w:id="41" w:name="_Toc150331193"/>
      <w:r>
        <w:rPr>
          <w:b/>
          <w:kern w:val="44"/>
          <w:sz w:val="30"/>
          <w:szCs w:val="30"/>
        </w:rPr>
        <w:t>1.前言</w:t>
      </w:r>
      <w:bookmarkEnd w:id="41"/>
    </w:p>
    <w:p w14:paraId="4E593432">
      <w:pPr>
        <w:snapToGrid w:val="0"/>
        <w:spacing w:line="440" w:lineRule="exact"/>
        <w:ind w:firstLine="480" w:firstLineChars="200"/>
        <w:rPr>
          <w:sz w:val="24"/>
        </w:rPr>
      </w:pPr>
      <w:r>
        <w:rPr>
          <w:rFonts w:hint="eastAsia"/>
          <w:sz w:val="24"/>
        </w:rPr>
        <w:t>根据《建设项目环境影响评价分类管理名录》（2021年本），项目</w:t>
      </w:r>
      <w:r>
        <w:rPr>
          <w:sz w:val="24"/>
        </w:rPr>
        <w:t>属于</w:t>
      </w:r>
      <w:r>
        <w:rPr>
          <w:rFonts w:hint="eastAsia" w:ascii="宋体" w:hAnsi="宋体"/>
          <w:sz w:val="24"/>
        </w:rPr>
        <w:t>“</w:t>
      </w:r>
      <w:r>
        <w:rPr>
          <w:sz w:val="24"/>
        </w:rPr>
        <w:t>五十二、交通运输业、管道运输业--14</w:t>
      </w:r>
      <w:r>
        <w:rPr>
          <w:rFonts w:hint="eastAsia"/>
          <w:sz w:val="24"/>
        </w:rPr>
        <w:t>8危险化学品输送</w:t>
      </w:r>
      <w:r>
        <w:rPr>
          <w:sz w:val="24"/>
        </w:rPr>
        <w:t>管线（不含企业厂区内</w:t>
      </w:r>
      <w:r>
        <w:rPr>
          <w:rFonts w:hint="eastAsia"/>
          <w:sz w:val="24"/>
        </w:rPr>
        <w:t>管线</w:t>
      </w:r>
      <w:r>
        <w:rPr>
          <w:sz w:val="24"/>
        </w:rPr>
        <w:t>）</w:t>
      </w:r>
      <w:r>
        <w:rPr>
          <w:rFonts w:hint="eastAsia" w:ascii="宋体" w:hAnsi="宋体"/>
          <w:sz w:val="24"/>
        </w:rPr>
        <w:t>”，</w:t>
      </w:r>
      <w:r>
        <w:rPr>
          <w:rFonts w:hint="eastAsia"/>
          <w:sz w:val="24"/>
        </w:rPr>
        <w:t>应该编制生态环境影响报告表。</w:t>
      </w:r>
    </w:p>
    <w:p w14:paraId="4F3440B9">
      <w:pPr>
        <w:autoSpaceDE w:val="0"/>
        <w:autoSpaceDN w:val="0"/>
        <w:adjustRightInd w:val="0"/>
        <w:spacing w:line="440" w:lineRule="exact"/>
        <w:ind w:firstLine="480" w:firstLineChars="200"/>
        <w:textAlignment w:val="baseline"/>
        <w:rPr>
          <w:rFonts w:hint="eastAsia" w:ascii="宋体" w:hAnsi="宋体" w:cs="宋体"/>
          <w:sz w:val="24"/>
        </w:rPr>
      </w:pPr>
      <w:r>
        <w:rPr>
          <w:rFonts w:hint="eastAsia" w:ascii="宋体" w:hAnsi="宋体" w:cs="宋体"/>
          <w:sz w:val="24"/>
        </w:rPr>
        <w:t>根据《建设项目环境影响报告表编制技术指南（生态影响类）（试行）》，原油、成品油、天然气管线（不含城镇天然气管线、企业厂区内管线）及</w:t>
      </w:r>
      <w:r>
        <w:rPr>
          <w:rFonts w:hint="eastAsia" w:ascii="宋体" w:hAnsi="宋体" w:cs="宋体"/>
          <w:b/>
          <w:bCs/>
          <w:sz w:val="24"/>
        </w:rPr>
        <w:t>危险化学品输送管线（不含企业厂区内管线）应设置生态环境风险专项评价</w:t>
      </w:r>
      <w:r>
        <w:rPr>
          <w:rFonts w:hint="eastAsia" w:ascii="宋体" w:hAnsi="宋体" w:cs="宋体"/>
          <w:sz w:val="24"/>
        </w:rPr>
        <w:t>。</w:t>
      </w:r>
    </w:p>
    <w:p w14:paraId="22A3DBE4">
      <w:pPr>
        <w:autoSpaceDE w:val="0"/>
        <w:autoSpaceDN w:val="0"/>
        <w:adjustRightInd w:val="0"/>
        <w:spacing w:line="440" w:lineRule="exact"/>
        <w:ind w:firstLine="480" w:firstLineChars="200"/>
        <w:textAlignment w:val="baseline"/>
        <w:rPr>
          <w:sz w:val="24"/>
        </w:rPr>
      </w:pPr>
      <w:r>
        <w:rPr>
          <w:sz w:val="24"/>
        </w:rPr>
        <w:t>根据生态环境部发布的《建设项目环境风险评价技术导则》（HJ 169-2018）要求，对于涉及有毒有害和易燃易爆物质的生产、使用、储存（包括使用管线输运）的建设项目进行</w:t>
      </w:r>
      <w:r>
        <w:rPr>
          <w:rFonts w:hint="eastAsia"/>
          <w:sz w:val="24"/>
        </w:rPr>
        <w:t>生态环境</w:t>
      </w:r>
      <w:r>
        <w:rPr>
          <w:sz w:val="24"/>
        </w:rPr>
        <w:t>风险评价。</w:t>
      </w:r>
    </w:p>
    <w:p w14:paraId="033775C6">
      <w:pPr>
        <w:autoSpaceDE w:val="0"/>
        <w:autoSpaceDN w:val="0"/>
        <w:adjustRightInd w:val="0"/>
        <w:spacing w:line="440" w:lineRule="exact"/>
        <w:ind w:firstLine="480" w:firstLineChars="200"/>
        <w:textAlignment w:val="baseline"/>
        <w:rPr>
          <w:rFonts w:hint="eastAsia" w:ascii="宋体" w:hAnsi="宋体"/>
          <w:sz w:val="24"/>
        </w:rPr>
      </w:pPr>
      <w:r>
        <w:rPr>
          <w:rFonts w:ascii="宋体" w:hAnsi="宋体"/>
          <w:sz w:val="24"/>
        </w:rPr>
        <w:t>本次</w:t>
      </w:r>
      <w:r>
        <w:rPr>
          <w:rFonts w:hint="eastAsia" w:ascii="宋体" w:hAnsi="宋体"/>
          <w:sz w:val="24"/>
        </w:rPr>
        <w:t>生态</w:t>
      </w:r>
      <w:r>
        <w:rPr>
          <w:rFonts w:ascii="宋体" w:hAnsi="宋体"/>
          <w:sz w:val="24"/>
        </w:rPr>
        <w:t>环境风险评价的目的在于识别物料贮存、转运过程中的风险因素及可能诱发的环境问题，以突发性事故导致的危险物质环境急性损害防控为目标，对建设项目的环境风险进行分析、预测和评估，提出环境风险预防、控制、减缓措施，明确环境风险监控及应急建议要求，为建设项目</w:t>
      </w:r>
      <w:r>
        <w:rPr>
          <w:rFonts w:hint="eastAsia" w:ascii="宋体" w:hAnsi="宋体"/>
          <w:sz w:val="24"/>
        </w:rPr>
        <w:t>生态</w:t>
      </w:r>
      <w:r>
        <w:rPr>
          <w:rFonts w:ascii="宋体" w:hAnsi="宋体"/>
          <w:sz w:val="24"/>
        </w:rPr>
        <w:t>环境风险防控提供科学依据，力求将建设项目的</w:t>
      </w:r>
      <w:r>
        <w:rPr>
          <w:rFonts w:hint="eastAsia" w:ascii="宋体" w:hAnsi="宋体"/>
          <w:sz w:val="24"/>
        </w:rPr>
        <w:t>生态</w:t>
      </w:r>
      <w:r>
        <w:rPr>
          <w:rFonts w:ascii="宋体" w:hAnsi="宋体"/>
          <w:sz w:val="24"/>
        </w:rPr>
        <w:t>环境风险降至可防控水平。</w:t>
      </w:r>
    </w:p>
    <w:p w14:paraId="01ADEC66">
      <w:pPr>
        <w:adjustRightInd w:val="0"/>
        <w:spacing w:before="120" w:after="120" w:line="440" w:lineRule="exact"/>
        <w:outlineLvl w:val="1"/>
        <w:rPr>
          <w:b/>
          <w:sz w:val="28"/>
          <w:szCs w:val="28"/>
        </w:rPr>
      </w:pPr>
      <w:bookmarkStart w:id="42" w:name="_Toc150331194"/>
      <w:r>
        <w:rPr>
          <w:b/>
          <w:sz w:val="28"/>
          <w:szCs w:val="28"/>
        </w:rPr>
        <w:t>1.1编制依据</w:t>
      </w:r>
      <w:bookmarkEnd w:id="42"/>
    </w:p>
    <w:p w14:paraId="0852B2C4">
      <w:pPr>
        <w:spacing w:before="60" w:after="60" w:line="440" w:lineRule="exact"/>
        <w:outlineLvl w:val="2"/>
        <w:rPr>
          <w:b/>
          <w:bCs/>
          <w:sz w:val="24"/>
        </w:rPr>
      </w:pPr>
      <w:r>
        <w:rPr>
          <w:b/>
          <w:bCs/>
          <w:sz w:val="24"/>
        </w:rPr>
        <w:t>1.1.1环境保护法律</w:t>
      </w:r>
    </w:p>
    <w:p w14:paraId="67A0CC08">
      <w:pPr>
        <w:tabs>
          <w:tab w:val="left" w:pos="0"/>
        </w:tabs>
        <w:spacing w:line="440" w:lineRule="exact"/>
        <w:ind w:firstLine="480" w:firstLineChars="200"/>
        <w:rPr>
          <w:sz w:val="24"/>
        </w:rPr>
      </w:pPr>
      <w:bookmarkStart w:id="43" w:name="OLE_LINK27"/>
      <w:r>
        <w:rPr>
          <w:rFonts w:hint="eastAsia"/>
          <w:sz w:val="24"/>
        </w:rPr>
        <w:t>（1）</w:t>
      </w:r>
      <w:bookmarkEnd w:id="43"/>
      <w:r>
        <w:rPr>
          <w:sz w:val="24"/>
        </w:rPr>
        <w:t>《中华人民共和国</w:t>
      </w:r>
      <w:r>
        <w:rPr>
          <w:rFonts w:hint="eastAsia"/>
          <w:sz w:val="24"/>
        </w:rPr>
        <w:t>生态环境法典</w:t>
      </w:r>
      <w:r>
        <w:rPr>
          <w:sz w:val="24"/>
        </w:rPr>
        <w:t>》（20</w:t>
      </w:r>
      <w:r>
        <w:rPr>
          <w:rFonts w:hint="eastAsia"/>
          <w:sz w:val="24"/>
        </w:rPr>
        <w:t>26</w:t>
      </w:r>
      <w:r>
        <w:rPr>
          <w:sz w:val="24"/>
        </w:rPr>
        <w:t>年</w:t>
      </w:r>
      <w:r>
        <w:rPr>
          <w:rFonts w:hint="eastAsia"/>
          <w:sz w:val="24"/>
        </w:rPr>
        <w:t>8</w:t>
      </w:r>
      <w:r>
        <w:rPr>
          <w:sz w:val="24"/>
        </w:rPr>
        <w:t>月1</w:t>
      </w:r>
      <w:r>
        <w:rPr>
          <w:rFonts w:hint="eastAsia"/>
          <w:sz w:val="24"/>
        </w:rPr>
        <w:t>5</w:t>
      </w:r>
      <w:r>
        <w:rPr>
          <w:sz w:val="24"/>
        </w:rPr>
        <w:t>日</w:t>
      </w:r>
      <w:r>
        <w:rPr>
          <w:rFonts w:hint="eastAsia"/>
          <w:sz w:val="24"/>
          <w:lang w:eastAsia="zh-CN"/>
        </w:rPr>
        <w:t>起</w:t>
      </w:r>
      <w:r>
        <w:rPr>
          <w:sz w:val="24"/>
        </w:rPr>
        <w:t>施行）；</w:t>
      </w:r>
    </w:p>
    <w:p w14:paraId="5DCD9377">
      <w:pPr>
        <w:tabs>
          <w:tab w:val="left" w:pos="0"/>
        </w:tabs>
        <w:spacing w:line="440" w:lineRule="exact"/>
        <w:ind w:firstLine="480" w:firstLineChars="200"/>
        <w:rPr>
          <w:sz w:val="24"/>
        </w:rPr>
      </w:pPr>
      <w:r>
        <w:rPr>
          <w:rFonts w:hint="eastAsia"/>
          <w:sz w:val="24"/>
        </w:rPr>
        <w:t>（2）</w:t>
      </w:r>
      <w:r>
        <w:rPr>
          <w:sz w:val="24"/>
        </w:rPr>
        <w:t>《中华人民共和国安全生产法》（2002年11月1日）；</w:t>
      </w:r>
    </w:p>
    <w:p w14:paraId="329F1EB0">
      <w:pPr>
        <w:tabs>
          <w:tab w:val="left" w:pos="0"/>
        </w:tabs>
        <w:spacing w:line="440" w:lineRule="exact"/>
        <w:ind w:firstLine="480" w:firstLineChars="200"/>
        <w:rPr>
          <w:sz w:val="24"/>
        </w:rPr>
      </w:pPr>
      <w:r>
        <w:rPr>
          <w:rFonts w:hint="eastAsia"/>
          <w:sz w:val="24"/>
        </w:rPr>
        <w:t>（3）</w:t>
      </w:r>
      <w:r>
        <w:rPr>
          <w:sz w:val="24"/>
        </w:rPr>
        <w:t>《中华人民共和国消防法》（2019年4月23日修订）。</w:t>
      </w:r>
    </w:p>
    <w:p w14:paraId="1D691357">
      <w:pPr>
        <w:spacing w:before="60" w:after="60" w:line="440" w:lineRule="exact"/>
        <w:outlineLvl w:val="2"/>
        <w:rPr>
          <w:b/>
          <w:bCs/>
          <w:sz w:val="24"/>
        </w:rPr>
      </w:pPr>
      <w:r>
        <w:rPr>
          <w:b/>
          <w:bCs/>
          <w:sz w:val="24"/>
        </w:rPr>
        <w:t>1.1.2环境保护法规及规章</w:t>
      </w:r>
    </w:p>
    <w:p w14:paraId="20A4C146">
      <w:pPr>
        <w:tabs>
          <w:tab w:val="left" w:pos="0"/>
        </w:tabs>
        <w:spacing w:line="440" w:lineRule="exact"/>
        <w:ind w:firstLine="480" w:firstLineChars="200"/>
        <w:rPr>
          <w:sz w:val="24"/>
        </w:rPr>
      </w:pPr>
      <w:r>
        <w:rPr>
          <w:rFonts w:hint="eastAsia"/>
          <w:sz w:val="24"/>
        </w:rPr>
        <w:t>（1）</w:t>
      </w:r>
      <w:r>
        <w:rPr>
          <w:sz w:val="24"/>
        </w:rPr>
        <w:t>《建设项目环境影响评价分类管理名录（2021年版</w:t>
      </w:r>
      <w:r>
        <w:rPr>
          <w:rFonts w:hint="eastAsia"/>
          <w:sz w:val="24"/>
        </w:rPr>
        <w:t>）</w:t>
      </w:r>
      <w:r>
        <w:rPr>
          <w:sz w:val="24"/>
        </w:rPr>
        <w:t>》（生态环境部令第16号，2020年11月5日通过，2021年1月1日施行）；</w:t>
      </w:r>
    </w:p>
    <w:p w14:paraId="6B9750D3">
      <w:pPr>
        <w:spacing w:before="60" w:after="60" w:line="440" w:lineRule="exact"/>
        <w:outlineLvl w:val="2"/>
        <w:rPr>
          <w:b/>
          <w:bCs/>
          <w:sz w:val="24"/>
        </w:rPr>
      </w:pPr>
      <w:r>
        <w:rPr>
          <w:b/>
          <w:bCs/>
          <w:sz w:val="24"/>
        </w:rPr>
        <w:t>1.1.3技术导则、规范</w:t>
      </w:r>
    </w:p>
    <w:p w14:paraId="2704A9E9">
      <w:pPr>
        <w:spacing w:line="440" w:lineRule="exact"/>
        <w:ind w:firstLine="480" w:firstLineChars="200"/>
        <w:rPr>
          <w:sz w:val="24"/>
        </w:rPr>
      </w:pPr>
      <w:r>
        <w:rPr>
          <w:rFonts w:hint="eastAsia"/>
          <w:sz w:val="24"/>
        </w:rPr>
        <w:t>（1）</w:t>
      </w:r>
      <w:r>
        <w:rPr>
          <w:sz w:val="24"/>
        </w:rPr>
        <w:t>《建设项目环境影响评价技术导则</w:t>
      </w:r>
      <w:r>
        <w:rPr>
          <w:rFonts w:hint="eastAsia"/>
          <w:sz w:val="24"/>
        </w:rPr>
        <w:t xml:space="preserve"> </w:t>
      </w:r>
      <w:r>
        <w:rPr>
          <w:sz w:val="24"/>
        </w:rPr>
        <w:t>总纲》（HJ 2.1-2016）；</w:t>
      </w:r>
    </w:p>
    <w:p w14:paraId="78F721D6">
      <w:pPr>
        <w:spacing w:line="440" w:lineRule="exact"/>
        <w:ind w:firstLine="480" w:firstLineChars="200"/>
        <w:rPr>
          <w:sz w:val="24"/>
        </w:rPr>
      </w:pPr>
      <w:r>
        <w:rPr>
          <w:rFonts w:hint="eastAsia"/>
          <w:sz w:val="24"/>
        </w:rPr>
        <w:t>（2）</w:t>
      </w:r>
      <w:r>
        <w:rPr>
          <w:sz w:val="24"/>
        </w:rPr>
        <w:t>《建设项目环境风险评价技术导则》（HJ 169-2018）；</w:t>
      </w:r>
    </w:p>
    <w:p w14:paraId="3BDA18E9">
      <w:pPr>
        <w:spacing w:line="440" w:lineRule="exact"/>
        <w:ind w:firstLine="480" w:firstLineChars="200"/>
        <w:rPr>
          <w:sz w:val="24"/>
        </w:rPr>
      </w:pPr>
      <w:r>
        <w:rPr>
          <w:rFonts w:hint="eastAsia"/>
          <w:sz w:val="24"/>
        </w:rPr>
        <w:t>（3）</w:t>
      </w:r>
      <w:r>
        <w:rPr>
          <w:rFonts w:hint="eastAsia"/>
          <w:sz w:val="24"/>
          <w:lang w:eastAsia="zh-CN"/>
        </w:rPr>
        <w:t>《危险化学品重大危险源辨识》</w:t>
      </w:r>
      <w:r>
        <w:rPr>
          <w:sz w:val="24"/>
        </w:rPr>
        <w:t>（GB 18218-2009）；</w:t>
      </w:r>
    </w:p>
    <w:p w14:paraId="38FA7A63">
      <w:pPr>
        <w:adjustRightInd w:val="0"/>
        <w:spacing w:before="120" w:after="120" w:line="440" w:lineRule="exact"/>
        <w:outlineLvl w:val="1"/>
        <w:rPr>
          <w:b/>
          <w:sz w:val="28"/>
          <w:szCs w:val="28"/>
        </w:rPr>
      </w:pPr>
      <w:bookmarkStart w:id="44" w:name="_Toc150331195"/>
      <w:r>
        <w:rPr>
          <w:b/>
          <w:sz w:val="28"/>
          <w:szCs w:val="28"/>
        </w:rPr>
        <w:t>1.2评价目的和评价原则</w:t>
      </w:r>
      <w:bookmarkEnd w:id="44"/>
    </w:p>
    <w:p w14:paraId="7C35F656">
      <w:pPr>
        <w:spacing w:before="60" w:after="60" w:line="440" w:lineRule="exact"/>
        <w:outlineLvl w:val="2"/>
        <w:rPr>
          <w:b/>
          <w:bCs/>
          <w:sz w:val="24"/>
        </w:rPr>
      </w:pPr>
      <w:r>
        <w:rPr>
          <w:b/>
          <w:bCs/>
          <w:sz w:val="24"/>
        </w:rPr>
        <w:t>1.2.1评价目的</w:t>
      </w:r>
      <w:bookmarkStart w:id="74" w:name="_GoBack"/>
      <w:bookmarkEnd w:id="74"/>
    </w:p>
    <w:p w14:paraId="3D38414C">
      <w:pPr>
        <w:spacing w:line="440" w:lineRule="exact"/>
        <w:ind w:firstLine="480" w:firstLineChars="200"/>
        <w:rPr>
          <w:sz w:val="24"/>
        </w:rPr>
      </w:pPr>
      <w:r>
        <w:rPr>
          <w:sz w:val="24"/>
        </w:rPr>
        <w:t>分析和预测项目物料输送过程中对环境存在的潜在危险、有害因素，针对项目建设和运行期间可能发生的突发性事件或事故，引起有毒有害和易燃易爆等物质泄漏所造成的对环境影响和损害程度，提出合理可行的防范、应急与减缓措施。</w:t>
      </w:r>
    </w:p>
    <w:p w14:paraId="322DC46C">
      <w:pPr>
        <w:spacing w:before="60" w:after="60" w:line="440" w:lineRule="exact"/>
        <w:outlineLvl w:val="2"/>
        <w:rPr>
          <w:b/>
          <w:bCs/>
          <w:sz w:val="24"/>
        </w:rPr>
      </w:pPr>
      <w:r>
        <w:rPr>
          <w:b/>
          <w:bCs/>
          <w:sz w:val="24"/>
        </w:rPr>
        <w:t>1.2.2评价原则</w:t>
      </w:r>
    </w:p>
    <w:p w14:paraId="20D52579">
      <w:pPr>
        <w:spacing w:line="440" w:lineRule="exact"/>
        <w:ind w:firstLine="480" w:firstLineChars="200"/>
        <w:rPr>
          <w:sz w:val="24"/>
        </w:rPr>
      </w:pPr>
      <w:r>
        <w:rPr>
          <w:sz w:val="24"/>
        </w:rPr>
        <w:t>（1）坚持环境风险评价为环境风险管理服务，确保环境风险评价报告为环境风险管理提供科学依据。</w:t>
      </w:r>
    </w:p>
    <w:p w14:paraId="2C0B5C50">
      <w:pPr>
        <w:spacing w:line="440" w:lineRule="exact"/>
        <w:ind w:firstLine="480" w:firstLineChars="200"/>
        <w:rPr>
          <w:sz w:val="24"/>
        </w:rPr>
      </w:pPr>
      <w:r>
        <w:rPr>
          <w:sz w:val="24"/>
        </w:rPr>
        <w:t>（2）在确保环境风险评价质量的前提下，充分利用现有资料，尽量缩短评价周期。</w:t>
      </w:r>
    </w:p>
    <w:p w14:paraId="4AE13C3C">
      <w:pPr>
        <w:spacing w:line="440" w:lineRule="exact"/>
        <w:ind w:firstLine="480" w:firstLineChars="200"/>
        <w:rPr>
          <w:sz w:val="24"/>
        </w:rPr>
      </w:pPr>
      <w:r>
        <w:rPr>
          <w:sz w:val="24"/>
        </w:rPr>
        <w:t>（3）评价内容主次分明，重点突出，数据可靠，结论明确。</w:t>
      </w:r>
    </w:p>
    <w:p w14:paraId="3DD0951A">
      <w:pPr>
        <w:adjustRightInd w:val="0"/>
        <w:spacing w:before="120" w:after="120" w:line="440" w:lineRule="exact"/>
        <w:outlineLvl w:val="1"/>
        <w:rPr>
          <w:b/>
          <w:sz w:val="28"/>
          <w:szCs w:val="28"/>
        </w:rPr>
      </w:pPr>
      <w:bookmarkStart w:id="45" w:name="_Toc150331196"/>
      <w:r>
        <w:rPr>
          <w:b/>
          <w:sz w:val="28"/>
          <w:szCs w:val="28"/>
        </w:rPr>
        <w:t>1.3 评价等级</w:t>
      </w:r>
      <w:bookmarkEnd w:id="45"/>
    </w:p>
    <w:p w14:paraId="05F4CEFB">
      <w:pPr>
        <w:spacing w:line="440" w:lineRule="exact"/>
        <w:ind w:firstLine="480" w:firstLineChars="200"/>
        <w:rPr>
          <w:sz w:val="24"/>
        </w:rPr>
      </w:pPr>
      <w:r>
        <w:rPr>
          <w:sz w:val="24"/>
        </w:rPr>
        <w:t>（1）风险评价等级划分依据</w:t>
      </w:r>
    </w:p>
    <w:p w14:paraId="1BB52011">
      <w:pPr>
        <w:spacing w:line="440" w:lineRule="exact"/>
        <w:ind w:firstLine="480" w:firstLineChars="200"/>
        <w:rPr>
          <w:b/>
          <w:sz w:val="24"/>
        </w:rPr>
      </w:pPr>
      <w:r>
        <w:rPr>
          <w:sz w:val="24"/>
        </w:rPr>
        <w:t>根据《建设项目环境风险评价技术导则》（HJ 169-2018），进行环境风险评价等级的确定。环境风险评价工作等级划分为一级、二级、三级。风险评价等级划分依据见表1.3-1。</w:t>
      </w:r>
    </w:p>
    <w:p w14:paraId="0E9BFE73">
      <w:pPr>
        <w:spacing w:line="440" w:lineRule="exact"/>
        <w:ind w:firstLine="482"/>
        <w:rPr>
          <w:b/>
          <w:sz w:val="24"/>
        </w:rPr>
      </w:pPr>
      <w:r>
        <w:rPr>
          <w:b/>
          <w:sz w:val="24"/>
        </w:rPr>
        <w:t>表1.3-1    环境风险评价工作等级划分依据表</w:t>
      </w:r>
    </w:p>
    <w:tbl>
      <w:tblPr>
        <w:tblStyle w:val="7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50"/>
        <w:gridCol w:w="1703"/>
        <w:gridCol w:w="1560"/>
        <w:gridCol w:w="1646"/>
        <w:gridCol w:w="1563"/>
      </w:tblGrid>
      <w:tr w14:paraId="1ED7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14:paraId="117D4631">
            <w:pPr>
              <w:spacing w:line="360" w:lineRule="exact"/>
              <w:jc w:val="center"/>
              <w:rPr>
                <w:szCs w:val="21"/>
              </w:rPr>
            </w:pPr>
            <w:r>
              <w:rPr>
                <w:szCs w:val="21"/>
              </w:rPr>
              <w:t>环境风险潜势</w:t>
            </w:r>
          </w:p>
        </w:tc>
        <w:tc>
          <w:tcPr>
            <w:tcW w:w="1023" w:type="pct"/>
            <w:vAlign w:val="center"/>
          </w:tcPr>
          <w:p w14:paraId="0DFA7310">
            <w:pPr>
              <w:spacing w:line="360" w:lineRule="exact"/>
              <w:jc w:val="center"/>
              <w:rPr>
                <w:szCs w:val="21"/>
              </w:rPr>
            </w:pPr>
            <w:r>
              <w:rPr>
                <w:szCs w:val="21"/>
              </w:rPr>
              <w:t>Ⅳ、Ⅳ</w:t>
            </w:r>
            <w:r>
              <w:rPr>
                <w:szCs w:val="21"/>
                <w:vertAlign w:val="superscript"/>
              </w:rPr>
              <w:t>+</w:t>
            </w:r>
          </w:p>
        </w:tc>
        <w:tc>
          <w:tcPr>
            <w:tcW w:w="937" w:type="pct"/>
            <w:vAlign w:val="center"/>
          </w:tcPr>
          <w:p w14:paraId="5C1CD533">
            <w:pPr>
              <w:spacing w:line="360" w:lineRule="exact"/>
              <w:jc w:val="center"/>
              <w:rPr>
                <w:szCs w:val="21"/>
              </w:rPr>
            </w:pPr>
            <w:r>
              <w:rPr>
                <w:szCs w:val="21"/>
              </w:rPr>
              <w:t>Ⅲ</w:t>
            </w:r>
          </w:p>
        </w:tc>
        <w:tc>
          <w:tcPr>
            <w:tcW w:w="989" w:type="pct"/>
            <w:vAlign w:val="center"/>
          </w:tcPr>
          <w:p w14:paraId="592BDBB2">
            <w:pPr>
              <w:spacing w:line="360" w:lineRule="exact"/>
              <w:jc w:val="center"/>
              <w:rPr>
                <w:szCs w:val="21"/>
              </w:rPr>
            </w:pPr>
            <w:r>
              <w:rPr>
                <w:szCs w:val="21"/>
              </w:rPr>
              <w:t>Ⅱ</w:t>
            </w:r>
          </w:p>
        </w:tc>
        <w:tc>
          <w:tcPr>
            <w:tcW w:w="939" w:type="pct"/>
            <w:vAlign w:val="center"/>
          </w:tcPr>
          <w:p w14:paraId="02981129">
            <w:pPr>
              <w:spacing w:line="360" w:lineRule="exact"/>
              <w:jc w:val="center"/>
              <w:rPr>
                <w:szCs w:val="21"/>
              </w:rPr>
            </w:pPr>
            <w:r>
              <w:rPr>
                <w:szCs w:val="21"/>
              </w:rPr>
              <w:t>Ⅰ</w:t>
            </w:r>
          </w:p>
        </w:tc>
      </w:tr>
      <w:tr w14:paraId="59E4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14:paraId="3B68AE81">
            <w:pPr>
              <w:spacing w:line="360" w:lineRule="exact"/>
              <w:jc w:val="center"/>
              <w:rPr>
                <w:szCs w:val="21"/>
                <w:vertAlign w:val="subscript"/>
              </w:rPr>
            </w:pPr>
            <w:r>
              <w:rPr>
                <w:szCs w:val="21"/>
              </w:rPr>
              <w:t>评价工作等级</w:t>
            </w:r>
          </w:p>
        </w:tc>
        <w:tc>
          <w:tcPr>
            <w:tcW w:w="1023" w:type="pct"/>
            <w:vAlign w:val="center"/>
          </w:tcPr>
          <w:p w14:paraId="39FB5A5D">
            <w:pPr>
              <w:spacing w:line="360" w:lineRule="exact"/>
              <w:jc w:val="center"/>
              <w:rPr>
                <w:szCs w:val="21"/>
              </w:rPr>
            </w:pPr>
            <w:r>
              <w:rPr>
                <w:szCs w:val="21"/>
              </w:rPr>
              <w:t>一</w:t>
            </w:r>
          </w:p>
        </w:tc>
        <w:tc>
          <w:tcPr>
            <w:tcW w:w="937" w:type="pct"/>
            <w:vAlign w:val="center"/>
          </w:tcPr>
          <w:p w14:paraId="7AC670E8">
            <w:pPr>
              <w:spacing w:line="360" w:lineRule="exact"/>
              <w:jc w:val="center"/>
              <w:rPr>
                <w:szCs w:val="21"/>
              </w:rPr>
            </w:pPr>
            <w:r>
              <w:rPr>
                <w:szCs w:val="21"/>
              </w:rPr>
              <w:t>二</w:t>
            </w:r>
          </w:p>
        </w:tc>
        <w:tc>
          <w:tcPr>
            <w:tcW w:w="989" w:type="pct"/>
            <w:vAlign w:val="center"/>
          </w:tcPr>
          <w:p w14:paraId="29E66D4B">
            <w:pPr>
              <w:spacing w:line="360" w:lineRule="exact"/>
              <w:jc w:val="center"/>
              <w:rPr>
                <w:szCs w:val="21"/>
              </w:rPr>
            </w:pPr>
            <w:r>
              <w:rPr>
                <w:szCs w:val="21"/>
              </w:rPr>
              <w:t>三</w:t>
            </w:r>
          </w:p>
        </w:tc>
        <w:tc>
          <w:tcPr>
            <w:tcW w:w="939" w:type="pct"/>
            <w:vAlign w:val="center"/>
          </w:tcPr>
          <w:p w14:paraId="07FB9736">
            <w:pPr>
              <w:spacing w:line="360" w:lineRule="exact"/>
              <w:jc w:val="center"/>
              <w:rPr>
                <w:szCs w:val="21"/>
              </w:rPr>
            </w:pPr>
            <w:r>
              <w:rPr>
                <w:szCs w:val="21"/>
              </w:rPr>
              <w:t xml:space="preserve">简单分析 </w:t>
            </w:r>
          </w:p>
        </w:tc>
      </w:tr>
    </w:tbl>
    <w:p w14:paraId="368AB873">
      <w:pPr>
        <w:spacing w:line="440" w:lineRule="exact"/>
        <w:ind w:firstLine="480" w:firstLineChars="200"/>
        <w:rPr>
          <w:kern w:val="0"/>
          <w:sz w:val="24"/>
        </w:rPr>
      </w:pPr>
      <w:r>
        <w:rPr>
          <w:kern w:val="0"/>
          <w:sz w:val="24"/>
        </w:rPr>
        <w:t>（2）危险物质及工艺系统危险性</w:t>
      </w:r>
      <w:r>
        <w:rPr>
          <w:rFonts w:hint="eastAsia"/>
          <w:kern w:val="0"/>
          <w:sz w:val="24"/>
        </w:rPr>
        <w:t>（</w:t>
      </w:r>
      <w:r>
        <w:rPr>
          <w:kern w:val="0"/>
          <w:sz w:val="24"/>
        </w:rPr>
        <w:t>P</w:t>
      </w:r>
      <w:r>
        <w:rPr>
          <w:rFonts w:hint="eastAsia"/>
          <w:kern w:val="0"/>
          <w:sz w:val="24"/>
        </w:rPr>
        <w:t>）</w:t>
      </w:r>
      <w:r>
        <w:rPr>
          <w:kern w:val="0"/>
          <w:sz w:val="24"/>
        </w:rPr>
        <w:t>分级</w:t>
      </w:r>
    </w:p>
    <w:p w14:paraId="02D2D8B7">
      <w:pPr>
        <w:spacing w:line="440" w:lineRule="exact"/>
        <w:ind w:firstLine="480" w:firstLineChars="200"/>
        <w:rPr>
          <w:kern w:val="0"/>
          <w:sz w:val="24"/>
        </w:rPr>
      </w:pPr>
      <w:r>
        <w:rPr>
          <w:kern w:val="0"/>
          <w:sz w:val="24"/>
        </w:rPr>
        <w:t>项目涉及危险物质数量与临界量比值情况如下：</w:t>
      </w:r>
    </w:p>
    <w:p w14:paraId="6DD09C26">
      <w:pPr>
        <w:spacing w:line="440" w:lineRule="exact"/>
        <w:ind w:firstLine="482" w:firstLineChars="200"/>
        <w:rPr>
          <w:b/>
          <w:kern w:val="0"/>
          <w:sz w:val="24"/>
        </w:rPr>
      </w:pPr>
      <w:r>
        <w:rPr>
          <w:b/>
          <w:kern w:val="0"/>
          <w:sz w:val="24"/>
        </w:rPr>
        <w:t>表1.3-2    管道危险物料临界量及实际最大存量一览表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582"/>
        <w:gridCol w:w="1648"/>
        <w:gridCol w:w="1133"/>
        <w:gridCol w:w="1858"/>
        <w:gridCol w:w="1279"/>
        <w:gridCol w:w="1868"/>
      </w:tblGrid>
      <w:tr w14:paraId="7F8869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blHeader/>
          <w:jc w:val="center"/>
        </w:trPr>
        <w:tc>
          <w:tcPr>
            <w:tcW w:w="348" w:type="pct"/>
            <w:vAlign w:val="center"/>
          </w:tcPr>
          <w:p w14:paraId="77035C6F">
            <w:pPr>
              <w:spacing w:line="360" w:lineRule="exact"/>
              <w:jc w:val="center"/>
              <w:rPr>
                <w:kern w:val="1"/>
                <w:szCs w:val="21"/>
                <w:lang w:val="zh-CN" w:eastAsia="zh-TW"/>
              </w:rPr>
            </w:pPr>
            <w:r>
              <w:rPr>
                <w:kern w:val="1"/>
                <w:szCs w:val="21"/>
              </w:rPr>
              <w:t>序号</w:t>
            </w:r>
          </w:p>
        </w:tc>
        <w:tc>
          <w:tcPr>
            <w:tcW w:w="985" w:type="pct"/>
            <w:vAlign w:val="center"/>
          </w:tcPr>
          <w:p w14:paraId="56FDFE31">
            <w:pPr>
              <w:spacing w:line="360" w:lineRule="exact"/>
              <w:jc w:val="center"/>
              <w:rPr>
                <w:kern w:val="1"/>
                <w:szCs w:val="21"/>
                <w:lang w:val="zh-CN" w:eastAsia="zh-TW"/>
              </w:rPr>
            </w:pPr>
            <w:r>
              <w:rPr>
                <w:kern w:val="1"/>
                <w:szCs w:val="21"/>
                <w:lang w:val="zh-CN"/>
              </w:rPr>
              <w:t>危险</w:t>
            </w:r>
            <w:r>
              <w:rPr>
                <w:kern w:val="1"/>
                <w:szCs w:val="21"/>
                <w:lang w:val="zh-CN" w:eastAsia="zh-TW"/>
              </w:rPr>
              <w:t>物质名称</w:t>
            </w:r>
          </w:p>
        </w:tc>
        <w:tc>
          <w:tcPr>
            <w:tcW w:w="677" w:type="pct"/>
            <w:vAlign w:val="center"/>
          </w:tcPr>
          <w:p w14:paraId="690D7EFB">
            <w:pPr>
              <w:spacing w:line="360" w:lineRule="exact"/>
              <w:jc w:val="center"/>
              <w:rPr>
                <w:kern w:val="1"/>
                <w:szCs w:val="21"/>
                <w:lang w:val="zh-CN" w:eastAsia="zh-TW"/>
              </w:rPr>
            </w:pPr>
            <w:r>
              <w:rPr>
                <w:kern w:val="1"/>
                <w:szCs w:val="21"/>
              </w:rPr>
              <w:t>CAS号</w:t>
            </w:r>
          </w:p>
        </w:tc>
        <w:tc>
          <w:tcPr>
            <w:tcW w:w="1110" w:type="pct"/>
            <w:vAlign w:val="center"/>
          </w:tcPr>
          <w:p w14:paraId="45CD5393">
            <w:pPr>
              <w:spacing w:line="360" w:lineRule="exact"/>
              <w:jc w:val="center"/>
              <w:rPr>
                <w:kern w:val="1"/>
                <w:szCs w:val="21"/>
                <w:lang w:val="zh-CN"/>
              </w:rPr>
            </w:pPr>
            <w:r>
              <w:rPr>
                <w:kern w:val="1"/>
                <w:szCs w:val="21"/>
                <w:lang w:val="zh-CN" w:eastAsia="zh-TW"/>
              </w:rPr>
              <w:t>最大存在总量</w:t>
            </w:r>
            <w:r>
              <w:rPr>
                <w:iCs/>
                <w:kern w:val="1"/>
                <w:szCs w:val="21"/>
              </w:rPr>
              <w:t>q</w:t>
            </w:r>
            <w:r>
              <w:rPr>
                <w:iCs/>
                <w:kern w:val="1"/>
                <w:szCs w:val="21"/>
                <w:vertAlign w:val="subscript"/>
              </w:rPr>
              <w:t>n</w:t>
            </w:r>
            <w:r>
              <w:rPr>
                <w:kern w:val="1"/>
                <w:szCs w:val="21"/>
              </w:rPr>
              <w:t>/</w:t>
            </w:r>
            <w:r>
              <w:rPr>
                <w:kern w:val="1"/>
                <w:szCs w:val="21"/>
                <w:lang w:val="zh-CN" w:eastAsia="zh-TW"/>
              </w:rPr>
              <w:t>t</w:t>
            </w:r>
          </w:p>
        </w:tc>
        <w:tc>
          <w:tcPr>
            <w:tcW w:w="764" w:type="pct"/>
            <w:vAlign w:val="center"/>
          </w:tcPr>
          <w:p w14:paraId="710C19EC">
            <w:pPr>
              <w:spacing w:line="360" w:lineRule="exact"/>
              <w:jc w:val="center"/>
              <w:rPr>
                <w:kern w:val="1"/>
                <w:szCs w:val="21"/>
                <w:lang w:val="zh-CN" w:eastAsia="zh-TW"/>
              </w:rPr>
            </w:pPr>
            <w:r>
              <w:rPr>
                <w:kern w:val="1"/>
                <w:szCs w:val="21"/>
                <w:lang w:val="zh-CN" w:eastAsia="zh-TW"/>
              </w:rPr>
              <w:t>临界量</w:t>
            </w:r>
            <w:r>
              <w:rPr>
                <w:iCs/>
                <w:kern w:val="1"/>
                <w:szCs w:val="21"/>
              </w:rPr>
              <w:t>Q</w:t>
            </w:r>
            <w:r>
              <w:rPr>
                <w:iCs/>
                <w:kern w:val="1"/>
                <w:szCs w:val="21"/>
                <w:vertAlign w:val="subscript"/>
              </w:rPr>
              <w:t>n</w:t>
            </w:r>
            <w:r>
              <w:rPr>
                <w:kern w:val="1"/>
                <w:szCs w:val="21"/>
              </w:rPr>
              <w:t>/</w:t>
            </w:r>
            <w:r>
              <w:rPr>
                <w:kern w:val="1"/>
                <w:szCs w:val="21"/>
                <w:lang w:val="zh-CN" w:eastAsia="zh-TW"/>
              </w:rPr>
              <w:t>t</w:t>
            </w:r>
          </w:p>
        </w:tc>
        <w:tc>
          <w:tcPr>
            <w:tcW w:w="1117" w:type="pct"/>
            <w:vAlign w:val="center"/>
          </w:tcPr>
          <w:p w14:paraId="784B65AC">
            <w:pPr>
              <w:spacing w:line="360" w:lineRule="exact"/>
              <w:jc w:val="center"/>
              <w:rPr>
                <w:kern w:val="1"/>
                <w:szCs w:val="21"/>
                <w:lang w:val="zh-CN" w:eastAsia="zh-TW"/>
              </w:rPr>
            </w:pPr>
            <w:r>
              <w:rPr>
                <w:kern w:val="1"/>
                <w:szCs w:val="21"/>
                <w:lang w:val="zh-CN"/>
              </w:rPr>
              <w:t>该种危险物质</w:t>
            </w:r>
            <w:r>
              <w:rPr>
                <w:kern w:val="1"/>
                <w:szCs w:val="21"/>
                <w:lang w:val="zh-CN" w:eastAsia="zh-TW"/>
              </w:rPr>
              <w:t>Q值</w:t>
            </w:r>
          </w:p>
        </w:tc>
      </w:tr>
      <w:tr w14:paraId="45480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5" w:hRule="atLeast"/>
          <w:jc w:val="center"/>
        </w:trPr>
        <w:tc>
          <w:tcPr>
            <w:tcW w:w="348" w:type="pct"/>
            <w:vAlign w:val="center"/>
          </w:tcPr>
          <w:p w14:paraId="2F53847B">
            <w:pPr>
              <w:spacing w:line="360" w:lineRule="exact"/>
              <w:jc w:val="center"/>
              <w:rPr>
                <w:kern w:val="1"/>
                <w:szCs w:val="21"/>
                <w:lang w:val="zh-CN"/>
              </w:rPr>
            </w:pPr>
            <w:r>
              <w:rPr>
                <w:kern w:val="1"/>
                <w:szCs w:val="21"/>
                <w:lang w:val="zh-CN"/>
              </w:rPr>
              <w:t>1</w:t>
            </w:r>
          </w:p>
        </w:tc>
        <w:tc>
          <w:tcPr>
            <w:tcW w:w="985" w:type="pct"/>
            <w:vAlign w:val="center"/>
          </w:tcPr>
          <w:p w14:paraId="320E3A20">
            <w:pPr>
              <w:adjustRightInd w:val="0"/>
              <w:snapToGrid w:val="0"/>
              <w:spacing w:line="360" w:lineRule="exact"/>
              <w:jc w:val="center"/>
              <w:rPr>
                <w:szCs w:val="21"/>
              </w:rPr>
            </w:pPr>
            <w:r>
              <w:rPr>
                <w:rFonts w:hint="eastAsia"/>
                <w:bCs/>
                <w:kern w:val="0"/>
                <w:szCs w:val="21"/>
              </w:rPr>
              <w:t>混合烯烃</w:t>
            </w:r>
          </w:p>
        </w:tc>
        <w:tc>
          <w:tcPr>
            <w:tcW w:w="677" w:type="pct"/>
            <w:vAlign w:val="center"/>
          </w:tcPr>
          <w:p w14:paraId="66D8B67D">
            <w:pPr>
              <w:spacing w:line="360" w:lineRule="exact"/>
              <w:jc w:val="center"/>
              <w:rPr>
                <w:kern w:val="1"/>
                <w:szCs w:val="21"/>
              </w:rPr>
            </w:pPr>
            <w:r>
              <w:rPr>
                <w:rFonts w:hint="eastAsia"/>
                <w:kern w:val="1"/>
                <w:szCs w:val="21"/>
              </w:rPr>
              <w:t>/</w:t>
            </w:r>
          </w:p>
        </w:tc>
        <w:tc>
          <w:tcPr>
            <w:tcW w:w="1110" w:type="pct"/>
            <w:vAlign w:val="center"/>
          </w:tcPr>
          <w:p w14:paraId="22DDC396">
            <w:pPr>
              <w:spacing w:line="360" w:lineRule="exact"/>
              <w:jc w:val="center"/>
              <w:rPr>
                <w:szCs w:val="21"/>
              </w:rPr>
            </w:pPr>
            <w:r>
              <w:rPr>
                <w:rFonts w:hint="eastAsia"/>
                <w:szCs w:val="21"/>
              </w:rPr>
              <w:t>6.04</w:t>
            </w:r>
          </w:p>
        </w:tc>
        <w:tc>
          <w:tcPr>
            <w:tcW w:w="764" w:type="pct"/>
            <w:vAlign w:val="center"/>
          </w:tcPr>
          <w:p w14:paraId="30A513BB">
            <w:pPr>
              <w:spacing w:line="360" w:lineRule="exact"/>
              <w:jc w:val="center"/>
              <w:rPr>
                <w:kern w:val="1"/>
                <w:szCs w:val="21"/>
              </w:rPr>
            </w:pPr>
            <w:r>
              <w:rPr>
                <w:rFonts w:hint="eastAsia"/>
                <w:kern w:val="1"/>
                <w:szCs w:val="21"/>
              </w:rPr>
              <w:t>50</w:t>
            </w:r>
          </w:p>
        </w:tc>
        <w:tc>
          <w:tcPr>
            <w:tcW w:w="1117" w:type="pct"/>
            <w:vAlign w:val="center"/>
          </w:tcPr>
          <w:p w14:paraId="47F2B64A">
            <w:pPr>
              <w:spacing w:line="360" w:lineRule="exact"/>
              <w:jc w:val="center"/>
              <w:rPr>
                <w:kern w:val="1"/>
                <w:szCs w:val="21"/>
              </w:rPr>
            </w:pPr>
            <w:r>
              <w:rPr>
                <w:rFonts w:hint="eastAsia"/>
                <w:kern w:val="1"/>
                <w:szCs w:val="21"/>
              </w:rPr>
              <w:t>0.1208</w:t>
            </w:r>
          </w:p>
        </w:tc>
      </w:tr>
      <w:tr w14:paraId="2A743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8" w:type="pct"/>
            <w:vAlign w:val="center"/>
          </w:tcPr>
          <w:p w14:paraId="7769CC63">
            <w:pPr>
              <w:spacing w:line="360" w:lineRule="exact"/>
              <w:jc w:val="center"/>
              <w:rPr>
                <w:kern w:val="1"/>
                <w:szCs w:val="21"/>
              </w:rPr>
            </w:pPr>
            <w:r>
              <w:rPr>
                <w:kern w:val="1"/>
                <w:szCs w:val="21"/>
              </w:rPr>
              <w:t>2</w:t>
            </w:r>
          </w:p>
        </w:tc>
        <w:tc>
          <w:tcPr>
            <w:tcW w:w="985" w:type="pct"/>
            <w:vAlign w:val="center"/>
          </w:tcPr>
          <w:p w14:paraId="30D2E0DC">
            <w:pPr>
              <w:adjustRightInd w:val="0"/>
              <w:snapToGrid w:val="0"/>
              <w:spacing w:line="360" w:lineRule="exact"/>
              <w:jc w:val="center"/>
              <w:rPr>
                <w:szCs w:val="21"/>
              </w:rPr>
            </w:pPr>
            <w:r>
              <w:rPr>
                <w:rFonts w:hint="eastAsia"/>
                <w:bCs/>
                <w:kern w:val="0"/>
                <w:szCs w:val="21"/>
              </w:rPr>
              <w:t>烷烃返回料</w:t>
            </w:r>
          </w:p>
        </w:tc>
        <w:tc>
          <w:tcPr>
            <w:tcW w:w="677" w:type="pct"/>
            <w:vAlign w:val="center"/>
          </w:tcPr>
          <w:p w14:paraId="25092B2B">
            <w:pPr>
              <w:spacing w:line="360" w:lineRule="exact"/>
              <w:jc w:val="center"/>
              <w:rPr>
                <w:kern w:val="1"/>
                <w:szCs w:val="21"/>
              </w:rPr>
            </w:pPr>
            <w:r>
              <w:rPr>
                <w:rFonts w:hint="eastAsia"/>
                <w:kern w:val="1"/>
                <w:szCs w:val="21"/>
              </w:rPr>
              <w:t>/</w:t>
            </w:r>
          </w:p>
        </w:tc>
        <w:tc>
          <w:tcPr>
            <w:tcW w:w="1110" w:type="pct"/>
            <w:vAlign w:val="center"/>
          </w:tcPr>
          <w:p w14:paraId="6BC9E2E4">
            <w:pPr>
              <w:spacing w:line="360" w:lineRule="exact"/>
              <w:jc w:val="center"/>
              <w:rPr>
                <w:szCs w:val="21"/>
              </w:rPr>
            </w:pPr>
            <w:r>
              <w:rPr>
                <w:rFonts w:hint="eastAsia"/>
                <w:szCs w:val="21"/>
              </w:rPr>
              <w:t>2.901</w:t>
            </w:r>
          </w:p>
        </w:tc>
        <w:tc>
          <w:tcPr>
            <w:tcW w:w="764" w:type="pct"/>
            <w:vAlign w:val="center"/>
          </w:tcPr>
          <w:p w14:paraId="3B122F9A">
            <w:pPr>
              <w:spacing w:line="360" w:lineRule="exact"/>
              <w:jc w:val="center"/>
              <w:rPr>
                <w:kern w:val="1"/>
                <w:szCs w:val="21"/>
              </w:rPr>
            </w:pPr>
            <w:r>
              <w:rPr>
                <w:rFonts w:hint="eastAsia"/>
                <w:kern w:val="1"/>
                <w:szCs w:val="21"/>
              </w:rPr>
              <w:t>50</w:t>
            </w:r>
          </w:p>
        </w:tc>
        <w:tc>
          <w:tcPr>
            <w:tcW w:w="1117" w:type="pct"/>
            <w:vAlign w:val="center"/>
          </w:tcPr>
          <w:p w14:paraId="43B8FAA4">
            <w:pPr>
              <w:spacing w:line="360" w:lineRule="exact"/>
              <w:jc w:val="center"/>
              <w:rPr>
                <w:kern w:val="0"/>
                <w:szCs w:val="21"/>
              </w:rPr>
            </w:pPr>
            <w:r>
              <w:rPr>
                <w:rFonts w:hint="eastAsia"/>
                <w:kern w:val="0"/>
                <w:szCs w:val="21"/>
              </w:rPr>
              <w:t>0.058</w:t>
            </w:r>
          </w:p>
        </w:tc>
      </w:tr>
      <w:tr w14:paraId="6D2D3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8" w:type="pct"/>
            <w:vAlign w:val="center"/>
          </w:tcPr>
          <w:p w14:paraId="4813A4A8">
            <w:pPr>
              <w:spacing w:line="360" w:lineRule="exact"/>
              <w:jc w:val="center"/>
              <w:rPr>
                <w:kern w:val="1"/>
                <w:szCs w:val="21"/>
              </w:rPr>
            </w:pPr>
            <w:r>
              <w:rPr>
                <w:kern w:val="1"/>
                <w:szCs w:val="21"/>
              </w:rPr>
              <w:t>3</w:t>
            </w:r>
          </w:p>
        </w:tc>
        <w:tc>
          <w:tcPr>
            <w:tcW w:w="985" w:type="pct"/>
            <w:vAlign w:val="center"/>
          </w:tcPr>
          <w:p w14:paraId="34A096E6">
            <w:pPr>
              <w:adjustRightInd w:val="0"/>
              <w:snapToGrid w:val="0"/>
              <w:spacing w:line="360" w:lineRule="exact"/>
              <w:jc w:val="center"/>
              <w:rPr>
                <w:szCs w:val="21"/>
              </w:rPr>
            </w:pPr>
            <w:r>
              <w:rPr>
                <w:rFonts w:hint="eastAsia"/>
                <w:bCs/>
                <w:kern w:val="0"/>
                <w:szCs w:val="21"/>
              </w:rPr>
              <w:t>氢气</w:t>
            </w:r>
          </w:p>
        </w:tc>
        <w:tc>
          <w:tcPr>
            <w:tcW w:w="677" w:type="pct"/>
            <w:vAlign w:val="center"/>
          </w:tcPr>
          <w:p w14:paraId="0FC9D58B">
            <w:pPr>
              <w:spacing w:line="360" w:lineRule="exact"/>
              <w:jc w:val="center"/>
              <w:rPr>
                <w:kern w:val="1"/>
                <w:szCs w:val="21"/>
              </w:rPr>
            </w:pPr>
            <w:r>
              <w:rPr>
                <w:kern w:val="1"/>
                <w:szCs w:val="21"/>
              </w:rPr>
              <w:t>1333-74-0</w:t>
            </w:r>
          </w:p>
        </w:tc>
        <w:tc>
          <w:tcPr>
            <w:tcW w:w="1110" w:type="pct"/>
            <w:vAlign w:val="center"/>
          </w:tcPr>
          <w:p w14:paraId="4D11DCC2">
            <w:pPr>
              <w:spacing w:line="360" w:lineRule="exact"/>
              <w:jc w:val="center"/>
              <w:rPr>
                <w:szCs w:val="21"/>
              </w:rPr>
            </w:pPr>
            <w:r>
              <w:rPr>
                <w:rFonts w:hint="eastAsia"/>
                <w:szCs w:val="21"/>
              </w:rPr>
              <w:t>0.00005</w:t>
            </w:r>
          </w:p>
        </w:tc>
        <w:tc>
          <w:tcPr>
            <w:tcW w:w="764" w:type="pct"/>
            <w:vAlign w:val="center"/>
          </w:tcPr>
          <w:p w14:paraId="414EDF36">
            <w:pPr>
              <w:spacing w:line="360" w:lineRule="exact"/>
              <w:jc w:val="center"/>
              <w:rPr>
                <w:kern w:val="1"/>
                <w:szCs w:val="21"/>
              </w:rPr>
            </w:pPr>
            <w:r>
              <w:rPr>
                <w:rFonts w:hint="eastAsia"/>
                <w:kern w:val="1"/>
                <w:szCs w:val="21"/>
              </w:rPr>
              <w:t>5</w:t>
            </w:r>
          </w:p>
        </w:tc>
        <w:tc>
          <w:tcPr>
            <w:tcW w:w="1117" w:type="pct"/>
            <w:vAlign w:val="center"/>
          </w:tcPr>
          <w:p w14:paraId="09D5E134">
            <w:pPr>
              <w:spacing w:line="360" w:lineRule="exact"/>
              <w:jc w:val="center"/>
              <w:rPr>
                <w:kern w:val="0"/>
                <w:szCs w:val="21"/>
              </w:rPr>
            </w:pPr>
            <w:r>
              <w:rPr>
                <w:rFonts w:hint="eastAsia"/>
                <w:kern w:val="0"/>
                <w:szCs w:val="21"/>
              </w:rPr>
              <w:t>0.00001</w:t>
            </w:r>
          </w:p>
        </w:tc>
      </w:tr>
      <w:tr w14:paraId="5CE75F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8" w:type="pct"/>
            <w:vAlign w:val="center"/>
          </w:tcPr>
          <w:p w14:paraId="7BE68FD5">
            <w:pPr>
              <w:spacing w:line="360" w:lineRule="exact"/>
              <w:jc w:val="center"/>
              <w:rPr>
                <w:kern w:val="1"/>
                <w:szCs w:val="21"/>
              </w:rPr>
            </w:pPr>
            <w:r>
              <w:rPr>
                <w:kern w:val="1"/>
                <w:szCs w:val="21"/>
              </w:rPr>
              <w:t>4</w:t>
            </w:r>
          </w:p>
        </w:tc>
        <w:tc>
          <w:tcPr>
            <w:tcW w:w="985" w:type="pct"/>
            <w:vAlign w:val="center"/>
          </w:tcPr>
          <w:p w14:paraId="5728E5C6">
            <w:pPr>
              <w:adjustRightInd w:val="0"/>
              <w:snapToGrid w:val="0"/>
              <w:spacing w:line="360" w:lineRule="exact"/>
              <w:jc w:val="center"/>
              <w:rPr>
                <w:szCs w:val="21"/>
              </w:rPr>
            </w:pPr>
            <w:r>
              <w:rPr>
                <w:rFonts w:hint="eastAsia"/>
                <w:bCs/>
                <w:kern w:val="0"/>
                <w:szCs w:val="21"/>
              </w:rPr>
              <w:t>排放气</w:t>
            </w:r>
          </w:p>
        </w:tc>
        <w:tc>
          <w:tcPr>
            <w:tcW w:w="677" w:type="pct"/>
            <w:vAlign w:val="center"/>
          </w:tcPr>
          <w:p w14:paraId="5703BF76">
            <w:pPr>
              <w:spacing w:line="360" w:lineRule="exact"/>
              <w:jc w:val="center"/>
              <w:rPr>
                <w:kern w:val="1"/>
                <w:szCs w:val="21"/>
              </w:rPr>
            </w:pPr>
            <w:r>
              <w:rPr>
                <w:rFonts w:hint="eastAsia"/>
                <w:kern w:val="1"/>
                <w:szCs w:val="21"/>
              </w:rPr>
              <w:t>/</w:t>
            </w:r>
          </w:p>
        </w:tc>
        <w:tc>
          <w:tcPr>
            <w:tcW w:w="1110" w:type="pct"/>
            <w:vAlign w:val="center"/>
          </w:tcPr>
          <w:p w14:paraId="45D4E63D">
            <w:pPr>
              <w:spacing w:line="360" w:lineRule="exact"/>
              <w:jc w:val="center"/>
              <w:rPr>
                <w:szCs w:val="21"/>
              </w:rPr>
            </w:pPr>
            <w:r>
              <w:rPr>
                <w:rFonts w:hint="eastAsia"/>
                <w:szCs w:val="21"/>
              </w:rPr>
              <w:t>0.116</w:t>
            </w:r>
          </w:p>
        </w:tc>
        <w:tc>
          <w:tcPr>
            <w:tcW w:w="764" w:type="pct"/>
            <w:vAlign w:val="center"/>
          </w:tcPr>
          <w:p w14:paraId="139179DF">
            <w:pPr>
              <w:spacing w:line="360" w:lineRule="exact"/>
              <w:jc w:val="center"/>
              <w:rPr>
                <w:kern w:val="1"/>
                <w:szCs w:val="21"/>
              </w:rPr>
            </w:pPr>
            <w:r>
              <w:rPr>
                <w:rFonts w:hint="eastAsia"/>
                <w:kern w:val="1"/>
                <w:szCs w:val="21"/>
              </w:rPr>
              <w:t>5</w:t>
            </w:r>
          </w:p>
        </w:tc>
        <w:tc>
          <w:tcPr>
            <w:tcW w:w="1117" w:type="pct"/>
            <w:vAlign w:val="center"/>
          </w:tcPr>
          <w:p w14:paraId="4EFD0CF8">
            <w:pPr>
              <w:spacing w:line="360" w:lineRule="exact"/>
              <w:jc w:val="center"/>
              <w:rPr>
                <w:kern w:val="0"/>
                <w:szCs w:val="21"/>
              </w:rPr>
            </w:pPr>
            <w:r>
              <w:rPr>
                <w:rFonts w:hint="eastAsia"/>
                <w:kern w:val="0"/>
                <w:szCs w:val="21"/>
              </w:rPr>
              <w:t>0.0232</w:t>
            </w:r>
          </w:p>
        </w:tc>
      </w:tr>
      <w:tr w14:paraId="153F5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883" w:type="pct"/>
            <w:gridSpan w:val="5"/>
            <w:vAlign w:val="center"/>
          </w:tcPr>
          <w:p w14:paraId="33412688">
            <w:pPr>
              <w:spacing w:line="360" w:lineRule="exact"/>
              <w:jc w:val="center"/>
              <w:rPr>
                <w:kern w:val="0"/>
                <w:szCs w:val="21"/>
              </w:rPr>
            </w:pPr>
            <w:r>
              <w:rPr>
                <w:kern w:val="0"/>
                <w:szCs w:val="21"/>
              </w:rPr>
              <w:t>项目Q值∑</w:t>
            </w:r>
          </w:p>
        </w:tc>
        <w:tc>
          <w:tcPr>
            <w:tcW w:w="1117" w:type="pct"/>
            <w:vAlign w:val="center"/>
          </w:tcPr>
          <w:p w14:paraId="65700366">
            <w:pPr>
              <w:spacing w:line="360" w:lineRule="exact"/>
              <w:jc w:val="center"/>
              <w:rPr>
                <w:kern w:val="0"/>
                <w:szCs w:val="21"/>
              </w:rPr>
            </w:pPr>
            <w:r>
              <w:rPr>
                <w:rFonts w:hint="eastAsia"/>
                <w:kern w:val="0"/>
                <w:szCs w:val="21"/>
              </w:rPr>
              <w:t>0.202</w:t>
            </w:r>
          </w:p>
        </w:tc>
      </w:tr>
    </w:tbl>
    <w:p w14:paraId="392C0EDE">
      <w:pPr>
        <w:spacing w:line="440" w:lineRule="exact"/>
        <w:ind w:firstLine="420" w:firstLineChars="200"/>
        <w:rPr>
          <w:szCs w:val="21"/>
        </w:rPr>
      </w:pPr>
      <w:r>
        <w:rPr>
          <w:szCs w:val="21"/>
        </w:rPr>
        <w:t>注：</w:t>
      </w:r>
      <w:r>
        <w:rPr>
          <w:rFonts w:hint="eastAsia" w:ascii="宋体" w:hAnsi="宋体"/>
          <w:szCs w:val="21"/>
        </w:rPr>
        <w:t>①</w:t>
      </w:r>
      <w:r>
        <w:rPr>
          <w:szCs w:val="21"/>
        </w:rPr>
        <w:t>依据《建设项目环境风险评价技术导则》（HJ 169-2018）及《</w:t>
      </w:r>
      <w:r>
        <w:rPr>
          <w:rFonts w:hint="eastAsia"/>
          <w:szCs w:val="21"/>
        </w:rPr>
        <w:t>企业突发环境事件风险分级方法</w:t>
      </w:r>
      <w:r>
        <w:rPr>
          <w:szCs w:val="21"/>
        </w:rPr>
        <w:t>》</w:t>
      </w:r>
      <w:r>
        <w:rPr>
          <w:rFonts w:hint="eastAsia"/>
          <w:szCs w:val="21"/>
        </w:rPr>
        <w:t>（</w:t>
      </w:r>
      <w:r>
        <w:rPr>
          <w:szCs w:val="21"/>
        </w:rPr>
        <w:t>HJ 941-2018</w:t>
      </w:r>
      <w:r>
        <w:rPr>
          <w:rFonts w:hint="eastAsia"/>
          <w:szCs w:val="21"/>
        </w:rPr>
        <w:t>）</w:t>
      </w:r>
      <w:r>
        <w:rPr>
          <w:szCs w:val="21"/>
        </w:rPr>
        <w:t>，</w:t>
      </w:r>
      <w:bookmarkStart w:id="46" w:name="OLE_LINK18"/>
      <w:r>
        <w:rPr>
          <w:szCs w:val="21"/>
        </w:rPr>
        <w:t>确定混合烯烃</w:t>
      </w:r>
      <w:r>
        <w:rPr>
          <w:rFonts w:hint="eastAsia"/>
          <w:szCs w:val="21"/>
        </w:rPr>
        <w:t>、烷烃返回料</w:t>
      </w:r>
      <w:r>
        <w:rPr>
          <w:szCs w:val="21"/>
        </w:rPr>
        <w:t>环境风险评价临界量为</w:t>
      </w:r>
      <w:r>
        <w:rPr>
          <w:rFonts w:hint="eastAsia"/>
          <w:szCs w:val="21"/>
        </w:rPr>
        <w:t>5</w:t>
      </w:r>
      <w:r>
        <w:rPr>
          <w:szCs w:val="21"/>
        </w:rPr>
        <w:t>0t</w:t>
      </w:r>
      <w:r>
        <w:rPr>
          <w:rFonts w:hint="eastAsia"/>
          <w:szCs w:val="21"/>
        </w:rPr>
        <w:t>；</w:t>
      </w:r>
      <w:bookmarkEnd w:id="46"/>
      <w:r>
        <w:rPr>
          <w:rFonts w:hint="eastAsia"/>
          <w:szCs w:val="21"/>
        </w:rPr>
        <w:t>氢气</w:t>
      </w:r>
      <w:r>
        <w:rPr>
          <w:szCs w:val="21"/>
        </w:rPr>
        <w:t>环境风险评价临界量为10t</w:t>
      </w:r>
      <w:r>
        <w:rPr>
          <w:rFonts w:hint="eastAsia"/>
          <w:szCs w:val="21"/>
        </w:rPr>
        <w:t>；排放气为非正常工况下PAO装置产生的混合烯烃C9-C12、氢气等，考虑最不利影响，本次评价排放气临界量按照氢气临界量取值，即临界量为5t。</w:t>
      </w:r>
    </w:p>
    <w:p w14:paraId="6A433203">
      <w:pPr>
        <w:spacing w:line="440" w:lineRule="exact"/>
        <w:ind w:firstLine="420" w:firstLineChars="200"/>
        <w:rPr>
          <w:szCs w:val="21"/>
        </w:rPr>
      </w:pPr>
      <w:r>
        <w:rPr>
          <w:rFonts w:hint="eastAsia" w:ascii="宋体" w:hAnsi="宋体"/>
          <w:szCs w:val="21"/>
        </w:rPr>
        <w:t>②</w:t>
      </w:r>
      <w:r>
        <w:rPr>
          <w:szCs w:val="21"/>
        </w:rPr>
        <w:t>项目管道中间均未设置截断阀门，最大存储量按照全部管道内全部充满物料进行计算。</w:t>
      </w:r>
      <w:bookmarkStart w:id="47" w:name="OLE_LINK20"/>
      <w:r>
        <w:rPr>
          <w:rFonts w:hint="eastAsia"/>
          <w:szCs w:val="21"/>
        </w:rPr>
        <w:t>混合烯烃管道长2.5km，DN65管道内径按65mm计，</w:t>
      </w:r>
      <w:r>
        <w:rPr>
          <w:rFonts w:hint="eastAsia"/>
          <w:bCs/>
          <w:szCs w:val="21"/>
        </w:rPr>
        <w:t>密度729</w:t>
      </w:r>
      <w:r>
        <w:rPr>
          <w:bCs/>
          <w:szCs w:val="21"/>
        </w:rPr>
        <w:t>kg/m³</w:t>
      </w:r>
      <w:r>
        <w:rPr>
          <w:rFonts w:hint="eastAsia"/>
          <w:bCs/>
          <w:szCs w:val="21"/>
        </w:rPr>
        <w:t>，</w:t>
      </w:r>
      <w:r>
        <w:rPr>
          <w:rFonts w:hint="eastAsia"/>
          <w:szCs w:val="21"/>
        </w:rPr>
        <w:t>则混合烯烃最大存在量为6.04t。</w:t>
      </w:r>
      <w:bookmarkEnd w:id="47"/>
      <w:r>
        <w:rPr>
          <w:rFonts w:hint="eastAsia"/>
          <w:szCs w:val="21"/>
        </w:rPr>
        <w:t>烷烃返回料管道长1.2km，DN65管道内径按65mm计，</w:t>
      </w:r>
      <w:r>
        <w:rPr>
          <w:rFonts w:hint="eastAsia"/>
          <w:bCs/>
          <w:szCs w:val="21"/>
        </w:rPr>
        <w:t>密度729</w:t>
      </w:r>
      <w:r>
        <w:rPr>
          <w:bCs/>
          <w:szCs w:val="21"/>
        </w:rPr>
        <w:t>kg/m³</w:t>
      </w:r>
      <w:r>
        <w:rPr>
          <w:rFonts w:hint="eastAsia"/>
          <w:szCs w:val="21"/>
        </w:rPr>
        <w:t>，则烷烃返回料最大存在量为2.901t。新氢管道长1.4km，DN40管道内径按40mm计，</w:t>
      </w:r>
      <w:r>
        <w:rPr>
          <w:bCs/>
          <w:szCs w:val="21"/>
        </w:rPr>
        <w:t>密度0.089g/L</w:t>
      </w:r>
      <w:r>
        <w:rPr>
          <w:rFonts w:hint="eastAsia"/>
          <w:szCs w:val="21"/>
        </w:rPr>
        <w:t>，则氢气最大</w:t>
      </w:r>
      <w:bookmarkStart w:id="48" w:name="OLE_LINK21"/>
      <w:r>
        <w:rPr>
          <w:rFonts w:hint="eastAsia"/>
          <w:szCs w:val="21"/>
        </w:rPr>
        <w:t>存在</w:t>
      </w:r>
      <w:bookmarkEnd w:id="48"/>
      <w:r>
        <w:rPr>
          <w:rFonts w:hint="eastAsia"/>
          <w:szCs w:val="21"/>
        </w:rPr>
        <w:t>量为0.00005t。排放气为非正常工况下PAO装置产生的混合烯烃C9-C12、氢气等，事故状态下最大产生量为1169Nm³/h（6.97 t/h），经核算其在管道中最大存在量为0.116t。</w:t>
      </w:r>
    </w:p>
    <w:p w14:paraId="2EE2955A">
      <w:pPr>
        <w:spacing w:line="440" w:lineRule="exact"/>
        <w:ind w:firstLine="480" w:firstLineChars="200"/>
        <w:rPr>
          <w:kern w:val="0"/>
          <w:sz w:val="24"/>
        </w:rPr>
      </w:pPr>
      <w:r>
        <w:rPr>
          <w:kern w:val="0"/>
          <w:sz w:val="24"/>
        </w:rPr>
        <w:t>根据计算可知，项目最大Q值＜1，该项目风险潜势为Ⅰ，环境风险评价级别为简单分析。</w:t>
      </w:r>
    </w:p>
    <w:p w14:paraId="458865A0">
      <w:pPr>
        <w:adjustRightInd w:val="0"/>
        <w:spacing w:before="120" w:after="120" w:line="440" w:lineRule="exact"/>
        <w:outlineLvl w:val="1"/>
        <w:rPr>
          <w:b/>
          <w:sz w:val="28"/>
          <w:szCs w:val="28"/>
        </w:rPr>
      </w:pPr>
      <w:bookmarkStart w:id="49" w:name="_Toc150331197"/>
      <w:r>
        <w:rPr>
          <w:b/>
          <w:sz w:val="28"/>
          <w:szCs w:val="28"/>
        </w:rPr>
        <w:t>1.4环境敏感目标</w:t>
      </w:r>
      <w:bookmarkEnd w:id="49"/>
    </w:p>
    <w:p w14:paraId="1CAF935A">
      <w:pPr>
        <w:spacing w:line="440" w:lineRule="exact"/>
        <w:ind w:firstLine="482" w:firstLineChars="200"/>
        <w:rPr>
          <w:b/>
          <w:kern w:val="0"/>
          <w:sz w:val="24"/>
        </w:rPr>
      </w:pPr>
      <w:r>
        <w:rPr>
          <w:b/>
          <w:kern w:val="0"/>
          <w:sz w:val="24"/>
        </w:rPr>
        <w:t>表1.4-1    项目环境风险保护目标一览表</w:t>
      </w:r>
    </w:p>
    <w:p w14:paraId="16B4B093">
      <w:pPr>
        <w:spacing w:line="40" w:lineRule="exact"/>
        <w:ind w:firstLine="480"/>
      </w:pPr>
    </w:p>
    <w:tbl>
      <w:tblPr>
        <w:tblStyle w:val="78"/>
        <w:tblW w:w="84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75"/>
        <w:gridCol w:w="1445"/>
        <w:gridCol w:w="1732"/>
        <w:gridCol w:w="2455"/>
        <w:gridCol w:w="2137"/>
      </w:tblGrid>
      <w:tr w14:paraId="4CE2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2120" w:type="dxa"/>
            <w:gridSpan w:val="2"/>
            <w:vAlign w:val="center"/>
          </w:tcPr>
          <w:p w14:paraId="2CE6B8D1">
            <w:pPr>
              <w:spacing w:line="360" w:lineRule="exact"/>
              <w:jc w:val="center"/>
              <w:rPr>
                <w:szCs w:val="21"/>
              </w:rPr>
            </w:pPr>
            <w:r>
              <w:rPr>
                <w:szCs w:val="21"/>
              </w:rPr>
              <w:t>保护对象</w:t>
            </w:r>
          </w:p>
        </w:tc>
        <w:tc>
          <w:tcPr>
            <w:tcW w:w="1732" w:type="dxa"/>
            <w:vAlign w:val="center"/>
          </w:tcPr>
          <w:p w14:paraId="2A4CF35B">
            <w:pPr>
              <w:spacing w:line="360" w:lineRule="exact"/>
              <w:jc w:val="center"/>
              <w:rPr>
                <w:szCs w:val="21"/>
              </w:rPr>
            </w:pPr>
            <w:r>
              <w:rPr>
                <w:szCs w:val="21"/>
              </w:rPr>
              <w:t>与管线相对方位</w:t>
            </w:r>
          </w:p>
        </w:tc>
        <w:tc>
          <w:tcPr>
            <w:tcW w:w="2455" w:type="dxa"/>
            <w:vAlign w:val="center"/>
          </w:tcPr>
          <w:p w14:paraId="6520C432">
            <w:pPr>
              <w:spacing w:line="360" w:lineRule="exact"/>
              <w:jc w:val="center"/>
              <w:rPr>
                <w:szCs w:val="21"/>
              </w:rPr>
            </w:pPr>
            <w:r>
              <w:rPr>
                <w:szCs w:val="21"/>
              </w:rPr>
              <w:t>与风险源相对距离（m）</w:t>
            </w:r>
          </w:p>
        </w:tc>
        <w:tc>
          <w:tcPr>
            <w:tcW w:w="2137" w:type="dxa"/>
            <w:vAlign w:val="center"/>
          </w:tcPr>
          <w:p w14:paraId="35139FB6">
            <w:pPr>
              <w:spacing w:line="360" w:lineRule="exact"/>
              <w:rPr>
                <w:szCs w:val="21"/>
              </w:rPr>
            </w:pPr>
            <w:r>
              <w:rPr>
                <w:szCs w:val="21"/>
              </w:rPr>
              <w:t>评价范围内人口（人）</w:t>
            </w:r>
          </w:p>
        </w:tc>
      </w:tr>
      <w:tr w14:paraId="5FE6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trPr>
        <w:tc>
          <w:tcPr>
            <w:tcW w:w="675" w:type="dxa"/>
            <w:vAlign w:val="center"/>
          </w:tcPr>
          <w:p w14:paraId="349FFFE8">
            <w:pPr>
              <w:spacing w:line="360" w:lineRule="exact"/>
              <w:jc w:val="center"/>
              <w:textAlignment w:val="baseline"/>
              <w:rPr>
                <w:szCs w:val="21"/>
              </w:rPr>
            </w:pPr>
            <w:r>
              <w:rPr>
                <w:szCs w:val="21"/>
              </w:rPr>
              <w:t>大气</w:t>
            </w:r>
          </w:p>
        </w:tc>
        <w:tc>
          <w:tcPr>
            <w:tcW w:w="1445" w:type="dxa"/>
            <w:vAlign w:val="center"/>
          </w:tcPr>
          <w:p w14:paraId="792924F2">
            <w:pPr>
              <w:spacing w:line="360" w:lineRule="exact"/>
              <w:jc w:val="center"/>
              <w:rPr>
                <w:szCs w:val="21"/>
              </w:rPr>
            </w:pPr>
            <w:r>
              <w:rPr>
                <w:rFonts w:hint="eastAsia"/>
                <w:szCs w:val="21"/>
              </w:rPr>
              <w:t>周边5km范围内</w:t>
            </w:r>
            <w:r>
              <w:rPr>
                <w:szCs w:val="21"/>
              </w:rPr>
              <w:t>企业职工</w:t>
            </w:r>
            <w:r>
              <w:rPr>
                <w:rFonts w:hint="eastAsia"/>
                <w:szCs w:val="21"/>
              </w:rPr>
              <w:t>、居民</w:t>
            </w:r>
          </w:p>
        </w:tc>
        <w:tc>
          <w:tcPr>
            <w:tcW w:w="1732" w:type="dxa"/>
            <w:vAlign w:val="center"/>
          </w:tcPr>
          <w:p w14:paraId="3A7B4490">
            <w:pPr>
              <w:tabs>
                <w:tab w:val="left" w:pos="3580"/>
              </w:tabs>
              <w:topLinePunct/>
              <w:spacing w:line="360" w:lineRule="exact"/>
              <w:jc w:val="center"/>
              <w:rPr>
                <w:szCs w:val="21"/>
              </w:rPr>
            </w:pPr>
            <w:r>
              <w:rPr>
                <w:szCs w:val="21"/>
              </w:rPr>
              <w:t>--</w:t>
            </w:r>
          </w:p>
        </w:tc>
        <w:tc>
          <w:tcPr>
            <w:tcW w:w="2455" w:type="dxa"/>
            <w:vAlign w:val="center"/>
          </w:tcPr>
          <w:p w14:paraId="26020A7A">
            <w:pPr>
              <w:spacing w:line="360" w:lineRule="exact"/>
              <w:jc w:val="center"/>
              <w:rPr>
                <w:szCs w:val="21"/>
              </w:rPr>
            </w:pPr>
            <w:r>
              <w:rPr>
                <w:szCs w:val="21"/>
              </w:rPr>
              <w:t>--</w:t>
            </w:r>
          </w:p>
        </w:tc>
        <w:tc>
          <w:tcPr>
            <w:tcW w:w="2137" w:type="dxa"/>
            <w:vAlign w:val="center"/>
          </w:tcPr>
          <w:p w14:paraId="3758ACB5">
            <w:pPr>
              <w:spacing w:line="360" w:lineRule="exact"/>
              <w:jc w:val="center"/>
              <w:rPr>
                <w:szCs w:val="21"/>
              </w:rPr>
            </w:pPr>
            <w:r>
              <w:rPr>
                <w:rFonts w:hint="eastAsia"/>
                <w:szCs w:val="21"/>
              </w:rPr>
              <w:t>1432</w:t>
            </w:r>
          </w:p>
        </w:tc>
      </w:tr>
      <w:tr w14:paraId="5DB1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2120" w:type="dxa"/>
            <w:gridSpan w:val="2"/>
            <w:vAlign w:val="center"/>
          </w:tcPr>
          <w:p w14:paraId="26D85E4A">
            <w:pPr>
              <w:spacing w:line="360" w:lineRule="exact"/>
              <w:jc w:val="center"/>
              <w:rPr>
                <w:szCs w:val="21"/>
              </w:rPr>
            </w:pPr>
            <w:r>
              <w:rPr>
                <w:szCs w:val="21"/>
              </w:rPr>
              <w:t>土壤</w:t>
            </w:r>
            <w:r>
              <w:rPr>
                <w:rFonts w:hint="eastAsia"/>
                <w:szCs w:val="21"/>
              </w:rPr>
              <w:t>、地下水</w:t>
            </w:r>
          </w:p>
        </w:tc>
        <w:tc>
          <w:tcPr>
            <w:tcW w:w="6324" w:type="dxa"/>
            <w:gridSpan w:val="3"/>
            <w:vAlign w:val="center"/>
          </w:tcPr>
          <w:p w14:paraId="55A608EF">
            <w:pPr>
              <w:spacing w:line="360" w:lineRule="exact"/>
              <w:jc w:val="center"/>
              <w:rPr>
                <w:szCs w:val="21"/>
              </w:rPr>
            </w:pPr>
            <w:r>
              <w:rPr>
                <w:szCs w:val="21"/>
              </w:rPr>
              <w:t>管道沿线土壤</w:t>
            </w:r>
            <w:r>
              <w:rPr>
                <w:rFonts w:hint="eastAsia"/>
                <w:szCs w:val="21"/>
              </w:rPr>
              <w:t>、厂区地下水。</w:t>
            </w:r>
          </w:p>
        </w:tc>
      </w:tr>
    </w:tbl>
    <w:p w14:paraId="026DDD40">
      <w:pPr>
        <w:adjustRightInd w:val="0"/>
        <w:spacing w:before="120" w:after="120" w:line="440" w:lineRule="exact"/>
        <w:outlineLvl w:val="1"/>
        <w:rPr>
          <w:b/>
          <w:sz w:val="28"/>
          <w:szCs w:val="28"/>
        </w:rPr>
      </w:pPr>
      <w:bookmarkStart w:id="50" w:name="_Toc5943"/>
      <w:r>
        <w:rPr>
          <w:rFonts w:hint="eastAsia"/>
          <w:b/>
          <w:sz w:val="28"/>
          <w:szCs w:val="28"/>
        </w:rPr>
        <w:t>1.5现有工程环境风险回顾性分析</w:t>
      </w:r>
      <w:bookmarkEnd w:id="50"/>
    </w:p>
    <w:p w14:paraId="4BCD8FE7">
      <w:pPr>
        <w:adjustRightInd w:val="0"/>
        <w:snapToGrid w:val="0"/>
        <w:spacing w:line="440" w:lineRule="exact"/>
        <w:ind w:firstLine="480" w:firstLineChars="200"/>
        <w:rPr>
          <w:sz w:val="24"/>
          <w:lang w:val="zh-CN"/>
        </w:rPr>
      </w:pPr>
      <w:r>
        <w:rPr>
          <w:rFonts w:hint="eastAsia"/>
          <w:sz w:val="24"/>
          <w:lang w:val="zh-CN"/>
        </w:rPr>
        <w:t>根据现场调查，现有厂区采取了完善的风险防范措施，并根据现有厂区实际生产、使用危险化学品的品种及生产装置和贮罐区的分布情况，将各种可能出现的易燃、易爆、易泄漏、易中毒等情况编制了现场处置方案</w:t>
      </w:r>
      <w:bookmarkStart w:id="51" w:name="_Toc9146"/>
      <w:r>
        <w:rPr>
          <w:rFonts w:hint="eastAsia"/>
          <w:sz w:val="24"/>
          <w:lang w:val="zh-CN"/>
        </w:rPr>
        <w:t>。内蒙古伊泰化工有限责任公司已编制突发环境事件应急预案，并且在鄂尔多斯市生态环境局杭锦旗分局进行备案，备案编号为150625-2024-18-L。</w:t>
      </w:r>
    </w:p>
    <w:p w14:paraId="28167ED8">
      <w:pPr>
        <w:keepNext/>
        <w:keepLines/>
        <w:spacing w:before="60" w:after="60" w:line="440" w:lineRule="exact"/>
        <w:outlineLvl w:val="1"/>
        <w:rPr>
          <w:b/>
          <w:sz w:val="28"/>
          <w:szCs w:val="28"/>
        </w:rPr>
      </w:pPr>
      <w:bookmarkStart w:id="52" w:name="_Toc21824"/>
      <w:bookmarkStart w:id="53" w:name="_Toc14236_WPSOffice_Level1"/>
      <w:r>
        <w:rPr>
          <w:rFonts w:hint="eastAsia"/>
          <w:b/>
          <w:sz w:val="28"/>
          <w:szCs w:val="28"/>
        </w:rPr>
        <w:t>1.6现有工程环境风险防范措施</w:t>
      </w:r>
      <w:bookmarkEnd w:id="52"/>
    </w:p>
    <w:p w14:paraId="020CDA7F">
      <w:pPr>
        <w:keepNext/>
        <w:keepLines/>
        <w:spacing w:line="440" w:lineRule="exact"/>
        <w:outlineLvl w:val="2"/>
        <w:rPr>
          <w:b/>
          <w:sz w:val="24"/>
        </w:rPr>
      </w:pPr>
      <w:bookmarkStart w:id="54" w:name="_Toc12207"/>
      <w:r>
        <w:rPr>
          <w:rFonts w:hint="eastAsia"/>
          <w:b/>
          <w:sz w:val="24"/>
        </w:rPr>
        <w:t>1.6.1应急物资准备</w:t>
      </w:r>
      <w:bookmarkEnd w:id="54"/>
    </w:p>
    <w:p w14:paraId="4226EC30">
      <w:pPr>
        <w:adjustRightInd w:val="0"/>
        <w:snapToGrid w:val="0"/>
        <w:spacing w:line="440" w:lineRule="exact"/>
        <w:ind w:firstLine="480" w:firstLineChars="200"/>
        <w:rPr>
          <w:sz w:val="24"/>
          <w:lang w:val="zh-CN"/>
        </w:rPr>
      </w:pPr>
      <w:r>
        <w:rPr>
          <w:rFonts w:hint="eastAsia"/>
          <w:sz w:val="24"/>
          <w:lang w:val="zh-CN"/>
        </w:rPr>
        <w:t>（</w:t>
      </w:r>
      <w:r>
        <w:rPr>
          <w:sz w:val="24"/>
          <w:lang w:val="zh-CN"/>
        </w:rPr>
        <w:t>1</w:t>
      </w:r>
      <w:r>
        <w:rPr>
          <w:rFonts w:hint="eastAsia"/>
          <w:sz w:val="24"/>
          <w:lang w:val="zh-CN"/>
        </w:rPr>
        <w:t>）全厂的总图布置应执行《建筑设计防火规范》（GB 50016-2014）</w:t>
      </w:r>
      <w:r>
        <w:rPr>
          <w:sz w:val="24"/>
          <w:lang w:val="zh-CN"/>
        </w:rPr>
        <w:t>（2018年版）</w:t>
      </w:r>
      <w:r>
        <w:rPr>
          <w:rFonts w:hint="eastAsia"/>
          <w:sz w:val="24"/>
          <w:lang w:val="zh-CN"/>
        </w:rPr>
        <w:t>和其他安全卫生规范的规定，并充分考虑风向因素、安全防护距离、消防和疏散通道以及人货分流等要求，以利于安全生产；</w:t>
      </w:r>
    </w:p>
    <w:p w14:paraId="6A3FD42A">
      <w:pPr>
        <w:adjustRightInd w:val="0"/>
        <w:snapToGrid w:val="0"/>
        <w:spacing w:line="440" w:lineRule="exact"/>
        <w:ind w:firstLine="480" w:firstLineChars="200"/>
        <w:rPr>
          <w:sz w:val="24"/>
          <w:lang w:val="zh-CN"/>
        </w:rPr>
      </w:pPr>
      <w:r>
        <w:rPr>
          <w:rFonts w:hint="eastAsia"/>
          <w:sz w:val="24"/>
          <w:lang w:val="zh-CN"/>
        </w:rPr>
        <w:t>（2）在生产过程中，对各密封点进行经常检查，防止有毒有害物质的泄漏；</w:t>
      </w:r>
    </w:p>
    <w:p w14:paraId="2DBB413A">
      <w:pPr>
        <w:adjustRightInd w:val="0"/>
        <w:snapToGrid w:val="0"/>
        <w:spacing w:line="440" w:lineRule="exact"/>
        <w:ind w:firstLine="480" w:firstLineChars="200"/>
        <w:rPr>
          <w:sz w:val="24"/>
          <w:lang w:val="zh-CN"/>
        </w:rPr>
      </w:pPr>
      <w:r>
        <w:rPr>
          <w:rFonts w:hint="eastAsia"/>
          <w:sz w:val="24"/>
          <w:lang w:val="zh-CN"/>
        </w:rPr>
        <w:t>（3）保证污水处理设施正常运行，防止在处理突发环境事件过程中产生的高浓度消防废水、废液直接排入水体；</w:t>
      </w:r>
    </w:p>
    <w:p w14:paraId="03C20C1D">
      <w:pPr>
        <w:adjustRightInd w:val="0"/>
        <w:snapToGrid w:val="0"/>
        <w:spacing w:line="440" w:lineRule="exact"/>
        <w:ind w:firstLine="480" w:firstLineChars="200"/>
        <w:rPr>
          <w:sz w:val="24"/>
          <w:lang w:val="zh-CN"/>
        </w:rPr>
      </w:pPr>
      <w:r>
        <w:rPr>
          <w:rFonts w:hint="eastAsia"/>
          <w:sz w:val="24"/>
          <w:lang w:val="zh-CN"/>
        </w:rPr>
        <w:t>（4）对泄漏的有毒有害物质实行集中收集，进入除害系统进行吸收、中和和无害化处理；</w:t>
      </w:r>
    </w:p>
    <w:p w14:paraId="4657774C">
      <w:pPr>
        <w:adjustRightInd w:val="0"/>
        <w:snapToGrid w:val="0"/>
        <w:spacing w:line="440" w:lineRule="exact"/>
        <w:ind w:firstLine="480" w:firstLineChars="200"/>
        <w:rPr>
          <w:sz w:val="24"/>
          <w:lang w:val="zh-CN"/>
        </w:rPr>
      </w:pPr>
      <w:r>
        <w:rPr>
          <w:rFonts w:hint="eastAsia"/>
          <w:sz w:val="24"/>
          <w:lang w:val="zh-CN"/>
        </w:rPr>
        <w:t>（5）消防事故水池</w:t>
      </w:r>
      <w:r>
        <w:rPr>
          <w:sz w:val="24"/>
          <w:lang w:val="zh-CN"/>
        </w:rPr>
        <w:t>30000m</w:t>
      </w:r>
      <w:r>
        <w:rPr>
          <w:rFonts w:hint="eastAsia"/>
          <w:sz w:val="24"/>
          <w:vertAlign w:val="superscript"/>
          <w:lang w:val="zh-CN"/>
        </w:rPr>
        <w:t>3</w:t>
      </w:r>
      <w:r>
        <w:rPr>
          <w:rFonts w:hint="eastAsia"/>
          <w:sz w:val="24"/>
          <w:lang w:val="zh-CN"/>
        </w:rPr>
        <w:t>，其位置位于伊泰厂区东北角；</w:t>
      </w:r>
    </w:p>
    <w:p w14:paraId="24887262">
      <w:pPr>
        <w:adjustRightInd w:val="0"/>
        <w:snapToGrid w:val="0"/>
        <w:spacing w:line="440" w:lineRule="exact"/>
        <w:ind w:firstLine="480" w:firstLineChars="200"/>
        <w:rPr>
          <w:sz w:val="24"/>
          <w:lang w:val="zh-CN"/>
        </w:rPr>
      </w:pPr>
      <w:r>
        <w:rPr>
          <w:rFonts w:hint="eastAsia"/>
          <w:sz w:val="24"/>
          <w:lang w:val="zh-CN"/>
        </w:rPr>
        <w:t>（6）建立全厂应急呼叫系统，确保紧急情况下应急信息通报的有效性；</w:t>
      </w:r>
    </w:p>
    <w:p w14:paraId="2198CFED">
      <w:pPr>
        <w:adjustRightInd w:val="0"/>
        <w:snapToGrid w:val="0"/>
        <w:spacing w:line="440" w:lineRule="exact"/>
        <w:ind w:firstLine="480" w:firstLineChars="200"/>
        <w:rPr>
          <w:sz w:val="24"/>
          <w:lang w:val="zh-CN"/>
        </w:rPr>
      </w:pPr>
      <w:r>
        <w:rPr>
          <w:rFonts w:hint="eastAsia"/>
          <w:sz w:val="24"/>
          <w:lang w:val="zh-CN"/>
        </w:rPr>
        <w:t>（7）增加应急处置、快速机动和自身防护装备、物资的储备。</w:t>
      </w:r>
    </w:p>
    <w:p w14:paraId="7E6D8505">
      <w:pPr>
        <w:keepNext/>
        <w:keepLines/>
        <w:spacing w:line="440" w:lineRule="exact"/>
        <w:outlineLvl w:val="2"/>
        <w:rPr>
          <w:b/>
          <w:sz w:val="24"/>
        </w:rPr>
      </w:pPr>
      <w:bookmarkStart w:id="55" w:name="_Toc14027"/>
      <w:r>
        <w:rPr>
          <w:rFonts w:hint="eastAsia"/>
          <w:b/>
          <w:sz w:val="24"/>
        </w:rPr>
        <w:t>1.6.2预防措施准备</w:t>
      </w:r>
      <w:bookmarkEnd w:id="55"/>
    </w:p>
    <w:p w14:paraId="4A950D6C">
      <w:pPr>
        <w:adjustRightInd w:val="0"/>
        <w:snapToGrid w:val="0"/>
        <w:spacing w:line="440" w:lineRule="exact"/>
        <w:ind w:firstLine="480" w:firstLineChars="200"/>
        <w:rPr>
          <w:sz w:val="24"/>
          <w:lang w:val="zh-CN"/>
        </w:rPr>
      </w:pPr>
      <w:r>
        <w:rPr>
          <w:rFonts w:hint="eastAsia"/>
          <w:sz w:val="24"/>
          <w:lang w:val="zh-CN"/>
        </w:rPr>
        <w:t>（</w:t>
      </w:r>
      <w:r>
        <w:rPr>
          <w:sz w:val="24"/>
          <w:lang w:val="zh-CN"/>
        </w:rPr>
        <w:t>1</w:t>
      </w:r>
      <w:r>
        <w:rPr>
          <w:rFonts w:hint="eastAsia"/>
          <w:sz w:val="24"/>
          <w:lang w:val="zh-CN"/>
        </w:rPr>
        <w:t>）环境应急相关部门及单位要充分发挥职能作用，在积极发挥现有检验、鉴定、监测力量的基础上，根据工作需要和职责要求，加强危险化学品检验、鉴定和监测设备建设，不断提高应急监测、动态监控的能力，保证在发生突发环境事件时能有效、及时掌握对环境的污染和影响。</w:t>
      </w:r>
    </w:p>
    <w:p w14:paraId="5330C4C5">
      <w:pPr>
        <w:adjustRightInd w:val="0"/>
        <w:snapToGrid w:val="0"/>
        <w:spacing w:line="440" w:lineRule="exact"/>
        <w:ind w:firstLine="480" w:firstLineChars="200"/>
        <w:rPr>
          <w:sz w:val="24"/>
          <w:lang w:val="zh-CN"/>
        </w:rPr>
      </w:pPr>
      <w:r>
        <w:rPr>
          <w:rFonts w:hint="eastAsia"/>
          <w:sz w:val="24"/>
          <w:lang w:val="zh-CN"/>
        </w:rPr>
        <w:t>（</w:t>
      </w:r>
      <w:r>
        <w:rPr>
          <w:sz w:val="24"/>
          <w:lang w:val="zh-CN"/>
        </w:rPr>
        <w:t>2</w:t>
      </w:r>
      <w:r>
        <w:rPr>
          <w:rFonts w:hint="eastAsia"/>
          <w:sz w:val="24"/>
          <w:lang w:val="zh-CN"/>
        </w:rPr>
        <w:t>）建立健全各专业环境应急队伍环境应急相关主管部门要按各自职责建立突发环境事件应急救援队伍，形成由环境应急主管部门和相关车间、相对固定人员组成的环境应急网络；加强各级环境应急队伍的建设，提高应对突发事件的素质和能力；加强各级环境应急队伍的环境应急知识培训，充分掌握各类突发环境事件的处置措施，保证在突发事件发生后，能迅速参与并完成抢救、排险、消毒、监测等现场处置工作。</w:t>
      </w:r>
    </w:p>
    <w:p w14:paraId="10F99FEC">
      <w:pPr>
        <w:adjustRightInd w:val="0"/>
        <w:snapToGrid w:val="0"/>
        <w:spacing w:line="440" w:lineRule="exact"/>
        <w:ind w:firstLine="480" w:firstLineChars="200"/>
        <w:rPr>
          <w:sz w:val="24"/>
          <w:lang w:val="zh-CN"/>
        </w:rPr>
      </w:pPr>
      <w:r>
        <w:rPr>
          <w:rFonts w:hint="eastAsia"/>
          <w:sz w:val="24"/>
          <w:lang w:val="zh-CN"/>
        </w:rPr>
        <w:t>（</w:t>
      </w:r>
      <w:r>
        <w:rPr>
          <w:sz w:val="24"/>
          <w:lang w:val="zh-CN"/>
        </w:rPr>
        <w:t>3</w:t>
      </w:r>
      <w:r>
        <w:rPr>
          <w:rFonts w:hint="eastAsia"/>
          <w:sz w:val="24"/>
          <w:lang w:val="zh-CN"/>
        </w:rPr>
        <w:t>）各级环境应急相关成员单位根据突发环境事件应急需要，提出项目支出预算并报公司审批后执行。</w:t>
      </w:r>
    </w:p>
    <w:p w14:paraId="5378D8DB">
      <w:pPr>
        <w:adjustRightInd w:val="0"/>
        <w:snapToGrid w:val="0"/>
        <w:spacing w:line="440" w:lineRule="exact"/>
        <w:ind w:firstLine="480" w:firstLineChars="200"/>
        <w:rPr>
          <w:sz w:val="24"/>
          <w:lang w:val="zh-CN"/>
        </w:rPr>
      </w:pPr>
      <w:r>
        <w:rPr>
          <w:rFonts w:hint="eastAsia"/>
          <w:sz w:val="24"/>
          <w:lang w:val="zh-CN"/>
        </w:rPr>
        <w:t>（</w:t>
      </w:r>
      <w:r>
        <w:rPr>
          <w:sz w:val="24"/>
          <w:lang w:val="zh-CN"/>
        </w:rPr>
        <w:t>4</w:t>
      </w:r>
      <w:r>
        <w:rPr>
          <w:rFonts w:hint="eastAsia"/>
          <w:sz w:val="24"/>
          <w:lang w:val="zh-CN"/>
        </w:rPr>
        <w:t>）建立环境安全预警系统，公示报警电话，组建环境应急专家组，确保事件发生后相关环境专家能迅速到位，为指挥决策提供服务；建立环境应急数据库。</w:t>
      </w:r>
    </w:p>
    <w:p w14:paraId="5E242545">
      <w:pPr>
        <w:adjustRightInd w:val="0"/>
        <w:snapToGrid w:val="0"/>
        <w:spacing w:line="440" w:lineRule="exact"/>
        <w:ind w:firstLine="480" w:firstLineChars="200"/>
        <w:rPr>
          <w:sz w:val="24"/>
          <w:lang w:val="zh-CN"/>
        </w:rPr>
      </w:pPr>
      <w:r>
        <w:rPr>
          <w:rFonts w:hint="eastAsia"/>
          <w:sz w:val="24"/>
          <w:lang w:val="zh-CN"/>
        </w:rPr>
        <w:t>（</w:t>
      </w:r>
      <w:r>
        <w:rPr>
          <w:sz w:val="24"/>
          <w:lang w:val="zh-CN"/>
        </w:rPr>
        <w:t>5</w:t>
      </w:r>
      <w:r>
        <w:rPr>
          <w:rFonts w:hint="eastAsia"/>
          <w:sz w:val="24"/>
          <w:lang w:val="zh-CN"/>
        </w:rPr>
        <w:t>）应急指令的下达与接收采取无线通信、有线通信与移动通信相结合的方式，以无线通信为主，实现应急信息快速传输。在外应急人员的联络以移动电话等无线通信为主，确保应急指令快速下达。监测小组在应急过程中，主要利用对讲机、移动电话等，辅以移动通信，实现信息双向交流。</w:t>
      </w:r>
    </w:p>
    <w:p w14:paraId="2BB6AE7F">
      <w:pPr>
        <w:adjustRightInd w:val="0"/>
        <w:snapToGrid w:val="0"/>
        <w:spacing w:line="440" w:lineRule="exact"/>
        <w:ind w:firstLine="480" w:firstLineChars="200"/>
        <w:rPr>
          <w:sz w:val="24"/>
          <w:lang w:val="zh-CN"/>
        </w:rPr>
      </w:pPr>
      <w:r>
        <w:rPr>
          <w:rFonts w:hint="eastAsia"/>
          <w:sz w:val="24"/>
          <w:lang w:val="zh-CN"/>
        </w:rPr>
        <w:t>（</w:t>
      </w:r>
      <w:r>
        <w:rPr>
          <w:sz w:val="24"/>
          <w:lang w:val="zh-CN"/>
        </w:rPr>
        <w:t>6</w:t>
      </w:r>
      <w:r>
        <w:rPr>
          <w:rFonts w:hint="eastAsia"/>
          <w:sz w:val="24"/>
          <w:lang w:val="zh-CN"/>
        </w:rPr>
        <w:t>）应急状态下人员及物资运转的确认和调度，由公司应急指挥部授权现场应急指挥部组织实施。平时各应急车辆须保证</w:t>
      </w:r>
      <w:r>
        <w:rPr>
          <w:sz w:val="24"/>
          <w:lang w:val="zh-CN"/>
        </w:rPr>
        <w:t>300</w:t>
      </w:r>
      <w:r>
        <w:rPr>
          <w:rFonts w:hint="eastAsia"/>
          <w:sz w:val="24"/>
          <w:lang w:val="zh-CN"/>
        </w:rPr>
        <w:t>公里以上的行车用油。</w:t>
      </w:r>
    </w:p>
    <w:p w14:paraId="1A50FD3B">
      <w:pPr>
        <w:adjustRightInd w:val="0"/>
        <w:snapToGrid w:val="0"/>
        <w:spacing w:line="440" w:lineRule="exact"/>
        <w:ind w:firstLine="480" w:firstLineChars="200"/>
        <w:rPr>
          <w:sz w:val="24"/>
          <w:lang w:val="zh-CN"/>
        </w:rPr>
      </w:pPr>
      <w:r>
        <w:rPr>
          <w:rFonts w:hint="eastAsia"/>
          <w:sz w:val="24"/>
          <w:lang w:val="zh-CN"/>
        </w:rPr>
        <w:t>（</w:t>
      </w:r>
      <w:r>
        <w:rPr>
          <w:sz w:val="24"/>
          <w:lang w:val="zh-CN"/>
        </w:rPr>
        <w:t>7</w:t>
      </w:r>
      <w:r>
        <w:rPr>
          <w:rFonts w:hint="eastAsia"/>
          <w:sz w:val="24"/>
          <w:lang w:val="zh-CN"/>
        </w:rPr>
        <w:t>）应急过程中如出现人员中毒或受伤，可就近组织现场救治或送至公司医务室救治，或及时与相关医疗单位联系，也可送至现场指挥所指定的医院、医疗单位救治，应急状态终止后根据实际情况组织转院或继续治疗。</w:t>
      </w:r>
    </w:p>
    <w:p w14:paraId="300F71AA">
      <w:pPr>
        <w:adjustRightInd w:val="0"/>
        <w:snapToGrid w:val="0"/>
        <w:spacing w:line="440" w:lineRule="exact"/>
        <w:ind w:firstLine="480" w:firstLineChars="200"/>
        <w:rPr>
          <w:sz w:val="24"/>
          <w:lang w:val="zh-CN"/>
        </w:rPr>
      </w:pPr>
      <w:r>
        <w:rPr>
          <w:rFonts w:hint="eastAsia"/>
          <w:sz w:val="24"/>
          <w:lang w:val="zh-CN"/>
        </w:rPr>
        <w:t>（</w:t>
      </w:r>
      <w:r>
        <w:rPr>
          <w:sz w:val="24"/>
          <w:lang w:val="zh-CN"/>
        </w:rPr>
        <w:t>8</w:t>
      </w:r>
      <w:r>
        <w:rPr>
          <w:rFonts w:hint="eastAsia"/>
          <w:sz w:val="24"/>
          <w:lang w:val="zh-CN"/>
        </w:rPr>
        <w:t>）建立安全管理、危险源监测制度，规范对危险源的管理。</w:t>
      </w:r>
    </w:p>
    <w:p w14:paraId="5B884732">
      <w:pPr>
        <w:adjustRightInd w:val="0"/>
        <w:snapToGrid w:val="0"/>
        <w:spacing w:line="440" w:lineRule="exact"/>
        <w:ind w:firstLine="480" w:firstLineChars="200"/>
        <w:rPr>
          <w:sz w:val="24"/>
          <w:lang w:val="zh-CN"/>
        </w:rPr>
      </w:pPr>
      <w:r>
        <w:rPr>
          <w:rFonts w:hint="eastAsia"/>
          <w:sz w:val="24"/>
          <w:lang w:val="zh-CN"/>
        </w:rPr>
        <w:t>（</w:t>
      </w:r>
      <w:r>
        <w:rPr>
          <w:sz w:val="24"/>
          <w:lang w:val="zh-CN"/>
        </w:rPr>
        <w:t>9</w:t>
      </w:r>
      <w:r>
        <w:rPr>
          <w:rFonts w:hint="eastAsia"/>
          <w:sz w:val="24"/>
          <w:lang w:val="zh-CN"/>
        </w:rPr>
        <w:t>）关键岗位应配备一定数量的巡检人员，依据巡检制度进行巡回检查。</w:t>
      </w:r>
    </w:p>
    <w:p w14:paraId="16202B19">
      <w:pPr>
        <w:keepNext/>
        <w:keepLines/>
        <w:spacing w:line="440" w:lineRule="exact"/>
        <w:outlineLvl w:val="2"/>
        <w:rPr>
          <w:b/>
          <w:sz w:val="24"/>
        </w:rPr>
      </w:pPr>
      <w:bookmarkStart w:id="56" w:name="_Toc17442"/>
      <w:r>
        <w:rPr>
          <w:rFonts w:hint="eastAsia"/>
          <w:b/>
          <w:sz w:val="24"/>
        </w:rPr>
        <w:t>1.6.3预警措施</w:t>
      </w:r>
      <w:bookmarkEnd w:id="56"/>
    </w:p>
    <w:p w14:paraId="6B222111">
      <w:pPr>
        <w:adjustRightInd w:val="0"/>
        <w:snapToGrid w:val="0"/>
        <w:spacing w:line="440" w:lineRule="exact"/>
        <w:ind w:firstLine="480" w:firstLineChars="200"/>
        <w:rPr>
          <w:sz w:val="24"/>
          <w:lang w:val="zh-CN"/>
        </w:rPr>
      </w:pPr>
      <w:r>
        <w:rPr>
          <w:rFonts w:hint="eastAsia"/>
          <w:sz w:val="24"/>
          <w:lang w:val="zh-CN"/>
        </w:rPr>
        <w:t>（1）现场操作员工在发现突发环境事件或紧急情况下，应立即向当班领导人报告。报告内容应包括：</w:t>
      </w:r>
    </w:p>
    <w:p w14:paraId="175B71DA">
      <w:pPr>
        <w:adjustRightInd w:val="0"/>
        <w:snapToGrid w:val="0"/>
        <w:spacing w:line="440" w:lineRule="exact"/>
        <w:ind w:firstLine="480" w:firstLineChars="200"/>
        <w:rPr>
          <w:sz w:val="24"/>
          <w:lang w:val="zh-CN"/>
        </w:rPr>
      </w:pPr>
      <w:r>
        <w:rPr>
          <w:rFonts w:hint="eastAsia"/>
          <w:sz w:val="24"/>
          <w:lang w:val="zh-CN"/>
        </w:rPr>
        <w:t>①发生事件的具体地点；</w:t>
      </w:r>
    </w:p>
    <w:p w14:paraId="2A2B8898">
      <w:pPr>
        <w:adjustRightInd w:val="0"/>
        <w:snapToGrid w:val="0"/>
        <w:spacing w:line="440" w:lineRule="exact"/>
        <w:ind w:firstLine="480" w:firstLineChars="200"/>
        <w:rPr>
          <w:sz w:val="24"/>
          <w:lang w:val="zh-CN"/>
        </w:rPr>
      </w:pPr>
      <w:r>
        <w:rPr>
          <w:rFonts w:hint="eastAsia"/>
          <w:sz w:val="24"/>
          <w:lang w:val="zh-CN"/>
        </w:rPr>
        <w:t>②事件类型（火灾、爆炸、中毒等）；</w:t>
      </w:r>
    </w:p>
    <w:p w14:paraId="6324053C">
      <w:pPr>
        <w:adjustRightInd w:val="0"/>
        <w:snapToGrid w:val="0"/>
        <w:spacing w:line="440" w:lineRule="exact"/>
        <w:ind w:firstLine="480" w:firstLineChars="200"/>
        <w:rPr>
          <w:sz w:val="24"/>
          <w:lang w:val="zh-CN"/>
        </w:rPr>
      </w:pPr>
      <w:r>
        <w:rPr>
          <w:rFonts w:hint="eastAsia"/>
          <w:sz w:val="24"/>
          <w:lang w:val="zh-CN"/>
        </w:rPr>
        <w:t>③有无人员伤亡；</w:t>
      </w:r>
    </w:p>
    <w:p w14:paraId="77E9BCB7">
      <w:pPr>
        <w:adjustRightInd w:val="0"/>
        <w:snapToGrid w:val="0"/>
        <w:spacing w:line="440" w:lineRule="exact"/>
        <w:ind w:firstLine="480" w:firstLineChars="200"/>
        <w:rPr>
          <w:sz w:val="24"/>
          <w:lang w:val="zh-CN"/>
        </w:rPr>
      </w:pPr>
      <w:r>
        <w:rPr>
          <w:rFonts w:hint="eastAsia"/>
          <w:sz w:val="24"/>
          <w:lang w:val="zh-CN"/>
        </w:rPr>
        <w:t>④事件严重程度。</w:t>
      </w:r>
    </w:p>
    <w:p w14:paraId="5CF9A43A">
      <w:pPr>
        <w:adjustRightInd w:val="0"/>
        <w:snapToGrid w:val="0"/>
        <w:spacing w:line="440" w:lineRule="exact"/>
        <w:ind w:firstLine="480" w:firstLineChars="200"/>
        <w:rPr>
          <w:sz w:val="24"/>
          <w:lang w:val="zh-CN"/>
        </w:rPr>
      </w:pPr>
      <w:r>
        <w:rPr>
          <w:rFonts w:hint="eastAsia"/>
          <w:sz w:val="24"/>
          <w:lang w:val="zh-CN"/>
        </w:rPr>
        <w:t>（2）当班领导人接到报警后，立即通知公司环境应急指挥部（办公室），由应急指挥部确定启动相应级别的应急救援预案，并同时上报上级主管部门。</w:t>
      </w:r>
    </w:p>
    <w:p w14:paraId="701E26B3">
      <w:pPr>
        <w:adjustRightInd w:val="0"/>
        <w:snapToGrid w:val="0"/>
        <w:spacing w:line="440" w:lineRule="exact"/>
        <w:ind w:firstLine="480" w:firstLineChars="200"/>
        <w:rPr>
          <w:sz w:val="24"/>
          <w:lang w:val="zh-CN"/>
        </w:rPr>
      </w:pPr>
      <w:r>
        <w:rPr>
          <w:rFonts w:hint="eastAsia"/>
          <w:sz w:val="24"/>
          <w:lang w:val="zh-CN"/>
        </w:rPr>
        <w:t>（3）公司应急指挥部通过预警系统立即通知各应急救援组和相关人员，通报公司内发生的事件或紧急情况，动员应急人员立即采取行动；并提醒其他无关人员进行安全避险，及时疏散到安全地点或撤离企业等防护行动。</w:t>
      </w:r>
    </w:p>
    <w:p w14:paraId="4FBF94DE">
      <w:pPr>
        <w:adjustRightInd w:val="0"/>
        <w:snapToGrid w:val="0"/>
        <w:spacing w:line="440" w:lineRule="exact"/>
        <w:ind w:firstLine="480" w:firstLineChars="200"/>
        <w:rPr>
          <w:sz w:val="24"/>
          <w:lang w:val="zh-CN"/>
        </w:rPr>
      </w:pPr>
      <w:r>
        <w:rPr>
          <w:rFonts w:hint="eastAsia"/>
          <w:sz w:val="24"/>
          <w:lang w:val="zh-CN"/>
        </w:rPr>
        <w:t>（4）通信组立即投入工作，保持公司应急指挥部与各应急救援组织的通讯联络畅通；同时，要保持与外部相关机构的联络畅通。</w:t>
      </w:r>
    </w:p>
    <w:p w14:paraId="03BEDB99">
      <w:pPr>
        <w:adjustRightInd w:val="0"/>
        <w:snapToGrid w:val="0"/>
        <w:spacing w:line="440" w:lineRule="exact"/>
        <w:ind w:firstLine="480" w:firstLineChars="200"/>
        <w:rPr>
          <w:sz w:val="24"/>
          <w:lang w:val="zh-CN"/>
        </w:rPr>
      </w:pPr>
      <w:r>
        <w:rPr>
          <w:rFonts w:hint="eastAsia"/>
          <w:sz w:val="24"/>
          <w:lang w:val="zh-CN"/>
        </w:rPr>
        <w:t>（5）公司应急指挥部根据事件性质做好公众防护行动的准备工作，并在紧急情况下为相关政府部门提供建议。</w:t>
      </w:r>
      <w:bookmarkEnd w:id="53"/>
    </w:p>
    <w:p w14:paraId="4BFB32FB">
      <w:pPr>
        <w:widowControl/>
        <w:jc w:val="left"/>
        <w:rPr>
          <w:sz w:val="24"/>
          <w:lang w:val="zh-CN"/>
        </w:rPr>
      </w:pPr>
      <w:r>
        <w:rPr>
          <w:sz w:val="24"/>
          <w:lang w:val="zh-CN"/>
        </w:rPr>
        <w:br w:type="page"/>
      </w:r>
    </w:p>
    <w:bookmarkEnd w:id="51"/>
    <w:p w14:paraId="7EDF9C13">
      <w:pPr>
        <w:overflowPunct w:val="0"/>
        <w:spacing w:before="180" w:after="180" w:line="440" w:lineRule="exact"/>
        <w:jc w:val="left"/>
        <w:outlineLvl w:val="0"/>
        <w:rPr>
          <w:b/>
          <w:kern w:val="44"/>
          <w:sz w:val="30"/>
          <w:szCs w:val="30"/>
        </w:rPr>
      </w:pPr>
      <w:bookmarkStart w:id="57" w:name="_Toc150331198"/>
      <w:r>
        <w:rPr>
          <w:b/>
          <w:kern w:val="44"/>
          <w:sz w:val="30"/>
          <w:szCs w:val="30"/>
        </w:rPr>
        <w:t>2.环境风险识别</w:t>
      </w:r>
      <w:bookmarkEnd w:id="57"/>
    </w:p>
    <w:p w14:paraId="63737D63">
      <w:pPr>
        <w:adjustRightInd w:val="0"/>
        <w:spacing w:before="120" w:after="120" w:line="440" w:lineRule="exact"/>
        <w:outlineLvl w:val="1"/>
        <w:rPr>
          <w:b/>
          <w:sz w:val="28"/>
          <w:szCs w:val="28"/>
        </w:rPr>
      </w:pPr>
      <w:bookmarkStart w:id="58" w:name="_Toc150331199"/>
      <w:r>
        <w:rPr>
          <w:b/>
          <w:sz w:val="28"/>
          <w:szCs w:val="28"/>
        </w:rPr>
        <w:t>2.1风险调查</w:t>
      </w:r>
      <w:bookmarkEnd w:id="58"/>
    </w:p>
    <w:p w14:paraId="609E1BCD">
      <w:pPr>
        <w:spacing w:line="440" w:lineRule="exact"/>
        <w:ind w:firstLine="480" w:firstLineChars="200"/>
        <w:rPr>
          <w:sz w:val="24"/>
        </w:rPr>
      </w:pPr>
      <w:r>
        <w:rPr>
          <w:sz w:val="24"/>
        </w:rPr>
        <w:t>本次评价涉及的危险物质为成品油，危险物质分布情况见表2.1-1。</w:t>
      </w:r>
    </w:p>
    <w:p w14:paraId="2C9D6356">
      <w:pPr>
        <w:spacing w:line="440" w:lineRule="exact"/>
        <w:ind w:firstLine="482" w:firstLineChars="200"/>
        <w:rPr>
          <w:b/>
          <w:sz w:val="24"/>
        </w:rPr>
      </w:pPr>
      <w:r>
        <w:rPr>
          <w:b/>
          <w:sz w:val="24"/>
        </w:rPr>
        <w:t>表2.1-1    项目危险物质及分布情况一览表</w:t>
      </w:r>
    </w:p>
    <w:tbl>
      <w:tblPr>
        <w:tblStyle w:val="7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654"/>
        <w:gridCol w:w="1815"/>
        <w:gridCol w:w="1815"/>
        <w:gridCol w:w="1686"/>
        <w:gridCol w:w="2395"/>
      </w:tblGrid>
      <w:tr w14:paraId="30088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91" w:type="pct"/>
            <w:vAlign w:val="center"/>
          </w:tcPr>
          <w:p w14:paraId="2CF8A83E">
            <w:pPr>
              <w:spacing w:line="360" w:lineRule="exact"/>
              <w:jc w:val="center"/>
              <w:rPr>
                <w:kern w:val="1"/>
                <w:szCs w:val="21"/>
                <w:lang w:val="zh-CN" w:eastAsia="zh-TW"/>
              </w:rPr>
            </w:pPr>
            <w:r>
              <w:rPr>
                <w:kern w:val="1"/>
                <w:szCs w:val="21"/>
              </w:rPr>
              <w:t>序号</w:t>
            </w:r>
          </w:p>
        </w:tc>
        <w:tc>
          <w:tcPr>
            <w:tcW w:w="1085" w:type="pct"/>
            <w:vAlign w:val="center"/>
          </w:tcPr>
          <w:p w14:paraId="5A5B2FBC">
            <w:pPr>
              <w:spacing w:line="360" w:lineRule="exact"/>
              <w:jc w:val="center"/>
              <w:rPr>
                <w:kern w:val="1"/>
                <w:szCs w:val="21"/>
                <w:lang w:val="zh-CN" w:eastAsia="zh-TW"/>
              </w:rPr>
            </w:pPr>
            <w:r>
              <w:rPr>
                <w:kern w:val="1"/>
                <w:szCs w:val="21"/>
                <w:lang w:val="zh-CN" w:eastAsia="zh-TW"/>
              </w:rPr>
              <w:t>分布单元</w:t>
            </w:r>
          </w:p>
        </w:tc>
        <w:tc>
          <w:tcPr>
            <w:tcW w:w="1085" w:type="pct"/>
            <w:vAlign w:val="center"/>
          </w:tcPr>
          <w:p w14:paraId="774317A2">
            <w:pPr>
              <w:spacing w:line="360" w:lineRule="exact"/>
              <w:jc w:val="center"/>
              <w:rPr>
                <w:kern w:val="1"/>
                <w:szCs w:val="21"/>
                <w:lang w:val="zh-CN" w:eastAsia="zh-TW"/>
              </w:rPr>
            </w:pPr>
            <w:r>
              <w:rPr>
                <w:kern w:val="1"/>
                <w:szCs w:val="21"/>
                <w:lang w:val="zh-CN"/>
              </w:rPr>
              <w:t>危险</w:t>
            </w:r>
            <w:r>
              <w:rPr>
                <w:kern w:val="1"/>
                <w:szCs w:val="21"/>
                <w:lang w:val="zh-CN" w:eastAsia="zh-TW"/>
              </w:rPr>
              <w:t>物质名称</w:t>
            </w:r>
          </w:p>
        </w:tc>
        <w:tc>
          <w:tcPr>
            <w:tcW w:w="1008" w:type="pct"/>
            <w:vAlign w:val="center"/>
          </w:tcPr>
          <w:p w14:paraId="63EEA7F9">
            <w:pPr>
              <w:spacing w:line="360" w:lineRule="exact"/>
              <w:jc w:val="center"/>
              <w:rPr>
                <w:kern w:val="1"/>
                <w:szCs w:val="21"/>
                <w:lang w:val="zh-CN"/>
              </w:rPr>
            </w:pPr>
            <w:r>
              <w:rPr>
                <w:szCs w:val="21"/>
              </w:rPr>
              <w:t>最大贮存量</w:t>
            </w:r>
            <w:r>
              <w:rPr>
                <w:kern w:val="1"/>
                <w:szCs w:val="21"/>
              </w:rPr>
              <w:t>/</w:t>
            </w:r>
            <w:r>
              <w:rPr>
                <w:kern w:val="1"/>
                <w:szCs w:val="21"/>
                <w:lang w:val="zh-CN" w:eastAsia="zh-TW"/>
              </w:rPr>
              <w:t>t</w:t>
            </w:r>
          </w:p>
        </w:tc>
        <w:tc>
          <w:tcPr>
            <w:tcW w:w="1431" w:type="pct"/>
            <w:vAlign w:val="center"/>
          </w:tcPr>
          <w:p w14:paraId="55AEDAB1">
            <w:pPr>
              <w:spacing w:line="360" w:lineRule="exact"/>
              <w:jc w:val="center"/>
              <w:rPr>
                <w:szCs w:val="21"/>
                <w:lang w:val="zh-CN" w:eastAsia="zh-TW"/>
              </w:rPr>
            </w:pPr>
            <w:r>
              <w:rPr>
                <w:szCs w:val="21"/>
              </w:rPr>
              <w:t>生产工艺特点</w:t>
            </w:r>
          </w:p>
        </w:tc>
      </w:tr>
      <w:tr w14:paraId="4382C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5" w:hRule="atLeast"/>
          <w:jc w:val="center"/>
        </w:trPr>
        <w:tc>
          <w:tcPr>
            <w:tcW w:w="391" w:type="pct"/>
            <w:vAlign w:val="center"/>
          </w:tcPr>
          <w:p w14:paraId="5314E9AC">
            <w:pPr>
              <w:spacing w:line="360" w:lineRule="exact"/>
              <w:jc w:val="center"/>
              <w:rPr>
                <w:kern w:val="1"/>
                <w:szCs w:val="21"/>
                <w:lang w:val="zh-CN"/>
              </w:rPr>
            </w:pPr>
            <w:bookmarkStart w:id="59" w:name="_Hlk230267055"/>
            <w:r>
              <w:rPr>
                <w:kern w:val="1"/>
                <w:szCs w:val="21"/>
                <w:lang w:val="zh-CN"/>
              </w:rPr>
              <w:t>1</w:t>
            </w:r>
          </w:p>
        </w:tc>
        <w:tc>
          <w:tcPr>
            <w:tcW w:w="1085" w:type="pct"/>
            <w:vAlign w:val="center"/>
          </w:tcPr>
          <w:p w14:paraId="645554AF">
            <w:pPr>
              <w:adjustRightInd w:val="0"/>
              <w:snapToGrid w:val="0"/>
              <w:spacing w:line="360" w:lineRule="exact"/>
              <w:jc w:val="center"/>
              <w:rPr>
                <w:szCs w:val="21"/>
              </w:rPr>
            </w:pPr>
            <w:r>
              <w:rPr>
                <w:rFonts w:hint="eastAsia"/>
                <w:bCs/>
                <w:kern w:val="0"/>
                <w:szCs w:val="21"/>
              </w:rPr>
              <w:t>混合烯烃</w:t>
            </w:r>
            <w:r>
              <w:rPr>
                <w:bCs/>
                <w:kern w:val="0"/>
                <w:szCs w:val="21"/>
              </w:rPr>
              <w:t>管道</w:t>
            </w:r>
          </w:p>
        </w:tc>
        <w:tc>
          <w:tcPr>
            <w:tcW w:w="1085" w:type="pct"/>
            <w:vAlign w:val="center"/>
          </w:tcPr>
          <w:p w14:paraId="389E9850">
            <w:pPr>
              <w:adjustRightInd w:val="0"/>
              <w:snapToGrid w:val="0"/>
              <w:spacing w:line="360" w:lineRule="exact"/>
              <w:jc w:val="center"/>
              <w:rPr>
                <w:szCs w:val="21"/>
              </w:rPr>
            </w:pPr>
            <w:r>
              <w:rPr>
                <w:rFonts w:hint="eastAsia"/>
                <w:bCs/>
                <w:kern w:val="0"/>
                <w:szCs w:val="21"/>
              </w:rPr>
              <w:t>混合烯烃</w:t>
            </w:r>
          </w:p>
        </w:tc>
        <w:tc>
          <w:tcPr>
            <w:tcW w:w="1008" w:type="pct"/>
            <w:vAlign w:val="center"/>
          </w:tcPr>
          <w:p w14:paraId="37460DA1">
            <w:pPr>
              <w:spacing w:line="360" w:lineRule="exact"/>
              <w:jc w:val="center"/>
              <w:rPr>
                <w:szCs w:val="21"/>
              </w:rPr>
            </w:pPr>
            <w:r>
              <w:rPr>
                <w:rFonts w:hint="eastAsia"/>
                <w:szCs w:val="21"/>
              </w:rPr>
              <w:t>0.002</w:t>
            </w:r>
          </w:p>
        </w:tc>
        <w:tc>
          <w:tcPr>
            <w:tcW w:w="1431" w:type="pct"/>
            <w:vAlign w:val="center"/>
          </w:tcPr>
          <w:p w14:paraId="1585A7CB">
            <w:pPr>
              <w:spacing w:line="360" w:lineRule="exact"/>
              <w:jc w:val="center"/>
              <w:rPr>
                <w:szCs w:val="21"/>
              </w:rPr>
            </w:pPr>
            <w:r>
              <w:rPr>
                <w:szCs w:val="21"/>
              </w:rPr>
              <w:t>涉及危险物质输送</w:t>
            </w:r>
          </w:p>
        </w:tc>
      </w:tr>
      <w:tr w14:paraId="451A12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91" w:type="pct"/>
            <w:vAlign w:val="center"/>
          </w:tcPr>
          <w:p w14:paraId="0A83AAAB">
            <w:pPr>
              <w:spacing w:line="360" w:lineRule="exact"/>
              <w:jc w:val="center"/>
              <w:rPr>
                <w:kern w:val="1"/>
                <w:szCs w:val="21"/>
              </w:rPr>
            </w:pPr>
            <w:r>
              <w:rPr>
                <w:kern w:val="1"/>
                <w:szCs w:val="21"/>
              </w:rPr>
              <w:t>2</w:t>
            </w:r>
          </w:p>
        </w:tc>
        <w:tc>
          <w:tcPr>
            <w:tcW w:w="1085" w:type="pct"/>
            <w:vAlign w:val="center"/>
          </w:tcPr>
          <w:p w14:paraId="78371D03">
            <w:pPr>
              <w:adjustRightInd w:val="0"/>
              <w:snapToGrid w:val="0"/>
              <w:spacing w:line="360" w:lineRule="exact"/>
              <w:jc w:val="center"/>
              <w:rPr>
                <w:szCs w:val="21"/>
              </w:rPr>
            </w:pPr>
            <w:r>
              <w:rPr>
                <w:rFonts w:hint="eastAsia"/>
                <w:bCs/>
                <w:kern w:val="0"/>
                <w:szCs w:val="21"/>
              </w:rPr>
              <w:t>烷烃返回料</w:t>
            </w:r>
            <w:r>
              <w:rPr>
                <w:bCs/>
                <w:kern w:val="0"/>
                <w:szCs w:val="21"/>
              </w:rPr>
              <w:t>管道</w:t>
            </w:r>
          </w:p>
        </w:tc>
        <w:tc>
          <w:tcPr>
            <w:tcW w:w="1085" w:type="pct"/>
            <w:vAlign w:val="center"/>
          </w:tcPr>
          <w:p w14:paraId="7560F373">
            <w:pPr>
              <w:adjustRightInd w:val="0"/>
              <w:snapToGrid w:val="0"/>
              <w:spacing w:line="360" w:lineRule="exact"/>
              <w:jc w:val="center"/>
              <w:rPr>
                <w:szCs w:val="21"/>
              </w:rPr>
            </w:pPr>
            <w:r>
              <w:rPr>
                <w:rFonts w:hint="eastAsia"/>
                <w:bCs/>
                <w:kern w:val="0"/>
                <w:szCs w:val="21"/>
              </w:rPr>
              <w:t>烷烃返回料</w:t>
            </w:r>
          </w:p>
        </w:tc>
        <w:tc>
          <w:tcPr>
            <w:tcW w:w="1008" w:type="pct"/>
            <w:vAlign w:val="center"/>
          </w:tcPr>
          <w:p w14:paraId="23686A41">
            <w:pPr>
              <w:spacing w:line="360" w:lineRule="exact"/>
              <w:jc w:val="center"/>
              <w:rPr>
                <w:szCs w:val="21"/>
              </w:rPr>
            </w:pPr>
            <w:r>
              <w:rPr>
                <w:rFonts w:hint="eastAsia"/>
                <w:szCs w:val="21"/>
              </w:rPr>
              <w:t>0.001</w:t>
            </w:r>
          </w:p>
        </w:tc>
        <w:tc>
          <w:tcPr>
            <w:tcW w:w="1431" w:type="pct"/>
            <w:vAlign w:val="center"/>
          </w:tcPr>
          <w:p w14:paraId="77C1139B">
            <w:pPr>
              <w:spacing w:line="360" w:lineRule="exact"/>
              <w:jc w:val="center"/>
              <w:rPr>
                <w:szCs w:val="21"/>
              </w:rPr>
            </w:pPr>
            <w:r>
              <w:rPr>
                <w:szCs w:val="21"/>
              </w:rPr>
              <w:t>涉及危险物质输送</w:t>
            </w:r>
          </w:p>
        </w:tc>
      </w:tr>
      <w:tr w14:paraId="2121C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91" w:type="pct"/>
            <w:vAlign w:val="center"/>
          </w:tcPr>
          <w:p w14:paraId="1453E97C">
            <w:pPr>
              <w:spacing w:line="360" w:lineRule="exact"/>
              <w:jc w:val="center"/>
              <w:rPr>
                <w:kern w:val="1"/>
                <w:szCs w:val="21"/>
              </w:rPr>
            </w:pPr>
            <w:r>
              <w:rPr>
                <w:kern w:val="1"/>
                <w:szCs w:val="21"/>
              </w:rPr>
              <w:t>3</w:t>
            </w:r>
          </w:p>
        </w:tc>
        <w:tc>
          <w:tcPr>
            <w:tcW w:w="1085" w:type="pct"/>
            <w:vAlign w:val="center"/>
          </w:tcPr>
          <w:p w14:paraId="7230EB0C">
            <w:pPr>
              <w:adjustRightInd w:val="0"/>
              <w:snapToGrid w:val="0"/>
              <w:spacing w:line="360" w:lineRule="exact"/>
              <w:jc w:val="center"/>
              <w:rPr>
                <w:szCs w:val="21"/>
              </w:rPr>
            </w:pPr>
            <w:r>
              <w:rPr>
                <w:rFonts w:hint="eastAsia"/>
                <w:bCs/>
                <w:kern w:val="0"/>
                <w:szCs w:val="21"/>
              </w:rPr>
              <w:t>新氢</w:t>
            </w:r>
            <w:r>
              <w:rPr>
                <w:bCs/>
                <w:kern w:val="0"/>
                <w:szCs w:val="21"/>
              </w:rPr>
              <w:t>管道</w:t>
            </w:r>
          </w:p>
        </w:tc>
        <w:tc>
          <w:tcPr>
            <w:tcW w:w="1085" w:type="pct"/>
            <w:vAlign w:val="center"/>
          </w:tcPr>
          <w:p w14:paraId="59B6239E">
            <w:pPr>
              <w:adjustRightInd w:val="0"/>
              <w:snapToGrid w:val="0"/>
              <w:spacing w:line="360" w:lineRule="exact"/>
              <w:jc w:val="center"/>
              <w:rPr>
                <w:szCs w:val="21"/>
              </w:rPr>
            </w:pPr>
            <w:r>
              <w:rPr>
                <w:rFonts w:hint="eastAsia"/>
                <w:bCs/>
                <w:kern w:val="0"/>
                <w:szCs w:val="21"/>
              </w:rPr>
              <w:t>氢气</w:t>
            </w:r>
          </w:p>
        </w:tc>
        <w:tc>
          <w:tcPr>
            <w:tcW w:w="1008" w:type="pct"/>
            <w:vAlign w:val="center"/>
          </w:tcPr>
          <w:p w14:paraId="3B8152C5">
            <w:pPr>
              <w:spacing w:line="360" w:lineRule="exact"/>
              <w:jc w:val="center"/>
              <w:rPr>
                <w:szCs w:val="21"/>
              </w:rPr>
            </w:pPr>
            <w:r>
              <w:rPr>
                <w:rFonts w:hint="eastAsia"/>
                <w:szCs w:val="21"/>
              </w:rPr>
              <w:t>0.00005</w:t>
            </w:r>
          </w:p>
        </w:tc>
        <w:tc>
          <w:tcPr>
            <w:tcW w:w="1431" w:type="pct"/>
            <w:vAlign w:val="center"/>
          </w:tcPr>
          <w:p w14:paraId="6B511865">
            <w:pPr>
              <w:spacing w:line="360" w:lineRule="exact"/>
              <w:jc w:val="center"/>
              <w:rPr>
                <w:szCs w:val="21"/>
              </w:rPr>
            </w:pPr>
            <w:r>
              <w:rPr>
                <w:szCs w:val="21"/>
              </w:rPr>
              <w:t>涉及危险物质输送</w:t>
            </w:r>
          </w:p>
        </w:tc>
      </w:tr>
      <w:tr w14:paraId="37260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91" w:type="pct"/>
            <w:vAlign w:val="center"/>
          </w:tcPr>
          <w:p w14:paraId="2847F26D">
            <w:pPr>
              <w:spacing w:line="360" w:lineRule="exact"/>
              <w:jc w:val="center"/>
              <w:rPr>
                <w:kern w:val="1"/>
                <w:szCs w:val="21"/>
              </w:rPr>
            </w:pPr>
            <w:r>
              <w:rPr>
                <w:kern w:val="1"/>
                <w:szCs w:val="21"/>
              </w:rPr>
              <w:t>4</w:t>
            </w:r>
          </w:p>
        </w:tc>
        <w:tc>
          <w:tcPr>
            <w:tcW w:w="1085" w:type="pct"/>
            <w:vAlign w:val="center"/>
          </w:tcPr>
          <w:p w14:paraId="6B2C0C79">
            <w:pPr>
              <w:adjustRightInd w:val="0"/>
              <w:snapToGrid w:val="0"/>
              <w:spacing w:line="360" w:lineRule="exact"/>
              <w:jc w:val="center"/>
              <w:rPr>
                <w:szCs w:val="21"/>
              </w:rPr>
            </w:pPr>
            <w:r>
              <w:rPr>
                <w:rFonts w:hint="eastAsia"/>
                <w:bCs/>
                <w:kern w:val="0"/>
                <w:szCs w:val="21"/>
              </w:rPr>
              <w:t>排放气</w:t>
            </w:r>
            <w:r>
              <w:rPr>
                <w:bCs/>
                <w:kern w:val="0"/>
                <w:szCs w:val="21"/>
              </w:rPr>
              <w:t>管道</w:t>
            </w:r>
          </w:p>
        </w:tc>
        <w:tc>
          <w:tcPr>
            <w:tcW w:w="1085" w:type="pct"/>
            <w:vAlign w:val="center"/>
          </w:tcPr>
          <w:p w14:paraId="13E765BC">
            <w:pPr>
              <w:adjustRightInd w:val="0"/>
              <w:snapToGrid w:val="0"/>
              <w:spacing w:line="360" w:lineRule="exact"/>
              <w:jc w:val="center"/>
              <w:rPr>
                <w:szCs w:val="21"/>
              </w:rPr>
            </w:pPr>
            <w:r>
              <w:rPr>
                <w:rFonts w:hint="eastAsia"/>
                <w:bCs/>
                <w:kern w:val="0"/>
                <w:szCs w:val="21"/>
              </w:rPr>
              <w:t>排放气</w:t>
            </w:r>
          </w:p>
        </w:tc>
        <w:tc>
          <w:tcPr>
            <w:tcW w:w="1008" w:type="pct"/>
            <w:vAlign w:val="center"/>
          </w:tcPr>
          <w:p w14:paraId="2F36A6CE">
            <w:pPr>
              <w:spacing w:line="360" w:lineRule="exact"/>
              <w:jc w:val="center"/>
              <w:rPr>
                <w:szCs w:val="21"/>
              </w:rPr>
            </w:pPr>
            <w:r>
              <w:rPr>
                <w:rFonts w:hint="eastAsia"/>
                <w:szCs w:val="21"/>
              </w:rPr>
              <w:t>0.116</w:t>
            </w:r>
          </w:p>
        </w:tc>
        <w:tc>
          <w:tcPr>
            <w:tcW w:w="1431" w:type="pct"/>
            <w:vAlign w:val="center"/>
          </w:tcPr>
          <w:p w14:paraId="5EA9E794">
            <w:pPr>
              <w:spacing w:line="360" w:lineRule="exact"/>
              <w:jc w:val="center"/>
              <w:rPr>
                <w:szCs w:val="21"/>
              </w:rPr>
            </w:pPr>
            <w:r>
              <w:rPr>
                <w:szCs w:val="21"/>
              </w:rPr>
              <w:t>涉及危险物质输送</w:t>
            </w:r>
          </w:p>
        </w:tc>
      </w:tr>
      <w:bookmarkEnd w:id="59"/>
    </w:tbl>
    <w:p w14:paraId="482EDB15">
      <w:pPr>
        <w:adjustRightInd w:val="0"/>
        <w:spacing w:before="120" w:after="120" w:line="440" w:lineRule="exact"/>
        <w:outlineLvl w:val="1"/>
        <w:rPr>
          <w:b/>
          <w:sz w:val="28"/>
          <w:szCs w:val="28"/>
        </w:rPr>
      </w:pPr>
      <w:bookmarkStart w:id="60" w:name="_Toc150331200"/>
      <w:r>
        <w:rPr>
          <w:b/>
          <w:sz w:val="28"/>
          <w:szCs w:val="28"/>
        </w:rPr>
        <w:t>2.2风险识别</w:t>
      </w:r>
      <w:bookmarkEnd w:id="60"/>
    </w:p>
    <w:p w14:paraId="489780D5">
      <w:pPr>
        <w:spacing w:before="60" w:after="60" w:line="440" w:lineRule="exact"/>
        <w:outlineLvl w:val="2"/>
        <w:rPr>
          <w:b/>
          <w:bCs/>
          <w:sz w:val="24"/>
        </w:rPr>
      </w:pPr>
      <w:r>
        <w:rPr>
          <w:b/>
          <w:bCs/>
          <w:sz w:val="24"/>
        </w:rPr>
        <w:t>2.2.1 物质危险性识别</w:t>
      </w:r>
    </w:p>
    <w:p w14:paraId="77363ACD">
      <w:pPr>
        <w:autoSpaceDE w:val="0"/>
        <w:autoSpaceDN w:val="0"/>
        <w:spacing w:line="440" w:lineRule="exact"/>
        <w:ind w:firstLine="480" w:firstLineChars="200"/>
        <w:rPr>
          <w:sz w:val="24"/>
        </w:rPr>
      </w:pPr>
      <w:r>
        <w:rPr>
          <w:sz w:val="24"/>
        </w:rPr>
        <w:t>本次评价涉及的风险物质的危险特性如下：</w:t>
      </w:r>
    </w:p>
    <w:p w14:paraId="767AB8FD">
      <w:pPr>
        <w:spacing w:line="440" w:lineRule="exact"/>
        <w:ind w:firstLine="482" w:firstLineChars="200"/>
        <w:rPr>
          <w:b/>
          <w:bCs/>
          <w:sz w:val="24"/>
        </w:rPr>
      </w:pPr>
      <w:r>
        <w:rPr>
          <w:b/>
          <w:bCs/>
          <w:sz w:val="24"/>
        </w:rPr>
        <w:t>表2.2-1    物质危险性识别结果一览表</w:t>
      </w:r>
    </w:p>
    <w:tbl>
      <w:tblPr>
        <w:tblStyle w:val="78"/>
        <w:tblW w:w="50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34"/>
        <w:gridCol w:w="1408"/>
        <w:gridCol w:w="712"/>
        <w:gridCol w:w="852"/>
        <w:gridCol w:w="933"/>
        <w:gridCol w:w="971"/>
        <w:gridCol w:w="1015"/>
        <w:gridCol w:w="980"/>
        <w:gridCol w:w="1067"/>
      </w:tblGrid>
      <w:tr w14:paraId="2168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60" w:type="pct"/>
            <w:vAlign w:val="center"/>
          </w:tcPr>
          <w:p w14:paraId="5D17BF1D">
            <w:pPr>
              <w:adjustRightInd w:val="0"/>
              <w:snapToGrid w:val="0"/>
              <w:spacing w:line="360" w:lineRule="exact"/>
              <w:jc w:val="center"/>
              <w:rPr>
                <w:szCs w:val="21"/>
              </w:rPr>
            </w:pPr>
            <w:r>
              <w:rPr>
                <w:szCs w:val="21"/>
              </w:rPr>
              <w:t>序号</w:t>
            </w:r>
          </w:p>
        </w:tc>
        <w:tc>
          <w:tcPr>
            <w:tcW w:w="841" w:type="pct"/>
            <w:vAlign w:val="center"/>
          </w:tcPr>
          <w:p w14:paraId="730BA974">
            <w:pPr>
              <w:spacing w:line="360" w:lineRule="exact"/>
              <w:jc w:val="center"/>
              <w:textAlignment w:val="baseline"/>
              <w:rPr>
                <w:kern w:val="0"/>
                <w:szCs w:val="21"/>
              </w:rPr>
            </w:pPr>
            <w:r>
              <w:rPr>
                <w:kern w:val="0"/>
                <w:szCs w:val="21"/>
              </w:rPr>
              <w:t>化学名称</w:t>
            </w:r>
          </w:p>
        </w:tc>
        <w:tc>
          <w:tcPr>
            <w:tcW w:w="425" w:type="pct"/>
            <w:vAlign w:val="center"/>
          </w:tcPr>
          <w:p w14:paraId="2170B2E4">
            <w:pPr>
              <w:spacing w:line="360" w:lineRule="exact"/>
              <w:jc w:val="center"/>
              <w:textAlignment w:val="baseline"/>
              <w:rPr>
                <w:kern w:val="0"/>
                <w:szCs w:val="21"/>
              </w:rPr>
            </w:pPr>
            <w:r>
              <w:rPr>
                <w:kern w:val="0"/>
                <w:szCs w:val="21"/>
              </w:rPr>
              <w:t>形态</w:t>
            </w:r>
          </w:p>
        </w:tc>
        <w:tc>
          <w:tcPr>
            <w:tcW w:w="509" w:type="pct"/>
            <w:vAlign w:val="center"/>
          </w:tcPr>
          <w:p w14:paraId="7B8B9018">
            <w:pPr>
              <w:spacing w:line="360" w:lineRule="exact"/>
              <w:jc w:val="center"/>
              <w:textAlignment w:val="baseline"/>
              <w:rPr>
                <w:kern w:val="0"/>
                <w:szCs w:val="21"/>
              </w:rPr>
            </w:pPr>
            <w:r>
              <w:rPr>
                <w:kern w:val="0"/>
                <w:szCs w:val="21"/>
              </w:rPr>
              <w:t>熔点</w:t>
            </w:r>
            <w:r>
              <w:rPr>
                <w:rFonts w:hint="eastAsia"/>
                <w:kern w:val="0"/>
                <w:szCs w:val="21"/>
              </w:rPr>
              <w:t>（</w:t>
            </w:r>
            <w:r>
              <w:rPr>
                <w:kern w:val="0"/>
                <w:szCs w:val="21"/>
              </w:rPr>
              <w:t>℃</w:t>
            </w:r>
            <w:r>
              <w:rPr>
                <w:rFonts w:hint="eastAsia"/>
                <w:kern w:val="0"/>
                <w:szCs w:val="21"/>
              </w:rPr>
              <w:t>）</w:t>
            </w:r>
          </w:p>
        </w:tc>
        <w:tc>
          <w:tcPr>
            <w:tcW w:w="557" w:type="pct"/>
            <w:vAlign w:val="center"/>
          </w:tcPr>
          <w:p w14:paraId="3423DC8F">
            <w:pPr>
              <w:spacing w:line="360" w:lineRule="exact"/>
              <w:jc w:val="center"/>
              <w:textAlignment w:val="baseline"/>
              <w:rPr>
                <w:kern w:val="0"/>
                <w:szCs w:val="21"/>
              </w:rPr>
            </w:pPr>
            <w:r>
              <w:rPr>
                <w:kern w:val="0"/>
                <w:szCs w:val="21"/>
              </w:rPr>
              <w:t>闪点</w:t>
            </w:r>
            <w:r>
              <w:rPr>
                <w:rFonts w:hint="eastAsia"/>
                <w:kern w:val="0"/>
                <w:szCs w:val="21"/>
              </w:rPr>
              <w:t>（</w:t>
            </w:r>
            <w:r>
              <w:rPr>
                <w:kern w:val="0"/>
                <w:szCs w:val="21"/>
              </w:rPr>
              <w:t>℃</w:t>
            </w:r>
            <w:r>
              <w:rPr>
                <w:rFonts w:hint="eastAsia"/>
                <w:kern w:val="0"/>
                <w:szCs w:val="21"/>
              </w:rPr>
              <w:t>）</w:t>
            </w:r>
          </w:p>
        </w:tc>
        <w:tc>
          <w:tcPr>
            <w:tcW w:w="580" w:type="pct"/>
            <w:vAlign w:val="center"/>
          </w:tcPr>
          <w:p w14:paraId="5ED12CE5">
            <w:pPr>
              <w:spacing w:line="360" w:lineRule="exact"/>
              <w:jc w:val="center"/>
              <w:textAlignment w:val="baseline"/>
              <w:rPr>
                <w:kern w:val="0"/>
                <w:szCs w:val="21"/>
              </w:rPr>
            </w:pPr>
            <w:r>
              <w:rPr>
                <w:kern w:val="0"/>
                <w:szCs w:val="21"/>
              </w:rPr>
              <w:t>沸点</w:t>
            </w:r>
            <w:r>
              <w:rPr>
                <w:rFonts w:hint="eastAsia"/>
                <w:kern w:val="0"/>
                <w:szCs w:val="21"/>
              </w:rPr>
              <w:t>（</w:t>
            </w:r>
            <w:r>
              <w:rPr>
                <w:kern w:val="0"/>
                <w:szCs w:val="21"/>
              </w:rPr>
              <w:t>℃</w:t>
            </w:r>
            <w:r>
              <w:rPr>
                <w:rFonts w:hint="eastAsia"/>
                <w:kern w:val="0"/>
                <w:szCs w:val="21"/>
              </w:rPr>
              <w:t>）</w:t>
            </w:r>
          </w:p>
        </w:tc>
        <w:tc>
          <w:tcPr>
            <w:tcW w:w="606" w:type="pct"/>
            <w:vAlign w:val="center"/>
          </w:tcPr>
          <w:p w14:paraId="19B429F5">
            <w:pPr>
              <w:spacing w:line="360" w:lineRule="exact"/>
              <w:jc w:val="center"/>
              <w:textAlignment w:val="baseline"/>
              <w:rPr>
                <w:kern w:val="0"/>
                <w:szCs w:val="21"/>
              </w:rPr>
            </w:pPr>
            <w:r>
              <w:rPr>
                <w:kern w:val="0"/>
                <w:szCs w:val="21"/>
              </w:rPr>
              <w:t>爆炸极限%</w:t>
            </w:r>
          </w:p>
        </w:tc>
        <w:tc>
          <w:tcPr>
            <w:tcW w:w="585" w:type="pct"/>
            <w:vAlign w:val="center"/>
          </w:tcPr>
          <w:p w14:paraId="2FBA4A89">
            <w:pPr>
              <w:spacing w:line="360" w:lineRule="exact"/>
              <w:jc w:val="center"/>
              <w:textAlignment w:val="baseline"/>
              <w:rPr>
                <w:kern w:val="0"/>
                <w:szCs w:val="21"/>
              </w:rPr>
            </w:pPr>
            <w:r>
              <w:rPr>
                <w:kern w:val="0"/>
                <w:szCs w:val="21"/>
              </w:rPr>
              <w:t>危险特性</w:t>
            </w:r>
          </w:p>
        </w:tc>
        <w:tc>
          <w:tcPr>
            <w:tcW w:w="638" w:type="pct"/>
            <w:vAlign w:val="center"/>
          </w:tcPr>
          <w:p w14:paraId="18CA3BE5">
            <w:pPr>
              <w:spacing w:line="360" w:lineRule="exact"/>
              <w:jc w:val="center"/>
              <w:textAlignment w:val="baseline"/>
              <w:rPr>
                <w:kern w:val="0"/>
                <w:szCs w:val="21"/>
              </w:rPr>
            </w:pPr>
            <w:r>
              <w:rPr>
                <w:kern w:val="0"/>
                <w:szCs w:val="21"/>
              </w:rPr>
              <w:t>分布场所</w:t>
            </w:r>
          </w:p>
        </w:tc>
      </w:tr>
      <w:tr w14:paraId="093A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60" w:type="pct"/>
            <w:vAlign w:val="center"/>
          </w:tcPr>
          <w:p w14:paraId="3F9D339F">
            <w:pPr>
              <w:adjustRightInd w:val="0"/>
              <w:snapToGrid w:val="0"/>
              <w:spacing w:line="360" w:lineRule="exact"/>
              <w:jc w:val="center"/>
              <w:rPr>
                <w:szCs w:val="21"/>
              </w:rPr>
            </w:pPr>
            <w:r>
              <w:rPr>
                <w:szCs w:val="21"/>
              </w:rPr>
              <w:t>1</w:t>
            </w:r>
          </w:p>
        </w:tc>
        <w:tc>
          <w:tcPr>
            <w:tcW w:w="841" w:type="pct"/>
            <w:vAlign w:val="center"/>
          </w:tcPr>
          <w:p w14:paraId="0CD228C4">
            <w:pPr>
              <w:adjustRightInd w:val="0"/>
              <w:snapToGrid w:val="0"/>
              <w:spacing w:line="360" w:lineRule="exact"/>
              <w:jc w:val="center"/>
              <w:rPr>
                <w:szCs w:val="21"/>
              </w:rPr>
            </w:pPr>
            <w:r>
              <w:rPr>
                <w:rFonts w:hint="eastAsia"/>
                <w:bCs/>
                <w:kern w:val="0"/>
                <w:szCs w:val="21"/>
              </w:rPr>
              <w:t>混合烯烃</w:t>
            </w:r>
          </w:p>
        </w:tc>
        <w:tc>
          <w:tcPr>
            <w:tcW w:w="425" w:type="pct"/>
            <w:vAlign w:val="center"/>
          </w:tcPr>
          <w:p w14:paraId="75729E0C">
            <w:pPr>
              <w:jc w:val="center"/>
              <w:rPr>
                <w:szCs w:val="22"/>
              </w:rPr>
            </w:pPr>
            <w:r>
              <w:rPr>
                <w:szCs w:val="22"/>
              </w:rPr>
              <w:t>液</w:t>
            </w:r>
            <w:r>
              <w:rPr>
                <w:rFonts w:hint="eastAsia"/>
                <w:szCs w:val="22"/>
              </w:rPr>
              <w:t>态</w:t>
            </w:r>
          </w:p>
        </w:tc>
        <w:tc>
          <w:tcPr>
            <w:tcW w:w="509" w:type="pct"/>
            <w:vAlign w:val="center"/>
          </w:tcPr>
          <w:p w14:paraId="49263110">
            <w:pPr>
              <w:spacing w:line="360" w:lineRule="exact"/>
              <w:jc w:val="center"/>
              <w:textAlignment w:val="baseline"/>
              <w:rPr>
                <w:kern w:val="0"/>
                <w:szCs w:val="21"/>
              </w:rPr>
            </w:pPr>
            <w:r>
              <w:rPr>
                <w:rFonts w:hint="eastAsia"/>
                <w:szCs w:val="22"/>
              </w:rPr>
              <w:t>-60</w:t>
            </w:r>
            <w:r>
              <w:rPr>
                <w:kern w:val="0"/>
                <w:szCs w:val="21"/>
              </w:rPr>
              <w:t>℃</w:t>
            </w:r>
          </w:p>
        </w:tc>
        <w:tc>
          <w:tcPr>
            <w:tcW w:w="557" w:type="pct"/>
            <w:vAlign w:val="center"/>
          </w:tcPr>
          <w:p w14:paraId="593512A5">
            <w:pPr>
              <w:spacing w:line="360" w:lineRule="exact"/>
              <w:jc w:val="center"/>
              <w:textAlignment w:val="baseline"/>
              <w:rPr>
                <w:kern w:val="0"/>
                <w:szCs w:val="21"/>
              </w:rPr>
            </w:pPr>
            <w:r>
              <w:rPr>
                <w:kern w:val="0"/>
                <w:szCs w:val="21"/>
              </w:rPr>
              <w:t>＜</w:t>
            </w:r>
            <w:r>
              <w:rPr>
                <w:rFonts w:hint="eastAsia"/>
                <w:kern w:val="0"/>
                <w:szCs w:val="21"/>
              </w:rPr>
              <w:t>10</w:t>
            </w:r>
            <w:r>
              <w:rPr>
                <w:kern w:val="0"/>
                <w:szCs w:val="21"/>
              </w:rPr>
              <w:t>0℃</w:t>
            </w:r>
          </w:p>
        </w:tc>
        <w:tc>
          <w:tcPr>
            <w:tcW w:w="580" w:type="pct"/>
            <w:vAlign w:val="center"/>
          </w:tcPr>
          <w:p w14:paraId="641929FE">
            <w:pPr>
              <w:spacing w:line="360" w:lineRule="exact"/>
              <w:jc w:val="center"/>
              <w:textAlignment w:val="baseline"/>
              <w:rPr>
                <w:kern w:val="0"/>
                <w:szCs w:val="21"/>
              </w:rPr>
            </w:pPr>
            <w:r>
              <w:rPr>
                <w:rFonts w:hint="eastAsia"/>
                <w:kern w:val="0"/>
                <w:szCs w:val="21"/>
              </w:rPr>
              <w:t>16</w:t>
            </w:r>
            <w:r>
              <w:rPr>
                <w:kern w:val="0"/>
                <w:szCs w:val="21"/>
              </w:rPr>
              <w:t>0℃</w:t>
            </w:r>
          </w:p>
        </w:tc>
        <w:tc>
          <w:tcPr>
            <w:tcW w:w="606" w:type="pct"/>
            <w:vAlign w:val="center"/>
          </w:tcPr>
          <w:p w14:paraId="346CDE40">
            <w:pPr>
              <w:spacing w:line="360" w:lineRule="exact"/>
              <w:jc w:val="center"/>
              <w:textAlignment w:val="baseline"/>
              <w:rPr>
                <w:kern w:val="0"/>
                <w:szCs w:val="21"/>
              </w:rPr>
            </w:pPr>
            <w:r>
              <w:rPr>
                <w:szCs w:val="21"/>
              </w:rPr>
              <w:t>--</w:t>
            </w:r>
          </w:p>
        </w:tc>
        <w:tc>
          <w:tcPr>
            <w:tcW w:w="585" w:type="pct"/>
            <w:vAlign w:val="center"/>
          </w:tcPr>
          <w:p w14:paraId="4F970315">
            <w:pPr>
              <w:spacing w:line="360" w:lineRule="exact"/>
              <w:jc w:val="center"/>
              <w:textAlignment w:val="baseline"/>
              <w:rPr>
                <w:kern w:val="0"/>
                <w:szCs w:val="21"/>
              </w:rPr>
            </w:pPr>
            <w:r>
              <w:rPr>
                <w:szCs w:val="21"/>
              </w:rPr>
              <w:t>易燃液体</w:t>
            </w:r>
          </w:p>
        </w:tc>
        <w:tc>
          <w:tcPr>
            <w:tcW w:w="638" w:type="pct"/>
            <w:vAlign w:val="center"/>
          </w:tcPr>
          <w:p w14:paraId="6F5E218E">
            <w:pPr>
              <w:spacing w:line="360" w:lineRule="exact"/>
              <w:jc w:val="center"/>
              <w:rPr>
                <w:szCs w:val="21"/>
              </w:rPr>
            </w:pPr>
            <w:r>
              <w:rPr>
                <w:szCs w:val="21"/>
              </w:rPr>
              <w:t>输送管道</w:t>
            </w:r>
          </w:p>
        </w:tc>
      </w:tr>
      <w:tr w14:paraId="0E76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60" w:type="pct"/>
            <w:vAlign w:val="center"/>
          </w:tcPr>
          <w:p w14:paraId="19880110">
            <w:pPr>
              <w:adjustRightInd w:val="0"/>
              <w:snapToGrid w:val="0"/>
              <w:spacing w:line="360" w:lineRule="exact"/>
              <w:jc w:val="center"/>
              <w:rPr>
                <w:szCs w:val="21"/>
              </w:rPr>
            </w:pPr>
            <w:r>
              <w:rPr>
                <w:szCs w:val="21"/>
              </w:rPr>
              <w:t>2</w:t>
            </w:r>
          </w:p>
        </w:tc>
        <w:tc>
          <w:tcPr>
            <w:tcW w:w="841" w:type="pct"/>
            <w:vAlign w:val="center"/>
          </w:tcPr>
          <w:p w14:paraId="119D89B3">
            <w:pPr>
              <w:adjustRightInd w:val="0"/>
              <w:snapToGrid w:val="0"/>
              <w:spacing w:line="360" w:lineRule="exact"/>
              <w:jc w:val="center"/>
              <w:rPr>
                <w:bCs/>
                <w:kern w:val="0"/>
                <w:szCs w:val="21"/>
              </w:rPr>
            </w:pPr>
            <w:r>
              <w:rPr>
                <w:rFonts w:hint="eastAsia"/>
                <w:bCs/>
                <w:kern w:val="0"/>
                <w:szCs w:val="21"/>
              </w:rPr>
              <w:t>烷烃返回料</w:t>
            </w:r>
          </w:p>
        </w:tc>
        <w:tc>
          <w:tcPr>
            <w:tcW w:w="425" w:type="pct"/>
            <w:vAlign w:val="center"/>
          </w:tcPr>
          <w:p w14:paraId="63B8450F">
            <w:pPr>
              <w:jc w:val="center"/>
              <w:rPr>
                <w:szCs w:val="22"/>
              </w:rPr>
            </w:pPr>
            <w:r>
              <w:rPr>
                <w:szCs w:val="21"/>
              </w:rPr>
              <w:t>液态</w:t>
            </w:r>
          </w:p>
        </w:tc>
        <w:tc>
          <w:tcPr>
            <w:tcW w:w="509" w:type="pct"/>
            <w:vAlign w:val="center"/>
          </w:tcPr>
          <w:p w14:paraId="2F3E30A9">
            <w:pPr>
              <w:spacing w:line="360" w:lineRule="exact"/>
              <w:jc w:val="center"/>
              <w:textAlignment w:val="baseline"/>
              <w:rPr>
                <w:kern w:val="0"/>
                <w:szCs w:val="21"/>
              </w:rPr>
            </w:pPr>
            <w:r>
              <w:rPr>
                <w:szCs w:val="21"/>
              </w:rPr>
              <w:t>--</w:t>
            </w:r>
          </w:p>
        </w:tc>
        <w:tc>
          <w:tcPr>
            <w:tcW w:w="557" w:type="pct"/>
            <w:vAlign w:val="center"/>
          </w:tcPr>
          <w:p w14:paraId="7FDD7F8F">
            <w:pPr>
              <w:spacing w:line="360" w:lineRule="exact"/>
              <w:jc w:val="center"/>
              <w:textAlignment w:val="baseline"/>
              <w:rPr>
                <w:kern w:val="0"/>
                <w:szCs w:val="21"/>
              </w:rPr>
            </w:pPr>
            <w:r>
              <w:rPr>
                <w:szCs w:val="21"/>
              </w:rPr>
              <w:t>--</w:t>
            </w:r>
          </w:p>
        </w:tc>
        <w:tc>
          <w:tcPr>
            <w:tcW w:w="580" w:type="pct"/>
            <w:vAlign w:val="center"/>
          </w:tcPr>
          <w:p w14:paraId="6F738BAE">
            <w:pPr>
              <w:spacing w:line="360" w:lineRule="exact"/>
              <w:jc w:val="center"/>
              <w:textAlignment w:val="baseline"/>
              <w:rPr>
                <w:kern w:val="0"/>
                <w:szCs w:val="21"/>
              </w:rPr>
            </w:pPr>
            <w:r>
              <w:rPr>
                <w:kern w:val="0"/>
                <w:szCs w:val="21"/>
              </w:rPr>
              <w:t>2</w:t>
            </w:r>
            <w:r>
              <w:rPr>
                <w:rFonts w:hint="eastAsia"/>
                <w:kern w:val="0"/>
                <w:szCs w:val="21"/>
              </w:rPr>
              <w:t>55</w:t>
            </w:r>
            <w:r>
              <w:rPr>
                <w:kern w:val="0"/>
                <w:szCs w:val="21"/>
              </w:rPr>
              <w:t>~330℃</w:t>
            </w:r>
          </w:p>
        </w:tc>
        <w:tc>
          <w:tcPr>
            <w:tcW w:w="606" w:type="pct"/>
            <w:vAlign w:val="center"/>
          </w:tcPr>
          <w:p w14:paraId="3EC2806E">
            <w:pPr>
              <w:spacing w:line="360" w:lineRule="exact"/>
              <w:jc w:val="center"/>
              <w:textAlignment w:val="baseline"/>
              <w:rPr>
                <w:kern w:val="0"/>
                <w:szCs w:val="21"/>
              </w:rPr>
            </w:pPr>
            <w:r>
              <w:rPr>
                <w:szCs w:val="21"/>
              </w:rPr>
              <w:t>--</w:t>
            </w:r>
          </w:p>
        </w:tc>
        <w:tc>
          <w:tcPr>
            <w:tcW w:w="585" w:type="pct"/>
            <w:vAlign w:val="center"/>
          </w:tcPr>
          <w:p w14:paraId="46C5DD4B">
            <w:pPr>
              <w:jc w:val="center"/>
              <w:rPr>
                <w:szCs w:val="22"/>
              </w:rPr>
            </w:pPr>
            <w:r>
              <w:rPr>
                <w:szCs w:val="21"/>
              </w:rPr>
              <w:t>易燃</w:t>
            </w:r>
            <w:bookmarkStart w:id="61" w:name="OLE_LINK29"/>
            <w:r>
              <w:rPr>
                <w:szCs w:val="21"/>
              </w:rPr>
              <w:t>液体</w:t>
            </w:r>
            <w:bookmarkEnd w:id="61"/>
          </w:p>
        </w:tc>
        <w:tc>
          <w:tcPr>
            <w:tcW w:w="638" w:type="pct"/>
            <w:vAlign w:val="center"/>
          </w:tcPr>
          <w:p w14:paraId="2FC75E37">
            <w:pPr>
              <w:spacing w:line="360" w:lineRule="exact"/>
              <w:jc w:val="center"/>
              <w:rPr>
                <w:szCs w:val="21"/>
              </w:rPr>
            </w:pPr>
            <w:r>
              <w:rPr>
                <w:szCs w:val="21"/>
              </w:rPr>
              <w:t>输送管道</w:t>
            </w:r>
          </w:p>
        </w:tc>
      </w:tr>
      <w:tr w14:paraId="353E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60" w:type="pct"/>
            <w:vAlign w:val="center"/>
          </w:tcPr>
          <w:p w14:paraId="64D8E4E1">
            <w:pPr>
              <w:adjustRightInd w:val="0"/>
              <w:snapToGrid w:val="0"/>
              <w:spacing w:line="360" w:lineRule="exact"/>
              <w:jc w:val="center"/>
              <w:rPr>
                <w:szCs w:val="21"/>
              </w:rPr>
            </w:pPr>
            <w:r>
              <w:rPr>
                <w:szCs w:val="21"/>
              </w:rPr>
              <w:t>3</w:t>
            </w:r>
          </w:p>
        </w:tc>
        <w:tc>
          <w:tcPr>
            <w:tcW w:w="841" w:type="pct"/>
            <w:vAlign w:val="center"/>
          </w:tcPr>
          <w:p w14:paraId="6FD176F5">
            <w:pPr>
              <w:adjustRightInd w:val="0"/>
              <w:snapToGrid w:val="0"/>
              <w:spacing w:line="360" w:lineRule="exact"/>
              <w:jc w:val="center"/>
              <w:rPr>
                <w:szCs w:val="21"/>
              </w:rPr>
            </w:pPr>
            <w:r>
              <w:rPr>
                <w:rFonts w:hint="eastAsia"/>
                <w:bCs/>
                <w:kern w:val="0"/>
                <w:szCs w:val="21"/>
              </w:rPr>
              <w:t>氢气</w:t>
            </w:r>
          </w:p>
        </w:tc>
        <w:tc>
          <w:tcPr>
            <w:tcW w:w="425" w:type="pct"/>
            <w:vAlign w:val="center"/>
          </w:tcPr>
          <w:p w14:paraId="51CD926F">
            <w:pPr>
              <w:jc w:val="center"/>
              <w:rPr>
                <w:szCs w:val="21"/>
              </w:rPr>
            </w:pPr>
            <w:r>
              <w:rPr>
                <w:rFonts w:hint="eastAsia"/>
                <w:szCs w:val="21"/>
              </w:rPr>
              <w:t>气</w:t>
            </w:r>
            <w:r>
              <w:rPr>
                <w:szCs w:val="21"/>
              </w:rPr>
              <w:t>态</w:t>
            </w:r>
          </w:p>
        </w:tc>
        <w:tc>
          <w:tcPr>
            <w:tcW w:w="509" w:type="pct"/>
            <w:vAlign w:val="center"/>
          </w:tcPr>
          <w:p w14:paraId="567788DC">
            <w:pPr>
              <w:spacing w:line="360" w:lineRule="exact"/>
              <w:jc w:val="center"/>
              <w:textAlignment w:val="baseline"/>
              <w:rPr>
                <w:szCs w:val="21"/>
              </w:rPr>
            </w:pPr>
            <w:r>
              <w:rPr>
                <w:rFonts w:hint="eastAsia"/>
                <w:kern w:val="0"/>
                <w:szCs w:val="21"/>
              </w:rPr>
              <w:t>-259.2</w:t>
            </w:r>
            <w:r>
              <w:rPr>
                <w:kern w:val="0"/>
                <w:szCs w:val="21"/>
              </w:rPr>
              <w:t>℃</w:t>
            </w:r>
          </w:p>
        </w:tc>
        <w:tc>
          <w:tcPr>
            <w:tcW w:w="557" w:type="pct"/>
            <w:vAlign w:val="center"/>
          </w:tcPr>
          <w:p w14:paraId="42CA4646">
            <w:pPr>
              <w:spacing w:line="360" w:lineRule="exact"/>
              <w:jc w:val="center"/>
              <w:textAlignment w:val="baseline"/>
              <w:rPr>
                <w:szCs w:val="21"/>
              </w:rPr>
            </w:pPr>
            <w:r>
              <w:rPr>
                <w:rFonts w:hint="eastAsia"/>
                <w:kern w:val="0"/>
                <w:szCs w:val="21"/>
              </w:rPr>
              <w:t>--</w:t>
            </w:r>
          </w:p>
        </w:tc>
        <w:tc>
          <w:tcPr>
            <w:tcW w:w="580" w:type="pct"/>
            <w:vAlign w:val="center"/>
          </w:tcPr>
          <w:p w14:paraId="64F6C9EA">
            <w:pPr>
              <w:spacing w:line="360" w:lineRule="exact"/>
              <w:jc w:val="center"/>
              <w:textAlignment w:val="baseline"/>
              <w:rPr>
                <w:szCs w:val="21"/>
              </w:rPr>
            </w:pPr>
            <w:r>
              <w:rPr>
                <w:rFonts w:hint="eastAsia"/>
                <w:szCs w:val="21"/>
              </w:rPr>
              <w:t>-252.88</w:t>
            </w:r>
            <w:r>
              <w:rPr>
                <w:kern w:val="0"/>
                <w:szCs w:val="21"/>
              </w:rPr>
              <w:t>℃</w:t>
            </w:r>
          </w:p>
        </w:tc>
        <w:tc>
          <w:tcPr>
            <w:tcW w:w="606" w:type="pct"/>
            <w:vAlign w:val="center"/>
          </w:tcPr>
          <w:p w14:paraId="6AACF1B8">
            <w:pPr>
              <w:spacing w:line="360" w:lineRule="exact"/>
              <w:jc w:val="center"/>
              <w:textAlignment w:val="baseline"/>
              <w:rPr>
                <w:szCs w:val="21"/>
              </w:rPr>
            </w:pPr>
            <w:r>
              <w:rPr>
                <w:szCs w:val="21"/>
              </w:rPr>
              <w:t>--</w:t>
            </w:r>
          </w:p>
        </w:tc>
        <w:tc>
          <w:tcPr>
            <w:tcW w:w="585" w:type="pct"/>
            <w:vAlign w:val="center"/>
          </w:tcPr>
          <w:p w14:paraId="07C20646">
            <w:pPr>
              <w:jc w:val="center"/>
              <w:rPr>
                <w:szCs w:val="22"/>
              </w:rPr>
            </w:pPr>
            <w:r>
              <w:rPr>
                <w:szCs w:val="21"/>
              </w:rPr>
              <w:t>易燃</w:t>
            </w:r>
            <w:r>
              <w:rPr>
                <w:rFonts w:hint="eastAsia"/>
                <w:szCs w:val="21"/>
              </w:rPr>
              <w:t>、易爆气体</w:t>
            </w:r>
          </w:p>
        </w:tc>
        <w:tc>
          <w:tcPr>
            <w:tcW w:w="638" w:type="pct"/>
            <w:vAlign w:val="center"/>
          </w:tcPr>
          <w:p w14:paraId="39776A85">
            <w:pPr>
              <w:spacing w:line="360" w:lineRule="exact"/>
              <w:jc w:val="center"/>
              <w:rPr>
                <w:szCs w:val="21"/>
              </w:rPr>
            </w:pPr>
            <w:r>
              <w:rPr>
                <w:szCs w:val="21"/>
              </w:rPr>
              <w:t>输送管道</w:t>
            </w:r>
          </w:p>
        </w:tc>
      </w:tr>
      <w:tr w14:paraId="4CE1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60" w:type="pct"/>
            <w:vAlign w:val="center"/>
          </w:tcPr>
          <w:p w14:paraId="31597616">
            <w:pPr>
              <w:adjustRightInd w:val="0"/>
              <w:snapToGrid w:val="0"/>
              <w:spacing w:line="360" w:lineRule="exact"/>
              <w:jc w:val="center"/>
              <w:rPr>
                <w:szCs w:val="21"/>
              </w:rPr>
            </w:pPr>
            <w:r>
              <w:rPr>
                <w:szCs w:val="21"/>
              </w:rPr>
              <w:t>4</w:t>
            </w:r>
          </w:p>
        </w:tc>
        <w:tc>
          <w:tcPr>
            <w:tcW w:w="841" w:type="pct"/>
            <w:vAlign w:val="center"/>
          </w:tcPr>
          <w:p w14:paraId="5013E58F">
            <w:pPr>
              <w:adjustRightInd w:val="0"/>
              <w:snapToGrid w:val="0"/>
              <w:spacing w:line="360" w:lineRule="exact"/>
              <w:jc w:val="center"/>
              <w:rPr>
                <w:szCs w:val="21"/>
              </w:rPr>
            </w:pPr>
            <w:r>
              <w:rPr>
                <w:rFonts w:hint="eastAsia"/>
                <w:bCs/>
                <w:kern w:val="0"/>
                <w:szCs w:val="21"/>
              </w:rPr>
              <w:t>排放气</w:t>
            </w:r>
          </w:p>
        </w:tc>
        <w:tc>
          <w:tcPr>
            <w:tcW w:w="425" w:type="pct"/>
            <w:vAlign w:val="center"/>
          </w:tcPr>
          <w:p w14:paraId="265A884D">
            <w:pPr>
              <w:jc w:val="center"/>
              <w:rPr>
                <w:szCs w:val="21"/>
              </w:rPr>
            </w:pPr>
            <w:r>
              <w:rPr>
                <w:rFonts w:hint="eastAsia"/>
                <w:szCs w:val="21"/>
              </w:rPr>
              <w:t>气</w:t>
            </w:r>
            <w:r>
              <w:rPr>
                <w:szCs w:val="21"/>
              </w:rPr>
              <w:t>态</w:t>
            </w:r>
          </w:p>
        </w:tc>
        <w:tc>
          <w:tcPr>
            <w:tcW w:w="509" w:type="pct"/>
            <w:vAlign w:val="center"/>
          </w:tcPr>
          <w:p w14:paraId="7A2BB448">
            <w:pPr>
              <w:spacing w:line="360" w:lineRule="exact"/>
              <w:jc w:val="center"/>
              <w:textAlignment w:val="baseline"/>
              <w:rPr>
                <w:szCs w:val="21"/>
              </w:rPr>
            </w:pPr>
            <w:r>
              <w:rPr>
                <w:szCs w:val="21"/>
              </w:rPr>
              <w:t>--</w:t>
            </w:r>
          </w:p>
        </w:tc>
        <w:tc>
          <w:tcPr>
            <w:tcW w:w="557" w:type="pct"/>
            <w:vAlign w:val="center"/>
          </w:tcPr>
          <w:p w14:paraId="79B024D7">
            <w:pPr>
              <w:spacing w:line="360" w:lineRule="exact"/>
              <w:jc w:val="center"/>
              <w:textAlignment w:val="baseline"/>
              <w:rPr>
                <w:szCs w:val="21"/>
              </w:rPr>
            </w:pPr>
            <w:r>
              <w:rPr>
                <w:szCs w:val="21"/>
              </w:rPr>
              <w:t>--</w:t>
            </w:r>
          </w:p>
        </w:tc>
        <w:tc>
          <w:tcPr>
            <w:tcW w:w="580" w:type="pct"/>
            <w:vAlign w:val="center"/>
          </w:tcPr>
          <w:p w14:paraId="75824184">
            <w:pPr>
              <w:spacing w:line="360" w:lineRule="exact"/>
              <w:jc w:val="center"/>
              <w:textAlignment w:val="baseline"/>
              <w:rPr>
                <w:szCs w:val="21"/>
              </w:rPr>
            </w:pPr>
            <w:r>
              <w:rPr>
                <w:kern w:val="0"/>
                <w:szCs w:val="21"/>
              </w:rPr>
              <w:t>--</w:t>
            </w:r>
          </w:p>
        </w:tc>
        <w:tc>
          <w:tcPr>
            <w:tcW w:w="606" w:type="pct"/>
            <w:vAlign w:val="center"/>
          </w:tcPr>
          <w:p w14:paraId="21185712">
            <w:pPr>
              <w:spacing w:line="360" w:lineRule="exact"/>
              <w:jc w:val="center"/>
              <w:textAlignment w:val="baseline"/>
              <w:rPr>
                <w:szCs w:val="21"/>
              </w:rPr>
            </w:pPr>
            <w:r>
              <w:rPr>
                <w:szCs w:val="21"/>
              </w:rPr>
              <w:t>--</w:t>
            </w:r>
          </w:p>
        </w:tc>
        <w:tc>
          <w:tcPr>
            <w:tcW w:w="585" w:type="pct"/>
            <w:vAlign w:val="center"/>
          </w:tcPr>
          <w:p w14:paraId="3DD11997">
            <w:pPr>
              <w:jc w:val="center"/>
              <w:rPr>
                <w:szCs w:val="22"/>
              </w:rPr>
            </w:pPr>
            <w:r>
              <w:rPr>
                <w:szCs w:val="21"/>
              </w:rPr>
              <w:t>易燃</w:t>
            </w:r>
            <w:r>
              <w:rPr>
                <w:rFonts w:hint="eastAsia"/>
                <w:szCs w:val="21"/>
              </w:rPr>
              <w:t>气体</w:t>
            </w:r>
          </w:p>
        </w:tc>
        <w:tc>
          <w:tcPr>
            <w:tcW w:w="638" w:type="pct"/>
            <w:vAlign w:val="center"/>
          </w:tcPr>
          <w:p w14:paraId="19CF9DB5">
            <w:pPr>
              <w:spacing w:line="360" w:lineRule="exact"/>
              <w:jc w:val="center"/>
              <w:rPr>
                <w:szCs w:val="21"/>
              </w:rPr>
            </w:pPr>
            <w:r>
              <w:rPr>
                <w:szCs w:val="21"/>
              </w:rPr>
              <w:t>输送管道</w:t>
            </w:r>
          </w:p>
        </w:tc>
      </w:tr>
    </w:tbl>
    <w:p w14:paraId="14202330">
      <w:pPr>
        <w:spacing w:before="60" w:after="60" w:line="440" w:lineRule="exact"/>
        <w:outlineLvl w:val="2"/>
        <w:rPr>
          <w:b/>
          <w:bCs/>
          <w:sz w:val="24"/>
        </w:rPr>
      </w:pPr>
      <w:r>
        <w:rPr>
          <w:b/>
          <w:bCs/>
          <w:sz w:val="24"/>
        </w:rPr>
        <w:t>2.2.2生产系统危险性识别</w:t>
      </w:r>
    </w:p>
    <w:p w14:paraId="2FF2AFFF">
      <w:pPr>
        <w:spacing w:line="440" w:lineRule="exact"/>
        <w:ind w:firstLine="480" w:firstLineChars="200"/>
        <w:rPr>
          <w:kern w:val="0"/>
          <w:sz w:val="24"/>
        </w:rPr>
      </w:pPr>
      <w:r>
        <w:rPr>
          <w:kern w:val="0"/>
          <w:sz w:val="24"/>
        </w:rPr>
        <w:t>根据项目特点，结合物质危险性识别，确定本项目危险贮存单元为管线，主要风险为</w:t>
      </w:r>
      <w:r>
        <w:rPr>
          <w:kern w:val="0"/>
          <w:sz w:val="24"/>
          <w:szCs w:val="20"/>
        </w:rPr>
        <w:t>管道泄漏、火灾、爆炸引发伴生/次生污染物排放</w:t>
      </w:r>
      <w:r>
        <w:rPr>
          <w:kern w:val="0"/>
          <w:sz w:val="24"/>
        </w:rPr>
        <w:t>。</w:t>
      </w:r>
    </w:p>
    <w:p w14:paraId="0C568F06">
      <w:pPr>
        <w:spacing w:before="60" w:after="60" w:line="440" w:lineRule="exact"/>
        <w:outlineLvl w:val="2"/>
        <w:rPr>
          <w:b/>
          <w:bCs/>
          <w:sz w:val="24"/>
        </w:rPr>
      </w:pPr>
      <w:r>
        <w:rPr>
          <w:b/>
          <w:bCs/>
          <w:sz w:val="24"/>
        </w:rPr>
        <w:t>2.2.3环境风险类型及危害分析</w:t>
      </w:r>
    </w:p>
    <w:p w14:paraId="6FB9944C">
      <w:pPr>
        <w:spacing w:line="440" w:lineRule="exact"/>
        <w:ind w:firstLine="480" w:firstLineChars="200"/>
        <w:rPr>
          <w:sz w:val="24"/>
        </w:rPr>
      </w:pPr>
      <w:r>
        <w:rPr>
          <w:sz w:val="24"/>
        </w:rPr>
        <w:t>根据物质及生产系统危险性识别结果，管道可能发生泄漏，泄漏物发生火灾，泄漏的物料及火灾事故下未完全燃烧产生的CO等物质可引发中毒、污染，以及灭火产生的消防废水排放污染地表水及地下水等伴生/次生污染事故。</w:t>
      </w:r>
    </w:p>
    <w:p w14:paraId="3D7B0D83">
      <w:pPr>
        <w:spacing w:line="440" w:lineRule="exact"/>
        <w:ind w:firstLine="482" w:firstLineChars="200"/>
        <w:rPr>
          <w:b/>
          <w:sz w:val="24"/>
        </w:rPr>
      </w:pPr>
      <w:r>
        <w:rPr>
          <w:b/>
          <w:sz w:val="24"/>
        </w:rPr>
        <w:t>表2.2-2    危险单元危险性识别结果一览表</w:t>
      </w:r>
    </w:p>
    <w:tbl>
      <w:tblPr>
        <w:tblStyle w:val="78"/>
        <w:tblW w:w="517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439"/>
        <w:gridCol w:w="688"/>
        <w:gridCol w:w="1143"/>
        <w:gridCol w:w="858"/>
        <w:gridCol w:w="1567"/>
        <w:gridCol w:w="1026"/>
        <w:gridCol w:w="2945"/>
      </w:tblGrid>
      <w:tr w14:paraId="54C6D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tblHeader/>
          <w:jc w:val="center"/>
        </w:trPr>
        <w:tc>
          <w:tcPr>
            <w:tcW w:w="253" w:type="pct"/>
            <w:vMerge w:val="restart"/>
            <w:vAlign w:val="center"/>
          </w:tcPr>
          <w:p w14:paraId="34C235A1">
            <w:pPr>
              <w:spacing w:line="0" w:lineRule="atLeast"/>
              <w:jc w:val="center"/>
              <w:rPr>
                <w:kern w:val="0"/>
                <w:szCs w:val="21"/>
              </w:rPr>
            </w:pPr>
            <w:r>
              <w:rPr>
                <w:szCs w:val="21"/>
                <w:lang w:bidi="ar"/>
              </w:rPr>
              <w:t>序号</w:t>
            </w:r>
          </w:p>
        </w:tc>
        <w:tc>
          <w:tcPr>
            <w:tcW w:w="397" w:type="pct"/>
            <w:vMerge w:val="restart"/>
            <w:vAlign w:val="center"/>
          </w:tcPr>
          <w:p w14:paraId="19902F91">
            <w:pPr>
              <w:spacing w:line="0" w:lineRule="atLeast"/>
              <w:jc w:val="center"/>
              <w:rPr>
                <w:kern w:val="0"/>
                <w:szCs w:val="21"/>
              </w:rPr>
            </w:pPr>
            <w:r>
              <w:rPr>
                <w:szCs w:val="21"/>
                <w:lang w:bidi="ar"/>
              </w:rPr>
              <w:t>危险单元名称</w:t>
            </w:r>
          </w:p>
        </w:tc>
        <w:tc>
          <w:tcPr>
            <w:tcW w:w="1154" w:type="pct"/>
            <w:gridSpan w:val="2"/>
            <w:vAlign w:val="center"/>
          </w:tcPr>
          <w:p w14:paraId="4B7D8B7E">
            <w:pPr>
              <w:spacing w:line="0" w:lineRule="atLeast"/>
              <w:jc w:val="center"/>
              <w:rPr>
                <w:kern w:val="0"/>
                <w:szCs w:val="21"/>
              </w:rPr>
            </w:pPr>
            <w:r>
              <w:rPr>
                <w:szCs w:val="21"/>
                <w:lang w:bidi="ar"/>
              </w:rPr>
              <w:t>单元内危险物质</w:t>
            </w:r>
          </w:p>
        </w:tc>
        <w:tc>
          <w:tcPr>
            <w:tcW w:w="3194" w:type="pct"/>
            <w:gridSpan w:val="3"/>
            <w:vAlign w:val="center"/>
          </w:tcPr>
          <w:p w14:paraId="2A5D34FF">
            <w:pPr>
              <w:spacing w:line="0" w:lineRule="atLeast"/>
              <w:jc w:val="center"/>
              <w:rPr>
                <w:kern w:val="0"/>
                <w:szCs w:val="21"/>
              </w:rPr>
            </w:pPr>
            <w:r>
              <w:rPr>
                <w:szCs w:val="21"/>
                <w:lang w:bidi="ar"/>
              </w:rPr>
              <w:t>风险源</w:t>
            </w:r>
          </w:p>
        </w:tc>
      </w:tr>
      <w:tr w14:paraId="6EF746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tblHeader/>
          <w:jc w:val="center"/>
        </w:trPr>
        <w:tc>
          <w:tcPr>
            <w:tcW w:w="253" w:type="pct"/>
            <w:vMerge w:val="continue"/>
            <w:vAlign w:val="center"/>
          </w:tcPr>
          <w:p w14:paraId="6ACF7557">
            <w:pPr>
              <w:widowControl/>
              <w:spacing w:line="0" w:lineRule="atLeast"/>
              <w:jc w:val="left"/>
              <w:rPr>
                <w:kern w:val="0"/>
                <w:szCs w:val="21"/>
              </w:rPr>
            </w:pPr>
          </w:p>
        </w:tc>
        <w:tc>
          <w:tcPr>
            <w:tcW w:w="397" w:type="pct"/>
            <w:vMerge w:val="continue"/>
            <w:vAlign w:val="center"/>
          </w:tcPr>
          <w:p w14:paraId="33D58976">
            <w:pPr>
              <w:widowControl/>
              <w:spacing w:line="0" w:lineRule="atLeast"/>
              <w:jc w:val="left"/>
              <w:rPr>
                <w:kern w:val="0"/>
                <w:szCs w:val="21"/>
              </w:rPr>
            </w:pPr>
          </w:p>
        </w:tc>
        <w:tc>
          <w:tcPr>
            <w:tcW w:w="659" w:type="pct"/>
            <w:vAlign w:val="center"/>
          </w:tcPr>
          <w:p w14:paraId="22073B47">
            <w:pPr>
              <w:spacing w:line="0" w:lineRule="atLeast"/>
              <w:jc w:val="center"/>
              <w:rPr>
                <w:kern w:val="0"/>
                <w:szCs w:val="21"/>
              </w:rPr>
            </w:pPr>
            <w:r>
              <w:rPr>
                <w:szCs w:val="21"/>
                <w:lang w:bidi="ar"/>
              </w:rPr>
              <w:t>危险物质</w:t>
            </w:r>
          </w:p>
        </w:tc>
        <w:tc>
          <w:tcPr>
            <w:tcW w:w="494" w:type="pct"/>
            <w:vAlign w:val="center"/>
          </w:tcPr>
          <w:p w14:paraId="0A79CA3E">
            <w:pPr>
              <w:spacing w:line="0" w:lineRule="atLeast"/>
              <w:jc w:val="center"/>
              <w:rPr>
                <w:kern w:val="0"/>
                <w:szCs w:val="21"/>
              </w:rPr>
            </w:pPr>
            <w:r>
              <w:rPr>
                <w:szCs w:val="21"/>
                <w:lang w:bidi="ar"/>
              </w:rPr>
              <w:t>最大存在量</w:t>
            </w:r>
            <w:r>
              <w:rPr>
                <w:rFonts w:hint="eastAsia"/>
                <w:szCs w:val="21"/>
                <w:lang w:bidi="ar"/>
              </w:rPr>
              <w:t>（</w:t>
            </w:r>
            <w:r>
              <w:rPr>
                <w:szCs w:val="21"/>
                <w:lang w:bidi="ar"/>
              </w:rPr>
              <w:t>t</w:t>
            </w:r>
            <w:r>
              <w:rPr>
                <w:rFonts w:hint="eastAsia"/>
                <w:szCs w:val="21"/>
                <w:lang w:bidi="ar"/>
              </w:rPr>
              <w:t>）</w:t>
            </w:r>
          </w:p>
        </w:tc>
        <w:tc>
          <w:tcPr>
            <w:tcW w:w="904" w:type="pct"/>
            <w:vAlign w:val="center"/>
          </w:tcPr>
          <w:p w14:paraId="7D506FE1">
            <w:pPr>
              <w:spacing w:line="0" w:lineRule="atLeast"/>
              <w:jc w:val="center"/>
              <w:rPr>
                <w:kern w:val="0"/>
                <w:szCs w:val="21"/>
              </w:rPr>
            </w:pPr>
            <w:r>
              <w:rPr>
                <w:szCs w:val="21"/>
                <w:lang w:bidi="ar"/>
              </w:rPr>
              <w:t>名称</w:t>
            </w:r>
          </w:p>
        </w:tc>
        <w:tc>
          <w:tcPr>
            <w:tcW w:w="592" w:type="pct"/>
            <w:vAlign w:val="center"/>
          </w:tcPr>
          <w:p w14:paraId="11E11642">
            <w:pPr>
              <w:spacing w:line="0" w:lineRule="atLeast"/>
              <w:jc w:val="center"/>
              <w:rPr>
                <w:kern w:val="0"/>
                <w:szCs w:val="21"/>
              </w:rPr>
            </w:pPr>
            <w:r>
              <w:rPr>
                <w:szCs w:val="21"/>
                <w:lang w:bidi="ar"/>
              </w:rPr>
              <w:t>危险性</w:t>
            </w:r>
          </w:p>
        </w:tc>
        <w:tc>
          <w:tcPr>
            <w:tcW w:w="1697" w:type="pct"/>
            <w:vAlign w:val="center"/>
          </w:tcPr>
          <w:p w14:paraId="031F9DD9">
            <w:pPr>
              <w:spacing w:line="0" w:lineRule="atLeast"/>
              <w:jc w:val="center"/>
              <w:rPr>
                <w:kern w:val="0"/>
                <w:szCs w:val="21"/>
              </w:rPr>
            </w:pPr>
            <w:r>
              <w:rPr>
                <w:szCs w:val="21"/>
                <w:lang w:bidi="ar"/>
              </w:rPr>
              <w:t>转化为事故的触发因素</w:t>
            </w:r>
          </w:p>
        </w:tc>
      </w:tr>
      <w:tr w14:paraId="164F1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53" w:type="pct"/>
            <w:vAlign w:val="center"/>
          </w:tcPr>
          <w:p w14:paraId="1F51DCB6">
            <w:pPr>
              <w:spacing w:line="0" w:lineRule="atLeast"/>
              <w:jc w:val="center"/>
              <w:rPr>
                <w:szCs w:val="21"/>
                <w:lang w:bidi="ar"/>
              </w:rPr>
            </w:pPr>
            <w:bookmarkStart w:id="62" w:name="_Hlk230267534"/>
            <w:r>
              <w:rPr>
                <w:szCs w:val="21"/>
                <w:lang w:bidi="ar"/>
              </w:rPr>
              <w:t>1</w:t>
            </w:r>
          </w:p>
        </w:tc>
        <w:tc>
          <w:tcPr>
            <w:tcW w:w="397" w:type="pct"/>
            <w:vMerge w:val="restart"/>
            <w:vAlign w:val="center"/>
          </w:tcPr>
          <w:p w14:paraId="228CF495">
            <w:pPr>
              <w:spacing w:line="0" w:lineRule="atLeast"/>
              <w:jc w:val="center"/>
              <w:rPr>
                <w:kern w:val="0"/>
                <w:szCs w:val="21"/>
              </w:rPr>
            </w:pPr>
            <w:r>
              <w:rPr>
                <w:kern w:val="0"/>
                <w:szCs w:val="21"/>
              </w:rPr>
              <w:t>管道</w:t>
            </w:r>
          </w:p>
        </w:tc>
        <w:tc>
          <w:tcPr>
            <w:tcW w:w="659" w:type="pct"/>
            <w:vAlign w:val="center"/>
          </w:tcPr>
          <w:p w14:paraId="148FB007">
            <w:pPr>
              <w:adjustRightInd w:val="0"/>
              <w:snapToGrid w:val="0"/>
              <w:spacing w:line="360" w:lineRule="exact"/>
              <w:jc w:val="center"/>
              <w:rPr>
                <w:szCs w:val="21"/>
              </w:rPr>
            </w:pPr>
            <w:r>
              <w:rPr>
                <w:rFonts w:hint="eastAsia"/>
                <w:bCs/>
                <w:kern w:val="0"/>
                <w:szCs w:val="21"/>
              </w:rPr>
              <w:t>混合烯烃</w:t>
            </w:r>
          </w:p>
        </w:tc>
        <w:tc>
          <w:tcPr>
            <w:tcW w:w="494" w:type="pct"/>
            <w:vAlign w:val="center"/>
          </w:tcPr>
          <w:p w14:paraId="6760C359">
            <w:pPr>
              <w:spacing w:line="360" w:lineRule="exact"/>
              <w:jc w:val="center"/>
              <w:rPr>
                <w:szCs w:val="21"/>
              </w:rPr>
            </w:pPr>
            <w:r>
              <w:rPr>
                <w:rFonts w:hint="eastAsia"/>
                <w:szCs w:val="21"/>
              </w:rPr>
              <w:t>0.002</w:t>
            </w:r>
          </w:p>
        </w:tc>
        <w:tc>
          <w:tcPr>
            <w:tcW w:w="904" w:type="pct"/>
            <w:vAlign w:val="center"/>
          </w:tcPr>
          <w:p w14:paraId="06332020">
            <w:pPr>
              <w:adjustRightInd w:val="0"/>
              <w:snapToGrid w:val="0"/>
              <w:spacing w:line="360" w:lineRule="exact"/>
              <w:jc w:val="center"/>
              <w:rPr>
                <w:bCs/>
                <w:kern w:val="0"/>
                <w:szCs w:val="21"/>
              </w:rPr>
            </w:pPr>
            <w:r>
              <w:rPr>
                <w:rFonts w:hint="eastAsia"/>
                <w:bCs/>
                <w:kern w:val="0"/>
                <w:szCs w:val="21"/>
              </w:rPr>
              <w:t>混合烯烃</w:t>
            </w:r>
            <w:r>
              <w:rPr>
                <w:bCs/>
                <w:kern w:val="0"/>
                <w:szCs w:val="21"/>
              </w:rPr>
              <w:t>管道</w:t>
            </w:r>
          </w:p>
        </w:tc>
        <w:tc>
          <w:tcPr>
            <w:tcW w:w="592" w:type="pct"/>
            <w:vAlign w:val="center"/>
          </w:tcPr>
          <w:p w14:paraId="72642997">
            <w:pPr>
              <w:spacing w:line="0" w:lineRule="atLeast"/>
              <w:jc w:val="center"/>
              <w:rPr>
                <w:szCs w:val="21"/>
                <w:lang w:bidi="ar"/>
              </w:rPr>
            </w:pPr>
            <w:r>
              <w:rPr>
                <w:szCs w:val="21"/>
              </w:rPr>
              <w:t>易燃易爆</w:t>
            </w:r>
          </w:p>
        </w:tc>
        <w:tc>
          <w:tcPr>
            <w:tcW w:w="1697" w:type="pct"/>
            <w:vMerge w:val="restart"/>
            <w:vAlign w:val="center"/>
          </w:tcPr>
          <w:p w14:paraId="079C6804">
            <w:pPr>
              <w:spacing w:line="0" w:lineRule="atLeast"/>
              <w:jc w:val="center"/>
              <w:rPr>
                <w:szCs w:val="21"/>
                <w:lang w:bidi="ar"/>
              </w:rPr>
            </w:pPr>
            <w:r>
              <w:rPr>
                <w:szCs w:val="21"/>
              </w:rPr>
              <w:t>管道泄漏、火灾、爆炸</w:t>
            </w:r>
            <w:r>
              <w:rPr>
                <w:rFonts w:hint="eastAsia"/>
                <w:szCs w:val="21"/>
              </w:rPr>
              <w:t>等</w:t>
            </w:r>
            <w:r>
              <w:rPr>
                <w:szCs w:val="21"/>
              </w:rPr>
              <w:t>引发伴生/次生污染物排放</w:t>
            </w:r>
          </w:p>
        </w:tc>
      </w:tr>
      <w:tr w14:paraId="3624DF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4" w:hRule="atLeast"/>
          <w:jc w:val="center"/>
        </w:trPr>
        <w:tc>
          <w:tcPr>
            <w:tcW w:w="253" w:type="pct"/>
            <w:vAlign w:val="center"/>
          </w:tcPr>
          <w:p w14:paraId="729DC33C">
            <w:pPr>
              <w:spacing w:line="0" w:lineRule="atLeast"/>
              <w:jc w:val="center"/>
              <w:rPr>
                <w:szCs w:val="21"/>
                <w:lang w:bidi="ar"/>
              </w:rPr>
            </w:pPr>
            <w:r>
              <w:rPr>
                <w:szCs w:val="21"/>
                <w:lang w:bidi="ar"/>
              </w:rPr>
              <w:t>2</w:t>
            </w:r>
          </w:p>
        </w:tc>
        <w:tc>
          <w:tcPr>
            <w:tcW w:w="397" w:type="pct"/>
            <w:vMerge w:val="continue"/>
            <w:vAlign w:val="center"/>
          </w:tcPr>
          <w:p w14:paraId="2957C45E">
            <w:pPr>
              <w:spacing w:line="0" w:lineRule="atLeast"/>
              <w:jc w:val="center"/>
              <w:rPr>
                <w:kern w:val="0"/>
                <w:szCs w:val="21"/>
              </w:rPr>
            </w:pPr>
          </w:p>
        </w:tc>
        <w:tc>
          <w:tcPr>
            <w:tcW w:w="659" w:type="pct"/>
            <w:vAlign w:val="center"/>
          </w:tcPr>
          <w:p w14:paraId="27150F75">
            <w:pPr>
              <w:adjustRightInd w:val="0"/>
              <w:snapToGrid w:val="0"/>
              <w:spacing w:line="360" w:lineRule="exact"/>
              <w:jc w:val="center"/>
              <w:rPr>
                <w:szCs w:val="21"/>
              </w:rPr>
            </w:pPr>
            <w:r>
              <w:rPr>
                <w:rFonts w:hint="eastAsia"/>
                <w:bCs/>
                <w:kern w:val="0"/>
                <w:szCs w:val="21"/>
              </w:rPr>
              <w:t>烷烃返回料</w:t>
            </w:r>
          </w:p>
        </w:tc>
        <w:tc>
          <w:tcPr>
            <w:tcW w:w="494" w:type="pct"/>
            <w:vAlign w:val="center"/>
          </w:tcPr>
          <w:p w14:paraId="6DFED604">
            <w:pPr>
              <w:spacing w:line="360" w:lineRule="exact"/>
              <w:jc w:val="center"/>
              <w:rPr>
                <w:szCs w:val="21"/>
              </w:rPr>
            </w:pPr>
            <w:r>
              <w:rPr>
                <w:rFonts w:hint="eastAsia"/>
                <w:szCs w:val="21"/>
              </w:rPr>
              <w:t>0.001</w:t>
            </w:r>
          </w:p>
        </w:tc>
        <w:tc>
          <w:tcPr>
            <w:tcW w:w="904" w:type="pct"/>
            <w:vAlign w:val="center"/>
          </w:tcPr>
          <w:p w14:paraId="6465417A">
            <w:pPr>
              <w:adjustRightInd w:val="0"/>
              <w:snapToGrid w:val="0"/>
              <w:spacing w:line="360" w:lineRule="exact"/>
              <w:jc w:val="center"/>
              <w:rPr>
                <w:szCs w:val="21"/>
              </w:rPr>
            </w:pPr>
            <w:r>
              <w:rPr>
                <w:rFonts w:hint="eastAsia"/>
                <w:bCs/>
                <w:kern w:val="0"/>
                <w:szCs w:val="21"/>
              </w:rPr>
              <w:t>烷烃返回料</w:t>
            </w:r>
            <w:r>
              <w:rPr>
                <w:bCs/>
                <w:kern w:val="0"/>
                <w:szCs w:val="21"/>
              </w:rPr>
              <w:t>管道</w:t>
            </w:r>
          </w:p>
        </w:tc>
        <w:tc>
          <w:tcPr>
            <w:tcW w:w="592" w:type="pct"/>
            <w:vAlign w:val="center"/>
          </w:tcPr>
          <w:p w14:paraId="1B8DC010">
            <w:pPr>
              <w:spacing w:line="0" w:lineRule="atLeast"/>
              <w:jc w:val="center"/>
              <w:rPr>
                <w:szCs w:val="21"/>
              </w:rPr>
            </w:pPr>
            <w:r>
              <w:rPr>
                <w:szCs w:val="21"/>
              </w:rPr>
              <w:t>易燃易爆</w:t>
            </w:r>
          </w:p>
        </w:tc>
        <w:tc>
          <w:tcPr>
            <w:tcW w:w="1697" w:type="pct"/>
            <w:vMerge w:val="continue"/>
            <w:vAlign w:val="center"/>
          </w:tcPr>
          <w:p w14:paraId="280DD804">
            <w:pPr>
              <w:spacing w:line="0" w:lineRule="atLeast"/>
              <w:jc w:val="center"/>
              <w:rPr>
                <w:szCs w:val="21"/>
              </w:rPr>
            </w:pPr>
          </w:p>
        </w:tc>
      </w:tr>
      <w:tr w14:paraId="5BFAC9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53" w:type="pct"/>
            <w:vAlign w:val="center"/>
          </w:tcPr>
          <w:p w14:paraId="3FA8C1D6">
            <w:pPr>
              <w:spacing w:line="0" w:lineRule="atLeast"/>
              <w:jc w:val="center"/>
              <w:rPr>
                <w:szCs w:val="21"/>
                <w:lang w:bidi="ar"/>
              </w:rPr>
            </w:pPr>
            <w:r>
              <w:rPr>
                <w:szCs w:val="21"/>
                <w:lang w:bidi="ar"/>
              </w:rPr>
              <w:t>3</w:t>
            </w:r>
          </w:p>
        </w:tc>
        <w:tc>
          <w:tcPr>
            <w:tcW w:w="397" w:type="pct"/>
            <w:vMerge w:val="continue"/>
            <w:vAlign w:val="center"/>
          </w:tcPr>
          <w:p w14:paraId="4820F699">
            <w:pPr>
              <w:spacing w:line="0" w:lineRule="atLeast"/>
              <w:jc w:val="center"/>
              <w:rPr>
                <w:kern w:val="0"/>
                <w:szCs w:val="21"/>
              </w:rPr>
            </w:pPr>
          </w:p>
        </w:tc>
        <w:tc>
          <w:tcPr>
            <w:tcW w:w="659" w:type="pct"/>
            <w:vAlign w:val="center"/>
          </w:tcPr>
          <w:p w14:paraId="33A12CD7">
            <w:pPr>
              <w:adjustRightInd w:val="0"/>
              <w:snapToGrid w:val="0"/>
              <w:spacing w:line="360" w:lineRule="exact"/>
              <w:jc w:val="center"/>
              <w:rPr>
                <w:szCs w:val="21"/>
              </w:rPr>
            </w:pPr>
            <w:r>
              <w:rPr>
                <w:rFonts w:hint="eastAsia"/>
                <w:bCs/>
                <w:kern w:val="0"/>
                <w:szCs w:val="21"/>
              </w:rPr>
              <w:t>氢气</w:t>
            </w:r>
          </w:p>
        </w:tc>
        <w:tc>
          <w:tcPr>
            <w:tcW w:w="494" w:type="pct"/>
            <w:vAlign w:val="center"/>
          </w:tcPr>
          <w:p w14:paraId="4942051A">
            <w:pPr>
              <w:spacing w:line="360" w:lineRule="exact"/>
              <w:jc w:val="center"/>
              <w:rPr>
                <w:szCs w:val="21"/>
              </w:rPr>
            </w:pPr>
            <w:r>
              <w:rPr>
                <w:rFonts w:hint="eastAsia"/>
                <w:szCs w:val="21"/>
              </w:rPr>
              <w:t>0.00005</w:t>
            </w:r>
          </w:p>
        </w:tc>
        <w:tc>
          <w:tcPr>
            <w:tcW w:w="904" w:type="pct"/>
            <w:vAlign w:val="center"/>
          </w:tcPr>
          <w:p w14:paraId="04CA9DDA">
            <w:pPr>
              <w:adjustRightInd w:val="0"/>
              <w:snapToGrid w:val="0"/>
              <w:spacing w:line="360" w:lineRule="exact"/>
              <w:jc w:val="center"/>
              <w:rPr>
                <w:szCs w:val="21"/>
              </w:rPr>
            </w:pPr>
            <w:r>
              <w:rPr>
                <w:rFonts w:hint="eastAsia"/>
                <w:bCs/>
                <w:kern w:val="0"/>
                <w:szCs w:val="21"/>
              </w:rPr>
              <w:t>氢气</w:t>
            </w:r>
            <w:r>
              <w:rPr>
                <w:bCs/>
                <w:kern w:val="0"/>
                <w:szCs w:val="21"/>
              </w:rPr>
              <w:t>管道</w:t>
            </w:r>
          </w:p>
        </w:tc>
        <w:tc>
          <w:tcPr>
            <w:tcW w:w="592" w:type="pct"/>
            <w:vAlign w:val="center"/>
          </w:tcPr>
          <w:p w14:paraId="6C165AC8">
            <w:pPr>
              <w:spacing w:line="0" w:lineRule="atLeast"/>
              <w:jc w:val="center"/>
              <w:rPr>
                <w:szCs w:val="21"/>
              </w:rPr>
            </w:pPr>
            <w:r>
              <w:rPr>
                <w:szCs w:val="21"/>
              </w:rPr>
              <w:t>易燃易爆</w:t>
            </w:r>
          </w:p>
        </w:tc>
        <w:tc>
          <w:tcPr>
            <w:tcW w:w="1697" w:type="pct"/>
            <w:vMerge w:val="continue"/>
            <w:vAlign w:val="center"/>
          </w:tcPr>
          <w:p w14:paraId="30A59967">
            <w:pPr>
              <w:spacing w:line="0" w:lineRule="atLeast"/>
              <w:jc w:val="center"/>
              <w:rPr>
                <w:szCs w:val="21"/>
              </w:rPr>
            </w:pPr>
          </w:p>
        </w:tc>
      </w:tr>
      <w:tr w14:paraId="52961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53" w:type="pct"/>
            <w:vAlign w:val="center"/>
          </w:tcPr>
          <w:p w14:paraId="3F1F7ED3">
            <w:pPr>
              <w:spacing w:line="0" w:lineRule="atLeast"/>
              <w:jc w:val="center"/>
              <w:rPr>
                <w:szCs w:val="21"/>
                <w:lang w:bidi="ar"/>
              </w:rPr>
            </w:pPr>
            <w:r>
              <w:rPr>
                <w:szCs w:val="21"/>
                <w:lang w:bidi="ar"/>
              </w:rPr>
              <w:t>4</w:t>
            </w:r>
          </w:p>
        </w:tc>
        <w:tc>
          <w:tcPr>
            <w:tcW w:w="397" w:type="pct"/>
            <w:vMerge w:val="continue"/>
            <w:vAlign w:val="center"/>
          </w:tcPr>
          <w:p w14:paraId="3651466F">
            <w:pPr>
              <w:spacing w:line="0" w:lineRule="atLeast"/>
              <w:jc w:val="center"/>
              <w:rPr>
                <w:kern w:val="0"/>
                <w:szCs w:val="21"/>
              </w:rPr>
            </w:pPr>
          </w:p>
        </w:tc>
        <w:tc>
          <w:tcPr>
            <w:tcW w:w="659" w:type="pct"/>
            <w:vAlign w:val="center"/>
          </w:tcPr>
          <w:p w14:paraId="6707EBBC">
            <w:pPr>
              <w:adjustRightInd w:val="0"/>
              <w:snapToGrid w:val="0"/>
              <w:spacing w:line="360" w:lineRule="exact"/>
              <w:jc w:val="center"/>
              <w:rPr>
                <w:szCs w:val="21"/>
              </w:rPr>
            </w:pPr>
            <w:r>
              <w:rPr>
                <w:rFonts w:hint="eastAsia"/>
                <w:bCs/>
                <w:kern w:val="0"/>
                <w:szCs w:val="21"/>
              </w:rPr>
              <w:t>排放气</w:t>
            </w:r>
          </w:p>
        </w:tc>
        <w:tc>
          <w:tcPr>
            <w:tcW w:w="494" w:type="pct"/>
            <w:vAlign w:val="center"/>
          </w:tcPr>
          <w:p w14:paraId="35EB7C37">
            <w:pPr>
              <w:spacing w:line="360" w:lineRule="exact"/>
              <w:jc w:val="center"/>
              <w:rPr>
                <w:szCs w:val="21"/>
              </w:rPr>
            </w:pPr>
            <w:r>
              <w:rPr>
                <w:rFonts w:hint="eastAsia"/>
                <w:szCs w:val="21"/>
              </w:rPr>
              <w:t>0.116</w:t>
            </w:r>
          </w:p>
        </w:tc>
        <w:tc>
          <w:tcPr>
            <w:tcW w:w="904" w:type="pct"/>
            <w:vAlign w:val="center"/>
          </w:tcPr>
          <w:p w14:paraId="2609198E">
            <w:pPr>
              <w:adjustRightInd w:val="0"/>
              <w:snapToGrid w:val="0"/>
              <w:spacing w:line="360" w:lineRule="exact"/>
              <w:jc w:val="center"/>
              <w:rPr>
                <w:szCs w:val="21"/>
              </w:rPr>
            </w:pPr>
            <w:r>
              <w:rPr>
                <w:rFonts w:hint="eastAsia"/>
                <w:bCs/>
                <w:kern w:val="0"/>
                <w:szCs w:val="21"/>
              </w:rPr>
              <w:t>排放气</w:t>
            </w:r>
            <w:r>
              <w:rPr>
                <w:bCs/>
                <w:kern w:val="0"/>
                <w:szCs w:val="21"/>
              </w:rPr>
              <w:t>管道</w:t>
            </w:r>
          </w:p>
        </w:tc>
        <w:tc>
          <w:tcPr>
            <w:tcW w:w="592" w:type="pct"/>
            <w:vAlign w:val="center"/>
          </w:tcPr>
          <w:p w14:paraId="462632AE">
            <w:pPr>
              <w:spacing w:line="0" w:lineRule="atLeast"/>
              <w:jc w:val="center"/>
              <w:rPr>
                <w:szCs w:val="21"/>
              </w:rPr>
            </w:pPr>
            <w:r>
              <w:rPr>
                <w:szCs w:val="21"/>
              </w:rPr>
              <w:t>易燃易爆</w:t>
            </w:r>
          </w:p>
        </w:tc>
        <w:tc>
          <w:tcPr>
            <w:tcW w:w="1697" w:type="pct"/>
            <w:vMerge w:val="continue"/>
            <w:vAlign w:val="center"/>
          </w:tcPr>
          <w:p w14:paraId="42730BBC">
            <w:pPr>
              <w:spacing w:line="0" w:lineRule="atLeast"/>
              <w:jc w:val="center"/>
              <w:rPr>
                <w:szCs w:val="21"/>
              </w:rPr>
            </w:pPr>
          </w:p>
        </w:tc>
      </w:tr>
      <w:bookmarkEnd w:id="62"/>
    </w:tbl>
    <w:p w14:paraId="6260C997">
      <w:pPr>
        <w:spacing w:before="60" w:after="60" w:line="440" w:lineRule="exact"/>
        <w:outlineLvl w:val="2"/>
        <w:rPr>
          <w:b/>
          <w:bCs/>
          <w:sz w:val="24"/>
        </w:rPr>
      </w:pPr>
      <w:r>
        <w:rPr>
          <w:b/>
          <w:bCs/>
          <w:sz w:val="24"/>
        </w:rPr>
        <w:t>2.2.4 风险识别结果</w:t>
      </w:r>
    </w:p>
    <w:p w14:paraId="3622883D">
      <w:pPr>
        <w:widowControl/>
        <w:snapToGrid w:val="0"/>
        <w:spacing w:line="440" w:lineRule="exact"/>
        <w:ind w:firstLine="480" w:firstLineChars="200"/>
        <w:rPr>
          <w:kern w:val="0"/>
          <w:sz w:val="24"/>
        </w:rPr>
      </w:pPr>
      <w:r>
        <w:rPr>
          <w:kern w:val="0"/>
          <w:sz w:val="24"/>
        </w:rPr>
        <w:t>工程物质及生产系统危险性识别结果见表2.2-3。</w:t>
      </w:r>
    </w:p>
    <w:p w14:paraId="65D15297">
      <w:pPr>
        <w:spacing w:line="440" w:lineRule="exact"/>
        <w:ind w:firstLine="482" w:firstLineChars="200"/>
        <w:rPr>
          <w:b/>
          <w:sz w:val="24"/>
        </w:rPr>
      </w:pPr>
      <w:r>
        <w:rPr>
          <w:b/>
          <w:sz w:val="24"/>
        </w:rPr>
        <w:t>表2.2-3    项目重点风险源环境风险识别表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492"/>
        <w:gridCol w:w="512"/>
        <w:gridCol w:w="1031"/>
        <w:gridCol w:w="1553"/>
        <w:gridCol w:w="1967"/>
        <w:gridCol w:w="1403"/>
        <w:gridCol w:w="1410"/>
      </w:tblGrid>
      <w:tr w14:paraId="74D52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4" w:type="pct"/>
            <w:vAlign w:val="center"/>
          </w:tcPr>
          <w:p w14:paraId="2A5A612B">
            <w:pPr>
              <w:spacing w:line="360" w:lineRule="exact"/>
              <w:jc w:val="center"/>
              <w:rPr>
                <w:szCs w:val="21"/>
              </w:rPr>
            </w:pPr>
            <w:r>
              <w:rPr>
                <w:szCs w:val="21"/>
              </w:rPr>
              <w:t>序号</w:t>
            </w:r>
          </w:p>
        </w:tc>
        <w:tc>
          <w:tcPr>
            <w:tcW w:w="306" w:type="pct"/>
            <w:vAlign w:val="center"/>
          </w:tcPr>
          <w:p w14:paraId="684E8131">
            <w:pPr>
              <w:spacing w:line="360" w:lineRule="exact"/>
              <w:jc w:val="center"/>
              <w:rPr>
                <w:szCs w:val="21"/>
              </w:rPr>
            </w:pPr>
            <w:r>
              <w:rPr>
                <w:szCs w:val="21"/>
              </w:rPr>
              <w:t>危险单元</w:t>
            </w:r>
          </w:p>
        </w:tc>
        <w:tc>
          <w:tcPr>
            <w:tcW w:w="616" w:type="pct"/>
            <w:vAlign w:val="center"/>
          </w:tcPr>
          <w:p w14:paraId="26BF1516">
            <w:pPr>
              <w:spacing w:line="360" w:lineRule="exact"/>
              <w:jc w:val="center"/>
              <w:rPr>
                <w:szCs w:val="21"/>
              </w:rPr>
            </w:pPr>
            <w:r>
              <w:rPr>
                <w:szCs w:val="21"/>
              </w:rPr>
              <w:t>风险源</w:t>
            </w:r>
          </w:p>
        </w:tc>
        <w:tc>
          <w:tcPr>
            <w:tcW w:w="928" w:type="pct"/>
            <w:vAlign w:val="center"/>
          </w:tcPr>
          <w:p w14:paraId="0B98B022">
            <w:pPr>
              <w:spacing w:line="360" w:lineRule="exact"/>
              <w:jc w:val="center"/>
              <w:rPr>
                <w:szCs w:val="21"/>
              </w:rPr>
            </w:pPr>
            <w:r>
              <w:rPr>
                <w:szCs w:val="21"/>
              </w:rPr>
              <w:t>主要危险物质</w:t>
            </w:r>
          </w:p>
        </w:tc>
        <w:tc>
          <w:tcPr>
            <w:tcW w:w="1175" w:type="pct"/>
            <w:vAlign w:val="center"/>
          </w:tcPr>
          <w:p w14:paraId="7BA9B23C">
            <w:pPr>
              <w:spacing w:line="360" w:lineRule="exact"/>
              <w:jc w:val="center"/>
              <w:rPr>
                <w:szCs w:val="21"/>
              </w:rPr>
            </w:pPr>
            <w:r>
              <w:rPr>
                <w:szCs w:val="21"/>
              </w:rPr>
              <w:t>环境风险类型</w:t>
            </w:r>
          </w:p>
        </w:tc>
        <w:tc>
          <w:tcPr>
            <w:tcW w:w="838" w:type="pct"/>
            <w:vAlign w:val="center"/>
          </w:tcPr>
          <w:p w14:paraId="3827963E">
            <w:pPr>
              <w:spacing w:line="360" w:lineRule="exact"/>
              <w:jc w:val="center"/>
              <w:rPr>
                <w:szCs w:val="21"/>
              </w:rPr>
            </w:pPr>
            <w:r>
              <w:rPr>
                <w:szCs w:val="21"/>
              </w:rPr>
              <w:t>环境影响途径</w:t>
            </w:r>
          </w:p>
        </w:tc>
        <w:tc>
          <w:tcPr>
            <w:tcW w:w="842" w:type="pct"/>
            <w:vAlign w:val="center"/>
          </w:tcPr>
          <w:p w14:paraId="61BB9878">
            <w:pPr>
              <w:spacing w:line="360" w:lineRule="exact"/>
              <w:jc w:val="center"/>
              <w:rPr>
                <w:szCs w:val="21"/>
              </w:rPr>
            </w:pPr>
            <w:r>
              <w:rPr>
                <w:szCs w:val="21"/>
              </w:rPr>
              <w:t>可能受影响的环境敏感目标</w:t>
            </w:r>
          </w:p>
        </w:tc>
      </w:tr>
      <w:tr w14:paraId="21A67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4" w:type="pct"/>
            <w:vMerge w:val="restart"/>
            <w:vAlign w:val="center"/>
          </w:tcPr>
          <w:p w14:paraId="311A1754">
            <w:pPr>
              <w:spacing w:line="360" w:lineRule="exact"/>
              <w:jc w:val="center"/>
              <w:rPr>
                <w:szCs w:val="21"/>
              </w:rPr>
            </w:pPr>
            <w:r>
              <w:rPr>
                <w:szCs w:val="21"/>
              </w:rPr>
              <w:t>1</w:t>
            </w:r>
          </w:p>
        </w:tc>
        <w:tc>
          <w:tcPr>
            <w:tcW w:w="306" w:type="pct"/>
            <w:vMerge w:val="restart"/>
            <w:vAlign w:val="center"/>
          </w:tcPr>
          <w:p w14:paraId="50FDB4BA">
            <w:pPr>
              <w:spacing w:line="360" w:lineRule="exact"/>
              <w:jc w:val="center"/>
              <w:rPr>
                <w:szCs w:val="21"/>
              </w:rPr>
            </w:pPr>
            <w:r>
              <w:rPr>
                <w:szCs w:val="21"/>
              </w:rPr>
              <w:t>管线</w:t>
            </w:r>
          </w:p>
        </w:tc>
        <w:tc>
          <w:tcPr>
            <w:tcW w:w="616" w:type="pct"/>
            <w:vMerge w:val="restart"/>
            <w:vAlign w:val="center"/>
          </w:tcPr>
          <w:p w14:paraId="300B1ACA">
            <w:pPr>
              <w:spacing w:line="360" w:lineRule="exact"/>
              <w:jc w:val="center"/>
              <w:rPr>
                <w:szCs w:val="21"/>
              </w:rPr>
            </w:pPr>
            <w:r>
              <w:rPr>
                <w:rFonts w:hint="eastAsia"/>
                <w:szCs w:val="21"/>
              </w:rPr>
              <w:t>混合烯烃、烷烃返回料、氢气、排放气</w:t>
            </w:r>
            <w:r>
              <w:rPr>
                <w:szCs w:val="21"/>
              </w:rPr>
              <w:t>管道</w:t>
            </w:r>
          </w:p>
        </w:tc>
        <w:tc>
          <w:tcPr>
            <w:tcW w:w="928" w:type="pct"/>
            <w:vMerge w:val="restart"/>
            <w:vAlign w:val="center"/>
          </w:tcPr>
          <w:p w14:paraId="350F7B58">
            <w:pPr>
              <w:spacing w:line="360" w:lineRule="exact"/>
              <w:jc w:val="center"/>
              <w:rPr>
                <w:szCs w:val="21"/>
              </w:rPr>
            </w:pPr>
            <w:r>
              <w:rPr>
                <w:rFonts w:hint="eastAsia"/>
                <w:szCs w:val="21"/>
              </w:rPr>
              <w:t>混合烯烃</w:t>
            </w:r>
          </w:p>
          <w:p w14:paraId="2DFBAF25">
            <w:pPr>
              <w:spacing w:line="360" w:lineRule="exact"/>
              <w:jc w:val="center"/>
              <w:rPr>
                <w:szCs w:val="21"/>
              </w:rPr>
            </w:pPr>
            <w:r>
              <w:rPr>
                <w:rFonts w:hint="eastAsia"/>
                <w:szCs w:val="21"/>
              </w:rPr>
              <w:t>烷烃返回料</w:t>
            </w:r>
          </w:p>
          <w:p w14:paraId="2B7ADF8E">
            <w:pPr>
              <w:spacing w:line="360" w:lineRule="exact"/>
              <w:jc w:val="center"/>
              <w:rPr>
                <w:szCs w:val="21"/>
              </w:rPr>
            </w:pPr>
            <w:r>
              <w:rPr>
                <w:rFonts w:hint="eastAsia"/>
                <w:szCs w:val="21"/>
              </w:rPr>
              <w:t>氢气</w:t>
            </w:r>
          </w:p>
          <w:p w14:paraId="23DF1E82">
            <w:pPr>
              <w:spacing w:line="360" w:lineRule="exact"/>
              <w:jc w:val="center"/>
              <w:rPr>
                <w:szCs w:val="21"/>
              </w:rPr>
            </w:pPr>
            <w:r>
              <w:rPr>
                <w:rFonts w:hint="eastAsia"/>
                <w:szCs w:val="21"/>
              </w:rPr>
              <w:t>排放气</w:t>
            </w:r>
          </w:p>
        </w:tc>
        <w:tc>
          <w:tcPr>
            <w:tcW w:w="1175" w:type="pct"/>
            <w:vAlign w:val="center"/>
          </w:tcPr>
          <w:p w14:paraId="41A2257D">
            <w:pPr>
              <w:widowControl/>
              <w:spacing w:line="360" w:lineRule="exact"/>
              <w:jc w:val="center"/>
              <w:rPr>
                <w:rFonts w:hint="eastAsia" w:eastAsia="宋体"/>
                <w:szCs w:val="21"/>
                <w:lang w:eastAsia="zh-CN"/>
              </w:rPr>
            </w:pPr>
            <w:r>
              <w:rPr>
                <w:szCs w:val="21"/>
              </w:rPr>
              <w:t>泄漏，遇热源和明火有燃烧爆炸的危险</w:t>
            </w:r>
            <w:r>
              <w:rPr>
                <w:rFonts w:hint="eastAsia"/>
                <w:szCs w:val="21"/>
                <w:lang w:eastAsia="zh-CN"/>
              </w:rPr>
              <w:t>。</w:t>
            </w:r>
          </w:p>
        </w:tc>
        <w:tc>
          <w:tcPr>
            <w:tcW w:w="838" w:type="pct"/>
            <w:vAlign w:val="center"/>
          </w:tcPr>
          <w:p w14:paraId="0484F219">
            <w:pPr>
              <w:spacing w:line="360" w:lineRule="exact"/>
              <w:jc w:val="center"/>
              <w:rPr>
                <w:szCs w:val="21"/>
              </w:rPr>
            </w:pPr>
            <w:r>
              <w:rPr>
                <w:szCs w:val="21"/>
              </w:rPr>
              <w:t>大气</w:t>
            </w:r>
          </w:p>
        </w:tc>
        <w:tc>
          <w:tcPr>
            <w:tcW w:w="842" w:type="pct"/>
            <w:vAlign w:val="center"/>
          </w:tcPr>
          <w:p w14:paraId="7B4859B5">
            <w:pPr>
              <w:spacing w:line="360" w:lineRule="exact"/>
              <w:jc w:val="center"/>
              <w:rPr>
                <w:szCs w:val="21"/>
              </w:rPr>
            </w:pPr>
            <w:r>
              <w:rPr>
                <w:szCs w:val="21"/>
              </w:rPr>
              <w:t>--</w:t>
            </w:r>
          </w:p>
        </w:tc>
      </w:tr>
      <w:tr w14:paraId="412D1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4" w:type="pct"/>
            <w:vMerge w:val="continue"/>
            <w:vAlign w:val="center"/>
          </w:tcPr>
          <w:p w14:paraId="0938144F">
            <w:pPr>
              <w:spacing w:line="360" w:lineRule="exact"/>
              <w:jc w:val="center"/>
              <w:rPr>
                <w:szCs w:val="21"/>
              </w:rPr>
            </w:pPr>
          </w:p>
        </w:tc>
        <w:tc>
          <w:tcPr>
            <w:tcW w:w="306" w:type="pct"/>
            <w:vMerge w:val="continue"/>
            <w:vAlign w:val="center"/>
          </w:tcPr>
          <w:p w14:paraId="476FDAB0">
            <w:pPr>
              <w:spacing w:line="360" w:lineRule="exact"/>
              <w:jc w:val="center"/>
              <w:rPr>
                <w:szCs w:val="21"/>
              </w:rPr>
            </w:pPr>
          </w:p>
        </w:tc>
        <w:tc>
          <w:tcPr>
            <w:tcW w:w="616" w:type="pct"/>
            <w:vMerge w:val="continue"/>
            <w:vAlign w:val="center"/>
          </w:tcPr>
          <w:p w14:paraId="2925706C">
            <w:pPr>
              <w:spacing w:line="360" w:lineRule="exact"/>
              <w:jc w:val="center"/>
              <w:rPr>
                <w:szCs w:val="21"/>
              </w:rPr>
            </w:pPr>
          </w:p>
        </w:tc>
        <w:tc>
          <w:tcPr>
            <w:tcW w:w="928" w:type="pct"/>
            <w:vMerge w:val="continue"/>
            <w:vAlign w:val="center"/>
          </w:tcPr>
          <w:p w14:paraId="1C56BAF3">
            <w:pPr>
              <w:spacing w:line="360" w:lineRule="exact"/>
              <w:jc w:val="center"/>
              <w:rPr>
                <w:szCs w:val="21"/>
              </w:rPr>
            </w:pPr>
          </w:p>
        </w:tc>
        <w:tc>
          <w:tcPr>
            <w:tcW w:w="1175" w:type="pct"/>
            <w:vAlign w:val="center"/>
          </w:tcPr>
          <w:p w14:paraId="464EBC57">
            <w:pPr>
              <w:spacing w:line="360" w:lineRule="exact"/>
              <w:jc w:val="center"/>
              <w:rPr>
                <w:szCs w:val="21"/>
              </w:rPr>
            </w:pPr>
            <w:r>
              <w:rPr>
                <w:szCs w:val="21"/>
              </w:rPr>
              <w:t>次生废水污染地下水</w:t>
            </w:r>
          </w:p>
        </w:tc>
        <w:tc>
          <w:tcPr>
            <w:tcW w:w="838" w:type="pct"/>
            <w:vAlign w:val="center"/>
          </w:tcPr>
          <w:p w14:paraId="559C3B0F">
            <w:pPr>
              <w:spacing w:line="360" w:lineRule="exact"/>
              <w:jc w:val="center"/>
              <w:rPr>
                <w:szCs w:val="21"/>
              </w:rPr>
            </w:pPr>
            <w:r>
              <w:rPr>
                <w:szCs w:val="21"/>
              </w:rPr>
              <w:t>地下水</w:t>
            </w:r>
          </w:p>
        </w:tc>
        <w:tc>
          <w:tcPr>
            <w:tcW w:w="842" w:type="pct"/>
            <w:vAlign w:val="center"/>
          </w:tcPr>
          <w:p w14:paraId="6592860A">
            <w:pPr>
              <w:spacing w:line="360" w:lineRule="exact"/>
              <w:jc w:val="center"/>
              <w:rPr>
                <w:szCs w:val="21"/>
              </w:rPr>
            </w:pPr>
            <w:r>
              <w:rPr>
                <w:rFonts w:hint="eastAsia"/>
                <w:szCs w:val="21"/>
              </w:rPr>
              <w:t>--</w:t>
            </w:r>
          </w:p>
        </w:tc>
      </w:tr>
    </w:tbl>
    <w:p w14:paraId="7975C841">
      <w:pPr>
        <w:adjustRightInd w:val="0"/>
        <w:spacing w:before="120" w:after="120" w:line="440" w:lineRule="exact"/>
        <w:outlineLvl w:val="1"/>
        <w:rPr>
          <w:b/>
          <w:sz w:val="28"/>
          <w:szCs w:val="28"/>
        </w:rPr>
      </w:pPr>
      <w:bookmarkStart w:id="63" w:name="_Toc150331201"/>
      <w:r>
        <w:rPr>
          <w:b/>
          <w:sz w:val="28"/>
          <w:szCs w:val="28"/>
        </w:rPr>
        <w:t>2.3事故统计调查</w:t>
      </w:r>
      <w:bookmarkEnd w:id="63"/>
    </w:p>
    <w:p w14:paraId="36904EF7">
      <w:pPr>
        <w:widowControl/>
        <w:spacing w:line="440" w:lineRule="exact"/>
        <w:ind w:firstLine="480" w:firstLineChars="200"/>
        <w:jc w:val="left"/>
        <w:rPr>
          <w:sz w:val="24"/>
        </w:rPr>
      </w:pPr>
      <w:r>
        <w:rPr>
          <w:sz w:val="24"/>
        </w:rPr>
        <w:t>（1）油品管道泄漏事故</w:t>
      </w:r>
    </w:p>
    <w:p w14:paraId="59321C31">
      <w:pPr>
        <w:widowControl/>
        <w:spacing w:line="440" w:lineRule="exact"/>
        <w:ind w:firstLine="480" w:firstLineChars="200"/>
        <w:rPr>
          <w:sz w:val="24"/>
        </w:rPr>
      </w:pPr>
      <w:r>
        <w:rPr>
          <w:sz w:val="24"/>
        </w:rPr>
        <w:t>2009年12月30日凌晨，中石油公司兰郑长油品输油管道发现管线压力异常。经项目部排查，柴油管线渭南分输站出站约2.75公里处发生泄油，泄漏点位于华县赤水镇赤水村赤水河边，距河岸约40米，距地面6米深，距赤水河入渭口约3公里，赤水河入渭河口距离渭河入黄河口约70公里，泄漏点周围近20平方米的麦田受到汽油渗漏污染。事件发生后，中石油兰郑长油品管道项目部立即停止输油，2009年12月30日凌晨2时50分找到漏油点。当日下午1时许，漏油点被成功封堵。调查人员经过走访赤水河沿岸渔民了解到，2009年12月30日至31日，赤水河河面未发现漂油现象，2010年1月1日，河面出现了汽油污染现象。渭南市环保局介入调查后，得知此次事件中泄漏汽油量为150立方米，仅50立方米得到回收，其余约100立方米泄漏。</w:t>
      </w:r>
    </w:p>
    <w:p w14:paraId="7270620F">
      <w:pPr>
        <w:widowControl/>
        <w:spacing w:line="440" w:lineRule="exact"/>
        <w:ind w:left="480"/>
        <w:jc w:val="left"/>
        <w:rPr>
          <w:bCs/>
          <w:kern w:val="0"/>
          <w:sz w:val="24"/>
          <w:szCs w:val="20"/>
        </w:rPr>
      </w:pPr>
      <w:r>
        <w:rPr>
          <w:rFonts w:hint="eastAsia"/>
          <w:bCs/>
          <w:kern w:val="0"/>
          <w:sz w:val="24"/>
          <w:szCs w:val="20"/>
        </w:rPr>
        <w:t>（2）天然气管道泄漏</w:t>
      </w:r>
    </w:p>
    <w:p w14:paraId="5C6EC69E">
      <w:pPr>
        <w:widowControl/>
        <w:spacing w:line="440" w:lineRule="exact"/>
        <w:ind w:firstLine="480" w:firstLineChars="200"/>
        <w:rPr>
          <w:bCs/>
          <w:kern w:val="0"/>
          <w:sz w:val="24"/>
          <w:szCs w:val="20"/>
        </w:rPr>
      </w:pPr>
      <w:r>
        <w:rPr>
          <w:rFonts w:hint="eastAsia"/>
          <w:bCs/>
          <w:kern w:val="0"/>
          <w:sz w:val="24"/>
          <w:szCs w:val="20"/>
        </w:rPr>
        <w:t>2021年6月13日6时42分许，位于湖北省十堰市张湾区艳湖社区的集贸市场发生重大燃气爆炸事故，造成 26人死亡，138人受伤，其中重伤37人，直接经济损失约5395.41万元。事发前1小时十堰市110指挥中心已接到管道泄漏报警电话，并派出民警赶到现场处置，燃气公司也派出抢修人员到现场处置。抢修12分钟后发生爆炸。</w:t>
      </w:r>
    </w:p>
    <w:p w14:paraId="20C68E44">
      <w:pPr>
        <w:widowControl/>
        <w:spacing w:line="440" w:lineRule="exact"/>
        <w:ind w:firstLine="480" w:firstLineChars="200"/>
        <w:rPr>
          <w:bCs/>
          <w:kern w:val="0"/>
          <w:sz w:val="24"/>
          <w:szCs w:val="20"/>
        </w:rPr>
      </w:pPr>
      <w:r>
        <w:rPr>
          <w:rFonts w:hint="eastAsia"/>
          <w:bCs/>
          <w:kern w:val="0"/>
          <w:sz w:val="24"/>
          <w:szCs w:val="20"/>
        </w:rPr>
        <w:t>事故直接原因：天然气中压钢管严重锈蚀破裂，泄漏的天然气在建筑物下方河道内密闭空间聚集，遇餐饮商户排油烟管道排出的火星发生爆炸。事故调查报告显示，涉事故建筑物由东风汽车房地产有限公司向润联物业划转时，未提示或告知下方有燃气管道穿过，其中现在负责运营维护事故管道的十堰东风中燃公司，从未对事故管道进行巡查，事发后巡线员为逃避责任追究，伪造补登了巡线记录。</w:t>
      </w:r>
    </w:p>
    <w:p w14:paraId="7C4C8BA2">
      <w:pPr>
        <w:overflowPunct w:val="0"/>
        <w:spacing w:before="180" w:after="180" w:line="440" w:lineRule="exact"/>
        <w:jc w:val="left"/>
        <w:outlineLvl w:val="0"/>
        <w:rPr>
          <w:b/>
          <w:kern w:val="44"/>
          <w:sz w:val="30"/>
          <w:szCs w:val="30"/>
        </w:rPr>
      </w:pPr>
      <w:bookmarkStart w:id="64" w:name="_Toc150331202"/>
      <w:r>
        <w:rPr>
          <w:b/>
          <w:kern w:val="44"/>
          <w:sz w:val="30"/>
          <w:szCs w:val="30"/>
        </w:rPr>
        <w:t>3</w:t>
      </w:r>
      <w:r>
        <w:rPr>
          <w:rFonts w:hint="eastAsia"/>
          <w:b/>
          <w:kern w:val="44"/>
          <w:sz w:val="30"/>
          <w:szCs w:val="30"/>
        </w:rPr>
        <w:t>.</w:t>
      </w:r>
      <w:r>
        <w:rPr>
          <w:b/>
          <w:kern w:val="44"/>
          <w:sz w:val="30"/>
          <w:szCs w:val="30"/>
        </w:rPr>
        <w:t>项目风险评价</w:t>
      </w:r>
      <w:bookmarkEnd w:id="64"/>
    </w:p>
    <w:p w14:paraId="1F95CA41">
      <w:pPr>
        <w:spacing w:line="440" w:lineRule="exact"/>
        <w:ind w:firstLine="480" w:firstLineChars="200"/>
        <w:rPr>
          <w:kern w:val="0"/>
          <w:sz w:val="24"/>
        </w:rPr>
      </w:pPr>
      <w:r>
        <w:rPr>
          <w:kern w:val="0"/>
          <w:sz w:val="24"/>
        </w:rPr>
        <w:t>项目Q值划分为Q＜1，该项目风险潜势为Ⅰ，环境风险评价级别为简单分析，项目环境风险分析见表3-1。</w:t>
      </w:r>
    </w:p>
    <w:p w14:paraId="507CD197">
      <w:pPr>
        <w:snapToGrid w:val="0"/>
        <w:spacing w:line="440" w:lineRule="exact"/>
        <w:ind w:firstLine="482"/>
        <w:rPr>
          <w:b/>
          <w:sz w:val="24"/>
          <w:szCs w:val="20"/>
        </w:rPr>
      </w:pPr>
      <w:r>
        <w:rPr>
          <w:b/>
          <w:sz w:val="24"/>
          <w:szCs w:val="20"/>
        </w:rPr>
        <w:t>表3-1    建设项目环境风险简单分析内容表</w:t>
      </w:r>
    </w:p>
    <w:tbl>
      <w:tblPr>
        <w:tblStyle w:val="78"/>
        <w:tblW w:w="49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81"/>
        <w:gridCol w:w="1469"/>
        <w:gridCol w:w="1610"/>
        <w:gridCol w:w="1074"/>
        <w:gridCol w:w="2158"/>
      </w:tblGrid>
      <w:tr w14:paraId="3B86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0" w:type="pct"/>
            <w:tcBorders>
              <w:top w:val="single" w:color="auto" w:sz="4" w:space="0"/>
              <w:left w:val="single" w:color="auto" w:sz="4" w:space="0"/>
              <w:bottom w:val="single" w:color="auto" w:sz="4" w:space="0"/>
              <w:right w:val="single" w:color="auto" w:sz="4" w:space="0"/>
            </w:tcBorders>
            <w:vAlign w:val="center"/>
          </w:tcPr>
          <w:p w14:paraId="5F816D9D">
            <w:pPr>
              <w:spacing w:line="360" w:lineRule="exact"/>
              <w:jc w:val="center"/>
              <w:rPr>
                <w:szCs w:val="21"/>
              </w:rPr>
            </w:pPr>
            <w:r>
              <w:rPr>
                <w:szCs w:val="21"/>
              </w:rPr>
              <w:t>建设项目名称</w:t>
            </w:r>
          </w:p>
        </w:tc>
        <w:tc>
          <w:tcPr>
            <w:tcW w:w="3759" w:type="pct"/>
            <w:gridSpan w:val="4"/>
            <w:tcBorders>
              <w:top w:val="single" w:color="auto" w:sz="4" w:space="0"/>
              <w:left w:val="single" w:color="auto" w:sz="4" w:space="0"/>
              <w:bottom w:val="single" w:color="auto" w:sz="4" w:space="0"/>
              <w:right w:val="single" w:color="auto" w:sz="4" w:space="0"/>
            </w:tcBorders>
            <w:vAlign w:val="center"/>
          </w:tcPr>
          <w:p w14:paraId="0356FF20">
            <w:pPr>
              <w:spacing w:line="360" w:lineRule="exact"/>
              <w:jc w:val="center"/>
              <w:rPr>
                <w:szCs w:val="21"/>
              </w:rPr>
            </w:pPr>
            <w:r>
              <w:rPr>
                <w:rFonts w:hint="eastAsia"/>
                <w:szCs w:val="21"/>
              </w:rPr>
              <w:t>伊泰化工下游物料输送管线技改项目</w:t>
            </w:r>
          </w:p>
        </w:tc>
      </w:tr>
      <w:tr w14:paraId="4D78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0" w:type="pct"/>
            <w:tcBorders>
              <w:top w:val="single" w:color="auto" w:sz="4" w:space="0"/>
              <w:left w:val="single" w:color="auto" w:sz="4" w:space="0"/>
              <w:bottom w:val="single" w:color="auto" w:sz="4" w:space="0"/>
              <w:right w:val="single" w:color="auto" w:sz="4" w:space="0"/>
            </w:tcBorders>
            <w:vAlign w:val="center"/>
          </w:tcPr>
          <w:p w14:paraId="20FA1219">
            <w:pPr>
              <w:spacing w:line="360" w:lineRule="exact"/>
              <w:jc w:val="center"/>
              <w:rPr>
                <w:szCs w:val="21"/>
              </w:rPr>
            </w:pPr>
            <w:r>
              <w:rPr>
                <w:szCs w:val="21"/>
              </w:rPr>
              <w:t>建设地点</w:t>
            </w:r>
          </w:p>
        </w:tc>
        <w:tc>
          <w:tcPr>
            <w:tcW w:w="875" w:type="pct"/>
            <w:tcBorders>
              <w:top w:val="single" w:color="auto" w:sz="4" w:space="0"/>
              <w:left w:val="single" w:color="auto" w:sz="4" w:space="0"/>
              <w:bottom w:val="single" w:color="auto" w:sz="4" w:space="0"/>
              <w:right w:val="single" w:color="auto" w:sz="4" w:space="0"/>
            </w:tcBorders>
            <w:vAlign w:val="center"/>
          </w:tcPr>
          <w:p w14:paraId="34950B2B">
            <w:pPr>
              <w:spacing w:line="360" w:lineRule="exact"/>
              <w:jc w:val="center"/>
              <w:rPr>
                <w:szCs w:val="21"/>
              </w:rPr>
            </w:pPr>
            <w:r>
              <w:rPr>
                <w:rFonts w:hint="eastAsia"/>
                <w:szCs w:val="21"/>
              </w:rPr>
              <w:t>内蒙古自治区</w:t>
            </w:r>
          </w:p>
        </w:tc>
        <w:tc>
          <w:tcPr>
            <w:tcW w:w="959" w:type="pct"/>
            <w:tcBorders>
              <w:top w:val="single" w:color="auto" w:sz="4" w:space="0"/>
              <w:left w:val="single" w:color="auto" w:sz="4" w:space="0"/>
              <w:bottom w:val="single" w:color="auto" w:sz="4" w:space="0"/>
              <w:right w:val="single" w:color="auto" w:sz="4" w:space="0"/>
            </w:tcBorders>
            <w:vAlign w:val="center"/>
          </w:tcPr>
          <w:p w14:paraId="54DA5267">
            <w:pPr>
              <w:spacing w:line="360" w:lineRule="exact"/>
              <w:jc w:val="center"/>
              <w:rPr>
                <w:szCs w:val="21"/>
              </w:rPr>
            </w:pPr>
            <w:r>
              <w:rPr>
                <w:rFonts w:hint="eastAsia"/>
                <w:szCs w:val="21"/>
              </w:rPr>
              <w:t>鄂尔多斯</w:t>
            </w:r>
            <w:r>
              <w:rPr>
                <w:szCs w:val="21"/>
              </w:rPr>
              <w:t>市</w:t>
            </w:r>
          </w:p>
        </w:tc>
        <w:tc>
          <w:tcPr>
            <w:tcW w:w="640" w:type="pct"/>
            <w:tcBorders>
              <w:top w:val="single" w:color="auto" w:sz="4" w:space="0"/>
              <w:left w:val="single" w:color="auto" w:sz="4" w:space="0"/>
              <w:bottom w:val="single" w:color="auto" w:sz="4" w:space="0"/>
              <w:right w:val="single" w:color="auto" w:sz="4" w:space="0"/>
            </w:tcBorders>
            <w:vAlign w:val="center"/>
          </w:tcPr>
          <w:p w14:paraId="569814D4">
            <w:pPr>
              <w:spacing w:line="360" w:lineRule="exact"/>
              <w:jc w:val="center"/>
              <w:rPr>
                <w:szCs w:val="21"/>
              </w:rPr>
            </w:pPr>
            <w:r>
              <w:rPr>
                <w:rFonts w:hint="eastAsia"/>
                <w:szCs w:val="21"/>
              </w:rPr>
              <w:t>杭锦旗</w:t>
            </w:r>
          </w:p>
        </w:tc>
        <w:tc>
          <w:tcPr>
            <w:tcW w:w="1284" w:type="pct"/>
            <w:tcBorders>
              <w:top w:val="single" w:color="auto" w:sz="4" w:space="0"/>
              <w:left w:val="single" w:color="auto" w:sz="4" w:space="0"/>
              <w:bottom w:val="single" w:color="auto" w:sz="4" w:space="0"/>
              <w:right w:val="single" w:color="auto" w:sz="4" w:space="0"/>
            </w:tcBorders>
            <w:vAlign w:val="center"/>
          </w:tcPr>
          <w:p w14:paraId="2363F9EF">
            <w:pPr>
              <w:spacing w:line="360" w:lineRule="exact"/>
              <w:jc w:val="center"/>
              <w:rPr>
                <w:szCs w:val="21"/>
              </w:rPr>
            </w:pPr>
            <w:r>
              <w:rPr>
                <w:rFonts w:hint="eastAsia"/>
                <w:szCs w:val="21"/>
              </w:rPr>
              <w:t>独贵塔拉工业园区</w:t>
            </w:r>
          </w:p>
        </w:tc>
      </w:tr>
      <w:tr w14:paraId="6385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0" w:type="pct"/>
            <w:tcBorders>
              <w:top w:val="single" w:color="auto" w:sz="4" w:space="0"/>
              <w:left w:val="single" w:color="auto" w:sz="4" w:space="0"/>
              <w:bottom w:val="single" w:color="auto" w:sz="4" w:space="0"/>
              <w:right w:val="single" w:color="auto" w:sz="4" w:space="0"/>
            </w:tcBorders>
            <w:vAlign w:val="center"/>
          </w:tcPr>
          <w:p w14:paraId="12D9C026">
            <w:pPr>
              <w:widowControl/>
              <w:spacing w:line="360" w:lineRule="exact"/>
              <w:jc w:val="center"/>
              <w:rPr>
                <w:szCs w:val="21"/>
              </w:rPr>
            </w:pPr>
            <w:r>
              <w:rPr>
                <w:szCs w:val="21"/>
              </w:rPr>
              <w:t>地理坐标</w:t>
            </w:r>
          </w:p>
        </w:tc>
        <w:tc>
          <w:tcPr>
            <w:tcW w:w="875" w:type="pct"/>
            <w:tcBorders>
              <w:top w:val="single" w:color="auto" w:sz="4" w:space="0"/>
              <w:left w:val="single" w:color="auto" w:sz="4" w:space="0"/>
              <w:bottom w:val="single" w:color="auto" w:sz="4" w:space="0"/>
              <w:right w:val="single" w:color="auto" w:sz="4" w:space="0"/>
            </w:tcBorders>
            <w:vAlign w:val="center"/>
          </w:tcPr>
          <w:p w14:paraId="46AD4054">
            <w:pPr>
              <w:spacing w:line="360" w:lineRule="exact"/>
              <w:jc w:val="center"/>
              <w:rPr>
                <w:szCs w:val="21"/>
              </w:rPr>
            </w:pPr>
            <w:r>
              <w:rPr>
                <w:szCs w:val="21"/>
              </w:rPr>
              <w:t>经度</w:t>
            </w:r>
          </w:p>
        </w:tc>
        <w:tc>
          <w:tcPr>
            <w:tcW w:w="959" w:type="pct"/>
            <w:tcBorders>
              <w:top w:val="single" w:color="auto" w:sz="4" w:space="0"/>
              <w:left w:val="single" w:color="auto" w:sz="4" w:space="0"/>
              <w:bottom w:val="single" w:color="auto" w:sz="4" w:space="0"/>
              <w:right w:val="single" w:color="auto" w:sz="4" w:space="0"/>
            </w:tcBorders>
            <w:vAlign w:val="center"/>
          </w:tcPr>
          <w:p w14:paraId="7F89BE23">
            <w:pPr>
              <w:spacing w:line="360" w:lineRule="exact"/>
              <w:jc w:val="center"/>
              <w:rPr>
                <w:szCs w:val="21"/>
              </w:rPr>
            </w:pPr>
            <w:r>
              <w:rPr>
                <w:szCs w:val="21"/>
              </w:rPr>
              <w:t>E</w:t>
            </w:r>
            <w:r>
              <w:rPr>
                <w:rFonts w:hint="eastAsia"/>
                <w:szCs w:val="21"/>
              </w:rPr>
              <w:t>108</w:t>
            </w:r>
            <w:r>
              <w:rPr>
                <w:szCs w:val="21"/>
              </w:rPr>
              <w:t>°</w:t>
            </w:r>
            <w:r>
              <w:rPr>
                <w:rFonts w:hint="eastAsia"/>
                <w:szCs w:val="21"/>
              </w:rPr>
              <w:t>30</w:t>
            </w:r>
            <w:r>
              <w:rPr>
                <w:szCs w:val="21"/>
              </w:rPr>
              <w:t>′</w:t>
            </w:r>
            <w:r>
              <w:rPr>
                <w:rFonts w:hint="eastAsia"/>
                <w:szCs w:val="21"/>
              </w:rPr>
              <w:t>08.037</w:t>
            </w:r>
            <w:r>
              <w:rPr>
                <w:szCs w:val="21"/>
              </w:rPr>
              <w:t>″</w:t>
            </w:r>
          </w:p>
        </w:tc>
        <w:tc>
          <w:tcPr>
            <w:tcW w:w="640" w:type="pct"/>
            <w:tcBorders>
              <w:top w:val="single" w:color="auto" w:sz="4" w:space="0"/>
              <w:left w:val="single" w:color="auto" w:sz="4" w:space="0"/>
              <w:bottom w:val="single" w:color="auto" w:sz="4" w:space="0"/>
              <w:right w:val="single" w:color="auto" w:sz="4" w:space="0"/>
            </w:tcBorders>
            <w:vAlign w:val="center"/>
          </w:tcPr>
          <w:p w14:paraId="62504CEF">
            <w:pPr>
              <w:spacing w:line="360" w:lineRule="exact"/>
              <w:jc w:val="center"/>
              <w:rPr>
                <w:szCs w:val="21"/>
              </w:rPr>
            </w:pPr>
            <w:r>
              <w:rPr>
                <w:szCs w:val="21"/>
              </w:rPr>
              <w:t>纬度</w:t>
            </w:r>
          </w:p>
        </w:tc>
        <w:tc>
          <w:tcPr>
            <w:tcW w:w="1284" w:type="pct"/>
            <w:tcBorders>
              <w:top w:val="single" w:color="auto" w:sz="4" w:space="0"/>
              <w:left w:val="single" w:color="auto" w:sz="4" w:space="0"/>
              <w:bottom w:val="single" w:color="auto" w:sz="4" w:space="0"/>
              <w:right w:val="single" w:color="auto" w:sz="4" w:space="0"/>
            </w:tcBorders>
            <w:vAlign w:val="center"/>
          </w:tcPr>
          <w:p w14:paraId="3DA44F5B">
            <w:pPr>
              <w:spacing w:line="360" w:lineRule="exact"/>
              <w:jc w:val="center"/>
              <w:rPr>
                <w:szCs w:val="21"/>
              </w:rPr>
            </w:pPr>
            <w:r>
              <w:rPr>
                <w:szCs w:val="21"/>
              </w:rPr>
              <w:t>N</w:t>
            </w:r>
            <w:r>
              <w:rPr>
                <w:rFonts w:hint="eastAsia"/>
                <w:szCs w:val="21"/>
              </w:rPr>
              <w:t>40</w:t>
            </w:r>
            <w:r>
              <w:rPr>
                <w:szCs w:val="21"/>
              </w:rPr>
              <w:t>°</w:t>
            </w:r>
            <w:r>
              <w:rPr>
                <w:rFonts w:hint="eastAsia"/>
                <w:szCs w:val="21"/>
              </w:rPr>
              <w:t>01</w:t>
            </w:r>
            <w:r>
              <w:rPr>
                <w:szCs w:val="21"/>
              </w:rPr>
              <w:t>′</w:t>
            </w:r>
            <w:r>
              <w:rPr>
                <w:rFonts w:hint="eastAsia"/>
                <w:szCs w:val="21"/>
              </w:rPr>
              <w:t>43.403</w:t>
            </w:r>
            <w:r>
              <w:rPr>
                <w:szCs w:val="21"/>
              </w:rPr>
              <w:t>″</w:t>
            </w:r>
          </w:p>
        </w:tc>
      </w:tr>
      <w:tr w14:paraId="2701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240" w:type="pct"/>
            <w:tcBorders>
              <w:top w:val="single" w:color="auto" w:sz="4" w:space="0"/>
              <w:left w:val="single" w:color="auto" w:sz="4" w:space="0"/>
              <w:bottom w:val="single" w:color="auto" w:sz="4" w:space="0"/>
              <w:right w:val="single" w:color="auto" w:sz="4" w:space="0"/>
            </w:tcBorders>
            <w:vAlign w:val="center"/>
          </w:tcPr>
          <w:p w14:paraId="06B985AC">
            <w:pPr>
              <w:spacing w:line="360" w:lineRule="exact"/>
              <w:jc w:val="center"/>
              <w:rPr>
                <w:szCs w:val="21"/>
              </w:rPr>
            </w:pPr>
            <w:r>
              <w:rPr>
                <w:szCs w:val="21"/>
              </w:rPr>
              <w:t>主要危险物质及分布</w:t>
            </w:r>
          </w:p>
        </w:tc>
        <w:tc>
          <w:tcPr>
            <w:tcW w:w="3759" w:type="pct"/>
            <w:gridSpan w:val="4"/>
            <w:tcBorders>
              <w:top w:val="single" w:color="auto" w:sz="4" w:space="0"/>
              <w:left w:val="single" w:color="auto" w:sz="4" w:space="0"/>
              <w:bottom w:val="single" w:color="auto" w:sz="4" w:space="0"/>
              <w:right w:val="single" w:color="auto" w:sz="4" w:space="0"/>
            </w:tcBorders>
            <w:vAlign w:val="center"/>
          </w:tcPr>
          <w:p w14:paraId="1649C472">
            <w:pPr>
              <w:spacing w:line="360" w:lineRule="exact"/>
              <w:rPr>
                <w:szCs w:val="21"/>
              </w:rPr>
            </w:pPr>
            <w:r>
              <w:rPr>
                <w:szCs w:val="21"/>
              </w:rPr>
              <w:t>项目运营期涉及的危险物质主要为</w:t>
            </w:r>
            <w:bookmarkStart w:id="65" w:name="_Hlk230269696"/>
            <w:r>
              <w:rPr>
                <w:rFonts w:hint="eastAsia"/>
                <w:szCs w:val="21"/>
              </w:rPr>
              <w:t>混合烯烃、烷烃返回料、氢气、排放气</w:t>
            </w:r>
            <w:bookmarkEnd w:id="65"/>
            <w:r>
              <w:rPr>
                <w:rFonts w:hint="eastAsia"/>
                <w:szCs w:val="21"/>
              </w:rPr>
              <w:t>等</w:t>
            </w:r>
            <w:r>
              <w:rPr>
                <w:szCs w:val="21"/>
              </w:rPr>
              <w:t>，分别分布于相应管道</w:t>
            </w:r>
            <w:r>
              <w:rPr>
                <w:rFonts w:hint="eastAsia"/>
                <w:szCs w:val="21"/>
              </w:rPr>
              <w:t>。</w:t>
            </w:r>
          </w:p>
        </w:tc>
      </w:tr>
      <w:tr w14:paraId="07C3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0" w:type="pct"/>
            <w:tcBorders>
              <w:top w:val="single" w:color="auto" w:sz="4" w:space="0"/>
              <w:left w:val="single" w:color="auto" w:sz="4" w:space="0"/>
              <w:bottom w:val="single" w:color="auto" w:sz="4" w:space="0"/>
              <w:right w:val="single" w:color="auto" w:sz="4" w:space="0"/>
            </w:tcBorders>
            <w:vAlign w:val="center"/>
          </w:tcPr>
          <w:p w14:paraId="1238898A">
            <w:pPr>
              <w:spacing w:line="360" w:lineRule="exact"/>
              <w:jc w:val="center"/>
              <w:rPr>
                <w:szCs w:val="21"/>
              </w:rPr>
            </w:pPr>
            <w:r>
              <w:rPr>
                <w:szCs w:val="21"/>
              </w:rPr>
              <w:t>环境影响途径及危害后果（大气、地表水、地下水等）</w:t>
            </w:r>
          </w:p>
        </w:tc>
        <w:tc>
          <w:tcPr>
            <w:tcW w:w="3759" w:type="pct"/>
            <w:gridSpan w:val="4"/>
            <w:tcBorders>
              <w:top w:val="single" w:color="auto" w:sz="4" w:space="0"/>
              <w:left w:val="single" w:color="auto" w:sz="4" w:space="0"/>
              <w:bottom w:val="single" w:color="auto" w:sz="4" w:space="0"/>
              <w:right w:val="single" w:color="auto" w:sz="4" w:space="0"/>
            </w:tcBorders>
            <w:vAlign w:val="center"/>
          </w:tcPr>
          <w:p w14:paraId="1E0120C4">
            <w:pPr>
              <w:spacing w:line="360" w:lineRule="exact"/>
              <w:jc w:val="left"/>
              <w:rPr>
                <w:b/>
                <w:szCs w:val="21"/>
              </w:rPr>
            </w:pPr>
            <w:r>
              <w:rPr>
                <w:b/>
                <w:szCs w:val="21"/>
              </w:rPr>
              <w:fldChar w:fldCharType="begin"/>
            </w:r>
            <w:r>
              <w:rPr>
                <w:b/>
                <w:szCs w:val="21"/>
              </w:rPr>
              <w:instrText xml:space="preserve"> = 1 \* GB3 </w:instrText>
            </w:r>
            <w:r>
              <w:rPr>
                <w:b/>
                <w:szCs w:val="21"/>
              </w:rPr>
              <w:fldChar w:fldCharType="separate"/>
            </w:r>
            <w:r>
              <w:rPr>
                <w:rFonts w:hint="eastAsia" w:ascii="宋体" w:hAnsi="宋体" w:cs="宋体"/>
                <w:b/>
                <w:szCs w:val="21"/>
              </w:rPr>
              <w:t>①</w:t>
            </w:r>
            <w:r>
              <w:rPr>
                <w:b/>
                <w:szCs w:val="21"/>
              </w:rPr>
              <w:fldChar w:fldCharType="end"/>
            </w:r>
            <w:r>
              <w:rPr>
                <w:b/>
                <w:szCs w:val="21"/>
              </w:rPr>
              <w:t>大气环境：</w:t>
            </w:r>
          </w:p>
          <w:p w14:paraId="2C52CA6F">
            <w:pPr>
              <w:spacing w:line="360" w:lineRule="exact"/>
              <w:rPr>
                <w:szCs w:val="21"/>
              </w:rPr>
            </w:pPr>
            <w:r>
              <w:rPr>
                <w:szCs w:val="21"/>
              </w:rPr>
              <w:t>影响途径：</w:t>
            </w:r>
            <w:r>
              <w:rPr>
                <w:rFonts w:hint="eastAsia"/>
                <w:szCs w:val="21"/>
              </w:rPr>
              <w:t>物质</w:t>
            </w:r>
            <w:r>
              <w:rPr>
                <w:szCs w:val="21"/>
              </w:rPr>
              <w:t>泄漏后挥发进入大气环境，或者泄漏发生火灾爆炸事故时伴生污染物进入大气环境，通过大气扩散对项目周围环境造成危害；</w:t>
            </w:r>
          </w:p>
          <w:p w14:paraId="7F2CC5E2">
            <w:pPr>
              <w:spacing w:line="360" w:lineRule="exact"/>
              <w:rPr>
                <w:szCs w:val="21"/>
              </w:rPr>
            </w:pPr>
            <w:r>
              <w:rPr>
                <w:szCs w:val="21"/>
              </w:rPr>
              <w:t>影响后果：发生泄</w:t>
            </w:r>
            <w:r>
              <w:rPr>
                <w:rFonts w:hint="eastAsia"/>
                <w:szCs w:val="21"/>
              </w:rPr>
              <w:t>漏</w:t>
            </w:r>
            <w:r>
              <w:rPr>
                <w:szCs w:val="21"/>
              </w:rPr>
              <w:t>时，造成局部地区环境空气中VOCs污染物超标；发生火灾爆炸事故时，燃烧产生的次生CO引发周围人员CO中毒事件。</w:t>
            </w:r>
          </w:p>
          <w:p w14:paraId="73B06CD4">
            <w:pPr>
              <w:spacing w:line="360" w:lineRule="exact"/>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地表水环境：</w:t>
            </w:r>
          </w:p>
          <w:p w14:paraId="524BF96D">
            <w:pPr>
              <w:spacing w:line="360" w:lineRule="exact"/>
              <w:rPr>
                <w:szCs w:val="21"/>
              </w:rPr>
            </w:pPr>
            <w:r>
              <w:rPr>
                <w:szCs w:val="21"/>
              </w:rPr>
              <w:t>影响途径：项目发生火灾事故时产生的消防废水未能得到有效收集而进入地表水体；</w:t>
            </w:r>
          </w:p>
          <w:p w14:paraId="47ACA08A">
            <w:pPr>
              <w:spacing w:line="360" w:lineRule="exact"/>
              <w:rPr>
                <w:szCs w:val="21"/>
              </w:rPr>
            </w:pPr>
            <w:r>
              <w:rPr>
                <w:szCs w:val="21"/>
              </w:rPr>
              <w:t>影响后果：项目</w:t>
            </w:r>
            <w:r>
              <w:rPr>
                <w:rFonts w:hint="eastAsia"/>
                <w:szCs w:val="21"/>
              </w:rPr>
              <w:t>废水</w:t>
            </w:r>
            <w:r>
              <w:rPr>
                <w:szCs w:val="21"/>
              </w:rPr>
              <w:t>进入地表水体后，</w:t>
            </w:r>
            <w:r>
              <w:rPr>
                <w:rFonts w:hint="eastAsia"/>
                <w:szCs w:val="21"/>
              </w:rPr>
              <w:t>可能会对</w:t>
            </w:r>
            <w:r>
              <w:rPr>
                <w:szCs w:val="21"/>
              </w:rPr>
              <w:t>地表水</w:t>
            </w:r>
            <w:r>
              <w:rPr>
                <w:rFonts w:hint="eastAsia"/>
                <w:szCs w:val="21"/>
                <w:lang w:eastAsia="zh-CN"/>
              </w:rPr>
              <w:t>造成</w:t>
            </w:r>
            <w:r>
              <w:rPr>
                <w:szCs w:val="21"/>
              </w:rPr>
              <w:t>环境污染，影响地表水水质和景观，同时</w:t>
            </w:r>
            <w:r>
              <w:rPr>
                <w:rFonts w:hint="eastAsia"/>
                <w:szCs w:val="21"/>
              </w:rPr>
              <w:t>也会</w:t>
            </w:r>
            <w:r>
              <w:rPr>
                <w:szCs w:val="21"/>
              </w:rPr>
              <w:t>影响水生生态环境。</w:t>
            </w:r>
          </w:p>
          <w:p w14:paraId="4497B516">
            <w:pPr>
              <w:spacing w:line="360" w:lineRule="exact"/>
              <w:rPr>
                <w:b/>
                <w:szCs w:val="21"/>
              </w:rPr>
            </w:pPr>
            <w:r>
              <w:rPr>
                <w:b/>
                <w:szCs w:val="21"/>
              </w:rPr>
              <w:fldChar w:fldCharType="begin"/>
            </w:r>
            <w:r>
              <w:rPr>
                <w:b/>
                <w:szCs w:val="21"/>
              </w:rPr>
              <w:instrText xml:space="preserve"> = 3 \* GB3 </w:instrText>
            </w:r>
            <w:r>
              <w:rPr>
                <w:b/>
                <w:szCs w:val="21"/>
              </w:rPr>
              <w:fldChar w:fldCharType="separate"/>
            </w:r>
            <w:r>
              <w:rPr>
                <w:rFonts w:hint="eastAsia" w:ascii="宋体" w:hAnsi="宋体" w:cs="宋体"/>
                <w:b/>
                <w:szCs w:val="21"/>
              </w:rPr>
              <w:t>③</w:t>
            </w:r>
            <w:r>
              <w:rPr>
                <w:b/>
                <w:szCs w:val="21"/>
              </w:rPr>
              <w:fldChar w:fldCharType="end"/>
            </w:r>
            <w:r>
              <w:rPr>
                <w:b/>
                <w:szCs w:val="21"/>
              </w:rPr>
              <w:t>地下水环境：</w:t>
            </w:r>
          </w:p>
          <w:p w14:paraId="0B0AD680">
            <w:pPr>
              <w:spacing w:line="360" w:lineRule="exact"/>
              <w:rPr>
                <w:szCs w:val="21"/>
              </w:rPr>
            </w:pPr>
            <w:r>
              <w:rPr>
                <w:szCs w:val="21"/>
              </w:rPr>
              <w:t>影响途径：项目发生火灾事故时产生的消防废水未能得到有效收集，通过地面下渗至地下含水层并向下游运移；</w:t>
            </w:r>
          </w:p>
          <w:p w14:paraId="39D3A73F">
            <w:pPr>
              <w:spacing w:line="360" w:lineRule="exact"/>
              <w:rPr>
                <w:szCs w:val="21"/>
              </w:rPr>
            </w:pPr>
            <w:r>
              <w:rPr>
                <w:szCs w:val="21"/>
              </w:rPr>
              <w:t>影响后果：发生泄漏事故后，泄露物料通过包气带后会有一部分渗入地下水环境，影响土壤和地下水水质。</w:t>
            </w:r>
          </w:p>
        </w:tc>
      </w:tr>
      <w:tr w14:paraId="6AA9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004CD990">
            <w:pPr>
              <w:spacing w:line="360" w:lineRule="exact"/>
              <w:rPr>
                <w:szCs w:val="21"/>
              </w:rPr>
            </w:pPr>
            <w:r>
              <w:rPr>
                <w:szCs w:val="21"/>
              </w:rPr>
              <w:t>填表说明（列出项目相关信息及评价说明）</w:t>
            </w:r>
          </w:p>
          <w:p w14:paraId="1F430F27">
            <w:pPr>
              <w:spacing w:line="360" w:lineRule="exact"/>
              <w:ind w:firstLine="420" w:firstLineChars="200"/>
              <w:rPr>
                <w:szCs w:val="21"/>
              </w:rPr>
            </w:pPr>
            <w:r>
              <w:rPr>
                <w:szCs w:val="21"/>
              </w:rPr>
              <w:t>项目主要危险物质为</w:t>
            </w:r>
            <w:r>
              <w:rPr>
                <w:rFonts w:hint="eastAsia"/>
                <w:szCs w:val="21"/>
              </w:rPr>
              <w:t>混合烯烃、烷烃返回料、氢气、排放气等</w:t>
            </w:r>
            <w:r>
              <w:rPr>
                <w:szCs w:val="21"/>
              </w:rPr>
              <w:t>，分布在相应的管道，采取风险防范措施后，其环境风险是可接受的。</w:t>
            </w:r>
          </w:p>
        </w:tc>
      </w:tr>
    </w:tbl>
    <w:p w14:paraId="746E0FC2">
      <w:pPr>
        <w:overflowPunct w:val="0"/>
        <w:spacing w:before="180" w:after="180" w:line="440" w:lineRule="exact"/>
        <w:jc w:val="left"/>
        <w:outlineLvl w:val="0"/>
        <w:rPr>
          <w:b/>
          <w:kern w:val="44"/>
          <w:sz w:val="30"/>
          <w:szCs w:val="30"/>
        </w:rPr>
        <w:sectPr>
          <w:pgSz w:w="11906" w:h="16838"/>
          <w:pgMar w:top="1440" w:right="1797" w:bottom="1440" w:left="1797" w:header="851" w:footer="1077" w:gutter="0"/>
          <w:cols w:space="720" w:num="1"/>
          <w:docGrid w:linePitch="312" w:charSpace="0"/>
        </w:sectPr>
      </w:pPr>
    </w:p>
    <w:p w14:paraId="3D5F7DD0">
      <w:pPr>
        <w:overflowPunct w:val="0"/>
        <w:spacing w:before="180" w:after="180" w:line="440" w:lineRule="exact"/>
        <w:jc w:val="left"/>
        <w:outlineLvl w:val="0"/>
        <w:rPr>
          <w:b/>
          <w:kern w:val="44"/>
          <w:sz w:val="30"/>
          <w:szCs w:val="30"/>
        </w:rPr>
      </w:pPr>
      <w:bookmarkStart w:id="66" w:name="_Toc150331203"/>
      <w:r>
        <w:rPr>
          <w:b/>
          <w:kern w:val="44"/>
          <w:sz w:val="30"/>
          <w:szCs w:val="30"/>
        </w:rPr>
        <w:t>4</w:t>
      </w:r>
      <w:r>
        <w:rPr>
          <w:rFonts w:hint="eastAsia"/>
          <w:b/>
          <w:kern w:val="44"/>
          <w:sz w:val="30"/>
          <w:szCs w:val="30"/>
        </w:rPr>
        <w:t>.</w:t>
      </w:r>
      <w:r>
        <w:rPr>
          <w:b/>
          <w:kern w:val="44"/>
          <w:sz w:val="30"/>
          <w:szCs w:val="30"/>
        </w:rPr>
        <w:t>环境风险管理</w:t>
      </w:r>
      <w:bookmarkEnd w:id="66"/>
    </w:p>
    <w:p w14:paraId="136A639D">
      <w:pPr>
        <w:adjustRightInd w:val="0"/>
        <w:spacing w:before="120" w:after="120" w:line="440" w:lineRule="exact"/>
        <w:outlineLvl w:val="1"/>
        <w:rPr>
          <w:b/>
          <w:sz w:val="28"/>
          <w:szCs w:val="28"/>
        </w:rPr>
      </w:pPr>
      <w:bookmarkStart w:id="67" w:name="_Toc150331204"/>
      <w:r>
        <w:rPr>
          <w:b/>
          <w:sz w:val="28"/>
          <w:szCs w:val="28"/>
        </w:rPr>
        <w:t>4.1 环境风险管理目标</w:t>
      </w:r>
      <w:bookmarkEnd w:id="67"/>
    </w:p>
    <w:p w14:paraId="737C49B6">
      <w:pPr>
        <w:spacing w:line="440" w:lineRule="exact"/>
        <w:ind w:firstLine="480" w:firstLineChars="200"/>
        <w:rPr>
          <w:sz w:val="24"/>
        </w:rPr>
      </w:pPr>
      <w:r>
        <w:rPr>
          <w:sz w:val="24"/>
        </w:rPr>
        <w:t>项目的环境风险管理目标是采用风险最低合理可行原则</w:t>
      </w:r>
      <w:r>
        <w:rPr>
          <w:rFonts w:hint="eastAsia"/>
          <w:sz w:val="24"/>
        </w:rPr>
        <w:t>（</w:t>
      </w:r>
      <w:r>
        <w:rPr>
          <w:sz w:val="24"/>
        </w:rPr>
        <w:t>ALARP</w:t>
      </w:r>
      <w:r>
        <w:rPr>
          <w:rFonts w:hint="eastAsia"/>
          <w:sz w:val="24"/>
        </w:rPr>
        <w:t>）</w:t>
      </w:r>
      <w:r>
        <w:rPr>
          <w:sz w:val="24"/>
        </w:rPr>
        <w:t>管控环境风险。采取的环境风险防范措施应与社会经济技术发展水平相适应，运用科学的技术手段和管理方法，对环境风险进行有效的预防、监控、响应。</w:t>
      </w:r>
    </w:p>
    <w:p w14:paraId="0224B67E">
      <w:pPr>
        <w:adjustRightInd w:val="0"/>
        <w:spacing w:before="120" w:after="120" w:line="440" w:lineRule="exact"/>
        <w:outlineLvl w:val="1"/>
        <w:rPr>
          <w:b/>
          <w:sz w:val="28"/>
          <w:szCs w:val="28"/>
        </w:rPr>
      </w:pPr>
      <w:bookmarkStart w:id="68" w:name="_Toc150331205"/>
      <w:r>
        <w:rPr>
          <w:b/>
          <w:sz w:val="28"/>
          <w:szCs w:val="28"/>
        </w:rPr>
        <w:t>4.2 环境风险防范措施</w:t>
      </w:r>
      <w:bookmarkEnd w:id="68"/>
    </w:p>
    <w:p w14:paraId="5579BE7D">
      <w:pPr>
        <w:spacing w:before="60" w:after="60" w:line="440" w:lineRule="exact"/>
        <w:outlineLvl w:val="2"/>
        <w:rPr>
          <w:b/>
          <w:bCs/>
          <w:sz w:val="24"/>
        </w:rPr>
      </w:pPr>
      <w:r>
        <w:rPr>
          <w:b/>
          <w:bCs/>
          <w:sz w:val="24"/>
        </w:rPr>
        <w:t>4.2.1 大气环境风险防范措施</w:t>
      </w:r>
    </w:p>
    <w:p w14:paraId="3A8D9C87">
      <w:pPr>
        <w:spacing w:line="420" w:lineRule="exact"/>
        <w:ind w:firstLine="480" w:firstLineChars="200"/>
        <w:rPr>
          <w:sz w:val="24"/>
        </w:rPr>
      </w:pPr>
      <w:r>
        <w:rPr>
          <w:sz w:val="24"/>
        </w:rPr>
        <w:t>（1）保证设计符合要求，委托正规设计单位；</w:t>
      </w:r>
    </w:p>
    <w:p w14:paraId="65BAACB9">
      <w:pPr>
        <w:spacing w:line="420" w:lineRule="exact"/>
        <w:ind w:firstLine="480" w:firstLineChars="200"/>
        <w:rPr>
          <w:sz w:val="24"/>
        </w:rPr>
      </w:pPr>
      <w:r>
        <w:rPr>
          <w:sz w:val="24"/>
        </w:rPr>
        <w:t>（2）加强施工管理。严格按照管道施工、验收等规范进行设计、施工和验收</w:t>
      </w:r>
      <w:r>
        <w:rPr>
          <w:rFonts w:hint="eastAsia"/>
          <w:sz w:val="24"/>
        </w:rPr>
        <w:t>，</w:t>
      </w:r>
      <w:r>
        <w:rPr>
          <w:sz w:val="24"/>
        </w:rPr>
        <w:t>选择有丰富经验的单位进行施工，管线敷设前，加强对管材和焊接质量的检查，严禁使用不合格产品，对焊接质量严格检验，防止因焊接缺陷造成泄漏事故的发生；</w:t>
      </w:r>
    </w:p>
    <w:p w14:paraId="45813290">
      <w:pPr>
        <w:spacing w:line="420" w:lineRule="exact"/>
        <w:ind w:firstLine="480" w:firstLineChars="200"/>
        <w:rPr>
          <w:sz w:val="24"/>
        </w:rPr>
      </w:pPr>
      <w:r>
        <w:rPr>
          <w:sz w:val="24"/>
        </w:rPr>
        <w:t>（3）建设单位应加强工程监理工作，加强对施工安装质量的检验与检查，若发现质量缺陷或故障；</w:t>
      </w:r>
    </w:p>
    <w:p w14:paraId="087D93BC">
      <w:pPr>
        <w:spacing w:line="420" w:lineRule="exact"/>
        <w:ind w:firstLine="480" w:firstLineChars="200"/>
        <w:rPr>
          <w:sz w:val="24"/>
        </w:rPr>
      </w:pPr>
      <w:r>
        <w:rPr>
          <w:sz w:val="24"/>
        </w:rPr>
        <w:t>（4）按规定对设备进行巡检、维护，巡检人员到达终点后应及时填写当天的巡查记录，报告巡查发现的问题。定期进行管道壁厚的测量；定期检查管道安全保护系统，使管道在超压时能够得到安全处理；加强管线和警戒标志的保护和管理工作；</w:t>
      </w:r>
    </w:p>
    <w:p w14:paraId="54994978">
      <w:pPr>
        <w:spacing w:line="420" w:lineRule="exact"/>
        <w:ind w:firstLine="480" w:firstLineChars="200"/>
        <w:rPr>
          <w:sz w:val="24"/>
        </w:rPr>
      </w:pPr>
      <w:r>
        <w:rPr>
          <w:sz w:val="24"/>
        </w:rPr>
        <w:t>（5）</w:t>
      </w:r>
      <w:r>
        <w:rPr>
          <w:bCs/>
          <w:sz w:val="24"/>
        </w:rPr>
        <w:t>企业应制定各岗位安全操作规程，制定岗位责任制，提高人员素质，加强责任心教育，完善有关操作条例等方法来防止人为因素引发的事故</w:t>
      </w:r>
      <w:r>
        <w:rPr>
          <w:rFonts w:hint="eastAsia"/>
          <w:bCs/>
          <w:sz w:val="24"/>
        </w:rPr>
        <w:t>，</w:t>
      </w:r>
      <w:r>
        <w:rPr>
          <w:bCs/>
          <w:sz w:val="24"/>
        </w:rPr>
        <w:t>同时加强对从业人员安全宣传、教育和培训，严格实行从业人员资格和持证上岗制度，促使其提高安全防范意识</w:t>
      </w:r>
      <w:r>
        <w:rPr>
          <w:sz w:val="24"/>
        </w:rPr>
        <w:t>；</w:t>
      </w:r>
    </w:p>
    <w:p w14:paraId="17A466F3">
      <w:pPr>
        <w:spacing w:line="440" w:lineRule="exact"/>
        <w:ind w:firstLine="480" w:firstLineChars="200"/>
        <w:rPr>
          <w:bCs/>
          <w:sz w:val="24"/>
        </w:rPr>
      </w:pPr>
      <w:r>
        <w:rPr>
          <w:sz w:val="24"/>
        </w:rPr>
        <w:t>（6）</w:t>
      </w:r>
      <w:r>
        <w:rPr>
          <w:rFonts w:hint="eastAsia"/>
          <w:sz w:val="24"/>
        </w:rPr>
        <w:t>建</w:t>
      </w:r>
      <w:r>
        <w:rPr>
          <w:sz w:val="24"/>
        </w:rPr>
        <w:t>立环境风险管理体系。管道在营运期必须制定综合管理、HSE管理和风险管理体系，综合管理体系和安全管理体系为风险管理提供保障。综合管理体系包括：管理组织结构、任务和职责，制定操作规程</w:t>
      </w:r>
      <w:r>
        <w:rPr>
          <w:rFonts w:hint="eastAsia"/>
          <w:sz w:val="24"/>
        </w:rPr>
        <w:t>、</w:t>
      </w:r>
      <w:r>
        <w:rPr>
          <w:sz w:val="24"/>
        </w:rPr>
        <w:t>安全章程，职员培训</w:t>
      </w:r>
      <w:r>
        <w:rPr>
          <w:rFonts w:hint="eastAsia"/>
          <w:sz w:val="24"/>
          <w:lang w:eastAsia="zh-CN"/>
        </w:rPr>
        <w:t>、</w:t>
      </w:r>
      <w:r>
        <w:rPr>
          <w:sz w:val="24"/>
        </w:rPr>
        <w:t>应急计划，建立管道系统资料档案。为了防范事故风险，必须编制事故风险预防文件；</w:t>
      </w:r>
    </w:p>
    <w:p w14:paraId="190E3067">
      <w:pPr>
        <w:spacing w:line="440" w:lineRule="exact"/>
        <w:ind w:firstLine="480" w:firstLineChars="200"/>
        <w:rPr>
          <w:sz w:val="24"/>
        </w:rPr>
      </w:pPr>
      <w:r>
        <w:rPr>
          <w:sz w:val="24"/>
        </w:rPr>
        <w:t>（7）建立管道完整性管理体系。在管道系统投产运行前，应制订出正常、异常或紧急状态下的操作手册和维修手册，并对操作、维修人员进行培训，持证上岗，避免因严重操作失误而造成的事故</w:t>
      </w:r>
      <w:r>
        <w:rPr>
          <w:rFonts w:hint="eastAsia"/>
          <w:sz w:val="24"/>
        </w:rPr>
        <w:t>。</w:t>
      </w:r>
    </w:p>
    <w:p w14:paraId="506394C4">
      <w:pPr>
        <w:spacing w:before="60" w:after="60" w:line="440" w:lineRule="exact"/>
        <w:outlineLvl w:val="2"/>
        <w:rPr>
          <w:b/>
          <w:bCs/>
          <w:sz w:val="24"/>
        </w:rPr>
      </w:pPr>
      <w:r>
        <w:rPr>
          <w:b/>
          <w:bCs/>
          <w:sz w:val="24"/>
        </w:rPr>
        <w:t>4.2.2 水环境风险防范措施</w:t>
      </w:r>
    </w:p>
    <w:p w14:paraId="174F09A2">
      <w:pPr>
        <w:spacing w:line="440" w:lineRule="exact"/>
        <w:ind w:firstLine="480" w:firstLineChars="200"/>
        <w:rPr>
          <w:sz w:val="24"/>
        </w:rPr>
      </w:pPr>
      <w:r>
        <w:rPr>
          <w:sz w:val="24"/>
        </w:rPr>
        <w:t>针对项目可能发生的土壤及水环境污染，土壤及地下水环境风险防范措施按照</w:t>
      </w:r>
      <w:r>
        <w:rPr>
          <w:rFonts w:hint="eastAsia"/>
          <w:sz w:val="24"/>
        </w:rPr>
        <w:t>“</w:t>
      </w:r>
      <w:r>
        <w:rPr>
          <w:sz w:val="24"/>
        </w:rPr>
        <w:t>源头控制、分区防渗</w:t>
      </w:r>
      <w:r>
        <w:rPr>
          <w:rFonts w:hint="eastAsia"/>
          <w:sz w:val="24"/>
        </w:rPr>
        <w:t>”</w:t>
      </w:r>
      <w:r>
        <w:rPr>
          <w:sz w:val="24"/>
        </w:rPr>
        <w:t>的原则，从污染物的产生、入渗、扩散、应急响应全阶段进行控制，加强管道防腐措施。</w:t>
      </w:r>
    </w:p>
    <w:p w14:paraId="4E314AF1">
      <w:pPr>
        <w:adjustRightInd w:val="0"/>
        <w:snapToGrid w:val="0"/>
        <w:spacing w:line="440" w:lineRule="exact"/>
        <w:ind w:firstLine="480" w:firstLineChars="200"/>
        <w:rPr>
          <w:sz w:val="24"/>
          <w:lang w:val="zh-CN"/>
        </w:rPr>
      </w:pPr>
      <w:r>
        <w:rPr>
          <w:rFonts w:hint="eastAsia"/>
          <w:sz w:val="24"/>
          <w:lang w:val="zh-CN"/>
        </w:rPr>
        <w:t>项目环保责任主体为内蒙古伊泰化工有限责任公司，公司已经建立“环境污染三级防控体系”。一级预防控制体系：在装置、罐区周围建设围堰、围堤以及罐区、装置区内建设初期雨水收集池作为一级预防与控制体系，防止污染雨水和轻微事故泄漏造成的环境污染。装置围堰厚度不低于</w:t>
      </w:r>
      <w:r>
        <w:rPr>
          <w:sz w:val="24"/>
          <w:lang w:val="zh-CN"/>
        </w:rPr>
        <w:t>150mm</w:t>
      </w:r>
      <w:r>
        <w:rPr>
          <w:rFonts w:hint="eastAsia"/>
          <w:sz w:val="24"/>
          <w:lang w:val="zh-CN"/>
        </w:rPr>
        <w:t>。</w:t>
      </w:r>
    </w:p>
    <w:p w14:paraId="5414D724">
      <w:pPr>
        <w:adjustRightInd w:val="0"/>
        <w:snapToGrid w:val="0"/>
        <w:spacing w:line="440" w:lineRule="exact"/>
        <w:ind w:firstLine="480" w:firstLineChars="200"/>
        <w:rPr>
          <w:sz w:val="24"/>
          <w:lang w:val="zh-CN"/>
        </w:rPr>
      </w:pPr>
      <w:r>
        <w:rPr>
          <w:rFonts w:hint="eastAsia"/>
          <w:sz w:val="24"/>
          <w:lang w:val="zh-CN"/>
        </w:rPr>
        <w:t>二级预防控制体系：</w:t>
      </w:r>
      <w:r>
        <w:rPr>
          <w:sz w:val="24"/>
          <w:lang w:val="zh-CN"/>
        </w:rPr>
        <w:t>1</w:t>
      </w:r>
      <w:r>
        <w:rPr>
          <w:rFonts w:hint="eastAsia"/>
          <w:sz w:val="24"/>
          <w:lang w:val="zh-CN"/>
        </w:rPr>
        <w:t>座</w:t>
      </w:r>
      <w:r>
        <w:rPr>
          <w:sz w:val="24"/>
          <w:lang w:val="zh-CN"/>
        </w:rPr>
        <w:t>30000m</w:t>
      </w:r>
      <w:r>
        <w:rPr>
          <w:sz w:val="24"/>
          <w:vertAlign w:val="superscript"/>
          <w:lang w:val="zh-CN"/>
        </w:rPr>
        <w:t>3</w:t>
      </w:r>
      <w:r>
        <w:rPr>
          <w:rFonts w:hint="eastAsia"/>
          <w:sz w:val="24"/>
          <w:lang w:val="zh-CN"/>
        </w:rPr>
        <w:t>的消防事故水收集池，作为二级预防控制体系。</w:t>
      </w:r>
    </w:p>
    <w:p w14:paraId="3E8E66E1">
      <w:pPr>
        <w:adjustRightInd w:val="0"/>
        <w:snapToGrid w:val="0"/>
        <w:spacing w:line="440" w:lineRule="exact"/>
        <w:ind w:firstLine="480" w:firstLineChars="200"/>
        <w:rPr>
          <w:sz w:val="24"/>
          <w:lang w:val="zh-CN"/>
        </w:rPr>
      </w:pPr>
      <w:r>
        <w:rPr>
          <w:rFonts w:hint="eastAsia"/>
          <w:sz w:val="24"/>
          <w:lang w:val="zh-CN"/>
        </w:rPr>
        <w:t>三级预防控制体系：独贵塔拉产业园（南区）目前没有大型事故应急水池，现有的事故应急水池主要是企业自建的；规划拟在独贵塔拉产业园（南区）规划北侧新建一座容积</w:t>
      </w:r>
      <w:r>
        <w:rPr>
          <w:sz w:val="24"/>
          <w:lang w:val="zh-CN"/>
        </w:rPr>
        <w:t>2.5</w:t>
      </w:r>
      <w:r>
        <w:rPr>
          <w:rFonts w:hint="eastAsia"/>
          <w:sz w:val="24"/>
          <w:lang w:val="zh-CN"/>
        </w:rPr>
        <w:t>万</w:t>
      </w:r>
      <w:r>
        <w:rPr>
          <w:sz w:val="24"/>
          <w:lang w:val="zh-CN"/>
        </w:rPr>
        <w:t>m</w:t>
      </w:r>
      <w:r>
        <w:rPr>
          <w:sz w:val="24"/>
          <w:vertAlign w:val="superscript"/>
          <w:lang w:val="zh-CN"/>
        </w:rPr>
        <w:t>3</w:t>
      </w:r>
      <w:r>
        <w:rPr>
          <w:rFonts w:hint="eastAsia"/>
          <w:sz w:val="24"/>
          <w:lang w:val="zh-CN"/>
        </w:rPr>
        <w:t>的事故水池，用于收集独贵塔拉产业园（南区）各企业的事故水以满足事故状态下收集泄漏物料、污染消防水和污染雨水的需要。园区事故水池未建设前，园区级事故废水防控措施依托内蒙古伊泰化工有限责任公司应急事故水池（容积</w:t>
      </w:r>
      <w:r>
        <w:rPr>
          <w:sz w:val="24"/>
          <w:lang w:val="zh-CN"/>
        </w:rPr>
        <w:t>30000m</w:t>
      </w:r>
      <w:r>
        <w:rPr>
          <w:sz w:val="24"/>
          <w:vertAlign w:val="superscript"/>
          <w:lang w:val="zh-CN"/>
        </w:rPr>
        <w:t>3</w:t>
      </w:r>
      <w:r>
        <w:rPr>
          <w:rFonts w:hint="eastAsia"/>
          <w:sz w:val="24"/>
          <w:lang w:val="zh-CN"/>
        </w:rPr>
        <w:t>），可确保消防事故废水不进入外环境。</w:t>
      </w:r>
    </w:p>
    <w:p w14:paraId="780DA7AB">
      <w:pPr>
        <w:spacing w:line="440" w:lineRule="exact"/>
        <w:ind w:firstLine="480" w:firstLineChars="200"/>
        <w:rPr>
          <w:sz w:val="24"/>
        </w:rPr>
      </w:pPr>
      <w:r>
        <w:rPr>
          <w:rFonts w:hint="eastAsia"/>
          <w:sz w:val="24"/>
          <w:lang w:val="zh-CN"/>
        </w:rPr>
        <w:t>项目设置了紧急切断阀、流量计、压力表等安全控制仪表设施。一旦发生物质泄漏，及时关闭管线末端的手动切断阀组。在物料输出端和接收端的紧急切断阀，及时采取封堵措施、对泄漏区域进行喷水雾稀释避免发生火灾爆炸，且避免管输物质大量泄漏；当发生管输物质泄漏并引发火灾爆炸事故时，消防及喷淋稀释会产生一定的洗消废水，项目的事故污水系统是发生消防事故时，有污染的各生产装置和辅助生产设施界区内的消防事故污水，首先经装置区围堰收集储满后，依托内蒙古伊泰化工有限责任公司</w:t>
      </w:r>
      <w:r>
        <w:rPr>
          <w:sz w:val="24"/>
          <w:lang w:val="zh-CN"/>
        </w:rPr>
        <w:t>120</w:t>
      </w:r>
      <w:r>
        <w:rPr>
          <w:rFonts w:hint="eastAsia"/>
          <w:sz w:val="24"/>
          <w:lang w:val="zh-CN"/>
        </w:rPr>
        <w:t>万吨</w:t>
      </w:r>
      <w:r>
        <w:rPr>
          <w:sz w:val="24"/>
          <w:lang w:val="zh-CN"/>
        </w:rPr>
        <w:t>/</w:t>
      </w:r>
      <w:r>
        <w:rPr>
          <w:rFonts w:hint="eastAsia"/>
          <w:sz w:val="24"/>
          <w:lang w:val="zh-CN"/>
        </w:rPr>
        <w:t>年精细化学品示范项目设置的</w:t>
      </w:r>
      <w:r>
        <w:rPr>
          <w:sz w:val="24"/>
          <w:lang w:val="zh-CN"/>
        </w:rPr>
        <w:t>1</w:t>
      </w:r>
      <w:r>
        <w:rPr>
          <w:rFonts w:hint="eastAsia"/>
          <w:sz w:val="24"/>
          <w:lang w:val="zh-CN"/>
        </w:rPr>
        <w:t>座消防事故水池，有效容积为</w:t>
      </w:r>
      <w:r>
        <w:rPr>
          <w:sz w:val="24"/>
          <w:lang w:val="zh-CN"/>
        </w:rPr>
        <w:t>30000m</w:t>
      </w:r>
      <w:r>
        <w:rPr>
          <w:sz w:val="24"/>
          <w:vertAlign w:val="superscript"/>
          <w:lang w:val="zh-CN"/>
        </w:rPr>
        <w:t>3</w:t>
      </w:r>
      <w:r>
        <w:rPr>
          <w:rFonts w:hint="eastAsia"/>
          <w:sz w:val="24"/>
          <w:lang w:val="zh-CN"/>
        </w:rPr>
        <w:t>。</w:t>
      </w:r>
    </w:p>
    <w:p w14:paraId="3EE63478">
      <w:pPr>
        <w:spacing w:before="60" w:after="60" w:line="440" w:lineRule="exact"/>
        <w:outlineLvl w:val="2"/>
        <w:rPr>
          <w:b/>
          <w:bCs/>
          <w:sz w:val="24"/>
        </w:rPr>
      </w:pPr>
      <w:r>
        <w:rPr>
          <w:rFonts w:hint="eastAsia"/>
          <w:b/>
          <w:bCs/>
          <w:sz w:val="24"/>
        </w:rPr>
        <w:t>4.2.3施工期安全风险防护措施</w:t>
      </w:r>
    </w:p>
    <w:p w14:paraId="2077C86C">
      <w:pPr>
        <w:adjustRightInd w:val="0"/>
        <w:snapToGrid w:val="0"/>
        <w:spacing w:line="440" w:lineRule="exact"/>
        <w:ind w:firstLine="480" w:firstLineChars="200"/>
        <w:rPr>
          <w:sz w:val="24"/>
          <w:lang w:val="zh-CN"/>
        </w:rPr>
      </w:pPr>
      <w:r>
        <w:rPr>
          <w:rFonts w:hint="eastAsia"/>
          <w:sz w:val="24"/>
          <w:lang w:val="zh-CN"/>
        </w:rPr>
        <w:t>（</w:t>
      </w:r>
      <w:r>
        <w:rPr>
          <w:sz w:val="24"/>
          <w:lang w:val="zh-CN"/>
        </w:rPr>
        <w:t>1</w:t>
      </w:r>
      <w:r>
        <w:rPr>
          <w:rFonts w:hint="eastAsia"/>
          <w:sz w:val="24"/>
          <w:lang w:val="zh-CN"/>
        </w:rPr>
        <w:t>）项目管道安装施工涉及焊接工序，会产生明火，存在安全隐患，应予以特别关注，施工前应排查现有风险隐患，特别是施工管道临近区域，办理相关动火手续，并在经得相关安监主管部门、园区管理部门及关联企业同意后方可动工。</w:t>
      </w:r>
    </w:p>
    <w:p w14:paraId="2E508F22">
      <w:pPr>
        <w:adjustRightInd w:val="0"/>
        <w:snapToGrid w:val="0"/>
        <w:spacing w:line="440" w:lineRule="exact"/>
        <w:ind w:firstLine="480" w:firstLineChars="200"/>
        <w:rPr>
          <w:sz w:val="24"/>
          <w:lang w:val="zh-CN"/>
        </w:rPr>
      </w:pPr>
      <w:r>
        <w:rPr>
          <w:rFonts w:hint="eastAsia"/>
          <w:sz w:val="24"/>
          <w:lang w:val="zh-CN"/>
        </w:rPr>
        <w:t>（</w:t>
      </w:r>
      <w:r>
        <w:rPr>
          <w:sz w:val="24"/>
          <w:lang w:val="zh-CN"/>
        </w:rPr>
        <w:t>2</w:t>
      </w:r>
      <w:r>
        <w:rPr>
          <w:rFonts w:hint="eastAsia"/>
          <w:sz w:val="24"/>
          <w:lang w:val="zh-CN"/>
        </w:rPr>
        <w:t>）制定施工方案，优化施工工艺，缩短施工作业时间，优选施工时段；在现场焊接施工时，加强与管道沿线企业的联防联控，加密巡检频次。</w:t>
      </w:r>
    </w:p>
    <w:p w14:paraId="638FD228">
      <w:pPr>
        <w:adjustRightInd w:val="0"/>
        <w:snapToGrid w:val="0"/>
        <w:spacing w:line="440" w:lineRule="exact"/>
        <w:ind w:firstLine="480" w:firstLineChars="200"/>
        <w:rPr>
          <w:sz w:val="24"/>
          <w:lang w:val="zh-CN"/>
        </w:rPr>
      </w:pPr>
      <w:r>
        <w:rPr>
          <w:rFonts w:hint="eastAsia"/>
          <w:sz w:val="24"/>
          <w:lang w:val="zh-CN"/>
        </w:rPr>
        <w:t>（</w:t>
      </w:r>
      <w:r>
        <w:rPr>
          <w:sz w:val="24"/>
          <w:lang w:val="zh-CN"/>
        </w:rPr>
        <w:t>3</w:t>
      </w:r>
      <w:r>
        <w:rPr>
          <w:rFonts w:hint="eastAsia"/>
          <w:sz w:val="24"/>
          <w:lang w:val="zh-CN"/>
        </w:rPr>
        <w:t>）优选行业施工经验丰富的施工队伍，施工作业前开展安全作业及安全防范知识培训。</w:t>
      </w:r>
    </w:p>
    <w:p w14:paraId="1F7E3B53">
      <w:pPr>
        <w:adjustRightInd w:val="0"/>
        <w:snapToGrid w:val="0"/>
        <w:spacing w:line="440" w:lineRule="exact"/>
        <w:ind w:firstLine="480" w:firstLineChars="200"/>
        <w:rPr>
          <w:sz w:val="24"/>
          <w:lang w:val="zh-CN"/>
        </w:rPr>
      </w:pPr>
      <w:r>
        <w:rPr>
          <w:rFonts w:hint="eastAsia"/>
          <w:sz w:val="24"/>
          <w:lang w:val="zh-CN"/>
        </w:rPr>
        <w:t>（</w:t>
      </w:r>
      <w:r>
        <w:rPr>
          <w:sz w:val="24"/>
          <w:lang w:val="zh-CN"/>
        </w:rPr>
        <w:t>4</w:t>
      </w:r>
      <w:r>
        <w:rPr>
          <w:rFonts w:hint="eastAsia"/>
          <w:sz w:val="24"/>
          <w:lang w:val="zh-CN"/>
        </w:rPr>
        <w:t>）落实施工全过程监管及巡查，严控施工作业范围，遵守相关安全防护距离规定。</w:t>
      </w:r>
    </w:p>
    <w:p w14:paraId="48B69D1E">
      <w:pPr>
        <w:adjustRightInd w:val="0"/>
        <w:snapToGrid w:val="0"/>
        <w:spacing w:line="440" w:lineRule="exact"/>
        <w:ind w:firstLine="480" w:firstLineChars="200"/>
        <w:rPr>
          <w:sz w:val="24"/>
          <w:lang w:val="zh-CN"/>
        </w:rPr>
      </w:pPr>
      <w:r>
        <w:rPr>
          <w:rFonts w:hint="eastAsia"/>
          <w:sz w:val="24"/>
          <w:lang w:val="zh-CN"/>
        </w:rPr>
        <w:t>（</w:t>
      </w:r>
      <w:r>
        <w:rPr>
          <w:sz w:val="24"/>
          <w:lang w:val="zh-CN"/>
        </w:rPr>
        <w:t>5</w:t>
      </w:r>
      <w:r>
        <w:rPr>
          <w:rFonts w:hint="eastAsia"/>
          <w:sz w:val="24"/>
          <w:lang w:val="zh-CN"/>
        </w:rPr>
        <w:t>）明确施工方、建设方和监管方的责任人，加强施工管理，强化焊接和防腐质量控制，落实施工作业区及附近的防火等防护措施。</w:t>
      </w:r>
    </w:p>
    <w:p w14:paraId="20B66A0F">
      <w:pPr>
        <w:spacing w:before="60" w:after="60" w:line="440" w:lineRule="exact"/>
        <w:outlineLvl w:val="2"/>
        <w:rPr>
          <w:b/>
          <w:bCs/>
          <w:sz w:val="24"/>
        </w:rPr>
      </w:pPr>
      <w:r>
        <w:rPr>
          <w:rFonts w:hint="eastAsia"/>
          <w:b/>
          <w:bCs/>
          <w:sz w:val="24"/>
        </w:rPr>
        <w:t>4.2.4相关设计的安全防范措施</w:t>
      </w:r>
    </w:p>
    <w:p w14:paraId="110F72FB">
      <w:pPr>
        <w:adjustRightInd w:val="0"/>
        <w:snapToGrid w:val="0"/>
        <w:spacing w:line="440" w:lineRule="exact"/>
        <w:ind w:firstLine="480" w:firstLineChars="200"/>
        <w:rPr>
          <w:sz w:val="24"/>
          <w:lang w:val="zh-CN"/>
        </w:rPr>
      </w:pPr>
      <w:r>
        <w:rPr>
          <w:rFonts w:hint="eastAsia"/>
          <w:sz w:val="24"/>
          <w:lang w:val="zh-CN"/>
        </w:rPr>
        <w:t>（</w:t>
      </w:r>
      <w:r>
        <w:rPr>
          <w:sz w:val="24"/>
          <w:lang w:val="zh-CN"/>
        </w:rPr>
        <w:t>1</w:t>
      </w:r>
      <w:r>
        <w:rPr>
          <w:rFonts w:hint="eastAsia"/>
          <w:sz w:val="24"/>
          <w:lang w:val="zh-CN"/>
        </w:rPr>
        <w:t>）优选管材及防火防腐蚀涂料，选用质量有保证的产品，确保管材质量可靠，符合规范设计要求；本项目管道除采用法兰连接和焊接连接外，不采用其他连接方式，降低泄漏风险概率；严格控制管道焊接质量，精心施工安装，加强施工质量管理。</w:t>
      </w:r>
    </w:p>
    <w:p w14:paraId="18BABD22">
      <w:pPr>
        <w:adjustRightInd w:val="0"/>
        <w:snapToGrid w:val="0"/>
        <w:spacing w:line="440" w:lineRule="exact"/>
        <w:ind w:firstLine="480" w:firstLineChars="200"/>
        <w:rPr>
          <w:sz w:val="24"/>
          <w:lang w:val="zh-CN"/>
        </w:rPr>
      </w:pPr>
      <w:r>
        <w:rPr>
          <w:rFonts w:hint="eastAsia"/>
          <w:sz w:val="24"/>
          <w:lang w:val="zh-CN"/>
        </w:rPr>
        <w:t>（</w:t>
      </w:r>
      <w:r>
        <w:rPr>
          <w:sz w:val="24"/>
          <w:lang w:val="zh-CN"/>
        </w:rPr>
        <w:t>2</w:t>
      </w:r>
      <w:r>
        <w:rPr>
          <w:rFonts w:hint="eastAsia"/>
          <w:sz w:val="24"/>
          <w:lang w:val="zh-CN"/>
        </w:rPr>
        <w:t>）本项目应严格按照《石油化工企业设计防火标准》《石油化工设备和管道涂料防腐蚀设计规范》《工业金属管道设计规范》《压力管道规范工业管道》等相关规范要求进行设计，预留足够的与周边保护目标及其他管道等设施之间的安全防护距离。采取严格的防腐层保护金属管道，确保管道质量可靠。设计中，应充分考虑设备的风荷载及防腐设计。管线应按规范要求进行防雷及防静电接地设计。</w:t>
      </w:r>
    </w:p>
    <w:p w14:paraId="4EF692CC">
      <w:pPr>
        <w:adjustRightInd w:val="0"/>
        <w:snapToGrid w:val="0"/>
        <w:spacing w:line="440" w:lineRule="exact"/>
        <w:ind w:firstLine="480" w:firstLineChars="200"/>
        <w:rPr>
          <w:sz w:val="24"/>
          <w:lang w:val="zh-CN"/>
        </w:rPr>
      </w:pPr>
      <w:r>
        <w:rPr>
          <w:rFonts w:hint="eastAsia"/>
          <w:sz w:val="24"/>
          <w:lang w:val="zh-CN"/>
        </w:rPr>
        <w:t>（</w:t>
      </w:r>
      <w:r>
        <w:rPr>
          <w:sz w:val="24"/>
          <w:lang w:val="zh-CN"/>
        </w:rPr>
        <w:t>3</w:t>
      </w:r>
      <w:r>
        <w:rPr>
          <w:rFonts w:hint="eastAsia"/>
          <w:sz w:val="24"/>
          <w:lang w:val="zh-CN"/>
        </w:rPr>
        <w:t>）项目管道沿线设置各种警示标识，避免手机、金属碰撞、汽车发动机等潜在火源的发生，并加强维护管理；设置完善的管道标志，管道标志不仅清楚、明确，并且其设置应能从不同方向，不同角度均可看清。</w:t>
      </w:r>
    </w:p>
    <w:p w14:paraId="646A86F5">
      <w:pPr>
        <w:adjustRightInd w:val="0"/>
        <w:snapToGrid w:val="0"/>
        <w:spacing w:line="440" w:lineRule="exact"/>
        <w:ind w:firstLine="480" w:firstLineChars="200"/>
        <w:rPr>
          <w:sz w:val="24"/>
          <w:lang w:val="zh-CN"/>
        </w:rPr>
      </w:pPr>
      <w:r>
        <w:rPr>
          <w:rFonts w:hint="eastAsia"/>
          <w:sz w:val="24"/>
          <w:lang w:val="zh-CN"/>
        </w:rPr>
        <w:t>（</w:t>
      </w:r>
      <w:r>
        <w:rPr>
          <w:sz w:val="24"/>
          <w:lang w:val="zh-CN"/>
        </w:rPr>
        <w:t>4</w:t>
      </w:r>
      <w:r>
        <w:rPr>
          <w:rFonts w:hint="eastAsia"/>
          <w:sz w:val="24"/>
          <w:lang w:val="zh-CN"/>
        </w:rPr>
        <w:t>）项目化学品输送管道、管线阀门和仪表的控制信号接入伊泰化工公司</w:t>
      </w:r>
      <w:r>
        <w:rPr>
          <w:sz w:val="24"/>
          <w:lang w:val="zh-CN"/>
        </w:rPr>
        <w:t>DCS</w:t>
      </w:r>
      <w:r>
        <w:rPr>
          <w:rFonts w:hint="eastAsia"/>
          <w:sz w:val="24"/>
          <w:lang w:val="zh-CN"/>
        </w:rPr>
        <w:t>系统，</w:t>
      </w:r>
      <w:r>
        <w:rPr>
          <w:sz w:val="24"/>
          <w:lang w:val="zh-CN"/>
        </w:rPr>
        <w:t>DCS</w:t>
      </w:r>
      <w:r>
        <w:rPr>
          <w:rFonts w:hint="eastAsia"/>
          <w:sz w:val="24"/>
          <w:lang w:val="zh-CN"/>
        </w:rPr>
        <w:t>信号通过光纤接入伊泰化工有限公司的中控系统，实行</w:t>
      </w:r>
      <w:r>
        <w:rPr>
          <w:sz w:val="24"/>
          <w:lang w:val="zh-CN"/>
        </w:rPr>
        <w:t>24h</w:t>
      </w:r>
      <w:r>
        <w:rPr>
          <w:rFonts w:hint="eastAsia"/>
          <w:sz w:val="24"/>
          <w:lang w:val="zh-CN"/>
        </w:rPr>
        <w:t>实时监控。</w:t>
      </w:r>
    </w:p>
    <w:p w14:paraId="65C83F97">
      <w:pPr>
        <w:spacing w:before="60" w:after="60" w:line="440" w:lineRule="exact"/>
        <w:outlineLvl w:val="2"/>
        <w:rPr>
          <w:b/>
          <w:bCs/>
          <w:sz w:val="24"/>
        </w:rPr>
      </w:pPr>
      <w:r>
        <w:rPr>
          <w:rFonts w:hint="eastAsia"/>
          <w:b/>
          <w:bCs/>
          <w:sz w:val="24"/>
        </w:rPr>
        <w:t>4.2.5防爆措施</w:t>
      </w:r>
    </w:p>
    <w:p w14:paraId="4E3C74D9">
      <w:pPr>
        <w:adjustRightInd w:val="0"/>
        <w:snapToGrid w:val="0"/>
        <w:spacing w:line="440" w:lineRule="exact"/>
        <w:ind w:firstLine="480" w:firstLineChars="200"/>
        <w:rPr>
          <w:sz w:val="24"/>
          <w:lang w:val="zh-CN"/>
        </w:rPr>
      </w:pPr>
      <w:r>
        <w:rPr>
          <w:rFonts w:hint="eastAsia"/>
          <w:sz w:val="24"/>
          <w:lang w:val="zh-CN"/>
        </w:rPr>
        <w:t>（1）管理上的防范措施</w:t>
      </w:r>
    </w:p>
    <w:p w14:paraId="005B7F61">
      <w:pPr>
        <w:adjustRightInd w:val="0"/>
        <w:snapToGrid w:val="0"/>
        <w:spacing w:line="440" w:lineRule="exact"/>
        <w:ind w:firstLine="480" w:firstLineChars="200"/>
        <w:rPr>
          <w:sz w:val="24"/>
          <w:lang w:val="zh-CN"/>
        </w:rPr>
      </w:pPr>
      <w:r>
        <w:rPr>
          <w:rFonts w:hint="eastAsia"/>
          <w:sz w:val="24"/>
          <w:lang w:val="zh-CN"/>
        </w:rPr>
        <w:t>项目是一个易燃、易爆、火灾危险性较大的项目，存在劳动安全卫生危害因素，必须在操作与管理上采取防范措施。但项目没有新增危险因素或防范介质，劳动、安全、卫生等防范措施与原来一致，安全管理、监督工作可完全由伊泰化工环保科统一部署实施。装置投产前，必须制定必要的安全生产管理制度，例如安全教育制度、安全作业证制度、安全检查制度等。</w:t>
      </w:r>
    </w:p>
    <w:p w14:paraId="513257D9">
      <w:pPr>
        <w:adjustRightInd w:val="0"/>
        <w:snapToGrid w:val="0"/>
        <w:spacing w:line="440" w:lineRule="exact"/>
        <w:ind w:firstLine="480" w:firstLineChars="200"/>
        <w:rPr>
          <w:sz w:val="24"/>
          <w:lang w:val="zh-CN"/>
        </w:rPr>
      </w:pPr>
      <w:r>
        <w:rPr>
          <w:rFonts w:hint="eastAsia"/>
          <w:sz w:val="24"/>
          <w:lang w:val="zh-CN"/>
        </w:rPr>
        <w:t>（</w:t>
      </w:r>
      <w:r>
        <w:rPr>
          <w:rFonts w:hint="eastAsia"/>
          <w:sz w:val="24"/>
          <w:lang w:val="en-US" w:eastAsia="zh-CN"/>
        </w:rPr>
        <w:t>2</w:t>
      </w:r>
      <w:r>
        <w:rPr>
          <w:rFonts w:hint="eastAsia"/>
          <w:sz w:val="24"/>
          <w:lang w:val="zh-CN"/>
        </w:rPr>
        <w:t>）工程设计上的防范措施</w:t>
      </w:r>
    </w:p>
    <w:p w14:paraId="1360EEBC">
      <w:pPr>
        <w:adjustRightInd w:val="0"/>
        <w:snapToGrid w:val="0"/>
        <w:spacing w:line="440" w:lineRule="exact"/>
        <w:ind w:firstLine="480" w:firstLineChars="200"/>
        <w:rPr>
          <w:sz w:val="24"/>
          <w:lang w:val="zh-CN"/>
        </w:rPr>
      </w:pPr>
      <w:r>
        <w:rPr>
          <w:rFonts w:hint="eastAsia"/>
          <w:sz w:val="24"/>
          <w:lang w:val="zh-CN"/>
        </w:rPr>
        <w:t>管廊平面布置严格执行有关防火、防爆规定，管道之间设有足够的防火间距。</w:t>
      </w:r>
    </w:p>
    <w:p w14:paraId="08B36E6D">
      <w:pPr>
        <w:adjustRightInd w:val="0"/>
        <w:snapToGrid w:val="0"/>
        <w:spacing w:line="440" w:lineRule="exact"/>
        <w:ind w:firstLine="480" w:firstLineChars="200"/>
        <w:rPr>
          <w:sz w:val="24"/>
          <w:lang w:val="zh-CN"/>
        </w:rPr>
      </w:pPr>
      <w:r>
        <w:rPr>
          <w:rFonts w:hint="eastAsia"/>
          <w:sz w:val="24"/>
          <w:lang w:val="zh-CN"/>
        </w:rPr>
        <w:t>选择安全可靠的工艺技术和设备，采用密闭系统、连续化生产过程，防止泄漏，从根本上提高装置的安全性，防止和减少事故的发生。</w:t>
      </w:r>
    </w:p>
    <w:p w14:paraId="66A0140D">
      <w:pPr>
        <w:adjustRightInd w:val="0"/>
        <w:snapToGrid w:val="0"/>
        <w:spacing w:line="440" w:lineRule="exact"/>
        <w:ind w:firstLine="480" w:firstLineChars="200"/>
        <w:rPr>
          <w:sz w:val="24"/>
          <w:lang w:val="zh-CN"/>
        </w:rPr>
      </w:pPr>
      <w:r>
        <w:rPr>
          <w:rFonts w:hint="eastAsia"/>
          <w:sz w:val="24"/>
          <w:lang w:val="zh-CN"/>
        </w:rPr>
        <w:t>设备设计严格执行压力容器设计规定，并按规定装设安全阀，防止超压引发的危害；选择良好的设备、阀门、管件及密封材料，防止跑、冒、滴、漏等发生。</w:t>
      </w:r>
    </w:p>
    <w:p w14:paraId="262E295D">
      <w:pPr>
        <w:adjustRightInd w:val="0"/>
        <w:snapToGrid w:val="0"/>
        <w:spacing w:line="440" w:lineRule="exact"/>
        <w:ind w:firstLine="480" w:firstLineChars="200"/>
        <w:rPr>
          <w:sz w:val="24"/>
          <w:lang w:val="zh-CN"/>
        </w:rPr>
      </w:pPr>
      <w:r>
        <w:rPr>
          <w:rFonts w:hint="eastAsia"/>
          <w:sz w:val="24"/>
          <w:lang w:val="zh-CN"/>
        </w:rPr>
        <w:t>抗震、防雷措施：新增的建构筑物及设备采取相应的抗震、防爆、防静电措施。</w:t>
      </w:r>
    </w:p>
    <w:p w14:paraId="53F5AB2D">
      <w:pPr>
        <w:adjustRightInd w:val="0"/>
        <w:snapToGrid w:val="0"/>
        <w:spacing w:line="440" w:lineRule="exact"/>
        <w:ind w:firstLine="480" w:firstLineChars="200"/>
        <w:rPr>
          <w:sz w:val="24"/>
          <w:lang w:val="zh-CN"/>
        </w:rPr>
      </w:pPr>
      <w:r>
        <w:rPr>
          <w:rFonts w:hint="eastAsia"/>
          <w:sz w:val="24"/>
          <w:lang w:val="zh-CN"/>
        </w:rPr>
        <w:t>根据火灾危险性等级和防火、防爆要求，建筑物应按二级耐火等级设计。</w:t>
      </w:r>
    </w:p>
    <w:p w14:paraId="12B4C7C0">
      <w:pPr>
        <w:spacing w:before="60" w:after="60" w:line="440" w:lineRule="exact"/>
        <w:outlineLvl w:val="2"/>
        <w:rPr>
          <w:b/>
          <w:bCs/>
          <w:sz w:val="24"/>
        </w:rPr>
      </w:pPr>
      <w:r>
        <w:rPr>
          <w:rFonts w:hint="eastAsia"/>
          <w:b/>
          <w:bCs/>
          <w:sz w:val="24"/>
        </w:rPr>
        <w:t>4.2.6自动控制安全防范措施</w:t>
      </w:r>
    </w:p>
    <w:p w14:paraId="3C5FC187">
      <w:pPr>
        <w:adjustRightInd w:val="0"/>
        <w:snapToGrid w:val="0"/>
        <w:spacing w:line="440" w:lineRule="exact"/>
        <w:ind w:firstLine="480" w:firstLineChars="200"/>
        <w:rPr>
          <w:sz w:val="24"/>
          <w:lang w:val="zh-CN"/>
        </w:rPr>
      </w:pPr>
      <w:r>
        <w:rPr>
          <w:rFonts w:hint="eastAsia"/>
          <w:sz w:val="24"/>
          <w:lang w:val="zh-CN"/>
        </w:rPr>
        <w:t>项目管道架空敷设，在物料输出端和接收端设置中控系统和紧急切断阀，阀门和仪表的控制信号接入伊泰化工公司</w:t>
      </w:r>
      <w:r>
        <w:rPr>
          <w:sz w:val="24"/>
          <w:lang w:val="zh-CN"/>
        </w:rPr>
        <w:t>DCS</w:t>
      </w:r>
      <w:r>
        <w:rPr>
          <w:rFonts w:hint="eastAsia"/>
          <w:sz w:val="24"/>
          <w:lang w:val="zh-CN"/>
        </w:rPr>
        <w:t>系统，一旦发生泄漏易被发现。</w:t>
      </w:r>
    </w:p>
    <w:p w14:paraId="40903B66">
      <w:pPr>
        <w:spacing w:before="60" w:after="60" w:line="440" w:lineRule="exact"/>
        <w:outlineLvl w:val="2"/>
        <w:rPr>
          <w:b/>
          <w:bCs/>
          <w:sz w:val="24"/>
        </w:rPr>
      </w:pPr>
      <w:r>
        <w:rPr>
          <w:rFonts w:hint="eastAsia"/>
          <w:b/>
          <w:bCs/>
          <w:sz w:val="24"/>
        </w:rPr>
        <w:t>4.2.7管道泄漏风险防范措施</w:t>
      </w:r>
    </w:p>
    <w:p w14:paraId="78438C59">
      <w:pPr>
        <w:adjustRightInd w:val="0"/>
        <w:snapToGrid w:val="0"/>
        <w:spacing w:line="440" w:lineRule="exact"/>
        <w:ind w:firstLine="480" w:firstLineChars="200"/>
        <w:rPr>
          <w:sz w:val="24"/>
          <w:lang w:val="zh-CN"/>
        </w:rPr>
      </w:pPr>
      <w:r>
        <w:rPr>
          <w:rFonts w:hint="eastAsia"/>
          <w:sz w:val="24"/>
          <w:lang w:val="zh-CN"/>
        </w:rPr>
        <w:t>（</w:t>
      </w:r>
      <w:r>
        <w:rPr>
          <w:sz w:val="24"/>
          <w:lang w:val="zh-CN"/>
        </w:rPr>
        <w:t>1</w:t>
      </w:r>
      <w:r>
        <w:rPr>
          <w:rFonts w:hint="eastAsia"/>
          <w:sz w:val="24"/>
          <w:lang w:val="zh-CN"/>
        </w:rPr>
        <w:t>）管道应按照相关规范进行设计、施工和验收，严格把控管道等材料质量及施工质量。严格落实管道材质及焊接、防腐质量，杜绝因管材质量缺陷发生泄漏事故。</w:t>
      </w:r>
    </w:p>
    <w:p w14:paraId="526C196F">
      <w:pPr>
        <w:adjustRightInd w:val="0"/>
        <w:snapToGrid w:val="0"/>
        <w:spacing w:line="440" w:lineRule="exact"/>
        <w:ind w:firstLine="480" w:firstLineChars="200"/>
        <w:rPr>
          <w:sz w:val="24"/>
          <w:lang w:val="zh-CN"/>
        </w:rPr>
      </w:pPr>
      <w:r>
        <w:rPr>
          <w:rFonts w:hint="eastAsia"/>
          <w:sz w:val="24"/>
          <w:lang w:val="zh-CN"/>
        </w:rPr>
        <w:t>（</w:t>
      </w:r>
      <w:r>
        <w:rPr>
          <w:sz w:val="24"/>
          <w:lang w:val="zh-CN"/>
        </w:rPr>
        <w:t>2</w:t>
      </w:r>
      <w:r>
        <w:rPr>
          <w:rFonts w:hint="eastAsia"/>
          <w:sz w:val="24"/>
          <w:lang w:val="zh-CN"/>
        </w:rPr>
        <w:t>）加强维护与管理</w:t>
      </w:r>
    </w:p>
    <w:p w14:paraId="18188EC5">
      <w:pPr>
        <w:adjustRightInd w:val="0"/>
        <w:snapToGrid w:val="0"/>
        <w:spacing w:line="440" w:lineRule="exact"/>
        <w:ind w:firstLine="480" w:firstLineChars="200"/>
        <w:rPr>
          <w:sz w:val="24"/>
          <w:lang w:val="zh-CN"/>
        </w:rPr>
      </w:pPr>
      <w:r>
        <w:rPr>
          <w:rFonts w:hint="eastAsia"/>
          <w:sz w:val="24"/>
          <w:lang w:val="zh-CN"/>
        </w:rPr>
        <w:t>制定完善的安全生产管理制度及安全操作规程、巡回检查管理制度、安全检查与隐患排查整改管理制度、相关责任制等。进一步加强设备、阀门、流量计、压力表报警等设施的维修维护。</w:t>
      </w:r>
    </w:p>
    <w:p w14:paraId="0129CE12">
      <w:pPr>
        <w:adjustRightInd w:val="0"/>
        <w:snapToGrid w:val="0"/>
        <w:spacing w:line="440" w:lineRule="exact"/>
        <w:ind w:firstLine="480" w:firstLineChars="200"/>
        <w:rPr>
          <w:sz w:val="24"/>
          <w:lang w:val="zh-CN"/>
        </w:rPr>
      </w:pPr>
      <w:r>
        <w:rPr>
          <w:rFonts w:hint="eastAsia"/>
          <w:sz w:val="24"/>
          <w:lang w:val="zh-CN"/>
        </w:rPr>
        <w:t>①制定完善的管道日常巡检管理制度，明确每个班次的巡检人员和责任，并落实巡检记录和台账。</w:t>
      </w:r>
    </w:p>
    <w:p w14:paraId="3BD34C5A">
      <w:pPr>
        <w:adjustRightInd w:val="0"/>
        <w:snapToGrid w:val="0"/>
        <w:spacing w:line="440" w:lineRule="exact"/>
        <w:ind w:firstLine="480" w:firstLineChars="200"/>
        <w:rPr>
          <w:sz w:val="24"/>
          <w:lang w:val="zh-CN"/>
        </w:rPr>
      </w:pPr>
      <w:r>
        <w:rPr>
          <w:rFonts w:hint="eastAsia"/>
          <w:sz w:val="24"/>
          <w:lang w:val="zh-CN"/>
        </w:rPr>
        <w:t>②制定严格的运行操作规章制度，对操作员、管线巡查员等进行岗位培训，使其了解物料特性、输送工艺过程，熟悉操作规程，对各种情况能进行正确判断，经考核合格后方可上岗；同时加强职工安全教育。</w:t>
      </w:r>
    </w:p>
    <w:p w14:paraId="3424DAEF">
      <w:pPr>
        <w:adjustRightInd w:val="0"/>
        <w:snapToGrid w:val="0"/>
        <w:spacing w:line="440" w:lineRule="exact"/>
        <w:ind w:firstLine="480" w:firstLineChars="200"/>
        <w:rPr>
          <w:sz w:val="24"/>
          <w:lang w:val="zh-CN"/>
        </w:rPr>
      </w:pPr>
      <w:r>
        <w:rPr>
          <w:rFonts w:hint="eastAsia"/>
          <w:sz w:val="24"/>
          <w:lang w:val="zh-CN"/>
        </w:rPr>
        <w:t>③定期巡检检查，发现问题及时报告、及时处理，特别关注管道弯头、焊接处等。日常管理过程中，中控室定时查看各类报警设施，安排专人巡查，发现问题，立即上报，并对泄漏管线进行堵漏。</w:t>
      </w:r>
    </w:p>
    <w:p w14:paraId="04EFD7A6">
      <w:pPr>
        <w:adjustRightInd w:val="0"/>
        <w:snapToGrid w:val="0"/>
        <w:spacing w:line="440" w:lineRule="exact"/>
        <w:ind w:firstLine="480" w:firstLineChars="200"/>
        <w:rPr>
          <w:sz w:val="24"/>
          <w:lang w:val="zh-CN"/>
        </w:rPr>
      </w:pPr>
      <w:r>
        <w:rPr>
          <w:rFonts w:hint="eastAsia"/>
          <w:sz w:val="24"/>
          <w:lang w:val="zh-CN"/>
        </w:rPr>
        <w:t>（</w:t>
      </w:r>
      <w:r>
        <w:rPr>
          <w:sz w:val="24"/>
          <w:lang w:val="zh-CN"/>
        </w:rPr>
        <w:t>3</w:t>
      </w:r>
      <w:r>
        <w:rPr>
          <w:rFonts w:hint="eastAsia"/>
          <w:sz w:val="24"/>
          <w:lang w:val="zh-CN"/>
        </w:rPr>
        <w:t>）管道沿线设置警示标志，设置醒目的禁火区域标志。将管道纳入厂区环境应急预案，开展应急演练；确保管道长期安全、稳定地运行。</w:t>
      </w:r>
    </w:p>
    <w:p w14:paraId="0030A019">
      <w:pPr>
        <w:adjustRightInd w:val="0"/>
        <w:snapToGrid w:val="0"/>
        <w:spacing w:line="440" w:lineRule="exact"/>
        <w:ind w:firstLine="480" w:firstLineChars="200"/>
        <w:rPr>
          <w:sz w:val="24"/>
          <w:lang w:val="zh-CN"/>
        </w:rPr>
      </w:pPr>
      <w:r>
        <w:rPr>
          <w:rFonts w:hint="eastAsia"/>
          <w:sz w:val="24"/>
          <w:lang w:val="zh-CN"/>
        </w:rPr>
        <w:t>（</w:t>
      </w:r>
      <w:r>
        <w:rPr>
          <w:sz w:val="24"/>
          <w:lang w:val="zh-CN"/>
        </w:rPr>
        <w:t>4</w:t>
      </w:r>
      <w:r>
        <w:rPr>
          <w:rFonts w:hint="eastAsia"/>
          <w:sz w:val="24"/>
          <w:lang w:val="zh-CN"/>
        </w:rPr>
        <w:t>）项目化学品输送管道在输出端企业和接收端企业内设置压力监控装置，一旦发生压力异常情况立刻启动报警程序，如发生泄漏或火灾爆炸事故可在</w:t>
      </w:r>
      <w:r>
        <w:rPr>
          <w:sz w:val="24"/>
          <w:lang w:val="zh-CN"/>
        </w:rPr>
        <w:t>30s</w:t>
      </w:r>
      <w:r>
        <w:rPr>
          <w:rFonts w:hint="eastAsia"/>
          <w:sz w:val="24"/>
          <w:lang w:val="zh-CN"/>
        </w:rPr>
        <w:t>内切断上下游阀门，以降低管道破裂事故的物料泄漏量。</w:t>
      </w:r>
    </w:p>
    <w:p w14:paraId="647A99AD">
      <w:pPr>
        <w:adjustRightInd w:val="0"/>
        <w:snapToGrid w:val="0"/>
        <w:spacing w:line="440" w:lineRule="exact"/>
        <w:ind w:firstLine="480" w:firstLineChars="200"/>
        <w:rPr>
          <w:sz w:val="24"/>
          <w:lang w:val="zh-CN"/>
        </w:rPr>
      </w:pPr>
      <w:r>
        <w:rPr>
          <w:rFonts w:hint="eastAsia"/>
          <w:sz w:val="24"/>
          <w:lang w:val="zh-CN"/>
        </w:rPr>
        <w:t>如在物料管道输出端或接收端企业界区内发生管道泄漏，首先切断上下游阀门，并电话通知管道另一端企业相关部门。其次，根据泄漏点的位置和泄漏量，确定使用堵漏的方法。在保证安全的情况下，管道内物料送各自生产企业火炬焚烧。</w:t>
      </w:r>
    </w:p>
    <w:p w14:paraId="4E665D56">
      <w:pPr>
        <w:adjustRightInd w:val="0"/>
        <w:snapToGrid w:val="0"/>
        <w:spacing w:line="440" w:lineRule="exact"/>
        <w:ind w:firstLine="480" w:firstLineChars="200"/>
        <w:rPr>
          <w:sz w:val="24"/>
          <w:lang w:val="zh-CN"/>
        </w:rPr>
      </w:pPr>
      <w:r>
        <w:rPr>
          <w:rFonts w:hint="eastAsia"/>
          <w:sz w:val="24"/>
          <w:lang w:val="zh-CN"/>
        </w:rPr>
        <w:t>（</w:t>
      </w:r>
      <w:r>
        <w:rPr>
          <w:sz w:val="24"/>
          <w:lang w:val="zh-CN"/>
        </w:rPr>
        <w:t>5</w:t>
      </w:r>
      <w:r>
        <w:rPr>
          <w:rFonts w:hint="eastAsia"/>
          <w:sz w:val="24"/>
          <w:lang w:val="zh-CN"/>
        </w:rPr>
        <w:t>）检修过程中的风险防范措施</w:t>
      </w:r>
    </w:p>
    <w:p w14:paraId="48178C26">
      <w:pPr>
        <w:adjustRightInd w:val="0"/>
        <w:snapToGrid w:val="0"/>
        <w:spacing w:line="440" w:lineRule="exact"/>
        <w:ind w:firstLine="480" w:firstLineChars="200"/>
        <w:rPr>
          <w:sz w:val="24"/>
          <w:lang w:val="zh-CN"/>
        </w:rPr>
      </w:pPr>
      <w:r>
        <w:rPr>
          <w:rFonts w:hint="eastAsia"/>
          <w:sz w:val="24"/>
          <w:lang w:val="zh-CN"/>
        </w:rPr>
        <w:t>每年定期检查管线管道防腐层的完好情况，对有明显腐蚀和冲刷减薄的管道进行壁厚抽样测定。检修时需配备便携式可燃气体检测报警器。检修过程中应制定相应的“安全生产操作规程”，并按该规程严格执行。动火检修时需严格执行安全防火规定。</w:t>
      </w:r>
    </w:p>
    <w:p w14:paraId="4A687AD3">
      <w:pPr>
        <w:adjustRightInd w:val="0"/>
        <w:snapToGrid w:val="0"/>
        <w:spacing w:line="440" w:lineRule="exact"/>
        <w:ind w:firstLine="480" w:firstLineChars="200"/>
        <w:rPr>
          <w:sz w:val="24"/>
          <w:lang w:val="zh-CN"/>
        </w:rPr>
      </w:pPr>
      <w:r>
        <w:rPr>
          <w:rFonts w:hint="eastAsia"/>
          <w:sz w:val="24"/>
          <w:lang w:val="zh-CN"/>
        </w:rPr>
        <w:t>（</w:t>
      </w:r>
      <w:r>
        <w:rPr>
          <w:sz w:val="24"/>
          <w:lang w:val="zh-CN"/>
        </w:rPr>
        <w:t>6</w:t>
      </w:r>
      <w:r>
        <w:rPr>
          <w:rFonts w:hint="eastAsia"/>
          <w:sz w:val="24"/>
          <w:lang w:val="zh-CN"/>
        </w:rPr>
        <w:t>）应急设施、措施</w:t>
      </w:r>
    </w:p>
    <w:p w14:paraId="253CD582">
      <w:pPr>
        <w:adjustRightInd w:val="0"/>
        <w:snapToGrid w:val="0"/>
        <w:spacing w:line="440" w:lineRule="exact"/>
        <w:ind w:firstLine="480" w:firstLineChars="200"/>
        <w:rPr>
          <w:sz w:val="24"/>
          <w:lang w:val="zh-CN"/>
        </w:rPr>
      </w:pPr>
      <w:r>
        <w:rPr>
          <w:rFonts w:hint="eastAsia"/>
          <w:sz w:val="24"/>
          <w:lang w:val="zh-CN"/>
        </w:rPr>
        <w:t>①管道设置测压装置及超限报警装置，管道内的压力、流量等参数纳入关联企业的中控系统进行监控，一旦发生泄漏，可及时切断泄漏源。</w:t>
      </w:r>
    </w:p>
    <w:p w14:paraId="29D7A270">
      <w:pPr>
        <w:adjustRightInd w:val="0"/>
        <w:snapToGrid w:val="0"/>
        <w:spacing w:line="440" w:lineRule="exact"/>
        <w:ind w:firstLine="480" w:firstLineChars="200"/>
        <w:rPr>
          <w:sz w:val="24"/>
          <w:lang w:val="zh-CN"/>
        </w:rPr>
      </w:pPr>
      <w:r>
        <w:rPr>
          <w:rFonts w:hint="eastAsia"/>
          <w:sz w:val="24"/>
          <w:lang w:val="zh-CN"/>
        </w:rPr>
        <w:t>②为预防管道压力超过最大允许积聚压力，管道两端设置了压力表、安全阀和紧急切断阀。</w:t>
      </w:r>
    </w:p>
    <w:p w14:paraId="507F5DBB">
      <w:pPr>
        <w:adjustRightInd w:val="0"/>
        <w:snapToGrid w:val="0"/>
        <w:spacing w:line="440" w:lineRule="exact"/>
        <w:ind w:firstLine="480" w:firstLineChars="200"/>
        <w:rPr>
          <w:sz w:val="24"/>
          <w:lang w:val="zh-CN"/>
        </w:rPr>
      </w:pPr>
      <w:r>
        <w:rPr>
          <w:rFonts w:hint="eastAsia"/>
          <w:sz w:val="24"/>
          <w:lang w:val="zh-CN"/>
        </w:rPr>
        <w:t>③依托现有消防车、地上消防栓、消防泡沫灭火装置、干粉灭火器、二氧化碳灭火器、柴油发电机、空气呼吸器等灭火器材。</w:t>
      </w:r>
    </w:p>
    <w:p w14:paraId="413BADDE">
      <w:pPr>
        <w:adjustRightInd w:val="0"/>
        <w:snapToGrid w:val="0"/>
        <w:spacing w:line="440" w:lineRule="exact"/>
        <w:ind w:firstLine="480" w:firstLineChars="200"/>
        <w:rPr>
          <w:sz w:val="24"/>
          <w:lang w:val="zh-CN"/>
        </w:rPr>
      </w:pPr>
      <w:r>
        <w:rPr>
          <w:rFonts w:hint="eastAsia"/>
          <w:sz w:val="24"/>
          <w:lang w:val="zh-CN"/>
        </w:rPr>
        <w:t>④有完善的消防及火灾报警系统和消防废水处置系统。</w:t>
      </w:r>
    </w:p>
    <w:p w14:paraId="2989FCCF">
      <w:pPr>
        <w:adjustRightInd w:val="0"/>
        <w:snapToGrid w:val="0"/>
        <w:spacing w:line="440" w:lineRule="exact"/>
        <w:ind w:firstLine="480" w:firstLineChars="200"/>
        <w:rPr>
          <w:sz w:val="24"/>
          <w:lang w:val="zh-CN"/>
        </w:rPr>
      </w:pPr>
      <w:r>
        <w:rPr>
          <w:rFonts w:hint="eastAsia"/>
          <w:sz w:val="24"/>
          <w:lang w:val="zh-CN"/>
        </w:rPr>
        <w:t>⑤项目管道建成投运使用前，将本管道纳入伊泰化工现有厂区环境应急预案，开展应急演练；条件许可时，与周边企业开展联合应急演练，提高应急处置能力。</w:t>
      </w:r>
    </w:p>
    <w:p w14:paraId="2DB45EE7">
      <w:pPr>
        <w:adjustRightInd w:val="0"/>
        <w:snapToGrid w:val="0"/>
        <w:spacing w:line="440" w:lineRule="exact"/>
        <w:ind w:firstLine="480" w:firstLineChars="200"/>
        <w:rPr>
          <w:sz w:val="24"/>
          <w:lang w:val="zh-CN"/>
        </w:rPr>
      </w:pPr>
      <w:r>
        <w:rPr>
          <w:rFonts w:hint="eastAsia"/>
          <w:sz w:val="24"/>
          <w:lang w:val="zh-CN"/>
        </w:rPr>
        <w:t>（</w:t>
      </w:r>
      <w:r>
        <w:rPr>
          <w:sz w:val="24"/>
          <w:lang w:val="zh-CN"/>
        </w:rPr>
        <w:t>7</w:t>
      </w:r>
      <w:r>
        <w:rPr>
          <w:rFonts w:hint="eastAsia"/>
          <w:sz w:val="24"/>
          <w:lang w:val="zh-CN"/>
        </w:rPr>
        <w:t>）区域联防联控措施</w:t>
      </w:r>
    </w:p>
    <w:p w14:paraId="7BA98541">
      <w:pPr>
        <w:adjustRightInd w:val="0"/>
        <w:snapToGrid w:val="0"/>
        <w:spacing w:line="440" w:lineRule="exact"/>
        <w:ind w:firstLine="480" w:firstLineChars="200"/>
        <w:rPr>
          <w:sz w:val="24"/>
          <w:lang w:val="zh-CN"/>
        </w:rPr>
      </w:pPr>
      <w:r>
        <w:rPr>
          <w:rFonts w:hint="eastAsia"/>
          <w:sz w:val="24"/>
          <w:lang w:val="zh-CN"/>
        </w:rPr>
        <w:t>项目建设单位应与关联企业及园区在风险防范、应急处置等方面进行联防联控。</w:t>
      </w:r>
    </w:p>
    <w:p w14:paraId="3169F770">
      <w:pPr>
        <w:spacing w:before="60" w:after="60" w:line="440" w:lineRule="exact"/>
        <w:outlineLvl w:val="2"/>
        <w:rPr>
          <w:b/>
          <w:bCs/>
          <w:sz w:val="24"/>
        </w:rPr>
      </w:pPr>
      <w:r>
        <w:rPr>
          <w:rFonts w:hint="eastAsia"/>
          <w:b/>
          <w:bCs/>
          <w:sz w:val="24"/>
        </w:rPr>
        <w:t>4.2.8关联企业非正常工况风险防范措施</w:t>
      </w:r>
    </w:p>
    <w:p w14:paraId="49466206">
      <w:pPr>
        <w:adjustRightInd w:val="0"/>
        <w:snapToGrid w:val="0"/>
        <w:spacing w:line="440" w:lineRule="exact"/>
        <w:ind w:firstLine="480" w:firstLineChars="200"/>
        <w:rPr>
          <w:sz w:val="24"/>
          <w:lang w:val="zh-CN"/>
        </w:rPr>
      </w:pPr>
      <w:r>
        <w:rPr>
          <w:rFonts w:hint="eastAsia"/>
          <w:sz w:val="24"/>
          <w:lang w:val="zh-CN"/>
        </w:rPr>
        <w:t>如遇输出端企业非正常工况，不能正常输出物料，将关闭阀门并立即通知下游接收端企业；如下游企业发生装置联锁停车等情况，紧急切断阀门，同时电话通知上游输出端企业。发生此类情况，管道中各企业的物料将送各自公司火炬进行焚烧，不会发生泄漏事故。</w:t>
      </w:r>
    </w:p>
    <w:p w14:paraId="2C2B4DF5">
      <w:pPr>
        <w:spacing w:before="60" w:after="60" w:line="440" w:lineRule="exact"/>
        <w:outlineLvl w:val="2"/>
        <w:rPr>
          <w:b/>
          <w:bCs/>
          <w:sz w:val="24"/>
        </w:rPr>
      </w:pPr>
      <w:r>
        <w:rPr>
          <w:b/>
          <w:bCs/>
          <w:sz w:val="24"/>
        </w:rPr>
        <w:t>4.2.</w:t>
      </w:r>
      <w:r>
        <w:rPr>
          <w:rFonts w:hint="eastAsia"/>
          <w:b/>
          <w:bCs/>
          <w:sz w:val="24"/>
        </w:rPr>
        <w:t>9</w:t>
      </w:r>
      <w:r>
        <w:rPr>
          <w:b/>
          <w:bCs/>
          <w:sz w:val="24"/>
        </w:rPr>
        <w:t>事故应急处置措施</w:t>
      </w:r>
    </w:p>
    <w:p w14:paraId="145A7850">
      <w:pPr>
        <w:spacing w:line="440" w:lineRule="exact"/>
        <w:outlineLvl w:val="3"/>
        <w:rPr>
          <w:sz w:val="24"/>
        </w:rPr>
      </w:pPr>
      <w:r>
        <w:rPr>
          <w:sz w:val="24"/>
        </w:rPr>
        <w:t>4.2.</w:t>
      </w:r>
      <w:r>
        <w:rPr>
          <w:rFonts w:hint="eastAsia"/>
          <w:sz w:val="24"/>
        </w:rPr>
        <w:t>9</w:t>
      </w:r>
      <w:r>
        <w:rPr>
          <w:sz w:val="24"/>
        </w:rPr>
        <w:t>.1大气污染事故应急处置措施</w:t>
      </w:r>
    </w:p>
    <w:p w14:paraId="6DC65366">
      <w:pPr>
        <w:spacing w:line="440" w:lineRule="exact"/>
        <w:ind w:firstLine="480" w:firstLineChars="200"/>
        <w:rPr>
          <w:sz w:val="24"/>
        </w:rPr>
      </w:pPr>
      <w:r>
        <w:rPr>
          <w:sz w:val="24"/>
        </w:rPr>
        <w:fldChar w:fldCharType="begin"/>
      </w:r>
      <w:r>
        <w:rPr>
          <w:sz w:val="24"/>
        </w:rPr>
        <w:instrText xml:space="preserve"> = 1 \* GB3 </w:instrText>
      </w:r>
      <w:r>
        <w:rPr>
          <w:sz w:val="24"/>
        </w:rPr>
        <w:fldChar w:fldCharType="separate"/>
      </w:r>
      <w:r>
        <w:rPr>
          <w:rFonts w:hint="eastAsia" w:ascii="宋体" w:hAnsi="宋体" w:cs="宋体"/>
          <w:sz w:val="24"/>
        </w:rPr>
        <w:t>①</w:t>
      </w:r>
      <w:r>
        <w:rPr>
          <w:sz w:val="24"/>
        </w:rPr>
        <w:fldChar w:fldCharType="end"/>
      </w:r>
      <w:r>
        <w:rPr>
          <w:sz w:val="24"/>
        </w:rPr>
        <w:t>管道泄漏发生后紧急停泵，并及时封堵泄漏源。</w:t>
      </w:r>
    </w:p>
    <w:p w14:paraId="6C7A750D">
      <w:pPr>
        <w:spacing w:line="440" w:lineRule="exact"/>
        <w:ind w:firstLine="480" w:firstLineChars="200"/>
        <w:rPr>
          <w:sz w:val="24"/>
        </w:rPr>
      </w:pPr>
      <w:r>
        <w:rPr>
          <w:sz w:val="24"/>
        </w:rPr>
        <w:fldChar w:fldCharType="begin"/>
      </w:r>
      <w:r>
        <w:rPr>
          <w:sz w:val="24"/>
        </w:rPr>
        <w:instrText xml:space="preserve"> = 2 \* GB3 </w:instrText>
      </w:r>
      <w:r>
        <w:rPr>
          <w:sz w:val="24"/>
        </w:rPr>
        <w:fldChar w:fldCharType="separate"/>
      </w:r>
      <w:r>
        <w:rPr>
          <w:rFonts w:hint="eastAsia" w:ascii="宋体" w:hAnsi="宋体" w:cs="宋体"/>
          <w:sz w:val="24"/>
        </w:rPr>
        <w:t>②</w:t>
      </w:r>
      <w:r>
        <w:rPr>
          <w:sz w:val="24"/>
        </w:rPr>
        <w:fldChar w:fldCharType="end"/>
      </w:r>
      <w:r>
        <w:rPr>
          <w:sz w:val="24"/>
        </w:rPr>
        <w:t>对于物料大量泄</w:t>
      </w:r>
      <w:r>
        <w:rPr>
          <w:rFonts w:hint="eastAsia"/>
          <w:sz w:val="24"/>
        </w:rPr>
        <w:t>漏</w:t>
      </w:r>
      <w:r>
        <w:rPr>
          <w:sz w:val="24"/>
        </w:rPr>
        <w:t>，迅速撤离泄漏污染区人员至安全区，切断火源。尽可能切断泄漏源。对于小量泄漏用沙土或其</w:t>
      </w:r>
      <w:r>
        <w:rPr>
          <w:rFonts w:hint="eastAsia"/>
          <w:sz w:val="24"/>
        </w:rPr>
        <w:t>他</w:t>
      </w:r>
      <w:r>
        <w:rPr>
          <w:sz w:val="24"/>
        </w:rPr>
        <w:t>惰性材料吸收。大量泄漏构筑围堤或挖坑收容。用防爆泵转移至专用收集器内，回收或运至废物处理场所处置。</w:t>
      </w:r>
    </w:p>
    <w:p w14:paraId="30E95D73">
      <w:pPr>
        <w:spacing w:line="440" w:lineRule="exact"/>
        <w:ind w:firstLine="480" w:firstLineChars="200"/>
        <w:rPr>
          <w:sz w:val="24"/>
        </w:rPr>
      </w:pPr>
      <w:r>
        <w:rPr>
          <w:sz w:val="24"/>
        </w:rPr>
        <w:fldChar w:fldCharType="begin"/>
      </w:r>
      <w:r>
        <w:rPr>
          <w:sz w:val="24"/>
        </w:rPr>
        <w:instrText xml:space="preserve"> = 3 \* GB3 </w:instrText>
      </w:r>
      <w:r>
        <w:rPr>
          <w:sz w:val="24"/>
        </w:rPr>
        <w:fldChar w:fldCharType="separate"/>
      </w:r>
      <w:r>
        <w:rPr>
          <w:rFonts w:hint="eastAsia" w:ascii="宋体" w:hAnsi="宋体" w:cs="宋体"/>
          <w:sz w:val="24"/>
        </w:rPr>
        <w:t>③</w:t>
      </w:r>
      <w:r>
        <w:rPr>
          <w:sz w:val="24"/>
        </w:rPr>
        <w:fldChar w:fldCharType="end"/>
      </w:r>
      <w:r>
        <w:rPr>
          <w:sz w:val="24"/>
        </w:rPr>
        <w:t>火灾事故，第一时间利用</w:t>
      </w:r>
      <w:r>
        <w:rPr>
          <w:rFonts w:hint="eastAsia"/>
          <w:bCs/>
          <w:sz w:val="24"/>
        </w:rPr>
        <w:t>伊泰</w:t>
      </w:r>
      <w:r>
        <w:rPr>
          <w:bCs/>
          <w:sz w:val="24"/>
        </w:rPr>
        <w:t>厂区现有</w:t>
      </w:r>
      <w:r>
        <w:rPr>
          <w:sz w:val="24"/>
        </w:rPr>
        <w:t>消防器材进行灭火，火势较大时迅速向园区上报，企业同时采取应急处理</w:t>
      </w:r>
      <w:r>
        <w:rPr>
          <w:rFonts w:hint="eastAsia"/>
          <w:sz w:val="24"/>
        </w:rPr>
        <w:t>措施，</w:t>
      </w:r>
      <w:r>
        <w:rPr>
          <w:sz w:val="24"/>
        </w:rPr>
        <w:t>同时迅速组织人员疏散群</w:t>
      </w:r>
      <w:r>
        <w:rPr>
          <w:rFonts w:hint="eastAsia"/>
          <w:sz w:val="24"/>
        </w:rPr>
        <w:t>众</w:t>
      </w:r>
      <w:r>
        <w:rPr>
          <w:sz w:val="24"/>
        </w:rPr>
        <w:t>，保证应急疏散的快捷、有序、高效。</w:t>
      </w:r>
    </w:p>
    <w:p w14:paraId="03B2C3A5">
      <w:pPr>
        <w:spacing w:line="440" w:lineRule="exact"/>
        <w:outlineLvl w:val="3"/>
        <w:rPr>
          <w:sz w:val="24"/>
        </w:rPr>
      </w:pPr>
      <w:r>
        <w:rPr>
          <w:sz w:val="24"/>
        </w:rPr>
        <w:t>4.2.</w:t>
      </w:r>
      <w:r>
        <w:rPr>
          <w:rFonts w:hint="eastAsia"/>
          <w:sz w:val="24"/>
        </w:rPr>
        <w:t>9</w:t>
      </w:r>
      <w:r>
        <w:rPr>
          <w:sz w:val="24"/>
        </w:rPr>
        <w:t>.2地下水/土壤污染事故应急处置措施</w:t>
      </w:r>
    </w:p>
    <w:p w14:paraId="7C0853A0">
      <w:pPr>
        <w:spacing w:line="440" w:lineRule="exact"/>
        <w:ind w:firstLine="480" w:firstLineChars="200"/>
        <w:rPr>
          <w:sz w:val="24"/>
        </w:rPr>
      </w:pPr>
      <w:r>
        <w:rPr>
          <w:sz w:val="24"/>
        </w:rPr>
        <w:fldChar w:fldCharType="begin"/>
      </w:r>
      <w:r>
        <w:rPr>
          <w:sz w:val="24"/>
        </w:rPr>
        <w:instrText xml:space="preserve"> = 1 \* GB3 </w:instrText>
      </w:r>
      <w:r>
        <w:rPr>
          <w:sz w:val="24"/>
        </w:rPr>
        <w:fldChar w:fldCharType="separate"/>
      </w:r>
      <w:r>
        <w:rPr>
          <w:rFonts w:hint="eastAsia" w:ascii="宋体" w:hAnsi="宋体" w:cs="宋体"/>
          <w:sz w:val="24"/>
        </w:rPr>
        <w:t>①</w:t>
      </w:r>
      <w:r>
        <w:rPr>
          <w:sz w:val="24"/>
        </w:rPr>
        <w:fldChar w:fldCharType="end"/>
      </w:r>
      <w:r>
        <w:rPr>
          <w:sz w:val="24"/>
        </w:rPr>
        <w:t>管道泄漏紧急切断。</w:t>
      </w:r>
    </w:p>
    <w:p w14:paraId="667D144A">
      <w:pPr>
        <w:spacing w:line="440" w:lineRule="exact"/>
        <w:ind w:firstLine="480" w:firstLineChars="200"/>
        <w:rPr>
          <w:sz w:val="24"/>
        </w:rPr>
      </w:pPr>
      <w:r>
        <w:rPr>
          <w:sz w:val="24"/>
        </w:rPr>
        <w:fldChar w:fldCharType="begin"/>
      </w:r>
      <w:r>
        <w:rPr>
          <w:sz w:val="24"/>
        </w:rPr>
        <w:instrText xml:space="preserve"> = 2 \* GB3 </w:instrText>
      </w:r>
      <w:r>
        <w:rPr>
          <w:sz w:val="24"/>
        </w:rPr>
        <w:fldChar w:fldCharType="separate"/>
      </w:r>
      <w:r>
        <w:rPr>
          <w:rFonts w:hint="eastAsia" w:ascii="宋体" w:hAnsi="宋体" w:cs="宋体"/>
          <w:sz w:val="24"/>
        </w:rPr>
        <w:t>②</w:t>
      </w:r>
      <w:r>
        <w:rPr>
          <w:sz w:val="24"/>
        </w:rPr>
        <w:fldChar w:fldCharType="end"/>
      </w:r>
      <w:r>
        <w:rPr>
          <w:sz w:val="24"/>
        </w:rPr>
        <w:t>物料泄露到周边土壤之后，及时安排专业队伍</w:t>
      </w:r>
      <w:r>
        <w:rPr>
          <w:rFonts w:hint="eastAsia"/>
          <w:sz w:val="24"/>
        </w:rPr>
        <w:t>到</w:t>
      </w:r>
      <w:r>
        <w:rPr>
          <w:sz w:val="24"/>
        </w:rPr>
        <w:t>现场进行侦察监测</w:t>
      </w:r>
      <w:r>
        <w:rPr>
          <w:rFonts w:hint="eastAsia"/>
          <w:sz w:val="24"/>
        </w:rPr>
        <w:t>，</w:t>
      </w:r>
      <w:r>
        <w:rPr>
          <w:sz w:val="24"/>
        </w:rPr>
        <w:t>对事故性质、参数与后果进行评估，制定应急方案；</w:t>
      </w:r>
    </w:p>
    <w:p w14:paraId="67803BC3">
      <w:pPr>
        <w:spacing w:before="60" w:after="60" w:line="440" w:lineRule="exact"/>
        <w:outlineLvl w:val="2"/>
        <w:rPr>
          <w:b/>
          <w:bCs/>
          <w:sz w:val="24"/>
        </w:rPr>
      </w:pPr>
      <w:r>
        <w:rPr>
          <w:b/>
          <w:bCs/>
          <w:sz w:val="24"/>
        </w:rPr>
        <w:t>4.2.</w:t>
      </w:r>
      <w:r>
        <w:rPr>
          <w:rFonts w:hint="eastAsia"/>
          <w:b/>
          <w:bCs/>
          <w:sz w:val="24"/>
        </w:rPr>
        <w:t>10</w:t>
      </w:r>
      <w:r>
        <w:rPr>
          <w:b/>
          <w:bCs/>
          <w:sz w:val="24"/>
        </w:rPr>
        <w:t>环境风险防范措施应纳入环保投资和竣工环境保护验收的内容</w:t>
      </w:r>
    </w:p>
    <w:p w14:paraId="3D81A2B9">
      <w:pPr>
        <w:spacing w:line="440" w:lineRule="exact"/>
        <w:ind w:firstLine="480" w:firstLineChars="200"/>
        <w:rPr>
          <w:sz w:val="24"/>
        </w:rPr>
      </w:pPr>
      <w:r>
        <w:rPr>
          <w:sz w:val="24"/>
        </w:rPr>
        <w:t>项目实施后，应纳入环保投资和竣工环境保护验收内容的环境风险防范措施情况见表4.2-1。</w:t>
      </w:r>
    </w:p>
    <w:p w14:paraId="314C68DA">
      <w:pPr>
        <w:spacing w:line="440" w:lineRule="exact"/>
        <w:ind w:firstLine="482" w:firstLineChars="200"/>
        <w:rPr>
          <w:b/>
          <w:sz w:val="24"/>
        </w:rPr>
      </w:pPr>
      <w:r>
        <w:rPr>
          <w:b/>
          <w:sz w:val="24"/>
        </w:rPr>
        <w:t>表4.2-1    环境风险防范措施环保投资一览表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827"/>
        <w:gridCol w:w="1600"/>
        <w:gridCol w:w="2798"/>
        <w:gridCol w:w="1466"/>
        <w:gridCol w:w="1677"/>
      </w:tblGrid>
      <w:tr w14:paraId="5F956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0" w:hRule="atLeast"/>
          <w:jc w:val="center"/>
        </w:trPr>
        <w:tc>
          <w:tcPr>
            <w:tcW w:w="494" w:type="pct"/>
            <w:vAlign w:val="center"/>
          </w:tcPr>
          <w:p w14:paraId="5B5F3E46">
            <w:pPr>
              <w:spacing w:line="360" w:lineRule="exact"/>
              <w:jc w:val="center"/>
              <w:rPr>
                <w:szCs w:val="21"/>
              </w:rPr>
            </w:pPr>
            <w:r>
              <w:rPr>
                <w:szCs w:val="21"/>
              </w:rPr>
              <w:t>类别</w:t>
            </w:r>
          </w:p>
        </w:tc>
        <w:tc>
          <w:tcPr>
            <w:tcW w:w="956" w:type="pct"/>
            <w:vAlign w:val="center"/>
          </w:tcPr>
          <w:p w14:paraId="6FE4DD6A">
            <w:pPr>
              <w:spacing w:line="360" w:lineRule="exact"/>
              <w:jc w:val="center"/>
              <w:rPr>
                <w:szCs w:val="21"/>
              </w:rPr>
            </w:pPr>
            <w:r>
              <w:rPr>
                <w:szCs w:val="21"/>
              </w:rPr>
              <w:t>污染源</w:t>
            </w:r>
          </w:p>
        </w:tc>
        <w:tc>
          <w:tcPr>
            <w:tcW w:w="1672" w:type="pct"/>
            <w:vAlign w:val="center"/>
          </w:tcPr>
          <w:p w14:paraId="3A0F317B">
            <w:pPr>
              <w:spacing w:line="360" w:lineRule="exact"/>
              <w:jc w:val="center"/>
              <w:rPr>
                <w:szCs w:val="21"/>
              </w:rPr>
            </w:pPr>
            <w:r>
              <w:rPr>
                <w:szCs w:val="21"/>
              </w:rPr>
              <w:t>环保措施</w:t>
            </w:r>
          </w:p>
        </w:tc>
        <w:tc>
          <w:tcPr>
            <w:tcW w:w="876" w:type="pct"/>
            <w:vAlign w:val="center"/>
          </w:tcPr>
          <w:p w14:paraId="73EA0CD4">
            <w:pPr>
              <w:spacing w:line="360" w:lineRule="exact"/>
              <w:jc w:val="center"/>
              <w:rPr>
                <w:szCs w:val="21"/>
              </w:rPr>
            </w:pPr>
            <w:r>
              <w:rPr>
                <w:szCs w:val="21"/>
              </w:rPr>
              <w:t>投资</w:t>
            </w:r>
            <w:r>
              <w:rPr>
                <w:rFonts w:hint="eastAsia"/>
                <w:szCs w:val="21"/>
              </w:rPr>
              <w:t>（</w:t>
            </w:r>
            <w:r>
              <w:rPr>
                <w:szCs w:val="21"/>
              </w:rPr>
              <w:t>万元</w:t>
            </w:r>
            <w:r>
              <w:rPr>
                <w:rFonts w:hint="eastAsia"/>
                <w:szCs w:val="21"/>
              </w:rPr>
              <w:t>）</w:t>
            </w:r>
          </w:p>
        </w:tc>
        <w:tc>
          <w:tcPr>
            <w:tcW w:w="1002" w:type="pct"/>
            <w:vAlign w:val="center"/>
          </w:tcPr>
          <w:p w14:paraId="74FB165A">
            <w:pPr>
              <w:spacing w:line="360" w:lineRule="exact"/>
              <w:jc w:val="center"/>
              <w:rPr>
                <w:szCs w:val="21"/>
              </w:rPr>
            </w:pPr>
            <w:r>
              <w:rPr>
                <w:szCs w:val="21"/>
              </w:rPr>
              <w:t>验收标准</w:t>
            </w:r>
          </w:p>
        </w:tc>
      </w:tr>
      <w:tr w14:paraId="288E49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3" w:hRule="atLeast"/>
          <w:jc w:val="center"/>
        </w:trPr>
        <w:tc>
          <w:tcPr>
            <w:tcW w:w="494" w:type="pct"/>
            <w:tcBorders>
              <w:bottom w:val="single" w:color="auto" w:sz="4" w:space="0"/>
            </w:tcBorders>
            <w:vAlign w:val="center"/>
          </w:tcPr>
          <w:p w14:paraId="0173BF84">
            <w:pPr>
              <w:spacing w:line="360" w:lineRule="exact"/>
              <w:jc w:val="center"/>
              <w:rPr>
                <w:szCs w:val="21"/>
              </w:rPr>
            </w:pPr>
            <w:r>
              <w:rPr>
                <w:szCs w:val="21"/>
              </w:rPr>
              <w:t>环境风险管理</w:t>
            </w:r>
          </w:p>
        </w:tc>
        <w:tc>
          <w:tcPr>
            <w:tcW w:w="956" w:type="pct"/>
            <w:tcBorders>
              <w:bottom w:val="single" w:color="auto" w:sz="4" w:space="0"/>
            </w:tcBorders>
            <w:vAlign w:val="center"/>
          </w:tcPr>
          <w:p w14:paraId="5086E7F2">
            <w:pPr>
              <w:spacing w:line="360" w:lineRule="exact"/>
              <w:jc w:val="center"/>
              <w:rPr>
                <w:szCs w:val="21"/>
              </w:rPr>
            </w:pPr>
            <w:r>
              <w:rPr>
                <w:szCs w:val="21"/>
              </w:rPr>
              <w:t>营运期环境风险防范措施</w:t>
            </w:r>
          </w:p>
        </w:tc>
        <w:tc>
          <w:tcPr>
            <w:tcW w:w="1672" w:type="pct"/>
            <w:tcBorders>
              <w:bottom w:val="single" w:color="auto" w:sz="4" w:space="0"/>
            </w:tcBorders>
            <w:vAlign w:val="center"/>
          </w:tcPr>
          <w:p w14:paraId="627D0335">
            <w:pPr>
              <w:spacing w:line="360" w:lineRule="exact"/>
              <w:jc w:val="center"/>
              <w:rPr>
                <w:snapToGrid w:val="0"/>
                <w:szCs w:val="21"/>
              </w:rPr>
            </w:pPr>
            <w:r>
              <w:rPr>
                <w:snapToGrid w:val="0"/>
                <w:szCs w:val="21"/>
              </w:rPr>
              <w:t>加强巡检、维护，定期对管道腐蚀情况进行检测</w:t>
            </w:r>
          </w:p>
        </w:tc>
        <w:tc>
          <w:tcPr>
            <w:tcW w:w="876" w:type="pct"/>
            <w:tcBorders>
              <w:bottom w:val="single" w:color="auto" w:sz="4" w:space="0"/>
            </w:tcBorders>
            <w:vAlign w:val="center"/>
          </w:tcPr>
          <w:p w14:paraId="70F0FAD1">
            <w:pPr>
              <w:spacing w:line="360" w:lineRule="exact"/>
              <w:jc w:val="center"/>
              <w:rPr>
                <w:szCs w:val="21"/>
              </w:rPr>
            </w:pPr>
            <w:r>
              <w:rPr>
                <w:rFonts w:hint="eastAsia"/>
                <w:szCs w:val="21"/>
              </w:rPr>
              <w:t>10</w:t>
            </w:r>
          </w:p>
        </w:tc>
        <w:tc>
          <w:tcPr>
            <w:tcW w:w="1002" w:type="pct"/>
            <w:tcBorders>
              <w:bottom w:val="single" w:color="auto" w:sz="4" w:space="0"/>
            </w:tcBorders>
            <w:vAlign w:val="center"/>
          </w:tcPr>
          <w:p w14:paraId="67D319B6">
            <w:pPr>
              <w:spacing w:line="360" w:lineRule="exact"/>
              <w:jc w:val="center"/>
              <w:rPr>
                <w:szCs w:val="21"/>
              </w:rPr>
            </w:pPr>
            <w:r>
              <w:rPr>
                <w:szCs w:val="21"/>
              </w:rPr>
              <w:t>将环境风险控制在可防控范围内</w:t>
            </w:r>
          </w:p>
        </w:tc>
      </w:tr>
    </w:tbl>
    <w:p w14:paraId="75ABC8FB">
      <w:pPr>
        <w:adjustRightInd w:val="0"/>
        <w:spacing w:before="120" w:after="120" w:line="440" w:lineRule="exact"/>
        <w:outlineLvl w:val="1"/>
        <w:rPr>
          <w:b/>
          <w:sz w:val="28"/>
          <w:szCs w:val="28"/>
        </w:rPr>
      </w:pPr>
      <w:bookmarkStart w:id="69" w:name="_Toc150331206"/>
      <w:r>
        <w:rPr>
          <w:b/>
          <w:sz w:val="28"/>
          <w:szCs w:val="28"/>
        </w:rPr>
        <w:t>4.3 突发环境事件应急预案</w:t>
      </w:r>
      <w:bookmarkEnd w:id="69"/>
    </w:p>
    <w:p w14:paraId="5A4A2C0F">
      <w:pPr>
        <w:adjustRightInd w:val="0"/>
        <w:snapToGrid w:val="0"/>
        <w:spacing w:line="440" w:lineRule="exact"/>
        <w:ind w:firstLine="480" w:firstLineChars="200"/>
        <w:rPr>
          <w:sz w:val="24"/>
          <w:lang w:val="zh-CN"/>
        </w:rPr>
      </w:pPr>
      <w:r>
        <w:rPr>
          <w:rFonts w:hint="eastAsia"/>
          <w:sz w:val="24"/>
          <w:lang w:val="zh-CN"/>
        </w:rPr>
        <w:t>建设单位应根据《突发事件应急预案管理办法》（国办发〔</w:t>
      </w:r>
      <w:r>
        <w:rPr>
          <w:sz w:val="24"/>
          <w:lang w:val="zh-CN"/>
        </w:rPr>
        <w:t>2013</w:t>
      </w:r>
      <w:r>
        <w:rPr>
          <w:rFonts w:hint="eastAsia"/>
          <w:sz w:val="24"/>
          <w:lang w:val="zh-CN"/>
        </w:rPr>
        <w:t>〕</w:t>
      </w:r>
      <w:r>
        <w:rPr>
          <w:sz w:val="24"/>
          <w:lang w:val="zh-CN"/>
        </w:rPr>
        <w:t>101</w:t>
      </w:r>
      <w:r>
        <w:rPr>
          <w:rFonts w:hint="eastAsia"/>
          <w:sz w:val="24"/>
          <w:lang w:val="zh-CN"/>
        </w:rPr>
        <w:t>号）、《突发环境事件应急管理办法》（</w:t>
      </w:r>
      <w:r>
        <w:rPr>
          <w:sz w:val="24"/>
          <w:lang w:val="zh-CN"/>
        </w:rPr>
        <w:t>2015</w:t>
      </w:r>
      <w:r>
        <w:rPr>
          <w:rFonts w:hint="eastAsia"/>
          <w:sz w:val="24"/>
          <w:lang w:val="zh-CN"/>
        </w:rPr>
        <w:t>年，环保部令第</w:t>
      </w:r>
      <w:r>
        <w:rPr>
          <w:sz w:val="24"/>
          <w:lang w:val="zh-CN"/>
        </w:rPr>
        <w:t>34</w:t>
      </w:r>
      <w:r>
        <w:rPr>
          <w:rFonts w:hint="eastAsia"/>
          <w:sz w:val="24"/>
          <w:lang w:val="zh-CN"/>
        </w:rPr>
        <w:t>号）、内蒙古自治区环保厅印发自治区突发环境事件应急预案（</w:t>
      </w:r>
      <w:r>
        <w:rPr>
          <w:sz w:val="24"/>
          <w:lang w:val="zh-CN"/>
        </w:rPr>
        <w:t>2022</w:t>
      </w:r>
      <w:r>
        <w:rPr>
          <w:rFonts w:hint="eastAsia"/>
          <w:sz w:val="24"/>
          <w:lang w:val="zh-CN"/>
        </w:rPr>
        <w:t>年版）的通知及《企业突发环境事件风险分级方法》（</w:t>
      </w:r>
      <w:r>
        <w:rPr>
          <w:sz w:val="24"/>
          <w:lang w:val="zh-CN"/>
        </w:rPr>
        <w:t>HJ 941-2018</w:t>
      </w:r>
      <w:r>
        <w:rPr>
          <w:rFonts w:hint="eastAsia"/>
          <w:sz w:val="24"/>
          <w:lang w:val="zh-CN"/>
        </w:rPr>
        <w:t>）等有关要求，将项目纳入企业突发环境事件应急预案，报鄂尔多斯市杭锦旗生态环境局备案，并每</w:t>
      </w:r>
      <w:r>
        <w:rPr>
          <w:sz w:val="24"/>
          <w:lang w:val="zh-CN"/>
        </w:rPr>
        <w:t>3</w:t>
      </w:r>
      <w:r>
        <w:rPr>
          <w:rFonts w:hint="eastAsia"/>
          <w:sz w:val="24"/>
          <w:lang w:val="zh-CN"/>
        </w:rPr>
        <w:t>年修订</w:t>
      </w:r>
      <w:r>
        <w:rPr>
          <w:sz w:val="24"/>
          <w:lang w:val="zh-CN"/>
        </w:rPr>
        <w:t>1</w:t>
      </w:r>
      <w:r>
        <w:rPr>
          <w:rFonts w:hint="eastAsia"/>
          <w:sz w:val="24"/>
          <w:lang w:val="zh-CN"/>
        </w:rPr>
        <w:t>次。建设单位应按规定定期开展应急演练。项目环境风险应急预案应当与邻近单位进行联防联控，与园区环境风险防控系统有效衔接。</w:t>
      </w:r>
    </w:p>
    <w:p w14:paraId="6A89246C">
      <w:pPr>
        <w:spacing w:line="440" w:lineRule="exact"/>
        <w:ind w:firstLine="480"/>
        <w:rPr>
          <w:sz w:val="24"/>
        </w:rPr>
      </w:pPr>
      <w:r>
        <w:rPr>
          <w:rFonts w:hint="eastAsia"/>
          <w:sz w:val="24"/>
          <w:lang w:val="zh-CN"/>
        </w:rPr>
        <w:t>应急预案应按照国家、地方和相关部门要求进行编制，主要内容包括预案适用范围、环境事件分类与分级、组织机构与职责、监控和预警、应急响应、应急保障、善后处置、预案管理与演练等内容。</w:t>
      </w:r>
    </w:p>
    <w:p w14:paraId="2A472F6F">
      <w:pPr>
        <w:spacing w:line="440" w:lineRule="exact"/>
        <w:ind w:firstLine="480"/>
        <w:rPr>
          <w:sz w:val="24"/>
        </w:rPr>
      </w:pPr>
    </w:p>
    <w:p w14:paraId="07F373E5">
      <w:pPr>
        <w:overflowPunct w:val="0"/>
        <w:spacing w:before="180" w:after="180" w:line="440" w:lineRule="exact"/>
        <w:jc w:val="left"/>
        <w:outlineLvl w:val="0"/>
        <w:rPr>
          <w:b/>
          <w:kern w:val="44"/>
          <w:sz w:val="30"/>
          <w:szCs w:val="30"/>
        </w:rPr>
      </w:pPr>
      <w:r>
        <w:rPr>
          <w:b/>
          <w:kern w:val="44"/>
          <w:sz w:val="30"/>
          <w:szCs w:val="30"/>
        </w:rPr>
        <w:br w:type="page"/>
      </w:r>
      <w:bookmarkStart w:id="70" w:name="_Toc150331207"/>
      <w:r>
        <w:rPr>
          <w:b/>
          <w:kern w:val="44"/>
          <w:sz w:val="30"/>
          <w:szCs w:val="30"/>
        </w:rPr>
        <w:t>5</w:t>
      </w:r>
      <w:r>
        <w:rPr>
          <w:rFonts w:hint="eastAsia"/>
          <w:b/>
          <w:kern w:val="44"/>
          <w:sz w:val="30"/>
          <w:szCs w:val="30"/>
        </w:rPr>
        <w:t>.</w:t>
      </w:r>
      <w:r>
        <w:rPr>
          <w:b/>
          <w:kern w:val="44"/>
          <w:sz w:val="30"/>
          <w:szCs w:val="30"/>
        </w:rPr>
        <w:t>结论与建议</w:t>
      </w:r>
      <w:bookmarkEnd w:id="70"/>
    </w:p>
    <w:p w14:paraId="21B1BF02">
      <w:pPr>
        <w:adjustRightInd w:val="0"/>
        <w:spacing w:before="120" w:after="120" w:line="440" w:lineRule="exact"/>
        <w:outlineLvl w:val="1"/>
        <w:rPr>
          <w:b/>
          <w:sz w:val="28"/>
          <w:szCs w:val="28"/>
        </w:rPr>
      </w:pPr>
      <w:bookmarkStart w:id="71" w:name="_Toc150331208"/>
      <w:r>
        <w:rPr>
          <w:b/>
          <w:sz w:val="28"/>
          <w:szCs w:val="28"/>
        </w:rPr>
        <w:t>5.1结论</w:t>
      </w:r>
      <w:bookmarkEnd w:id="71"/>
    </w:p>
    <w:p w14:paraId="3AF966A6">
      <w:pPr>
        <w:spacing w:line="440" w:lineRule="exact"/>
        <w:ind w:firstLine="480" w:firstLineChars="200"/>
        <w:rPr>
          <w:sz w:val="24"/>
        </w:rPr>
      </w:pPr>
      <w:r>
        <w:rPr>
          <w:sz w:val="24"/>
        </w:rPr>
        <w:t>项目Q＜1，环境风险潜势为Ⅰ；项目涉及的风险物质主要为</w:t>
      </w:r>
      <w:r>
        <w:rPr>
          <w:rFonts w:hint="eastAsia"/>
          <w:sz w:val="24"/>
        </w:rPr>
        <w:t>混合烯烃、烷烃返回料、氢气、排放气</w:t>
      </w:r>
      <w:r>
        <w:rPr>
          <w:sz w:val="24"/>
        </w:rPr>
        <w:t>，有发生泄漏及泄漏后发生火灾的环境风险；在严格落实本评价提出的风险防范措施与管理要求的情况下，本项目的环境风险可接受。</w:t>
      </w:r>
    </w:p>
    <w:p w14:paraId="0CE3CD9E">
      <w:pPr>
        <w:adjustRightInd w:val="0"/>
        <w:spacing w:before="120" w:after="120" w:line="440" w:lineRule="exact"/>
        <w:outlineLvl w:val="1"/>
        <w:rPr>
          <w:b/>
          <w:sz w:val="28"/>
          <w:szCs w:val="28"/>
        </w:rPr>
      </w:pPr>
      <w:bookmarkStart w:id="72" w:name="_Toc150331209"/>
      <w:r>
        <w:rPr>
          <w:b/>
          <w:sz w:val="28"/>
          <w:szCs w:val="28"/>
        </w:rPr>
        <w:t>5.2建议</w:t>
      </w:r>
      <w:bookmarkEnd w:id="72"/>
    </w:p>
    <w:p w14:paraId="1A53DBAD">
      <w:pPr>
        <w:spacing w:line="440" w:lineRule="exact"/>
        <w:ind w:firstLine="480" w:firstLineChars="200"/>
        <w:rPr>
          <w:sz w:val="24"/>
        </w:rPr>
      </w:pPr>
      <w:r>
        <w:rPr>
          <w:sz w:val="24"/>
        </w:rPr>
        <w:t>综合环境风险评价工作过程，项目环境风险可防控，建设单位应针对环境风险事故采取多种防范措施。建议企业强化管理意识，通过加强事故应急演练增强风险防范能力。</w:t>
      </w:r>
    </w:p>
    <w:p w14:paraId="1E1F34F2">
      <w:pPr>
        <w:adjustRightInd w:val="0"/>
        <w:spacing w:before="120" w:after="120" w:line="440" w:lineRule="exact"/>
        <w:outlineLvl w:val="1"/>
        <w:rPr>
          <w:b/>
          <w:sz w:val="28"/>
          <w:szCs w:val="28"/>
        </w:rPr>
      </w:pPr>
      <w:bookmarkStart w:id="73" w:name="_Toc150331210"/>
      <w:r>
        <w:rPr>
          <w:b/>
          <w:sz w:val="28"/>
          <w:szCs w:val="28"/>
        </w:rPr>
        <w:t>5.3环境风险评价自查表</w:t>
      </w:r>
      <w:bookmarkEnd w:id="73"/>
    </w:p>
    <w:p w14:paraId="2E3EEB20">
      <w:pPr>
        <w:spacing w:line="440" w:lineRule="exact"/>
        <w:ind w:firstLine="480" w:firstLineChars="200"/>
        <w:rPr>
          <w:sz w:val="24"/>
        </w:rPr>
      </w:pPr>
      <w:r>
        <w:rPr>
          <w:sz w:val="24"/>
        </w:rPr>
        <w:t>项目环境风险评价自查表见表5-1。</w:t>
      </w:r>
    </w:p>
    <w:p w14:paraId="3ECF01D8">
      <w:pPr>
        <w:spacing w:line="440" w:lineRule="exact"/>
        <w:ind w:firstLine="482" w:firstLineChars="200"/>
        <w:rPr>
          <w:b/>
          <w:sz w:val="24"/>
        </w:rPr>
      </w:pPr>
      <w:r>
        <w:rPr>
          <w:b/>
          <w:sz w:val="24"/>
        </w:rPr>
        <w:t>表5-1    本项目环境风险评价自查表</w:t>
      </w:r>
    </w:p>
    <w:tbl>
      <w:tblPr>
        <w:tblStyle w:val="7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429"/>
        <w:gridCol w:w="27"/>
        <w:gridCol w:w="484"/>
        <w:gridCol w:w="1051"/>
        <w:gridCol w:w="895"/>
        <w:gridCol w:w="288"/>
        <w:gridCol w:w="303"/>
        <w:gridCol w:w="177"/>
        <w:gridCol w:w="484"/>
        <w:gridCol w:w="224"/>
        <w:gridCol w:w="219"/>
        <w:gridCol w:w="80"/>
        <w:gridCol w:w="449"/>
        <w:gridCol w:w="151"/>
        <w:gridCol w:w="305"/>
        <w:gridCol w:w="189"/>
        <w:gridCol w:w="109"/>
        <w:gridCol w:w="72"/>
        <w:gridCol w:w="398"/>
        <w:gridCol w:w="290"/>
        <w:gridCol w:w="151"/>
        <w:gridCol w:w="89"/>
        <w:gridCol w:w="137"/>
        <w:gridCol w:w="77"/>
        <w:gridCol w:w="37"/>
        <w:gridCol w:w="156"/>
        <w:gridCol w:w="166"/>
        <w:gridCol w:w="931"/>
      </w:tblGrid>
      <w:tr w14:paraId="1A5B5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726" w:type="pct"/>
            <w:gridSpan w:val="5"/>
            <w:vAlign w:val="center"/>
          </w:tcPr>
          <w:p w14:paraId="26867F6E">
            <w:pPr>
              <w:adjustRightInd w:val="0"/>
              <w:spacing w:line="360" w:lineRule="exact"/>
              <w:jc w:val="center"/>
              <w:rPr>
                <w:szCs w:val="21"/>
              </w:rPr>
            </w:pPr>
            <w:r>
              <w:rPr>
                <w:szCs w:val="21"/>
              </w:rPr>
              <w:t>工作内容</w:t>
            </w:r>
          </w:p>
        </w:tc>
        <w:tc>
          <w:tcPr>
            <w:tcW w:w="3274" w:type="pct"/>
            <w:gridSpan w:val="23"/>
            <w:vAlign w:val="center"/>
          </w:tcPr>
          <w:p w14:paraId="10D36F23">
            <w:pPr>
              <w:adjustRightInd w:val="0"/>
              <w:spacing w:line="360" w:lineRule="exact"/>
              <w:jc w:val="center"/>
              <w:rPr>
                <w:szCs w:val="21"/>
              </w:rPr>
            </w:pPr>
            <w:r>
              <w:rPr>
                <w:szCs w:val="21"/>
              </w:rPr>
              <w:t>完成情况</w:t>
            </w:r>
          </w:p>
        </w:tc>
      </w:tr>
      <w:tr w14:paraId="52E6F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restart"/>
            <w:vAlign w:val="center"/>
          </w:tcPr>
          <w:p w14:paraId="3C8562F0">
            <w:pPr>
              <w:adjustRightInd w:val="0"/>
              <w:spacing w:line="360" w:lineRule="exact"/>
              <w:jc w:val="center"/>
              <w:rPr>
                <w:szCs w:val="21"/>
              </w:rPr>
            </w:pPr>
            <w:r>
              <w:rPr>
                <w:szCs w:val="21"/>
              </w:rPr>
              <w:t>风险调查</w:t>
            </w:r>
          </w:p>
        </w:tc>
        <w:tc>
          <w:tcPr>
            <w:tcW w:w="306" w:type="pct"/>
            <w:gridSpan w:val="2"/>
            <w:vMerge w:val="restart"/>
            <w:vAlign w:val="center"/>
          </w:tcPr>
          <w:p w14:paraId="64315572">
            <w:pPr>
              <w:adjustRightInd w:val="0"/>
              <w:spacing w:line="360" w:lineRule="exact"/>
              <w:jc w:val="center"/>
              <w:rPr>
                <w:szCs w:val="21"/>
              </w:rPr>
            </w:pPr>
            <w:r>
              <w:rPr>
                <w:szCs w:val="21"/>
              </w:rPr>
              <w:t>危险物质</w:t>
            </w:r>
          </w:p>
        </w:tc>
        <w:tc>
          <w:tcPr>
            <w:tcW w:w="1163" w:type="pct"/>
            <w:gridSpan w:val="2"/>
            <w:vAlign w:val="center"/>
          </w:tcPr>
          <w:p w14:paraId="53A7E276">
            <w:pPr>
              <w:adjustRightInd w:val="0"/>
              <w:spacing w:line="360" w:lineRule="exact"/>
              <w:jc w:val="center"/>
              <w:rPr>
                <w:szCs w:val="21"/>
              </w:rPr>
            </w:pPr>
            <w:r>
              <w:rPr>
                <w:szCs w:val="21"/>
              </w:rPr>
              <w:t>名称</w:t>
            </w:r>
          </w:p>
        </w:tc>
        <w:tc>
          <w:tcPr>
            <w:tcW w:w="748" w:type="pct"/>
            <w:gridSpan w:val="4"/>
            <w:vAlign w:val="center"/>
          </w:tcPr>
          <w:p w14:paraId="6AA79FDB">
            <w:pPr>
              <w:adjustRightInd w:val="0"/>
              <w:spacing w:line="360" w:lineRule="exact"/>
              <w:jc w:val="center"/>
              <w:rPr>
                <w:szCs w:val="21"/>
              </w:rPr>
            </w:pPr>
            <w:r>
              <w:rPr>
                <w:rFonts w:hint="eastAsia"/>
                <w:szCs w:val="21"/>
              </w:rPr>
              <w:t>混合烯烃</w:t>
            </w:r>
          </w:p>
        </w:tc>
        <w:tc>
          <w:tcPr>
            <w:tcW w:w="965" w:type="pct"/>
            <w:gridSpan w:val="7"/>
            <w:vAlign w:val="center"/>
          </w:tcPr>
          <w:p w14:paraId="3BAC9057">
            <w:pPr>
              <w:adjustRightInd w:val="0"/>
              <w:spacing w:line="360" w:lineRule="exact"/>
              <w:jc w:val="center"/>
              <w:rPr>
                <w:szCs w:val="21"/>
              </w:rPr>
            </w:pPr>
            <w:r>
              <w:rPr>
                <w:rFonts w:hint="eastAsia"/>
                <w:szCs w:val="21"/>
              </w:rPr>
              <w:t>烷烃返回料</w:t>
            </w:r>
          </w:p>
        </w:tc>
        <w:tc>
          <w:tcPr>
            <w:tcW w:w="744" w:type="pct"/>
            <w:gridSpan w:val="7"/>
            <w:vAlign w:val="center"/>
          </w:tcPr>
          <w:p w14:paraId="662A3624">
            <w:pPr>
              <w:adjustRightInd w:val="0"/>
              <w:spacing w:line="360" w:lineRule="exact"/>
              <w:jc w:val="center"/>
              <w:rPr>
                <w:szCs w:val="21"/>
              </w:rPr>
            </w:pPr>
            <w:r>
              <w:rPr>
                <w:rFonts w:hint="eastAsia"/>
                <w:szCs w:val="21"/>
              </w:rPr>
              <w:t>氢气</w:t>
            </w:r>
          </w:p>
        </w:tc>
        <w:tc>
          <w:tcPr>
            <w:tcW w:w="817" w:type="pct"/>
            <w:gridSpan w:val="5"/>
            <w:vAlign w:val="center"/>
          </w:tcPr>
          <w:p w14:paraId="7C6BE96D">
            <w:pPr>
              <w:adjustRightInd w:val="0"/>
              <w:spacing w:line="360" w:lineRule="exact"/>
              <w:jc w:val="center"/>
              <w:rPr>
                <w:szCs w:val="21"/>
              </w:rPr>
            </w:pPr>
            <w:r>
              <w:rPr>
                <w:rFonts w:hint="eastAsia"/>
                <w:szCs w:val="21"/>
              </w:rPr>
              <w:t>排放气</w:t>
            </w:r>
          </w:p>
        </w:tc>
      </w:tr>
      <w:tr w14:paraId="743DE1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continue"/>
            <w:vAlign w:val="center"/>
          </w:tcPr>
          <w:p w14:paraId="02E29435">
            <w:pPr>
              <w:spacing w:line="360" w:lineRule="exact"/>
              <w:jc w:val="center"/>
              <w:rPr>
                <w:szCs w:val="21"/>
              </w:rPr>
            </w:pPr>
          </w:p>
        </w:tc>
        <w:tc>
          <w:tcPr>
            <w:tcW w:w="306" w:type="pct"/>
            <w:gridSpan w:val="2"/>
            <w:vMerge w:val="continue"/>
            <w:vAlign w:val="center"/>
          </w:tcPr>
          <w:p w14:paraId="495C55EC">
            <w:pPr>
              <w:widowControl/>
              <w:spacing w:line="360" w:lineRule="exact"/>
              <w:jc w:val="left"/>
              <w:rPr>
                <w:szCs w:val="21"/>
              </w:rPr>
            </w:pPr>
          </w:p>
        </w:tc>
        <w:tc>
          <w:tcPr>
            <w:tcW w:w="628" w:type="pct"/>
            <w:vAlign w:val="center"/>
          </w:tcPr>
          <w:p w14:paraId="76592011">
            <w:pPr>
              <w:adjustRightInd w:val="0"/>
              <w:spacing w:line="360" w:lineRule="exact"/>
              <w:jc w:val="center"/>
              <w:rPr>
                <w:szCs w:val="21"/>
              </w:rPr>
            </w:pPr>
            <w:r>
              <w:rPr>
                <w:szCs w:val="21"/>
              </w:rPr>
              <w:t>存在总量/t</w:t>
            </w:r>
          </w:p>
        </w:tc>
        <w:tc>
          <w:tcPr>
            <w:tcW w:w="535" w:type="pct"/>
            <w:vAlign w:val="center"/>
          </w:tcPr>
          <w:p w14:paraId="54301B25">
            <w:pPr>
              <w:adjustRightInd w:val="0"/>
              <w:spacing w:line="360" w:lineRule="exact"/>
              <w:jc w:val="center"/>
              <w:rPr>
                <w:szCs w:val="21"/>
              </w:rPr>
            </w:pPr>
            <w:r>
              <w:rPr>
                <w:szCs w:val="21"/>
              </w:rPr>
              <w:t>管线</w:t>
            </w:r>
          </w:p>
        </w:tc>
        <w:tc>
          <w:tcPr>
            <w:tcW w:w="748" w:type="pct"/>
            <w:gridSpan w:val="4"/>
            <w:vAlign w:val="center"/>
          </w:tcPr>
          <w:p w14:paraId="548E34BB">
            <w:pPr>
              <w:adjustRightInd w:val="0"/>
              <w:spacing w:line="360" w:lineRule="exact"/>
              <w:jc w:val="center"/>
              <w:rPr>
                <w:szCs w:val="21"/>
              </w:rPr>
            </w:pPr>
            <w:r>
              <w:rPr>
                <w:rFonts w:hint="eastAsia"/>
                <w:szCs w:val="21"/>
              </w:rPr>
              <w:t>0.002</w:t>
            </w:r>
          </w:p>
        </w:tc>
        <w:tc>
          <w:tcPr>
            <w:tcW w:w="965" w:type="pct"/>
            <w:gridSpan w:val="7"/>
            <w:vAlign w:val="center"/>
          </w:tcPr>
          <w:p w14:paraId="6E89BF0D">
            <w:pPr>
              <w:adjustRightInd w:val="0"/>
              <w:spacing w:line="360" w:lineRule="exact"/>
              <w:jc w:val="center"/>
              <w:rPr>
                <w:szCs w:val="21"/>
              </w:rPr>
            </w:pPr>
            <w:r>
              <w:rPr>
                <w:rFonts w:hint="eastAsia"/>
                <w:szCs w:val="21"/>
              </w:rPr>
              <w:t>0.001</w:t>
            </w:r>
          </w:p>
        </w:tc>
        <w:tc>
          <w:tcPr>
            <w:tcW w:w="744" w:type="pct"/>
            <w:gridSpan w:val="7"/>
            <w:vAlign w:val="center"/>
          </w:tcPr>
          <w:p w14:paraId="35733CC0">
            <w:pPr>
              <w:adjustRightInd w:val="0"/>
              <w:spacing w:line="360" w:lineRule="exact"/>
              <w:jc w:val="center"/>
              <w:rPr>
                <w:szCs w:val="21"/>
              </w:rPr>
            </w:pPr>
            <w:r>
              <w:rPr>
                <w:rFonts w:hint="eastAsia"/>
                <w:szCs w:val="21"/>
              </w:rPr>
              <w:t>0.00005</w:t>
            </w:r>
          </w:p>
        </w:tc>
        <w:tc>
          <w:tcPr>
            <w:tcW w:w="817" w:type="pct"/>
            <w:gridSpan w:val="5"/>
            <w:vAlign w:val="center"/>
          </w:tcPr>
          <w:p w14:paraId="20EE624D">
            <w:pPr>
              <w:adjustRightInd w:val="0"/>
              <w:spacing w:line="360" w:lineRule="exact"/>
              <w:jc w:val="center"/>
              <w:rPr>
                <w:szCs w:val="21"/>
              </w:rPr>
            </w:pPr>
            <w:r>
              <w:rPr>
                <w:rFonts w:hint="eastAsia"/>
                <w:szCs w:val="21"/>
              </w:rPr>
              <w:t>0.116</w:t>
            </w:r>
          </w:p>
        </w:tc>
      </w:tr>
      <w:tr w14:paraId="39387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7" w:hRule="atLeast"/>
          <w:jc w:val="center"/>
        </w:trPr>
        <w:tc>
          <w:tcPr>
            <w:tcW w:w="257" w:type="pct"/>
            <w:vMerge w:val="continue"/>
            <w:vAlign w:val="center"/>
          </w:tcPr>
          <w:p w14:paraId="050336FE">
            <w:pPr>
              <w:spacing w:line="360" w:lineRule="exact"/>
              <w:jc w:val="center"/>
              <w:rPr>
                <w:szCs w:val="21"/>
              </w:rPr>
            </w:pPr>
          </w:p>
        </w:tc>
        <w:tc>
          <w:tcPr>
            <w:tcW w:w="933" w:type="pct"/>
            <w:gridSpan w:val="3"/>
            <w:vMerge w:val="restart"/>
            <w:vAlign w:val="center"/>
          </w:tcPr>
          <w:p w14:paraId="6761747B">
            <w:pPr>
              <w:adjustRightInd w:val="0"/>
              <w:spacing w:line="360" w:lineRule="exact"/>
              <w:jc w:val="center"/>
              <w:rPr>
                <w:szCs w:val="21"/>
              </w:rPr>
            </w:pPr>
            <w:r>
              <w:rPr>
                <w:szCs w:val="21"/>
              </w:rPr>
              <w:t>环境敏感性</w:t>
            </w:r>
          </w:p>
        </w:tc>
        <w:tc>
          <w:tcPr>
            <w:tcW w:w="535" w:type="pct"/>
            <w:vAlign w:val="center"/>
          </w:tcPr>
          <w:p w14:paraId="20BE7418">
            <w:pPr>
              <w:adjustRightInd w:val="0"/>
              <w:spacing w:line="360" w:lineRule="exact"/>
              <w:jc w:val="center"/>
              <w:rPr>
                <w:szCs w:val="21"/>
              </w:rPr>
            </w:pPr>
            <w:r>
              <w:rPr>
                <w:szCs w:val="21"/>
              </w:rPr>
              <w:t>大气</w:t>
            </w:r>
          </w:p>
        </w:tc>
        <w:tc>
          <w:tcPr>
            <w:tcW w:w="3274" w:type="pct"/>
            <w:gridSpan w:val="23"/>
            <w:vAlign w:val="center"/>
          </w:tcPr>
          <w:p w14:paraId="4578754A">
            <w:pPr>
              <w:adjustRightInd w:val="0"/>
              <w:spacing w:line="360" w:lineRule="exact"/>
              <w:jc w:val="center"/>
              <w:rPr>
                <w:szCs w:val="21"/>
              </w:rPr>
            </w:pPr>
            <w:r>
              <w:rPr>
                <w:szCs w:val="21"/>
              </w:rPr>
              <w:t>每公里管段周边200m范围内人口数</w:t>
            </w:r>
            <w:r>
              <w:rPr>
                <w:rFonts w:hint="eastAsia"/>
                <w:szCs w:val="21"/>
              </w:rPr>
              <w:t>（</w:t>
            </w:r>
            <w:r>
              <w:rPr>
                <w:szCs w:val="21"/>
              </w:rPr>
              <w:t>最大</w:t>
            </w:r>
            <w:r>
              <w:rPr>
                <w:rFonts w:hint="eastAsia"/>
                <w:szCs w:val="21"/>
              </w:rPr>
              <w:t>）2000</w:t>
            </w:r>
            <w:r>
              <w:rPr>
                <w:szCs w:val="21"/>
              </w:rPr>
              <w:t>人</w:t>
            </w:r>
            <w:r>
              <w:rPr>
                <w:rFonts w:hint="eastAsia"/>
                <w:szCs w:val="21"/>
              </w:rPr>
              <w:t>（企业职工）</w:t>
            </w:r>
          </w:p>
        </w:tc>
      </w:tr>
      <w:tr w14:paraId="4333F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continue"/>
            <w:vAlign w:val="center"/>
          </w:tcPr>
          <w:p w14:paraId="463BAEB2">
            <w:pPr>
              <w:spacing w:line="360" w:lineRule="exact"/>
              <w:jc w:val="center"/>
              <w:rPr>
                <w:szCs w:val="21"/>
              </w:rPr>
            </w:pPr>
          </w:p>
        </w:tc>
        <w:tc>
          <w:tcPr>
            <w:tcW w:w="933" w:type="pct"/>
            <w:gridSpan w:val="3"/>
            <w:vMerge w:val="continue"/>
            <w:vAlign w:val="center"/>
          </w:tcPr>
          <w:p w14:paraId="7AA9CA5D">
            <w:pPr>
              <w:widowControl/>
              <w:spacing w:line="360" w:lineRule="exact"/>
              <w:jc w:val="left"/>
              <w:rPr>
                <w:szCs w:val="21"/>
              </w:rPr>
            </w:pPr>
          </w:p>
        </w:tc>
        <w:tc>
          <w:tcPr>
            <w:tcW w:w="535" w:type="pct"/>
            <w:vMerge w:val="restart"/>
            <w:vAlign w:val="center"/>
          </w:tcPr>
          <w:p w14:paraId="5EC53A9C">
            <w:pPr>
              <w:adjustRightInd w:val="0"/>
              <w:spacing w:line="360" w:lineRule="exact"/>
              <w:jc w:val="center"/>
              <w:rPr>
                <w:szCs w:val="21"/>
              </w:rPr>
            </w:pPr>
            <w:r>
              <w:rPr>
                <w:szCs w:val="21"/>
              </w:rPr>
              <w:t>地表水</w:t>
            </w:r>
          </w:p>
        </w:tc>
        <w:tc>
          <w:tcPr>
            <w:tcW w:w="1712" w:type="pct"/>
            <w:gridSpan w:val="11"/>
            <w:vAlign w:val="center"/>
          </w:tcPr>
          <w:p w14:paraId="4F665102">
            <w:pPr>
              <w:adjustRightInd w:val="0"/>
              <w:spacing w:line="360" w:lineRule="exact"/>
              <w:jc w:val="center"/>
              <w:rPr>
                <w:szCs w:val="21"/>
              </w:rPr>
            </w:pPr>
            <w:r>
              <w:rPr>
                <w:szCs w:val="21"/>
              </w:rPr>
              <w:t>地表水功能敏感性</w:t>
            </w:r>
          </w:p>
        </w:tc>
        <w:tc>
          <w:tcPr>
            <w:tcW w:w="519" w:type="pct"/>
            <w:gridSpan w:val="4"/>
            <w:vAlign w:val="center"/>
          </w:tcPr>
          <w:p w14:paraId="233E8781">
            <w:pPr>
              <w:adjustRightInd w:val="0"/>
              <w:spacing w:line="360" w:lineRule="exact"/>
              <w:jc w:val="center"/>
              <w:rPr>
                <w:szCs w:val="21"/>
              </w:rPr>
            </w:pPr>
            <w:r>
              <w:rPr>
                <w:szCs w:val="21"/>
              </w:rPr>
              <w:t>F1□</w:t>
            </w:r>
          </w:p>
        </w:tc>
        <w:tc>
          <w:tcPr>
            <w:tcW w:w="485" w:type="pct"/>
            <w:gridSpan w:val="7"/>
            <w:vAlign w:val="center"/>
          </w:tcPr>
          <w:p w14:paraId="30E1282C">
            <w:pPr>
              <w:adjustRightInd w:val="0"/>
              <w:spacing w:line="360" w:lineRule="exact"/>
              <w:jc w:val="center"/>
              <w:rPr>
                <w:szCs w:val="21"/>
              </w:rPr>
            </w:pPr>
            <w:r>
              <w:rPr>
                <w:szCs w:val="21"/>
              </w:rPr>
              <w:t>F2□</w:t>
            </w:r>
          </w:p>
        </w:tc>
        <w:tc>
          <w:tcPr>
            <w:tcW w:w="557" w:type="pct"/>
            <w:vAlign w:val="center"/>
          </w:tcPr>
          <w:p w14:paraId="48CEDE53">
            <w:pPr>
              <w:adjustRightInd w:val="0"/>
              <w:spacing w:line="360" w:lineRule="exact"/>
              <w:jc w:val="center"/>
              <w:rPr>
                <w:szCs w:val="21"/>
              </w:rPr>
            </w:pPr>
            <w:r>
              <w:rPr>
                <w:szCs w:val="21"/>
              </w:rPr>
              <w:t>F3□</w:t>
            </w:r>
          </w:p>
        </w:tc>
      </w:tr>
      <w:tr w14:paraId="4CBD5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continue"/>
            <w:vAlign w:val="center"/>
          </w:tcPr>
          <w:p w14:paraId="3B42ACAB">
            <w:pPr>
              <w:spacing w:line="360" w:lineRule="exact"/>
              <w:jc w:val="center"/>
              <w:rPr>
                <w:szCs w:val="21"/>
              </w:rPr>
            </w:pPr>
          </w:p>
        </w:tc>
        <w:tc>
          <w:tcPr>
            <w:tcW w:w="933" w:type="pct"/>
            <w:gridSpan w:val="3"/>
            <w:vMerge w:val="continue"/>
            <w:vAlign w:val="center"/>
          </w:tcPr>
          <w:p w14:paraId="07E6FA4F">
            <w:pPr>
              <w:widowControl/>
              <w:spacing w:line="360" w:lineRule="exact"/>
              <w:jc w:val="left"/>
              <w:rPr>
                <w:szCs w:val="21"/>
              </w:rPr>
            </w:pPr>
          </w:p>
        </w:tc>
        <w:tc>
          <w:tcPr>
            <w:tcW w:w="535" w:type="pct"/>
            <w:vMerge w:val="continue"/>
            <w:vAlign w:val="center"/>
          </w:tcPr>
          <w:p w14:paraId="431D688A">
            <w:pPr>
              <w:widowControl/>
              <w:spacing w:line="360" w:lineRule="exact"/>
              <w:jc w:val="left"/>
              <w:rPr>
                <w:szCs w:val="21"/>
              </w:rPr>
            </w:pPr>
          </w:p>
        </w:tc>
        <w:tc>
          <w:tcPr>
            <w:tcW w:w="1712" w:type="pct"/>
            <w:gridSpan w:val="11"/>
            <w:vAlign w:val="center"/>
          </w:tcPr>
          <w:p w14:paraId="5A4046AE">
            <w:pPr>
              <w:adjustRightInd w:val="0"/>
              <w:spacing w:line="360" w:lineRule="exact"/>
              <w:jc w:val="center"/>
              <w:rPr>
                <w:szCs w:val="21"/>
              </w:rPr>
            </w:pPr>
            <w:r>
              <w:rPr>
                <w:szCs w:val="21"/>
              </w:rPr>
              <w:t>环境敏感目标分级</w:t>
            </w:r>
          </w:p>
        </w:tc>
        <w:tc>
          <w:tcPr>
            <w:tcW w:w="519" w:type="pct"/>
            <w:gridSpan w:val="4"/>
            <w:vAlign w:val="center"/>
          </w:tcPr>
          <w:p w14:paraId="6EE4652A">
            <w:pPr>
              <w:adjustRightInd w:val="0"/>
              <w:spacing w:line="360" w:lineRule="exact"/>
              <w:jc w:val="center"/>
              <w:rPr>
                <w:szCs w:val="21"/>
              </w:rPr>
            </w:pPr>
            <w:r>
              <w:rPr>
                <w:szCs w:val="21"/>
              </w:rPr>
              <w:t>S1□</w:t>
            </w:r>
          </w:p>
        </w:tc>
        <w:tc>
          <w:tcPr>
            <w:tcW w:w="485" w:type="pct"/>
            <w:gridSpan w:val="7"/>
            <w:vAlign w:val="center"/>
          </w:tcPr>
          <w:p w14:paraId="4B09E1EF">
            <w:pPr>
              <w:adjustRightInd w:val="0"/>
              <w:spacing w:line="360" w:lineRule="exact"/>
              <w:jc w:val="center"/>
              <w:rPr>
                <w:szCs w:val="21"/>
              </w:rPr>
            </w:pPr>
            <w:r>
              <w:rPr>
                <w:szCs w:val="21"/>
              </w:rPr>
              <w:t>S2□</w:t>
            </w:r>
          </w:p>
        </w:tc>
        <w:tc>
          <w:tcPr>
            <w:tcW w:w="557" w:type="pct"/>
            <w:vAlign w:val="center"/>
          </w:tcPr>
          <w:p w14:paraId="552D7A65">
            <w:pPr>
              <w:adjustRightInd w:val="0"/>
              <w:spacing w:line="360" w:lineRule="exact"/>
              <w:jc w:val="center"/>
              <w:rPr>
                <w:szCs w:val="21"/>
              </w:rPr>
            </w:pPr>
            <w:r>
              <w:rPr>
                <w:szCs w:val="21"/>
              </w:rPr>
              <w:t>S3□</w:t>
            </w:r>
          </w:p>
        </w:tc>
      </w:tr>
      <w:tr w14:paraId="4D4A9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continue"/>
            <w:vAlign w:val="center"/>
          </w:tcPr>
          <w:p w14:paraId="169CDC05">
            <w:pPr>
              <w:widowControl/>
              <w:spacing w:line="360" w:lineRule="exact"/>
              <w:jc w:val="center"/>
              <w:rPr>
                <w:szCs w:val="21"/>
              </w:rPr>
            </w:pPr>
          </w:p>
        </w:tc>
        <w:tc>
          <w:tcPr>
            <w:tcW w:w="933" w:type="pct"/>
            <w:gridSpan w:val="3"/>
            <w:vMerge w:val="continue"/>
            <w:vAlign w:val="center"/>
          </w:tcPr>
          <w:p w14:paraId="1AB1649D">
            <w:pPr>
              <w:widowControl/>
              <w:spacing w:line="360" w:lineRule="exact"/>
              <w:jc w:val="center"/>
              <w:rPr>
                <w:szCs w:val="21"/>
              </w:rPr>
            </w:pPr>
          </w:p>
        </w:tc>
        <w:tc>
          <w:tcPr>
            <w:tcW w:w="535" w:type="pct"/>
            <w:vMerge w:val="restart"/>
            <w:vAlign w:val="center"/>
          </w:tcPr>
          <w:p w14:paraId="226DA8BD">
            <w:pPr>
              <w:adjustRightInd w:val="0"/>
              <w:spacing w:line="360" w:lineRule="exact"/>
              <w:jc w:val="center"/>
              <w:rPr>
                <w:szCs w:val="21"/>
              </w:rPr>
            </w:pPr>
            <w:r>
              <w:rPr>
                <w:szCs w:val="21"/>
              </w:rPr>
              <w:t>地下水</w:t>
            </w:r>
          </w:p>
        </w:tc>
        <w:tc>
          <w:tcPr>
            <w:tcW w:w="1712" w:type="pct"/>
            <w:gridSpan w:val="11"/>
            <w:vAlign w:val="center"/>
          </w:tcPr>
          <w:p w14:paraId="63EF1BFF">
            <w:pPr>
              <w:adjustRightInd w:val="0"/>
              <w:spacing w:line="360" w:lineRule="exact"/>
              <w:jc w:val="center"/>
              <w:rPr>
                <w:szCs w:val="21"/>
              </w:rPr>
            </w:pPr>
            <w:r>
              <w:rPr>
                <w:szCs w:val="21"/>
              </w:rPr>
              <w:t>地下水功能敏感性</w:t>
            </w:r>
          </w:p>
        </w:tc>
        <w:tc>
          <w:tcPr>
            <w:tcW w:w="519" w:type="pct"/>
            <w:gridSpan w:val="4"/>
            <w:vAlign w:val="center"/>
          </w:tcPr>
          <w:p w14:paraId="6711EE76">
            <w:pPr>
              <w:adjustRightInd w:val="0"/>
              <w:spacing w:line="360" w:lineRule="exact"/>
              <w:jc w:val="center"/>
              <w:rPr>
                <w:szCs w:val="21"/>
              </w:rPr>
            </w:pPr>
            <w:r>
              <w:rPr>
                <w:szCs w:val="21"/>
              </w:rPr>
              <w:t>G1□</w:t>
            </w:r>
          </w:p>
        </w:tc>
        <w:tc>
          <w:tcPr>
            <w:tcW w:w="485" w:type="pct"/>
            <w:gridSpan w:val="7"/>
            <w:vAlign w:val="center"/>
          </w:tcPr>
          <w:p w14:paraId="35F60321">
            <w:pPr>
              <w:adjustRightInd w:val="0"/>
              <w:spacing w:line="360" w:lineRule="exact"/>
              <w:jc w:val="center"/>
              <w:rPr>
                <w:szCs w:val="21"/>
              </w:rPr>
            </w:pPr>
            <w:r>
              <w:rPr>
                <w:szCs w:val="21"/>
              </w:rPr>
              <w:t>G2□</w:t>
            </w:r>
          </w:p>
        </w:tc>
        <w:tc>
          <w:tcPr>
            <w:tcW w:w="557" w:type="pct"/>
            <w:vAlign w:val="center"/>
          </w:tcPr>
          <w:p w14:paraId="39E2CFCC">
            <w:pPr>
              <w:adjustRightInd w:val="0"/>
              <w:spacing w:line="360" w:lineRule="exact"/>
              <w:jc w:val="center"/>
              <w:rPr>
                <w:szCs w:val="21"/>
              </w:rPr>
            </w:pPr>
            <w:r>
              <w:rPr>
                <w:szCs w:val="21"/>
              </w:rPr>
              <w:t>G3□</w:t>
            </w:r>
          </w:p>
        </w:tc>
      </w:tr>
      <w:tr w14:paraId="269C1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57" w:type="pct"/>
            <w:vMerge w:val="continue"/>
            <w:vAlign w:val="center"/>
          </w:tcPr>
          <w:p w14:paraId="40BE1919">
            <w:pPr>
              <w:widowControl/>
              <w:spacing w:line="360" w:lineRule="exact"/>
              <w:jc w:val="left"/>
              <w:rPr>
                <w:szCs w:val="21"/>
              </w:rPr>
            </w:pPr>
          </w:p>
        </w:tc>
        <w:tc>
          <w:tcPr>
            <w:tcW w:w="933" w:type="pct"/>
            <w:gridSpan w:val="3"/>
            <w:vMerge w:val="continue"/>
            <w:vAlign w:val="center"/>
          </w:tcPr>
          <w:p w14:paraId="57D5B63D">
            <w:pPr>
              <w:widowControl/>
              <w:spacing w:line="360" w:lineRule="exact"/>
              <w:jc w:val="left"/>
              <w:rPr>
                <w:szCs w:val="21"/>
              </w:rPr>
            </w:pPr>
          </w:p>
        </w:tc>
        <w:tc>
          <w:tcPr>
            <w:tcW w:w="535" w:type="pct"/>
            <w:vMerge w:val="continue"/>
            <w:vAlign w:val="center"/>
          </w:tcPr>
          <w:p w14:paraId="3CBD1A0D">
            <w:pPr>
              <w:widowControl/>
              <w:spacing w:line="360" w:lineRule="exact"/>
              <w:jc w:val="left"/>
              <w:rPr>
                <w:szCs w:val="21"/>
              </w:rPr>
            </w:pPr>
          </w:p>
        </w:tc>
        <w:tc>
          <w:tcPr>
            <w:tcW w:w="1712" w:type="pct"/>
            <w:gridSpan w:val="11"/>
            <w:vAlign w:val="center"/>
          </w:tcPr>
          <w:p w14:paraId="3D9D4109">
            <w:pPr>
              <w:adjustRightInd w:val="0"/>
              <w:spacing w:line="360" w:lineRule="exact"/>
              <w:jc w:val="center"/>
              <w:rPr>
                <w:szCs w:val="21"/>
              </w:rPr>
            </w:pPr>
            <w:r>
              <w:rPr>
                <w:szCs w:val="21"/>
              </w:rPr>
              <w:t>包气带防污性能</w:t>
            </w:r>
          </w:p>
        </w:tc>
        <w:tc>
          <w:tcPr>
            <w:tcW w:w="519" w:type="pct"/>
            <w:gridSpan w:val="4"/>
            <w:vAlign w:val="center"/>
          </w:tcPr>
          <w:p w14:paraId="54D4C7B7">
            <w:pPr>
              <w:adjustRightInd w:val="0"/>
              <w:spacing w:line="360" w:lineRule="exact"/>
              <w:jc w:val="center"/>
              <w:rPr>
                <w:szCs w:val="21"/>
              </w:rPr>
            </w:pPr>
            <w:r>
              <w:rPr>
                <w:szCs w:val="21"/>
              </w:rPr>
              <w:t>D1□</w:t>
            </w:r>
          </w:p>
        </w:tc>
        <w:tc>
          <w:tcPr>
            <w:tcW w:w="485" w:type="pct"/>
            <w:gridSpan w:val="7"/>
            <w:vAlign w:val="center"/>
          </w:tcPr>
          <w:p w14:paraId="01FEA255">
            <w:pPr>
              <w:adjustRightInd w:val="0"/>
              <w:spacing w:line="360" w:lineRule="exact"/>
              <w:jc w:val="center"/>
              <w:rPr>
                <w:szCs w:val="21"/>
              </w:rPr>
            </w:pPr>
            <w:r>
              <w:rPr>
                <w:szCs w:val="21"/>
              </w:rPr>
              <w:t>D2□</w:t>
            </w:r>
          </w:p>
        </w:tc>
        <w:tc>
          <w:tcPr>
            <w:tcW w:w="557" w:type="pct"/>
            <w:vAlign w:val="center"/>
          </w:tcPr>
          <w:p w14:paraId="20A64B1B">
            <w:pPr>
              <w:adjustRightInd w:val="0"/>
              <w:spacing w:line="360" w:lineRule="exact"/>
              <w:jc w:val="center"/>
              <w:rPr>
                <w:szCs w:val="21"/>
              </w:rPr>
            </w:pPr>
            <w:r>
              <w:rPr>
                <w:szCs w:val="21"/>
              </w:rPr>
              <w:t>D3□</w:t>
            </w:r>
          </w:p>
        </w:tc>
      </w:tr>
      <w:tr w14:paraId="3182B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restart"/>
            <w:vAlign w:val="center"/>
          </w:tcPr>
          <w:p w14:paraId="4CEF573B">
            <w:pPr>
              <w:adjustRightInd w:val="0"/>
              <w:spacing w:line="360" w:lineRule="exact"/>
              <w:jc w:val="center"/>
              <w:rPr>
                <w:szCs w:val="21"/>
              </w:rPr>
            </w:pPr>
            <w:r>
              <w:rPr>
                <w:szCs w:val="21"/>
              </w:rPr>
              <w:t>物质及工艺系统危险性</w:t>
            </w:r>
          </w:p>
        </w:tc>
        <w:tc>
          <w:tcPr>
            <w:tcW w:w="535" w:type="pct"/>
            <w:vAlign w:val="center"/>
          </w:tcPr>
          <w:p w14:paraId="14F261B4">
            <w:pPr>
              <w:adjustRightInd w:val="0"/>
              <w:spacing w:line="360" w:lineRule="exact"/>
              <w:jc w:val="center"/>
              <w:rPr>
                <w:szCs w:val="21"/>
              </w:rPr>
            </w:pPr>
            <w:r>
              <w:rPr>
                <w:szCs w:val="21"/>
              </w:rPr>
              <w:t>Q值</w:t>
            </w:r>
          </w:p>
        </w:tc>
        <w:tc>
          <w:tcPr>
            <w:tcW w:w="1061" w:type="pct"/>
            <w:gridSpan w:val="7"/>
            <w:vAlign w:val="center"/>
          </w:tcPr>
          <w:p w14:paraId="319B061E">
            <w:pPr>
              <w:adjustRightInd w:val="0"/>
              <w:spacing w:line="360" w:lineRule="exact"/>
              <w:jc w:val="center"/>
              <w:rPr>
                <w:szCs w:val="21"/>
              </w:rPr>
            </w:pPr>
            <w:r>
              <w:rPr>
                <w:szCs w:val="21"/>
              </w:rPr>
              <w:t>Q＜1</w:t>
            </w:r>
            <w:r>
              <w:rPr>
                <w:szCs w:val="21"/>
              </w:rPr>
              <w:fldChar w:fldCharType="begin"/>
            </w:r>
            <w:r>
              <w:rPr>
                <w:szCs w:val="21"/>
              </w:rPr>
              <w:instrText xml:space="preserve"> EQ \o\ac(□,√)</w:instrText>
            </w:r>
            <w:r>
              <w:rPr>
                <w:szCs w:val="21"/>
              </w:rPr>
              <w:fldChar w:fldCharType="end"/>
            </w:r>
          </w:p>
        </w:tc>
        <w:tc>
          <w:tcPr>
            <w:tcW w:w="717" w:type="pct"/>
            <w:gridSpan w:val="5"/>
            <w:vAlign w:val="center"/>
          </w:tcPr>
          <w:p w14:paraId="23466A91">
            <w:pPr>
              <w:adjustRightInd w:val="0"/>
              <w:spacing w:line="360" w:lineRule="exact"/>
              <w:jc w:val="center"/>
              <w:rPr>
                <w:szCs w:val="21"/>
              </w:rPr>
            </w:pPr>
            <w:r>
              <w:rPr>
                <w:szCs w:val="21"/>
              </w:rPr>
              <w:t>1≤Q＜10□</w:t>
            </w:r>
          </w:p>
        </w:tc>
        <w:tc>
          <w:tcPr>
            <w:tcW w:w="725" w:type="pct"/>
            <w:gridSpan w:val="7"/>
            <w:vAlign w:val="center"/>
          </w:tcPr>
          <w:p w14:paraId="5F7302F5">
            <w:pPr>
              <w:adjustRightInd w:val="0"/>
              <w:spacing w:line="360" w:lineRule="exact"/>
              <w:jc w:val="center"/>
              <w:rPr>
                <w:szCs w:val="21"/>
              </w:rPr>
            </w:pPr>
            <w:r>
              <w:rPr>
                <w:szCs w:val="21"/>
              </w:rPr>
              <w:t>10≤Q＜100□</w:t>
            </w:r>
          </w:p>
        </w:tc>
        <w:tc>
          <w:tcPr>
            <w:tcW w:w="771" w:type="pct"/>
            <w:gridSpan w:val="4"/>
            <w:vAlign w:val="center"/>
          </w:tcPr>
          <w:p w14:paraId="5A455961">
            <w:pPr>
              <w:adjustRightInd w:val="0"/>
              <w:spacing w:line="360" w:lineRule="exact"/>
              <w:jc w:val="center"/>
              <w:rPr>
                <w:szCs w:val="21"/>
              </w:rPr>
            </w:pPr>
            <w:r>
              <w:rPr>
                <w:szCs w:val="21"/>
              </w:rPr>
              <w:t>Q＞100□</w:t>
            </w:r>
          </w:p>
        </w:tc>
      </w:tr>
      <w:tr w14:paraId="5B84E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continue"/>
            <w:vAlign w:val="center"/>
          </w:tcPr>
          <w:p w14:paraId="7F020741">
            <w:pPr>
              <w:widowControl/>
              <w:spacing w:line="360" w:lineRule="exact"/>
              <w:jc w:val="left"/>
              <w:rPr>
                <w:szCs w:val="21"/>
              </w:rPr>
            </w:pPr>
          </w:p>
        </w:tc>
        <w:tc>
          <w:tcPr>
            <w:tcW w:w="535" w:type="pct"/>
            <w:vAlign w:val="center"/>
          </w:tcPr>
          <w:p w14:paraId="0BDD3929">
            <w:pPr>
              <w:adjustRightInd w:val="0"/>
              <w:spacing w:line="360" w:lineRule="exact"/>
              <w:jc w:val="center"/>
              <w:rPr>
                <w:szCs w:val="21"/>
              </w:rPr>
            </w:pPr>
            <w:r>
              <w:rPr>
                <w:szCs w:val="21"/>
              </w:rPr>
              <w:t>M值</w:t>
            </w:r>
          </w:p>
        </w:tc>
        <w:tc>
          <w:tcPr>
            <w:tcW w:w="1061" w:type="pct"/>
            <w:gridSpan w:val="7"/>
            <w:vAlign w:val="center"/>
          </w:tcPr>
          <w:p w14:paraId="40E686C7">
            <w:pPr>
              <w:adjustRightInd w:val="0"/>
              <w:spacing w:line="360" w:lineRule="exact"/>
              <w:jc w:val="center"/>
              <w:rPr>
                <w:szCs w:val="21"/>
              </w:rPr>
            </w:pPr>
            <w:r>
              <w:rPr>
                <w:szCs w:val="21"/>
              </w:rPr>
              <w:t>M1□</w:t>
            </w:r>
          </w:p>
        </w:tc>
        <w:tc>
          <w:tcPr>
            <w:tcW w:w="717" w:type="pct"/>
            <w:gridSpan w:val="5"/>
            <w:vAlign w:val="center"/>
          </w:tcPr>
          <w:p w14:paraId="66CD5290">
            <w:pPr>
              <w:adjustRightInd w:val="0"/>
              <w:spacing w:line="360" w:lineRule="exact"/>
              <w:jc w:val="center"/>
              <w:rPr>
                <w:szCs w:val="21"/>
              </w:rPr>
            </w:pPr>
            <w:r>
              <w:rPr>
                <w:szCs w:val="21"/>
              </w:rPr>
              <w:t>M2□</w:t>
            </w:r>
          </w:p>
        </w:tc>
        <w:tc>
          <w:tcPr>
            <w:tcW w:w="725" w:type="pct"/>
            <w:gridSpan w:val="7"/>
            <w:vAlign w:val="center"/>
          </w:tcPr>
          <w:p w14:paraId="6DE54915">
            <w:pPr>
              <w:adjustRightInd w:val="0"/>
              <w:spacing w:line="360" w:lineRule="exact"/>
              <w:jc w:val="center"/>
              <w:rPr>
                <w:szCs w:val="21"/>
              </w:rPr>
            </w:pPr>
            <w:r>
              <w:rPr>
                <w:szCs w:val="21"/>
              </w:rPr>
              <w:t>M3□</w:t>
            </w:r>
          </w:p>
        </w:tc>
        <w:tc>
          <w:tcPr>
            <w:tcW w:w="771" w:type="pct"/>
            <w:gridSpan w:val="4"/>
            <w:vAlign w:val="center"/>
          </w:tcPr>
          <w:p w14:paraId="1031A49E">
            <w:pPr>
              <w:adjustRightInd w:val="0"/>
              <w:spacing w:line="360" w:lineRule="exact"/>
              <w:jc w:val="center"/>
              <w:rPr>
                <w:szCs w:val="21"/>
              </w:rPr>
            </w:pPr>
            <w:r>
              <w:rPr>
                <w:szCs w:val="21"/>
              </w:rPr>
              <w:t>M4□</w:t>
            </w:r>
          </w:p>
        </w:tc>
      </w:tr>
      <w:tr w14:paraId="3C9FD5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continue"/>
            <w:vAlign w:val="center"/>
          </w:tcPr>
          <w:p w14:paraId="15099A31">
            <w:pPr>
              <w:widowControl/>
              <w:spacing w:line="360" w:lineRule="exact"/>
              <w:jc w:val="left"/>
              <w:rPr>
                <w:szCs w:val="21"/>
              </w:rPr>
            </w:pPr>
          </w:p>
        </w:tc>
        <w:tc>
          <w:tcPr>
            <w:tcW w:w="535" w:type="pct"/>
            <w:vAlign w:val="center"/>
          </w:tcPr>
          <w:p w14:paraId="2C6CF8EF">
            <w:pPr>
              <w:adjustRightInd w:val="0"/>
              <w:spacing w:line="360" w:lineRule="exact"/>
              <w:jc w:val="center"/>
              <w:rPr>
                <w:szCs w:val="21"/>
              </w:rPr>
            </w:pPr>
            <w:r>
              <w:rPr>
                <w:szCs w:val="21"/>
              </w:rPr>
              <w:t>P值</w:t>
            </w:r>
          </w:p>
        </w:tc>
        <w:tc>
          <w:tcPr>
            <w:tcW w:w="1061" w:type="pct"/>
            <w:gridSpan w:val="7"/>
            <w:vAlign w:val="center"/>
          </w:tcPr>
          <w:p w14:paraId="6B96A5F7">
            <w:pPr>
              <w:adjustRightInd w:val="0"/>
              <w:spacing w:line="360" w:lineRule="exact"/>
              <w:jc w:val="center"/>
              <w:rPr>
                <w:szCs w:val="21"/>
              </w:rPr>
            </w:pPr>
            <w:r>
              <w:rPr>
                <w:szCs w:val="21"/>
              </w:rPr>
              <w:t>P1□</w:t>
            </w:r>
          </w:p>
        </w:tc>
        <w:tc>
          <w:tcPr>
            <w:tcW w:w="717" w:type="pct"/>
            <w:gridSpan w:val="5"/>
            <w:vAlign w:val="center"/>
          </w:tcPr>
          <w:p w14:paraId="0D69D6F7">
            <w:pPr>
              <w:adjustRightInd w:val="0"/>
              <w:spacing w:line="360" w:lineRule="exact"/>
              <w:jc w:val="center"/>
              <w:rPr>
                <w:szCs w:val="21"/>
              </w:rPr>
            </w:pPr>
            <w:r>
              <w:rPr>
                <w:szCs w:val="21"/>
              </w:rPr>
              <w:t>P2□</w:t>
            </w:r>
          </w:p>
        </w:tc>
        <w:tc>
          <w:tcPr>
            <w:tcW w:w="725" w:type="pct"/>
            <w:gridSpan w:val="7"/>
            <w:vAlign w:val="center"/>
          </w:tcPr>
          <w:p w14:paraId="30687A4D">
            <w:pPr>
              <w:adjustRightInd w:val="0"/>
              <w:spacing w:line="360" w:lineRule="exact"/>
              <w:jc w:val="center"/>
              <w:rPr>
                <w:szCs w:val="21"/>
              </w:rPr>
            </w:pPr>
            <w:r>
              <w:rPr>
                <w:szCs w:val="21"/>
              </w:rPr>
              <w:t>P3□</w:t>
            </w:r>
          </w:p>
        </w:tc>
        <w:tc>
          <w:tcPr>
            <w:tcW w:w="771" w:type="pct"/>
            <w:gridSpan w:val="4"/>
            <w:vAlign w:val="center"/>
          </w:tcPr>
          <w:p w14:paraId="3328BB22">
            <w:pPr>
              <w:adjustRightInd w:val="0"/>
              <w:spacing w:line="360" w:lineRule="exact"/>
              <w:jc w:val="center"/>
              <w:rPr>
                <w:szCs w:val="21"/>
              </w:rPr>
            </w:pPr>
            <w:r>
              <w:rPr>
                <w:szCs w:val="21"/>
              </w:rPr>
              <w:t>P4□</w:t>
            </w:r>
          </w:p>
        </w:tc>
      </w:tr>
      <w:tr w14:paraId="25BB3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restart"/>
            <w:vAlign w:val="center"/>
          </w:tcPr>
          <w:p w14:paraId="5ABD3B6C">
            <w:pPr>
              <w:adjustRightInd w:val="0"/>
              <w:spacing w:line="360" w:lineRule="exact"/>
              <w:jc w:val="center"/>
              <w:rPr>
                <w:szCs w:val="21"/>
              </w:rPr>
            </w:pPr>
            <w:r>
              <w:rPr>
                <w:szCs w:val="21"/>
              </w:rPr>
              <w:t>环境敏感程度</w:t>
            </w:r>
          </w:p>
        </w:tc>
        <w:tc>
          <w:tcPr>
            <w:tcW w:w="535" w:type="pct"/>
            <w:vAlign w:val="center"/>
          </w:tcPr>
          <w:p w14:paraId="289D8710">
            <w:pPr>
              <w:adjustRightInd w:val="0"/>
              <w:spacing w:line="360" w:lineRule="exact"/>
              <w:jc w:val="center"/>
              <w:rPr>
                <w:szCs w:val="21"/>
              </w:rPr>
            </w:pPr>
            <w:r>
              <w:rPr>
                <w:szCs w:val="21"/>
              </w:rPr>
              <w:t>大气</w:t>
            </w:r>
          </w:p>
        </w:tc>
        <w:tc>
          <w:tcPr>
            <w:tcW w:w="1328" w:type="pct"/>
            <w:gridSpan w:val="8"/>
            <w:vAlign w:val="center"/>
          </w:tcPr>
          <w:p w14:paraId="3E5328B6">
            <w:pPr>
              <w:adjustRightInd w:val="0"/>
              <w:spacing w:line="360" w:lineRule="exact"/>
              <w:jc w:val="center"/>
              <w:rPr>
                <w:szCs w:val="21"/>
              </w:rPr>
            </w:pPr>
            <w:r>
              <w:rPr>
                <w:szCs w:val="21"/>
              </w:rPr>
              <w:t>E1□</w:t>
            </w:r>
          </w:p>
        </w:tc>
        <w:tc>
          <w:tcPr>
            <w:tcW w:w="1047" w:type="pct"/>
            <w:gridSpan w:val="9"/>
            <w:vAlign w:val="center"/>
          </w:tcPr>
          <w:p w14:paraId="174D94ED">
            <w:pPr>
              <w:adjustRightInd w:val="0"/>
              <w:spacing w:line="360" w:lineRule="exact"/>
              <w:jc w:val="center"/>
              <w:rPr>
                <w:szCs w:val="21"/>
              </w:rPr>
            </w:pPr>
            <w:r>
              <w:rPr>
                <w:szCs w:val="21"/>
              </w:rPr>
              <w:t>E2□</w:t>
            </w:r>
          </w:p>
        </w:tc>
        <w:tc>
          <w:tcPr>
            <w:tcW w:w="898" w:type="pct"/>
            <w:gridSpan w:val="6"/>
            <w:vAlign w:val="center"/>
          </w:tcPr>
          <w:p w14:paraId="16571487">
            <w:pPr>
              <w:adjustRightInd w:val="0"/>
              <w:spacing w:line="360" w:lineRule="exact"/>
              <w:jc w:val="center"/>
              <w:rPr>
                <w:szCs w:val="21"/>
              </w:rPr>
            </w:pPr>
            <w:r>
              <w:rPr>
                <w:szCs w:val="21"/>
              </w:rPr>
              <w:t>E3□</w:t>
            </w:r>
          </w:p>
        </w:tc>
      </w:tr>
      <w:tr w14:paraId="7E9BF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continue"/>
            <w:vAlign w:val="center"/>
          </w:tcPr>
          <w:p w14:paraId="1B2057E3">
            <w:pPr>
              <w:widowControl/>
              <w:spacing w:line="360" w:lineRule="exact"/>
              <w:jc w:val="left"/>
              <w:rPr>
                <w:szCs w:val="21"/>
              </w:rPr>
            </w:pPr>
          </w:p>
        </w:tc>
        <w:tc>
          <w:tcPr>
            <w:tcW w:w="535" w:type="pct"/>
            <w:vAlign w:val="center"/>
          </w:tcPr>
          <w:p w14:paraId="42D850FE">
            <w:pPr>
              <w:adjustRightInd w:val="0"/>
              <w:spacing w:line="360" w:lineRule="exact"/>
              <w:jc w:val="center"/>
              <w:rPr>
                <w:szCs w:val="21"/>
              </w:rPr>
            </w:pPr>
            <w:r>
              <w:rPr>
                <w:szCs w:val="21"/>
              </w:rPr>
              <w:t>地表水</w:t>
            </w:r>
          </w:p>
        </w:tc>
        <w:tc>
          <w:tcPr>
            <w:tcW w:w="1328" w:type="pct"/>
            <w:gridSpan w:val="8"/>
            <w:vAlign w:val="center"/>
          </w:tcPr>
          <w:p w14:paraId="7FA7FC95">
            <w:pPr>
              <w:adjustRightInd w:val="0"/>
              <w:spacing w:line="360" w:lineRule="exact"/>
              <w:jc w:val="center"/>
              <w:rPr>
                <w:szCs w:val="21"/>
              </w:rPr>
            </w:pPr>
            <w:r>
              <w:rPr>
                <w:szCs w:val="21"/>
              </w:rPr>
              <w:t>E1□</w:t>
            </w:r>
          </w:p>
        </w:tc>
        <w:tc>
          <w:tcPr>
            <w:tcW w:w="1047" w:type="pct"/>
            <w:gridSpan w:val="9"/>
            <w:vAlign w:val="center"/>
          </w:tcPr>
          <w:p w14:paraId="6A91D7F0">
            <w:pPr>
              <w:adjustRightInd w:val="0"/>
              <w:spacing w:line="360" w:lineRule="exact"/>
              <w:jc w:val="center"/>
              <w:rPr>
                <w:szCs w:val="21"/>
              </w:rPr>
            </w:pPr>
            <w:r>
              <w:rPr>
                <w:szCs w:val="21"/>
              </w:rPr>
              <w:t>E2□</w:t>
            </w:r>
          </w:p>
        </w:tc>
        <w:tc>
          <w:tcPr>
            <w:tcW w:w="898" w:type="pct"/>
            <w:gridSpan w:val="6"/>
            <w:vAlign w:val="center"/>
          </w:tcPr>
          <w:p w14:paraId="7815FD1B">
            <w:pPr>
              <w:adjustRightInd w:val="0"/>
              <w:spacing w:line="360" w:lineRule="exact"/>
              <w:jc w:val="center"/>
              <w:rPr>
                <w:szCs w:val="21"/>
              </w:rPr>
            </w:pPr>
            <w:r>
              <w:rPr>
                <w:szCs w:val="21"/>
              </w:rPr>
              <w:t>E3□</w:t>
            </w:r>
          </w:p>
        </w:tc>
      </w:tr>
      <w:tr w14:paraId="0B78F2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Merge w:val="continue"/>
            <w:vAlign w:val="center"/>
          </w:tcPr>
          <w:p w14:paraId="413B5897">
            <w:pPr>
              <w:widowControl/>
              <w:spacing w:line="360" w:lineRule="exact"/>
              <w:jc w:val="left"/>
              <w:rPr>
                <w:szCs w:val="21"/>
              </w:rPr>
            </w:pPr>
          </w:p>
        </w:tc>
        <w:tc>
          <w:tcPr>
            <w:tcW w:w="535" w:type="pct"/>
            <w:vAlign w:val="center"/>
          </w:tcPr>
          <w:p w14:paraId="1CC27DC9">
            <w:pPr>
              <w:adjustRightInd w:val="0"/>
              <w:spacing w:line="360" w:lineRule="exact"/>
              <w:jc w:val="center"/>
              <w:rPr>
                <w:szCs w:val="21"/>
              </w:rPr>
            </w:pPr>
            <w:r>
              <w:rPr>
                <w:szCs w:val="21"/>
              </w:rPr>
              <w:t>地下水</w:t>
            </w:r>
          </w:p>
        </w:tc>
        <w:tc>
          <w:tcPr>
            <w:tcW w:w="1328" w:type="pct"/>
            <w:gridSpan w:val="8"/>
            <w:vAlign w:val="center"/>
          </w:tcPr>
          <w:p w14:paraId="6C605531">
            <w:pPr>
              <w:adjustRightInd w:val="0"/>
              <w:spacing w:line="360" w:lineRule="exact"/>
              <w:jc w:val="center"/>
              <w:rPr>
                <w:szCs w:val="21"/>
              </w:rPr>
            </w:pPr>
            <w:r>
              <w:rPr>
                <w:szCs w:val="21"/>
              </w:rPr>
              <w:t>E1□</w:t>
            </w:r>
          </w:p>
        </w:tc>
        <w:tc>
          <w:tcPr>
            <w:tcW w:w="1047" w:type="pct"/>
            <w:gridSpan w:val="9"/>
            <w:vAlign w:val="center"/>
          </w:tcPr>
          <w:p w14:paraId="46B13C73">
            <w:pPr>
              <w:adjustRightInd w:val="0"/>
              <w:spacing w:line="360" w:lineRule="exact"/>
              <w:jc w:val="center"/>
              <w:rPr>
                <w:szCs w:val="21"/>
              </w:rPr>
            </w:pPr>
            <w:r>
              <w:rPr>
                <w:szCs w:val="21"/>
              </w:rPr>
              <w:t>E2□</w:t>
            </w:r>
          </w:p>
        </w:tc>
        <w:tc>
          <w:tcPr>
            <w:tcW w:w="898" w:type="pct"/>
            <w:gridSpan w:val="6"/>
            <w:vAlign w:val="center"/>
          </w:tcPr>
          <w:p w14:paraId="1868E72A">
            <w:pPr>
              <w:adjustRightInd w:val="0"/>
              <w:spacing w:line="360" w:lineRule="exact"/>
              <w:jc w:val="center"/>
              <w:rPr>
                <w:szCs w:val="21"/>
              </w:rPr>
            </w:pPr>
            <w:r>
              <w:rPr>
                <w:szCs w:val="21"/>
              </w:rPr>
              <w:t>E3□</w:t>
            </w:r>
          </w:p>
        </w:tc>
      </w:tr>
      <w:tr w14:paraId="63266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Align w:val="center"/>
          </w:tcPr>
          <w:p w14:paraId="39FBF3D7">
            <w:pPr>
              <w:adjustRightInd w:val="0"/>
              <w:spacing w:line="360" w:lineRule="exact"/>
              <w:jc w:val="center"/>
              <w:rPr>
                <w:szCs w:val="21"/>
              </w:rPr>
            </w:pPr>
            <w:r>
              <w:rPr>
                <w:szCs w:val="21"/>
              </w:rPr>
              <w:t>环境风险潜势</w:t>
            </w:r>
          </w:p>
        </w:tc>
        <w:tc>
          <w:tcPr>
            <w:tcW w:w="707" w:type="pct"/>
            <w:gridSpan w:val="2"/>
            <w:vAlign w:val="center"/>
          </w:tcPr>
          <w:p w14:paraId="11C642B2">
            <w:pPr>
              <w:adjustRightInd w:val="0"/>
              <w:spacing w:line="360" w:lineRule="exact"/>
              <w:jc w:val="center"/>
              <w:rPr>
                <w:szCs w:val="21"/>
              </w:rPr>
            </w:pPr>
            <w:r>
              <w:rPr>
                <w:szCs w:val="21"/>
              </w:rPr>
              <w:t>Ⅳ</w:t>
            </w:r>
            <w:r>
              <w:rPr>
                <w:szCs w:val="21"/>
                <w:vertAlign w:val="superscript"/>
              </w:rPr>
              <w:t>+</w:t>
            </w:r>
            <w:r>
              <w:rPr>
                <w:szCs w:val="21"/>
              </w:rPr>
              <w:t>□</w:t>
            </w:r>
          </w:p>
        </w:tc>
        <w:tc>
          <w:tcPr>
            <w:tcW w:w="841" w:type="pct"/>
            <w:gridSpan w:val="5"/>
            <w:vAlign w:val="center"/>
          </w:tcPr>
          <w:p w14:paraId="7DF953FE">
            <w:pPr>
              <w:adjustRightInd w:val="0"/>
              <w:spacing w:line="360" w:lineRule="exact"/>
              <w:jc w:val="center"/>
              <w:rPr>
                <w:szCs w:val="21"/>
              </w:rPr>
            </w:pPr>
            <w:r>
              <w:rPr>
                <w:szCs w:val="21"/>
              </w:rPr>
              <w:t>Ⅳ□</w:t>
            </w:r>
          </w:p>
        </w:tc>
        <w:tc>
          <w:tcPr>
            <w:tcW w:w="809" w:type="pct"/>
            <w:gridSpan w:val="7"/>
            <w:vAlign w:val="center"/>
          </w:tcPr>
          <w:p w14:paraId="6118335A">
            <w:pPr>
              <w:adjustRightInd w:val="0"/>
              <w:spacing w:line="360" w:lineRule="exact"/>
              <w:jc w:val="center"/>
              <w:rPr>
                <w:szCs w:val="21"/>
              </w:rPr>
            </w:pPr>
            <w:r>
              <w:rPr>
                <w:szCs w:val="21"/>
              </w:rPr>
              <w:t>Ⅲ□</w:t>
            </w:r>
          </w:p>
        </w:tc>
        <w:tc>
          <w:tcPr>
            <w:tcW w:w="704" w:type="pct"/>
            <w:gridSpan w:val="7"/>
            <w:vAlign w:val="center"/>
          </w:tcPr>
          <w:p w14:paraId="7876FC1A">
            <w:pPr>
              <w:adjustRightInd w:val="0"/>
              <w:spacing w:line="360" w:lineRule="exact"/>
              <w:jc w:val="center"/>
              <w:rPr>
                <w:szCs w:val="21"/>
              </w:rPr>
            </w:pPr>
            <w:r>
              <w:rPr>
                <w:szCs w:val="21"/>
              </w:rPr>
              <w:t>Ⅱ□</w:t>
            </w:r>
          </w:p>
        </w:tc>
        <w:tc>
          <w:tcPr>
            <w:tcW w:w="748" w:type="pct"/>
            <w:gridSpan w:val="3"/>
            <w:vAlign w:val="center"/>
          </w:tcPr>
          <w:p w14:paraId="07B26DAE">
            <w:pPr>
              <w:adjustRightInd w:val="0"/>
              <w:spacing w:line="360" w:lineRule="exact"/>
              <w:jc w:val="center"/>
              <w:rPr>
                <w:szCs w:val="21"/>
              </w:rPr>
            </w:pPr>
            <w:r>
              <w:rPr>
                <w:szCs w:val="21"/>
              </w:rPr>
              <w:t>Ⅰ</w:t>
            </w:r>
            <w:r>
              <w:rPr>
                <w:szCs w:val="21"/>
              </w:rPr>
              <w:fldChar w:fldCharType="begin"/>
            </w:r>
            <w:r>
              <w:rPr>
                <w:szCs w:val="21"/>
              </w:rPr>
              <w:instrText xml:space="preserve"> EQ \o\ac(□,√)</w:instrText>
            </w:r>
            <w:r>
              <w:rPr>
                <w:szCs w:val="21"/>
              </w:rPr>
              <w:fldChar w:fldCharType="end"/>
            </w:r>
          </w:p>
        </w:tc>
      </w:tr>
      <w:tr w14:paraId="61934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Align w:val="center"/>
          </w:tcPr>
          <w:p w14:paraId="532329BF">
            <w:pPr>
              <w:adjustRightInd w:val="0"/>
              <w:spacing w:line="360" w:lineRule="exact"/>
              <w:jc w:val="center"/>
              <w:rPr>
                <w:szCs w:val="21"/>
              </w:rPr>
            </w:pPr>
            <w:r>
              <w:rPr>
                <w:szCs w:val="21"/>
              </w:rPr>
              <w:t>评价等级</w:t>
            </w:r>
          </w:p>
        </w:tc>
        <w:tc>
          <w:tcPr>
            <w:tcW w:w="994" w:type="pct"/>
            <w:gridSpan w:val="4"/>
            <w:vAlign w:val="center"/>
          </w:tcPr>
          <w:p w14:paraId="07055CE1">
            <w:pPr>
              <w:adjustRightInd w:val="0"/>
              <w:spacing w:line="360" w:lineRule="exact"/>
              <w:jc w:val="center"/>
              <w:rPr>
                <w:szCs w:val="21"/>
              </w:rPr>
            </w:pPr>
            <w:r>
              <w:rPr>
                <w:szCs w:val="21"/>
              </w:rPr>
              <w:t>一级□</w:t>
            </w:r>
          </w:p>
        </w:tc>
        <w:tc>
          <w:tcPr>
            <w:tcW w:w="1141" w:type="pct"/>
            <w:gridSpan w:val="7"/>
            <w:vAlign w:val="center"/>
          </w:tcPr>
          <w:p w14:paraId="73C8EB11">
            <w:pPr>
              <w:adjustRightInd w:val="0"/>
              <w:spacing w:line="360" w:lineRule="exact"/>
              <w:jc w:val="center"/>
              <w:rPr>
                <w:szCs w:val="21"/>
              </w:rPr>
            </w:pPr>
            <w:r>
              <w:rPr>
                <w:szCs w:val="21"/>
              </w:rPr>
              <w:t>二级□</w:t>
            </w:r>
          </w:p>
        </w:tc>
        <w:tc>
          <w:tcPr>
            <w:tcW w:w="1018" w:type="pct"/>
            <w:gridSpan w:val="11"/>
            <w:vAlign w:val="center"/>
          </w:tcPr>
          <w:p w14:paraId="7DEEE861">
            <w:pPr>
              <w:adjustRightInd w:val="0"/>
              <w:spacing w:line="360" w:lineRule="exact"/>
              <w:jc w:val="center"/>
              <w:rPr>
                <w:szCs w:val="21"/>
              </w:rPr>
            </w:pPr>
            <w:r>
              <w:rPr>
                <w:szCs w:val="21"/>
              </w:rPr>
              <w:t>三级□</w:t>
            </w:r>
          </w:p>
        </w:tc>
        <w:tc>
          <w:tcPr>
            <w:tcW w:w="656" w:type="pct"/>
            <w:gridSpan w:val="2"/>
            <w:vAlign w:val="center"/>
          </w:tcPr>
          <w:p w14:paraId="5155BF28">
            <w:pPr>
              <w:adjustRightInd w:val="0"/>
              <w:spacing w:line="360" w:lineRule="exact"/>
              <w:jc w:val="center"/>
              <w:rPr>
                <w:szCs w:val="21"/>
              </w:rPr>
            </w:pPr>
            <w:r>
              <w:rPr>
                <w:szCs w:val="21"/>
              </w:rPr>
              <w:t>简单分析</w:t>
            </w:r>
            <w:r>
              <w:rPr>
                <w:szCs w:val="21"/>
              </w:rPr>
              <w:fldChar w:fldCharType="begin"/>
            </w:r>
            <w:r>
              <w:rPr>
                <w:szCs w:val="21"/>
              </w:rPr>
              <w:instrText xml:space="preserve"> EQ \o\ac(□,√)</w:instrText>
            </w:r>
            <w:r>
              <w:rPr>
                <w:szCs w:val="21"/>
              </w:rPr>
              <w:fldChar w:fldCharType="end"/>
            </w:r>
          </w:p>
        </w:tc>
      </w:tr>
      <w:tr w14:paraId="19FAD3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restart"/>
            <w:vAlign w:val="center"/>
          </w:tcPr>
          <w:p w14:paraId="6B0B5E25">
            <w:pPr>
              <w:adjustRightInd w:val="0"/>
              <w:spacing w:line="360" w:lineRule="exact"/>
              <w:jc w:val="center"/>
              <w:rPr>
                <w:szCs w:val="21"/>
              </w:rPr>
            </w:pPr>
            <w:r>
              <w:rPr>
                <w:szCs w:val="21"/>
              </w:rPr>
              <w:t>风险识别</w:t>
            </w:r>
          </w:p>
        </w:tc>
        <w:tc>
          <w:tcPr>
            <w:tcW w:w="917" w:type="pct"/>
            <w:gridSpan w:val="2"/>
            <w:vAlign w:val="center"/>
          </w:tcPr>
          <w:p w14:paraId="2E279339">
            <w:pPr>
              <w:adjustRightInd w:val="0"/>
              <w:spacing w:line="360" w:lineRule="exact"/>
              <w:jc w:val="center"/>
              <w:rPr>
                <w:szCs w:val="21"/>
              </w:rPr>
            </w:pPr>
            <w:r>
              <w:rPr>
                <w:szCs w:val="21"/>
              </w:rPr>
              <w:t>物质危险性</w:t>
            </w:r>
          </w:p>
        </w:tc>
        <w:tc>
          <w:tcPr>
            <w:tcW w:w="1864" w:type="pct"/>
            <w:gridSpan w:val="9"/>
            <w:vAlign w:val="center"/>
          </w:tcPr>
          <w:p w14:paraId="3F47CD32">
            <w:pPr>
              <w:adjustRightInd w:val="0"/>
              <w:spacing w:line="360" w:lineRule="exact"/>
              <w:jc w:val="center"/>
              <w:rPr>
                <w:szCs w:val="21"/>
              </w:rPr>
            </w:pPr>
            <w:r>
              <w:rPr>
                <w:szCs w:val="21"/>
              </w:rPr>
              <w:t>有毒有害□</w:t>
            </w:r>
          </w:p>
        </w:tc>
        <w:tc>
          <w:tcPr>
            <w:tcW w:w="1945" w:type="pct"/>
            <w:gridSpan w:val="15"/>
            <w:vAlign w:val="center"/>
          </w:tcPr>
          <w:p w14:paraId="4097C8B0">
            <w:pPr>
              <w:adjustRightInd w:val="0"/>
              <w:spacing w:line="360" w:lineRule="exact"/>
              <w:jc w:val="center"/>
              <w:rPr>
                <w:szCs w:val="21"/>
              </w:rPr>
            </w:pPr>
            <w:r>
              <w:rPr>
                <w:szCs w:val="21"/>
              </w:rPr>
              <w:t>易燃易爆</w:t>
            </w:r>
            <w:r>
              <w:rPr>
                <w:szCs w:val="21"/>
              </w:rPr>
              <w:fldChar w:fldCharType="begin"/>
            </w:r>
            <w:r>
              <w:rPr>
                <w:szCs w:val="21"/>
              </w:rPr>
              <w:instrText xml:space="preserve"> EQ \o\ac(□,√)</w:instrText>
            </w:r>
            <w:r>
              <w:rPr>
                <w:szCs w:val="21"/>
              </w:rPr>
              <w:fldChar w:fldCharType="end"/>
            </w:r>
          </w:p>
        </w:tc>
      </w:tr>
      <w:tr w14:paraId="57FCF0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468C79CC">
            <w:pPr>
              <w:widowControl/>
              <w:spacing w:line="360" w:lineRule="exact"/>
              <w:jc w:val="left"/>
              <w:rPr>
                <w:szCs w:val="21"/>
              </w:rPr>
            </w:pPr>
          </w:p>
        </w:tc>
        <w:tc>
          <w:tcPr>
            <w:tcW w:w="917" w:type="pct"/>
            <w:gridSpan w:val="2"/>
            <w:vAlign w:val="center"/>
          </w:tcPr>
          <w:p w14:paraId="1629521E">
            <w:pPr>
              <w:adjustRightInd w:val="0"/>
              <w:spacing w:line="360" w:lineRule="exact"/>
              <w:jc w:val="center"/>
              <w:rPr>
                <w:szCs w:val="21"/>
              </w:rPr>
            </w:pPr>
            <w:r>
              <w:rPr>
                <w:szCs w:val="21"/>
              </w:rPr>
              <w:t>环境风险类型</w:t>
            </w:r>
          </w:p>
        </w:tc>
        <w:tc>
          <w:tcPr>
            <w:tcW w:w="1864" w:type="pct"/>
            <w:gridSpan w:val="9"/>
            <w:vAlign w:val="center"/>
          </w:tcPr>
          <w:p w14:paraId="4A3FF58E">
            <w:pPr>
              <w:adjustRightInd w:val="0"/>
              <w:spacing w:line="360" w:lineRule="exact"/>
              <w:jc w:val="center"/>
              <w:rPr>
                <w:szCs w:val="21"/>
              </w:rPr>
            </w:pPr>
            <w:r>
              <w:rPr>
                <w:szCs w:val="21"/>
              </w:rPr>
              <w:t>泄漏</w:t>
            </w:r>
            <w:r>
              <w:rPr>
                <w:szCs w:val="21"/>
              </w:rPr>
              <w:fldChar w:fldCharType="begin"/>
            </w:r>
            <w:r>
              <w:rPr>
                <w:szCs w:val="21"/>
              </w:rPr>
              <w:instrText xml:space="preserve"> EQ \o\ac(□,√)</w:instrText>
            </w:r>
            <w:r>
              <w:rPr>
                <w:szCs w:val="21"/>
              </w:rPr>
              <w:fldChar w:fldCharType="end"/>
            </w:r>
          </w:p>
        </w:tc>
        <w:tc>
          <w:tcPr>
            <w:tcW w:w="1945" w:type="pct"/>
            <w:gridSpan w:val="15"/>
            <w:vAlign w:val="center"/>
          </w:tcPr>
          <w:p w14:paraId="12BC2C52">
            <w:pPr>
              <w:adjustRightInd w:val="0"/>
              <w:spacing w:line="360" w:lineRule="exact"/>
              <w:jc w:val="center"/>
              <w:rPr>
                <w:szCs w:val="21"/>
              </w:rPr>
            </w:pPr>
            <w:r>
              <w:rPr>
                <w:szCs w:val="21"/>
              </w:rPr>
              <w:t>火灾、爆炸引发伴生/次生污染物排放</w:t>
            </w:r>
            <w:r>
              <w:rPr>
                <w:szCs w:val="21"/>
              </w:rPr>
              <w:fldChar w:fldCharType="begin"/>
            </w:r>
            <w:r>
              <w:rPr>
                <w:szCs w:val="21"/>
              </w:rPr>
              <w:instrText xml:space="preserve"> EQ \o\ac(□,√)</w:instrText>
            </w:r>
            <w:r>
              <w:rPr>
                <w:szCs w:val="21"/>
              </w:rPr>
              <w:fldChar w:fldCharType="end"/>
            </w:r>
          </w:p>
        </w:tc>
      </w:tr>
      <w:tr w14:paraId="5193CD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1D97A707">
            <w:pPr>
              <w:widowControl/>
              <w:spacing w:line="360" w:lineRule="exact"/>
              <w:jc w:val="left"/>
              <w:rPr>
                <w:szCs w:val="21"/>
              </w:rPr>
            </w:pPr>
          </w:p>
        </w:tc>
        <w:tc>
          <w:tcPr>
            <w:tcW w:w="917" w:type="pct"/>
            <w:gridSpan w:val="2"/>
            <w:vAlign w:val="center"/>
          </w:tcPr>
          <w:p w14:paraId="5DEF6A7E">
            <w:pPr>
              <w:adjustRightInd w:val="0"/>
              <w:spacing w:line="360" w:lineRule="exact"/>
              <w:jc w:val="center"/>
              <w:rPr>
                <w:szCs w:val="21"/>
              </w:rPr>
            </w:pPr>
            <w:r>
              <w:rPr>
                <w:szCs w:val="21"/>
              </w:rPr>
              <w:t>影响途径</w:t>
            </w:r>
          </w:p>
        </w:tc>
        <w:tc>
          <w:tcPr>
            <w:tcW w:w="1417" w:type="pct"/>
            <w:gridSpan w:val="6"/>
            <w:vAlign w:val="center"/>
          </w:tcPr>
          <w:p w14:paraId="44D55165">
            <w:pPr>
              <w:adjustRightInd w:val="0"/>
              <w:spacing w:line="360" w:lineRule="exact"/>
              <w:jc w:val="center"/>
              <w:rPr>
                <w:szCs w:val="21"/>
              </w:rPr>
            </w:pPr>
            <w:r>
              <w:rPr>
                <w:szCs w:val="21"/>
              </w:rPr>
              <w:t>大气</w:t>
            </w:r>
            <w:r>
              <w:rPr>
                <w:szCs w:val="21"/>
              </w:rPr>
              <w:fldChar w:fldCharType="begin"/>
            </w:r>
            <w:r>
              <w:rPr>
                <w:szCs w:val="21"/>
              </w:rPr>
              <w:instrText xml:space="preserve"> EQ \o\ac(□,√)</w:instrText>
            </w:r>
            <w:r>
              <w:rPr>
                <w:szCs w:val="21"/>
              </w:rPr>
              <w:fldChar w:fldCharType="end"/>
            </w:r>
          </w:p>
        </w:tc>
        <w:tc>
          <w:tcPr>
            <w:tcW w:w="1178" w:type="pct"/>
            <w:gridSpan w:val="9"/>
            <w:vAlign w:val="center"/>
          </w:tcPr>
          <w:p w14:paraId="46A05F91">
            <w:pPr>
              <w:adjustRightInd w:val="0"/>
              <w:spacing w:line="360" w:lineRule="exact"/>
              <w:jc w:val="center"/>
              <w:rPr>
                <w:szCs w:val="21"/>
              </w:rPr>
            </w:pPr>
            <w:r>
              <w:rPr>
                <w:szCs w:val="21"/>
              </w:rPr>
              <w:t>地表水</w:t>
            </w:r>
            <w:r>
              <w:rPr>
                <w:szCs w:val="21"/>
              </w:rPr>
              <w:fldChar w:fldCharType="begin"/>
            </w:r>
            <w:r>
              <w:rPr>
                <w:szCs w:val="21"/>
              </w:rPr>
              <w:instrText xml:space="preserve"> EQ \o\ac(□,√)</w:instrText>
            </w:r>
            <w:r>
              <w:rPr>
                <w:szCs w:val="21"/>
              </w:rPr>
              <w:fldChar w:fldCharType="end"/>
            </w:r>
          </w:p>
        </w:tc>
        <w:tc>
          <w:tcPr>
            <w:tcW w:w="1214" w:type="pct"/>
            <w:gridSpan w:val="9"/>
            <w:vAlign w:val="center"/>
          </w:tcPr>
          <w:p w14:paraId="117F0948">
            <w:pPr>
              <w:adjustRightInd w:val="0"/>
              <w:spacing w:line="360" w:lineRule="exact"/>
              <w:jc w:val="center"/>
              <w:rPr>
                <w:szCs w:val="21"/>
              </w:rPr>
            </w:pPr>
            <w:r>
              <w:rPr>
                <w:szCs w:val="21"/>
              </w:rPr>
              <w:t>地下水</w:t>
            </w:r>
            <w:r>
              <w:rPr>
                <w:szCs w:val="21"/>
              </w:rPr>
              <w:fldChar w:fldCharType="begin"/>
            </w:r>
            <w:r>
              <w:rPr>
                <w:szCs w:val="21"/>
              </w:rPr>
              <w:instrText xml:space="preserve"> EQ \o\ac(□,√)</w:instrText>
            </w:r>
            <w:r>
              <w:rPr>
                <w:szCs w:val="21"/>
              </w:rPr>
              <w:fldChar w:fldCharType="end"/>
            </w:r>
          </w:p>
        </w:tc>
      </w:tr>
      <w:tr w14:paraId="31FC7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Align w:val="center"/>
          </w:tcPr>
          <w:p w14:paraId="2E33E04A">
            <w:pPr>
              <w:adjustRightInd w:val="0"/>
              <w:spacing w:line="360" w:lineRule="exact"/>
              <w:jc w:val="center"/>
              <w:rPr>
                <w:szCs w:val="21"/>
              </w:rPr>
            </w:pPr>
            <w:r>
              <w:rPr>
                <w:szCs w:val="21"/>
              </w:rPr>
              <w:t>事故情形分析</w:t>
            </w:r>
          </w:p>
        </w:tc>
        <w:tc>
          <w:tcPr>
            <w:tcW w:w="888" w:type="pct"/>
            <w:gridSpan w:val="3"/>
            <w:vAlign w:val="center"/>
          </w:tcPr>
          <w:p w14:paraId="17304AA8">
            <w:pPr>
              <w:adjustRightInd w:val="0"/>
              <w:spacing w:line="360" w:lineRule="exact"/>
              <w:jc w:val="center"/>
              <w:rPr>
                <w:szCs w:val="21"/>
              </w:rPr>
            </w:pPr>
            <w:r>
              <w:rPr>
                <w:szCs w:val="21"/>
              </w:rPr>
              <w:t>源强设定方法</w:t>
            </w:r>
          </w:p>
        </w:tc>
        <w:tc>
          <w:tcPr>
            <w:tcW w:w="1065" w:type="pct"/>
            <w:gridSpan w:val="7"/>
            <w:vAlign w:val="center"/>
          </w:tcPr>
          <w:p w14:paraId="32ACC55B">
            <w:pPr>
              <w:adjustRightInd w:val="0"/>
              <w:spacing w:line="360" w:lineRule="exact"/>
              <w:jc w:val="center"/>
              <w:rPr>
                <w:szCs w:val="21"/>
              </w:rPr>
            </w:pPr>
            <w:r>
              <w:rPr>
                <w:szCs w:val="21"/>
              </w:rPr>
              <w:t>计算法□</w:t>
            </w:r>
          </w:p>
        </w:tc>
        <w:tc>
          <w:tcPr>
            <w:tcW w:w="904" w:type="pct"/>
            <w:gridSpan w:val="7"/>
            <w:vAlign w:val="center"/>
          </w:tcPr>
          <w:p w14:paraId="291C01FC">
            <w:pPr>
              <w:adjustRightInd w:val="0"/>
              <w:spacing w:line="360" w:lineRule="exact"/>
              <w:jc w:val="center"/>
              <w:rPr>
                <w:szCs w:val="21"/>
              </w:rPr>
            </w:pPr>
            <w:r>
              <w:rPr>
                <w:szCs w:val="21"/>
              </w:rPr>
              <w:t>经验估算法□</w:t>
            </w:r>
          </w:p>
        </w:tc>
        <w:tc>
          <w:tcPr>
            <w:tcW w:w="952" w:type="pct"/>
            <w:gridSpan w:val="7"/>
            <w:vAlign w:val="center"/>
          </w:tcPr>
          <w:p w14:paraId="3284F6CA">
            <w:pPr>
              <w:adjustRightInd w:val="0"/>
              <w:spacing w:line="360" w:lineRule="exact"/>
              <w:jc w:val="center"/>
              <w:rPr>
                <w:szCs w:val="21"/>
              </w:rPr>
            </w:pPr>
            <w:r>
              <w:rPr>
                <w:szCs w:val="21"/>
              </w:rPr>
              <w:t>其他估算法□</w:t>
            </w:r>
          </w:p>
        </w:tc>
      </w:tr>
      <w:tr w14:paraId="5EEFAE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restart"/>
            <w:vAlign w:val="center"/>
          </w:tcPr>
          <w:p w14:paraId="3EC160DA">
            <w:pPr>
              <w:adjustRightInd w:val="0"/>
              <w:spacing w:line="360" w:lineRule="exact"/>
              <w:jc w:val="center"/>
              <w:rPr>
                <w:szCs w:val="21"/>
              </w:rPr>
            </w:pPr>
            <w:r>
              <w:rPr>
                <w:szCs w:val="21"/>
              </w:rPr>
              <w:t>风险预测与评价</w:t>
            </w:r>
          </w:p>
        </w:tc>
        <w:tc>
          <w:tcPr>
            <w:tcW w:w="917" w:type="pct"/>
            <w:gridSpan w:val="2"/>
            <w:vMerge w:val="restart"/>
            <w:vAlign w:val="center"/>
          </w:tcPr>
          <w:p w14:paraId="1BAD6DCE">
            <w:pPr>
              <w:adjustRightInd w:val="0"/>
              <w:spacing w:line="360" w:lineRule="exact"/>
              <w:jc w:val="center"/>
              <w:rPr>
                <w:szCs w:val="21"/>
              </w:rPr>
            </w:pPr>
            <w:r>
              <w:rPr>
                <w:szCs w:val="21"/>
              </w:rPr>
              <w:t>大气</w:t>
            </w:r>
          </w:p>
        </w:tc>
        <w:tc>
          <w:tcPr>
            <w:tcW w:w="888" w:type="pct"/>
            <w:gridSpan w:val="3"/>
            <w:vAlign w:val="center"/>
          </w:tcPr>
          <w:p w14:paraId="675A2CCF">
            <w:pPr>
              <w:adjustRightInd w:val="0"/>
              <w:spacing w:line="360" w:lineRule="exact"/>
              <w:jc w:val="center"/>
              <w:rPr>
                <w:szCs w:val="21"/>
              </w:rPr>
            </w:pPr>
            <w:r>
              <w:rPr>
                <w:szCs w:val="21"/>
              </w:rPr>
              <w:t>预测模型</w:t>
            </w:r>
          </w:p>
        </w:tc>
        <w:tc>
          <w:tcPr>
            <w:tcW w:w="1065" w:type="pct"/>
            <w:gridSpan w:val="7"/>
            <w:vAlign w:val="center"/>
          </w:tcPr>
          <w:p w14:paraId="0975EB27">
            <w:pPr>
              <w:adjustRightInd w:val="0"/>
              <w:spacing w:line="360" w:lineRule="exact"/>
              <w:jc w:val="center"/>
              <w:rPr>
                <w:szCs w:val="21"/>
              </w:rPr>
            </w:pPr>
            <w:r>
              <w:rPr>
                <w:szCs w:val="21"/>
              </w:rPr>
              <w:t>SLAB□</w:t>
            </w:r>
          </w:p>
        </w:tc>
        <w:tc>
          <w:tcPr>
            <w:tcW w:w="904" w:type="pct"/>
            <w:gridSpan w:val="7"/>
            <w:vAlign w:val="center"/>
          </w:tcPr>
          <w:p w14:paraId="0BCAE481">
            <w:pPr>
              <w:adjustRightInd w:val="0"/>
              <w:spacing w:line="360" w:lineRule="exact"/>
              <w:jc w:val="center"/>
              <w:rPr>
                <w:szCs w:val="21"/>
              </w:rPr>
            </w:pPr>
            <w:r>
              <w:rPr>
                <w:szCs w:val="21"/>
              </w:rPr>
              <w:t>AFTOXR□</w:t>
            </w:r>
          </w:p>
        </w:tc>
        <w:tc>
          <w:tcPr>
            <w:tcW w:w="952" w:type="pct"/>
            <w:gridSpan w:val="7"/>
            <w:vAlign w:val="center"/>
          </w:tcPr>
          <w:p w14:paraId="01ACD839">
            <w:pPr>
              <w:adjustRightInd w:val="0"/>
              <w:spacing w:line="360" w:lineRule="exact"/>
              <w:jc w:val="center"/>
              <w:rPr>
                <w:szCs w:val="21"/>
              </w:rPr>
            </w:pPr>
            <w:r>
              <w:rPr>
                <w:szCs w:val="21"/>
              </w:rPr>
              <w:t>其他□</w:t>
            </w:r>
          </w:p>
        </w:tc>
      </w:tr>
      <w:tr w14:paraId="18FD22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2C020833">
            <w:pPr>
              <w:widowControl/>
              <w:spacing w:line="360" w:lineRule="exact"/>
              <w:jc w:val="left"/>
              <w:rPr>
                <w:szCs w:val="21"/>
              </w:rPr>
            </w:pPr>
          </w:p>
        </w:tc>
        <w:tc>
          <w:tcPr>
            <w:tcW w:w="917" w:type="pct"/>
            <w:gridSpan w:val="2"/>
            <w:vMerge w:val="continue"/>
            <w:vAlign w:val="center"/>
          </w:tcPr>
          <w:p w14:paraId="65015D26">
            <w:pPr>
              <w:widowControl/>
              <w:spacing w:line="360" w:lineRule="exact"/>
              <w:jc w:val="left"/>
              <w:rPr>
                <w:szCs w:val="21"/>
              </w:rPr>
            </w:pPr>
          </w:p>
        </w:tc>
        <w:tc>
          <w:tcPr>
            <w:tcW w:w="888" w:type="pct"/>
            <w:gridSpan w:val="3"/>
            <w:vMerge w:val="restart"/>
            <w:vAlign w:val="center"/>
          </w:tcPr>
          <w:p w14:paraId="005F65BB">
            <w:pPr>
              <w:widowControl/>
              <w:spacing w:line="360" w:lineRule="exact"/>
              <w:jc w:val="center"/>
              <w:rPr>
                <w:szCs w:val="21"/>
              </w:rPr>
            </w:pPr>
            <w:r>
              <w:rPr>
                <w:szCs w:val="21"/>
              </w:rPr>
              <w:t>预测结果</w:t>
            </w:r>
          </w:p>
        </w:tc>
        <w:tc>
          <w:tcPr>
            <w:tcW w:w="2921" w:type="pct"/>
            <w:gridSpan w:val="21"/>
            <w:vAlign w:val="center"/>
          </w:tcPr>
          <w:p w14:paraId="66CE7220">
            <w:pPr>
              <w:adjustRightInd w:val="0"/>
              <w:spacing w:line="360" w:lineRule="exact"/>
              <w:jc w:val="center"/>
              <w:rPr>
                <w:szCs w:val="21"/>
              </w:rPr>
            </w:pPr>
            <w:r>
              <w:rPr>
                <w:szCs w:val="21"/>
              </w:rPr>
              <w:t>大气毒性终点浓度-1  最大影响范围</w:t>
            </w:r>
            <w:r>
              <w:rPr>
                <w:szCs w:val="21"/>
                <w:u w:val="single"/>
              </w:rPr>
              <w:t xml:space="preserve">  </w:t>
            </w:r>
            <w:r>
              <w:rPr>
                <w:szCs w:val="21"/>
              </w:rPr>
              <w:t>m</w:t>
            </w:r>
          </w:p>
        </w:tc>
      </w:tr>
      <w:tr w14:paraId="5EF893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42214771">
            <w:pPr>
              <w:widowControl/>
              <w:spacing w:line="360" w:lineRule="exact"/>
              <w:jc w:val="left"/>
              <w:rPr>
                <w:szCs w:val="21"/>
              </w:rPr>
            </w:pPr>
          </w:p>
        </w:tc>
        <w:tc>
          <w:tcPr>
            <w:tcW w:w="917" w:type="pct"/>
            <w:gridSpan w:val="2"/>
            <w:vMerge w:val="continue"/>
            <w:vAlign w:val="center"/>
          </w:tcPr>
          <w:p w14:paraId="11BE83B5">
            <w:pPr>
              <w:widowControl/>
              <w:spacing w:line="360" w:lineRule="exact"/>
              <w:jc w:val="left"/>
              <w:rPr>
                <w:szCs w:val="21"/>
              </w:rPr>
            </w:pPr>
          </w:p>
        </w:tc>
        <w:tc>
          <w:tcPr>
            <w:tcW w:w="888" w:type="pct"/>
            <w:gridSpan w:val="3"/>
            <w:vMerge w:val="continue"/>
            <w:vAlign w:val="center"/>
          </w:tcPr>
          <w:p w14:paraId="54CF7F6F">
            <w:pPr>
              <w:widowControl/>
              <w:spacing w:line="360" w:lineRule="exact"/>
              <w:jc w:val="left"/>
              <w:rPr>
                <w:szCs w:val="21"/>
              </w:rPr>
            </w:pPr>
          </w:p>
        </w:tc>
        <w:tc>
          <w:tcPr>
            <w:tcW w:w="2921" w:type="pct"/>
            <w:gridSpan w:val="21"/>
            <w:vAlign w:val="center"/>
          </w:tcPr>
          <w:p w14:paraId="3758A682">
            <w:pPr>
              <w:adjustRightInd w:val="0"/>
              <w:spacing w:line="360" w:lineRule="exact"/>
              <w:jc w:val="center"/>
              <w:rPr>
                <w:szCs w:val="21"/>
              </w:rPr>
            </w:pPr>
            <w:r>
              <w:rPr>
                <w:szCs w:val="21"/>
              </w:rPr>
              <w:t>大气毒性终点浓度-2  最大影响范围</w:t>
            </w:r>
            <w:r>
              <w:rPr>
                <w:szCs w:val="21"/>
                <w:u w:val="single"/>
              </w:rPr>
              <w:t xml:space="preserve">  </w:t>
            </w:r>
            <w:r>
              <w:rPr>
                <w:szCs w:val="21"/>
              </w:rPr>
              <w:t>m</w:t>
            </w:r>
          </w:p>
        </w:tc>
      </w:tr>
      <w:tr w14:paraId="3EFBC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01361024">
            <w:pPr>
              <w:adjustRightInd w:val="0"/>
              <w:spacing w:line="360" w:lineRule="exact"/>
              <w:jc w:val="center"/>
              <w:rPr>
                <w:szCs w:val="21"/>
              </w:rPr>
            </w:pPr>
          </w:p>
        </w:tc>
        <w:tc>
          <w:tcPr>
            <w:tcW w:w="917" w:type="pct"/>
            <w:gridSpan w:val="2"/>
            <w:vAlign w:val="center"/>
          </w:tcPr>
          <w:p w14:paraId="1215DB4B">
            <w:pPr>
              <w:adjustRightInd w:val="0"/>
              <w:spacing w:line="360" w:lineRule="exact"/>
              <w:jc w:val="center"/>
              <w:rPr>
                <w:szCs w:val="21"/>
              </w:rPr>
            </w:pPr>
            <w:r>
              <w:rPr>
                <w:szCs w:val="21"/>
              </w:rPr>
              <w:t>地表水</w:t>
            </w:r>
          </w:p>
        </w:tc>
        <w:tc>
          <w:tcPr>
            <w:tcW w:w="3809" w:type="pct"/>
            <w:gridSpan w:val="24"/>
            <w:vAlign w:val="center"/>
          </w:tcPr>
          <w:p w14:paraId="6B8A9826">
            <w:pPr>
              <w:adjustRightInd w:val="0"/>
              <w:spacing w:line="360" w:lineRule="exact"/>
              <w:jc w:val="center"/>
              <w:rPr>
                <w:szCs w:val="21"/>
              </w:rPr>
            </w:pPr>
            <w:r>
              <w:rPr>
                <w:szCs w:val="21"/>
              </w:rPr>
              <w:t>最近环境敏感目标，达到时</w:t>
            </w:r>
            <w:r>
              <w:rPr>
                <w:szCs w:val="21"/>
                <w:u w:val="single"/>
              </w:rPr>
              <w:t>/</w:t>
            </w:r>
            <w:r>
              <w:rPr>
                <w:szCs w:val="21"/>
              </w:rPr>
              <w:t xml:space="preserve"> h</w:t>
            </w:r>
            <w:r>
              <w:rPr>
                <w:rFonts w:hint="eastAsia"/>
                <w:szCs w:val="21"/>
              </w:rPr>
              <w:t>（</w:t>
            </w:r>
            <w:r>
              <w:rPr>
                <w:szCs w:val="21"/>
              </w:rPr>
              <w:t>不会形成地表漫流污染地表水</w:t>
            </w:r>
            <w:r>
              <w:rPr>
                <w:rFonts w:hint="eastAsia"/>
                <w:szCs w:val="21"/>
              </w:rPr>
              <w:t>）。</w:t>
            </w:r>
          </w:p>
        </w:tc>
      </w:tr>
      <w:tr w14:paraId="586E8E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5D497EAB">
            <w:pPr>
              <w:widowControl/>
              <w:spacing w:line="360" w:lineRule="exact"/>
              <w:jc w:val="left"/>
              <w:rPr>
                <w:szCs w:val="21"/>
              </w:rPr>
            </w:pPr>
          </w:p>
        </w:tc>
        <w:tc>
          <w:tcPr>
            <w:tcW w:w="917" w:type="pct"/>
            <w:gridSpan w:val="2"/>
            <w:vMerge w:val="restart"/>
            <w:vAlign w:val="center"/>
          </w:tcPr>
          <w:p w14:paraId="678D5277">
            <w:pPr>
              <w:adjustRightInd w:val="0"/>
              <w:spacing w:line="360" w:lineRule="exact"/>
              <w:jc w:val="center"/>
              <w:rPr>
                <w:szCs w:val="21"/>
              </w:rPr>
            </w:pPr>
            <w:r>
              <w:rPr>
                <w:szCs w:val="21"/>
              </w:rPr>
              <w:t>地下水</w:t>
            </w:r>
          </w:p>
        </w:tc>
        <w:tc>
          <w:tcPr>
            <w:tcW w:w="3809" w:type="pct"/>
            <w:gridSpan w:val="24"/>
            <w:vAlign w:val="center"/>
          </w:tcPr>
          <w:p w14:paraId="33A19219">
            <w:pPr>
              <w:adjustRightInd w:val="0"/>
              <w:spacing w:line="360" w:lineRule="exact"/>
              <w:jc w:val="center"/>
              <w:rPr>
                <w:szCs w:val="21"/>
              </w:rPr>
            </w:pPr>
            <w:r>
              <w:rPr>
                <w:szCs w:val="21"/>
              </w:rPr>
              <w:t>下游厂区边界达到时间</w:t>
            </w:r>
            <w:r>
              <w:rPr>
                <w:szCs w:val="21"/>
                <w:u w:val="single"/>
              </w:rPr>
              <w:t xml:space="preserve"> / </w:t>
            </w:r>
            <w:r>
              <w:rPr>
                <w:szCs w:val="21"/>
              </w:rPr>
              <w:t>d</w:t>
            </w:r>
          </w:p>
        </w:tc>
      </w:tr>
      <w:tr w14:paraId="10698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74" w:type="pct"/>
            <w:gridSpan w:val="2"/>
            <w:vMerge w:val="continue"/>
            <w:vAlign w:val="center"/>
          </w:tcPr>
          <w:p w14:paraId="244B0D7D">
            <w:pPr>
              <w:widowControl/>
              <w:spacing w:line="360" w:lineRule="exact"/>
              <w:jc w:val="left"/>
              <w:rPr>
                <w:szCs w:val="21"/>
              </w:rPr>
            </w:pPr>
          </w:p>
        </w:tc>
        <w:tc>
          <w:tcPr>
            <w:tcW w:w="917" w:type="pct"/>
            <w:gridSpan w:val="2"/>
            <w:vMerge w:val="continue"/>
            <w:vAlign w:val="center"/>
          </w:tcPr>
          <w:p w14:paraId="6E514CAC">
            <w:pPr>
              <w:widowControl/>
              <w:spacing w:line="360" w:lineRule="exact"/>
              <w:jc w:val="left"/>
              <w:rPr>
                <w:szCs w:val="21"/>
              </w:rPr>
            </w:pPr>
          </w:p>
        </w:tc>
        <w:tc>
          <w:tcPr>
            <w:tcW w:w="3809" w:type="pct"/>
            <w:gridSpan w:val="24"/>
            <w:vAlign w:val="center"/>
          </w:tcPr>
          <w:p w14:paraId="3FF761A3">
            <w:pPr>
              <w:adjustRightInd w:val="0"/>
              <w:spacing w:line="360" w:lineRule="exact"/>
              <w:jc w:val="center"/>
              <w:rPr>
                <w:szCs w:val="21"/>
              </w:rPr>
            </w:pPr>
            <w:r>
              <w:rPr>
                <w:szCs w:val="21"/>
              </w:rPr>
              <w:t>最近环境敏感目标</w:t>
            </w:r>
            <w:r>
              <w:rPr>
                <w:szCs w:val="21"/>
                <w:u w:val="single"/>
              </w:rPr>
              <w:t xml:space="preserve"> / </w:t>
            </w:r>
            <w:r>
              <w:rPr>
                <w:szCs w:val="21"/>
              </w:rPr>
              <w:t>，达到时间</w:t>
            </w:r>
            <w:r>
              <w:rPr>
                <w:szCs w:val="21"/>
                <w:u w:val="single"/>
              </w:rPr>
              <w:t xml:space="preserve"> / </w:t>
            </w:r>
            <w:r>
              <w:rPr>
                <w:szCs w:val="21"/>
              </w:rPr>
              <w:t>d</w:t>
            </w:r>
            <w:r>
              <w:rPr>
                <w:rFonts w:hint="eastAsia"/>
                <w:szCs w:val="21"/>
              </w:rPr>
              <w:t>（</w:t>
            </w:r>
            <w:r>
              <w:rPr>
                <w:szCs w:val="21"/>
              </w:rPr>
              <w:t>超标区域未达到下游</w:t>
            </w:r>
            <w:r>
              <w:rPr>
                <w:rFonts w:hint="eastAsia"/>
                <w:szCs w:val="21"/>
              </w:rPr>
              <w:t>环境</w:t>
            </w:r>
            <w:r>
              <w:rPr>
                <w:szCs w:val="21"/>
              </w:rPr>
              <w:t>敏感点</w:t>
            </w:r>
            <w:r>
              <w:rPr>
                <w:rFonts w:hint="eastAsia"/>
                <w:szCs w:val="21"/>
              </w:rPr>
              <w:t>）</w:t>
            </w:r>
          </w:p>
        </w:tc>
      </w:tr>
      <w:tr w14:paraId="1684C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Align w:val="center"/>
          </w:tcPr>
          <w:p w14:paraId="3C660E77">
            <w:pPr>
              <w:adjustRightInd w:val="0"/>
              <w:spacing w:line="360" w:lineRule="exact"/>
              <w:jc w:val="center"/>
              <w:rPr>
                <w:szCs w:val="21"/>
              </w:rPr>
            </w:pPr>
            <w:r>
              <w:rPr>
                <w:szCs w:val="21"/>
              </w:rPr>
              <w:t>重点风险防范</w:t>
            </w:r>
          </w:p>
          <w:p w14:paraId="3245B017">
            <w:pPr>
              <w:adjustRightInd w:val="0"/>
              <w:spacing w:line="360" w:lineRule="exact"/>
              <w:jc w:val="center"/>
              <w:rPr>
                <w:szCs w:val="21"/>
              </w:rPr>
            </w:pPr>
            <w:r>
              <w:rPr>
                <w:szCs w:val="21"/>
              </w:rPr>
              <w:t>措施</w:t>
            </w:r>
          </w:p>
        </w:tc>
        <w:tc>
          <w:tcPr>
            <w:tcW w:w="3809" w:type="pct"/>
            <w:gridSpan w:val="24"/>
            <w:vAlign w:val="center"/>
          </w:tcPr>
          <w:p w14:paraId="3681396C">
            <w:pPr>
              <w:adjustRightInd w:val="0"/>
              <w:spacing w:line="360" w:lineRule="exact"/>
              <w:rPr>
                <w:szCs w:val="21"/>
              </w:rPr>
            </w:pPr>
            <w:r>
              <w:rPr>
                <w:rFonts w:hint="eastAsia" w:ascii="宋体" w:hAnsi="宋体" w:cs="宋体"/>
                <w:szCs w:val="21"/>
              </w:rPr>
              <w:t>①</w:t>
            </w:r>
            <w:r>
              <w:rPr>
                <w:szCs w:val="21"/>
              </w:rPr>
              <w:t>按规定对设备进行巡检、维护；</w:t>
            </w:r>
            <w:r>
              <w:rPr>
                <w:rFonts w:hint="eastAsia" w:ascii="宋体" w:hAnsi="宋体" w:cs="宋体"/>
                <w:szCs w:val="21"/>
              </w:rPr>
              <w:t>②</w:t>
            </w:r>
            <w:r>
              <w:rPr>
                <w:szCs w:val="21"/>
              </w:rPr>
              <w:t>企业应制定各岗位安全操作规程，制定岗位责任制；</w:t>
            </w:r>
            <w:r>
              <w:rPr>
                <w:rFonts w:hint="eastAsia" w:ascii="宋体" w:hAnsi="宋体" w:cs="宋体"/>
                <w:szCs w:val="21"/>
              </w:rPr>
              <w:t>③</w:t>
            </w:r>
            <w:r>
              <w:rPr>
                <w:bCs/>
                <w:szCs w:val="21"/>
              </w:rPr>
              <w:t>依托</w:t>
            </w:r>
            <w:r>
              <w:rPr>
                <w:rFonts w:hint="eastAsia"/>
                <w:bCs/>
                <w:szCs w:val="21"/>
              </w:rPr>
              <w:t>伊泰化工现有</w:t>
            </w:r>
            <w:r>
              <w:rPr>
                <w:bCs/>
                <w:szCs w:val="21"/>
              </w:rPr>
              <w:t>环境风险物资，在事故发生后及时采取相应的处置措施；</w:t>
            </w:r>
            <w:r>
              <w:rPr>
                <w:rFonts w:hint="eastAsia" w:ascii="宋体" w:hAnsi="宋体" w:cs="宋体"/>
                <w:szCs w:val="21"/>
              </w:rPr>
              <w:t>④</w:t>
            </w:r>
            <w:r>
              <w:rPr>
                <w:rFonts w:hint="eastAsia"/>
                <w:bCs/>
                <w:szCs w:val="21"/>
              </w:rPr>
              <w:t>伊泰化工</w:t>
            </w:r>
            <w:r>
              <w:rPr>
                <w:bCs/>
                <w:szCs w:val="21"/>
              </w:rPr>
              <w:t>编制或修订突发环境事件应急预案，将本项目包含在内</w:t>
            </w:r>
            <w:r>
              <w:rPr>
                <w:rFonts w:hint="eastAsia"/>
                <w:bCs/>
                <w:szCs w:val="21"/>
              </w:rPr>
              <w:t>。</w:t>
            </w:r>
          </w:p>
        </w:tc>
      </w:tr>
      <w:tr w14:paraId="790F70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1191" w:type="pct"/>
            <w:gridSpan w:val="4"/>
            <w:vAlign w:val="center"/>
          </w:tcPr>
          <w:p w14:paraId="7DDE6C2C">
            <w:pPr>
              <w:adjustRightInd w:val="0"/>
              <w:spacing w:line="360" w:lineRule="exact"/>
              <w:jc w:val="center"/>
              <w:rPr>
                <w:szCs w:val="21"/>
              </w:rPr>
            </w:pPr>
            <w:r>
              <w:rPr>
                <w:szCs w:val="21"/>
              </w:rPr>
              <w:t>评价结论与建议</w:t>
            </w:r>
          </w:p>
        </w:tc>
        <w:tc>
          <w:tcPr>
            <w:tcW w:w="3809" w:type="pct"/>
            <w:gridSpan w:val="24"/>
            <w:vAlign w:val="center"/>
          </w:tcPr>
          <w:p w14:paraId="58E8E113">
            <w:pPr>
              <w:spacing w:line="360" w:lineRule="exact"/>
              <w:rPr>
                <w:szCs w:val="21"/>
              </w:rPr>
            </w:pPr>
            <w:r>
              <w:rPr>
                <w:szCs w:val="21"/>
              </w:rPr>
              <w:t>综合环境风险评价工作过程，项目环境风险可防控，建设单位应针对环境风险事故采取多种防范措施。建议企业强化管理意识，通过加强事故应急演练增强风险防范能力</w:t>
            </w:r>
            <w:r>
              <w:rPr>
                <w:rFonts w:hint="eastAsia"/>
                <w:szCs w:val="21"/>
              </w:rPr>
              <w:t>。</w:t>
            </w:r>
          </w:p>
        </w:tc>
      </w:tr>
    </w:tbl>
    <w:p w14:paraId="606C9BA0">
      <w:pPr>
        <w:widowControl/>
        <w:jc w:val="left"/>
        <w:rPr>
          <w:b/>
          <w:bCs/>
          <w:sz w:val="24"/>
          <w:szCs w:val="32"/>
        </w:rPr>
      </w:pPr>
      <w:r>
        <w:rPr>
          <w:b/>
          <w:bCs/>
          <w:sz w:val="24"/>
          <w:szCs w:val="32"/>
        </w:rPr>
        <w:br w:type="page"/>
      </w:r>
    </w:p>
    <w:p w14:paraId="419B2D74">
      <w:pPr>
        <w:outlineLvl w:val="0"/>
        <w:rPr>
          <w:b/>
          <w:bCs/>
          <w:sz w:val="24"/>
          <w:szCs w:val="32"/>
        </w:rPr>
        <w:sectPr>
          <w:footerReference r:id="rId6" w:type="default"/>
          <w:pgSz w:w="11906" w:h="16838"/>
          <w:pgMar w:top="1440" w:right="1797" w:bottom="1440" w:left="1797" w:header="851" w:footer="1077" w:gutter="0"/>
          <w:cols w:space="720" w:num="1"/>
          <w:docGrid w:linePitch="312" w:charSpace="0"/>
        </w:sectPr>
      </w:pPr>
    </w:p>
    <w:p w14:paraId="792B9D4B">
      <w:pPr>
        <w:outlineLvl w:val="0"/>
        <w:rPr>
          <w:b/>
          <w:bCs/>
          <w:sz w:val="24"/>
          <w:szCs w:val="32"/>
        </w:rPr>
      </w:pPr>
      <w:r>
        <w:rPr>
          <w:b/>
          <w:bCs/>
          <w:sz w:val="24"/>
          <w:szCs w:val="32"/>
        </w:rPr>
        <w:t>附图1：项目地理位置图</w:t>
      </w:r>
    </w:p>
    <w:p w14:paraId="193E4481">
      <w:pPr>
        <w:jc w:val="center"/>
        <w:rPr>
          <w:sz w:val="24"/>
          <w:szCs w:val="32"/>
        </w:rPr>
      </w:pPr>
      <w:r>
        <w:rPr>
          <w:sz w:val="24"/>
          <w:szCs w:val="32"/>
        </w:rPr>
        <mc:AlternateContent>
          <mc:Choice Requires="wps">
            <w:drawing>
              <wp:anchor distT="0" distB="0" distL="114300" distR="114300" simplePos="0" relativeHeight="251675648" behindDoc="0" locked="0" layoutInCell="1" allowOverlap="1">
                <wp:simplePos x="0" y="0"/>
                <wp:positionH relativeFrom="column">
                  <wp:posOffset>5076825</wp:posOffset>
                </wp:positionH>
                <wp:positionV relativeFrom="paragraph">
                  <wp:posOffset>2890520</wp:posOffset>
                </wp:positionV>
                <wp:extent cx="857250" cy="314325"/>
                <wp:effectExtent l="0" t="228600" r="19050" b="28575"/>
                <wp:wrapNone/>
                <wp:docPr id="7" name="AutoShape 572"/>
                <wp:cNvGraphicFramePr/>
                <a:graphic xmlns:a="http://schemas.openxmlformats.org/drawingml/2006/main">
                  <a:graphicData uri="http://schemas.microsoft.com/office/word/2010/wordprocessingShape">
                    <wps:wsp>
                      <wps:cNvSpPr>
                        <a:spLocks noChangeArrowheads="1"/>
                      </wps:cNvSpPr>
                      <wps:spPr bwMode="auto">
                        <a:xfrm>
                          <a:off x="0" y="0"/>
                          <a:ext cx="857250" cy="314325"/>
                        </a:xfrm>
                        <a:prstGeom prst="wedgeRoundRectCallout">
                          <a:avLst>
                            <a:gd name="adj1" fmla="val -43778"/>
                            <a:gd name="adj2" fmla="val -111644"/>
                            <a:gd name="adj3" fmla="val 16667"/>
                          </a:avLst>
                        </a:prstGeom>
                        <a:solidFill>
                          <a:srgbClr val="FFFFFF"/>
                        </a:solidFill>
                        <a:ln w="9525">
                          <a:solidFill>
                            <a:srgbClr val="000000"/>
                          </a:solidFill>
                          <a:miter lim="800000"/>
                        </a:ln>
                      </wps:spPr>
                      <wps:txbx>
                        <w:txbxContent>
                          <w:p w14:paraId="6ACFA24E">
                            <w:pPr>
                              <w:spacing w:line="240" w:lineRule="atLeast"/>
                            </w:pPr>
                            <w:r>
                              <w:rPr>
                                <w:rFonts w:hint="eastAsia"/>
                              </w:rPr>
                              <w:t>项目位置</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399.75pt;margin-top:227.6pt;height:24.75pt;width:67.5pt;z-index:251675648;mso-width-relative:page;mso-height-relative:page;" fillcolor="#FFFFFF" filled="t" stroked="t" coordsize="21600,21600" o:gfxdata="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NddIqdkAAAALAQAADwAAAAAAAAABACAAAAAiAAAAZHJzL2Rvd25yZXYueG1sUEsBAhQAFAAA&#10;AAgAh07iQFxx7WFgAgAABwUAAA4AAAAAAAAAAQAgAAAAKAEAAGRycy9lMm9Eb2MueG1sUEsFBgAA&#10;AAAGAAYAWQEAAPoFAAAAAA==&#10;" adj="1344,-13315,14400">
                <v:fill on="t" focussize="0,0"/>
                <v:stroke color="#000000" miterlimit="8" joinstyle="miter"/>
                <v:imagedata o:title=""/>
                <o:lock v:ext="edit" aspectratio="f"/>
                <v:textbox>
                  <w:txbxContent>
                    <w:p w14:paraId="6ACFA24E">
                      <w:pPr>
                        <w:spacing w:line="240" w:lineRule="atLeast"/>
                      </w:pPr>
                      <w:r>
                        <w:rPr>
                          <w:rFonts w:hint="eastAsia"/>
                        </w:rPr>
                        <w:t>项目位置</w:t>
                      </w:r>
                    </w:p>
                  </w:txbxContent>
                </v:textbox>
              </v:shape>
            </w:pict>
          </mc:Fallback>
        </mc:AlternateContent>
      </w:r>
      <w:r>
        <w:rPr>
          <w:sz w:val="24"/>
          <w:szCs w:val="32"/>
        </w:rPr>
        <mc:AlternateContent>
          <mc:Choice Requires="wps">
            <w:drawing>
              <wp:anchor distT="0" distB="0" distL="114300" distR="114300" simplePos="0" relativeHeight="251674624" behindDoc="0" locked="0" layoutInCell="1" allowOverlap="1">
                <wp:simplePos x="0" y="0"/>
                <wp:positionH relativeFrom="column">
                  <wp:posOffset>5029200</wp:posOffset>
                </wp:positionH>
                <wp:positionV relativeFrom="paragraph">
                  <wp:posOffset>2576195</wp:posOffset>
                </wp:positionV>
                <wp:extent cx="161925" cy="161925"/>
                <wp:effectExtent l="19050" t="28575" r="19050" b="19050"/>
                <wp:wrapNone/>
                <wp:docPr id="6" name="AutoShape 571"/>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star5">
                          <a:avLst/>
                        </a:prstGeom>
                        <a:solidFill>
                          <a:srgbClr val="FF0000"/>
                        </a:solidFill>
                        <a:ln w="9525">
                          <a:solidFill>
                            <a:srgbClr val="FF0000"/>
                          </a:solidFill>
                          <a:miter lim="800000"/>
                        </a:ln>
                      </wps:spPr>
                      <wps:bodyPr rot="0" vert="horz" wrap="square" lIns="91440" tIns="45720" rIns="91440" bIns="45720" anchor="t" anchorCtr="0" upright="1">
                        <a:noAutofit/>
                      </wps:bodyPr>
                    </wps:wsp>
                  </a:graphicData>
                </a:graphic>
              </wp:anchor>
            </w:drawing>
          </mc:Choice>
          <mc:Fallback>
            <w:pict>
              <v:shape id="AutoShape 571" o:spid="_x0000_s1026" style="position:absolute;left:0pt;margin-left:396pt;margin-top:202.85pt;height:12.75pt;width:12.75pt;z-index:251674624;mso-width-relative:page;mso-height-relative:page;" fillcolor="#FF0000" filled="t" stroked="t" coordsize="161925,161925" o:gfxdata="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F&#10;pPzcAAAACwEAAA8AAAAAAAAAAQAgAAAAIgAAAGRycy9kb3ducmV2LnhtbFBLAQIUABQAAAAIAIdO&#10;4kDMymgKHwIAAHQEAAAOAAAAAAAAAAEAIAAAACsBAABkcnMvZTJvRG9jLnhtbFBLBQYAAAAABgAG&#10;AFkBAAC8BQAAAAA=&#10;" path="m0,61849l61850,61850,80962,0,100074,61850,161924,61849,111886,100074,130999,161924,80962,123698,30925,161924,50038,100074xe">
                <v:path o:connectlocs="80962,0;0,61849;30925,161924;130999,161924;161924,61849" o:connectangles="247,164,82,82,0"/>
                <v:fill on="t" focussize="0,0"/>
                <v:stroke color="#FF0000" miterlimit="8" joinstyle="miter"/>
                <v:imagedata o:title=""/>
                <o:lock v:ext="edit" aspectratio="f"/>
              </v:shape>
            </w:pict>
          </mc:Fallback>
        </mc:AlternateContent>
      </w:r>
      <w:r>
        <w:rPr>
          <w:sz w:val="24"/>
          <w:szCs w:val="32"/>
        </w:rPr>
        <w:drawing>
          <wp:inline distT="0" distB="0" distL="0" distR="0">
            <wp:extent cx="7028815" cy="4980940"/>
            <wp:effectExtent l="0" t="0" r="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7028815" cy="4980940"/>
                    </a:xfrm>
                    <a:prstGeom prst="rect">
                      <a:avLst/>
                    </a:prstGeom>
                    <a:noFill/>
                  </pic:spPr>
                </pic:pic>
              </a:graphicData>
            </a:graphic>
          </wp:inline>
        </w:drawing>
      </w:r>
    </w:p>
    <w:p w14:paraId="04D6BEE4">
      <w:pPr>
        <w:outlineLvl w:val="0"/>
        <w:rPr>
          <w:sz w:val="24"/>
          <w:szCs w:val="32"/>
        </w:rPr>
      </w:pPr>
      <w:r>
        <w:rPr>
          <w:rFonts w:hint="eastAsia"/>
          <w:b/>
          <w:bCs/>
          <w:sz w:val="24"/>
          <w:szCs w:val="32"/>
        </w:rPr>
        <w:t>附图2：线路走向及周边关系图</w:t>
      </w:r>
    </w:p>
    <w:p w14:paraId="3D65E2E1">
      <w:pPr>
        <w:jc w:val="center"/>
        <w:rPr>
          <w:sz w:val="24"/>
          <w:szCs w:val="32"/>
        </w:rPr>
      </w:pPr>
      <w:r>
        <w:rPr>
          <w:sz w:val="24"/>
          <w:szCs w:val="32"/>
        </w:rPr>
        <mc:AlternateContent>
          <mc:Choice Requires="wps">
            <w:drawing>
              <wp:anchor distT="0" distB="0" distL="114300" distR="114300" simplePos="0" relativeHeight="251698176" behindDoc="0" locked="0" layoutInCell="1" allowOverlap="1">
                <wp:simplePos x="0" y="0"/>
                <wp:positionH relativeFrom="column">
                  <wp:posOffset>876300</wp:posOffset>
                </wp:positionH>
                <wp:positionV relativeFrom="paragraph">
                  <wp:posOffset>1347470</wp:posOffset>
                </wp:positionV>
                <wp:extent cx="1028700" cy="476250"/>
                <wp:effectExtent l="0" t="628650" r="19050" b="19050"/>
                <wp:wrapNone/>
                <wp:docPr id="2094518722" name="AutoShape 572"/>
                <wp:cNvGraphicFramePr/>
                <a:graphic xmlns:a="http://schemas.openxmlformats.org/drawingml/2006/main">
                  <a:graphicData uri="http://schemas.microsoft.com/office/word/2010/wordprocessingShape">
                    <wps:wsp>
                      <wps:cNvSpPr>
                        <a:spLocks noChangeArrowheads="1"/>
                      </wps:cNvSpPr>
                      <wps:spPr bwMode="auto">
                        <a:xfrm>
                          <a:off x="0" y="0"/>
                          <a:ext cx="1028700" cy="476250"/>
                        </a:xfrm>
                        <a:prstGeom prst="wedgeRoundRectCallout">
                          <a:avLst>
                            <a:gd name="adj1" fmla="val 19950"/>
                            <a:gd name="adj2" fmla="val -173644"/>
                            <a:gd name="adj3" fmla="val 16667"/>
                          </a:avLst>
                        </a:prstGeom>
                        <a:solidFill>
                          <a:srgbClr val="FFFFFF"/>
                        </a:solidFill>
                        <a:ln w="9525">
                          <a:solidFill>
                            <a:srgbClr val="000000"/>
                          </a:solidFill>
                          <a:miter lim="800000"/>
                        </a:ln>
                      </wps:spPr>
                      <wps:txbx>
                        <w:txbxContent>
                          <w:p w14:paraId="22B163B1">
                            <w:pPr>
                              <w:spacing w:line="240" w:lineRule="atLeast"/>
                              <w:rPr>
                                <w:b/>
                                <w:bCs/>
                                <w:sz w:val="20"/>
                                <w:szCs w:val="22"/>
                              </w:rPr>
                            </w:pPr>
                            <w:r>
                              <w:rPr>
                                <w:rFonts w:hint="eastAsia"/>
                                <w:b/>
                                <w:bCs/>
                                <w:sz w:val="20"/>
                                <w:szCs w:val="22"/>
                              </w:rPr>
                              <w:t>终点位于伊泰宏城厂区内</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69pt;margin-top:106.1pt;height:37.5pt;width:81pt;z-index:251698176;mso-width-relative:page;mso-height-relative:page;" fillcolor="#FFFFFF" filled="t" stroked="t" coordsize="21600,21600" o:gfxdata="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Agr0W2AAAAAsBAAAPAAAAAAAAAAEAIAAAACIAAABkcnMvZG93bnJl&#10;di54bWxQSwECFAAUAAAACACHTuJAokCabG8CAAAQBQAADgAAAAAAAAABACAAAAAnAQAAZHJzL2Uy&#10;b0RvYy54bWxQSwUGAAAAAAYABgBZAQAACAYAAAAA&#10;" adj="15109,-26707,14400">
                <v:fill on="t" focussize="0,0"/>
                <v:stroke color="#000000" miterlimit="8" joinstyle="miter"/>
                <v:imagedata o:title=""/>
                <o:lock v:ext="edit" aspectratio="f"/>
                <v:textbox>
                  <w:txbxContent>
                    <w:p w14:paraId="22B163B1">
                      <w:pPr>
                        <w:spacing w:line="240" w:lineRule="atLeast"/>
                        <w:rPr>
                          <w:b/>
                          <w:bCs/>
                          <w:sz w:val="20"/>
                          <w:szCs w:val="22"/>
                        </w:rPr>
                      </w:pPr>
                      <w:r>
                        <w:rPr>
                          <w:rFonts w:hint="eastAsia"/>
                          <w:b/>
                          <w:bCs/>
                          <w:sz w:val="20"/>
                          <w:szCs w:val="22"/>
                        </w:rPr>
                        <w:t>终点位于伊泰宏城厂区内</w:t>
                      </w:r>
                    </w:p>
                  </w:txbxContent>
                </v:textbox>
              </v:shape>
            </w:pict>
          </mc:Fallback>
        </mc:AlternateContent>
      </w:r>
      <w:r>
        <w:rPr>
          <w:sz w:val="24"/>
          <w:szCs w:val="32"/>
        </w:rPr>
        <mc:AlternateContent>
          <mc:Choice Requires="wps">
            <w:drawing>
              <wp:anchor distT="0" distB="0" distL="114300" distR="114300" simplePos="0" relativeHeight="251692032" behindDoc="0" locked="0" layoutInCell="1" allowOverlap="1">
                <wp:simplePos x="0" y="0"/>
                <wp:positionH relativeFrom="column">
                  <wp:posOffset>2600325</wp:posOffset>
                </wp:positionH>
                <wp:positionV relativeFrom="paragraph">
                  <wp:posOffset>1309370</wp:posOffset>
                </wp:positionV>
                <wp:extent cx="781050" cy="476250"/>
                <wp:effectExtent l="0" t="0" r="609600" b="419100"/>
                <wp:wrapNone/>
                <wp:docPr id="19" name="AutoShape 572"/>
                <wp:cNvGraphicFramePr/>
                <a:graphic xmlns:a="http://schemas.openxmlformats.org/drawingml/2006/main">
                  <a:graphicData uri="http://schemas.microsoft.com/office/word/2010/wordprocessingShape">
                    <wps:wsp>
                      <wps:cNvSpPr>
                        <a:spLocks noChangeArrowheads="1"/>
                      </wps:cNvSpPr>
                      <wps:spPr bwMode="auto">
                        <a:xfrm>
                          <a:off x="0" y="0"/>
                          <a:ext cx="781050" cy="476250"/>
                        </a:xfrm>
                        <a:prstGeom prst="wedgeRoundRectCallout">
                          <a:avLst>
                            <a:gd name="adj1" fmla="val 118417"/>
                            <a:gd name="adj2" fmla="val 124356"/>
                            <a:gd name="adj3" fmla="val 16667"/>
                          </a:avLst>
                        </a:prstGeom>
                        <a:solidFill>
                          <a:srgbClr val="FFFFFF"/>
                        </a:solidFill>
                        <a:ln w="9525">
                          <a:solidFill>
                            <a:srgbClr val="000000"/>
                          </a:solidFill>
                          <a:miter lim="800000"/>
                        </a:ln>
                      </wps:spPr>
                      <wps:txbx>
                        <w:txbxContent>
                          <w:p w14:paraId="5F1DC759">
                            <w:pPr>
                              <w:spacing w:line="240" w:lineRule="atLeast"/>
                              <w:jc w:val="center"/>
                              <w:rPr>
                                <w:b/>
                                <w:bCs/>
                                <w:sz w:val="20"/>
                                <w:szCs w:val="22"/>
                              </w:rPr>
                            </w:pPr>
                            <w:r>
                              <w:rPr>
                                <w:rFonts w:hint="eastAsia"/>
                                <w:b/>
                                <w:bCs/>
                                <w:sz w:val="20"/>
                                <w:szCs w:val="22"/>
                              </w:rPr>
                              <w:t>排放气管道起点</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204.75pt;margin-top:103.1pt;height:37.5pt;width:61.5pt;z-index:251692032;mso-width-relative:page;mso-height-relative:page;" fillcolor="#FFFFFF" filled="t" stroked="t" coordsize="21600,21600" o:gfxdata="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tttfNcAAAALAQAADwAAAAAAAAABACAAAAAiAAAAZHJzL2Rvd25yZXYueG1sUEsBAhQA&#10;FAAAAAgAh07iQGakGHNlAgAABwUAAA4AAAAAAAAAAQAgAAAAJgEAAGRycy9lMm9Eb2MueG1sUEsF&#10;BgAAAAAGAAYAWQEAAP0FAAAAAA==&#10;" adj="36378,37661,14400">
                <v:fill on="t" focussize="0,0"/>
                <v:stroke color="#000000" miterlimit="8" joinstyle="miter"/>
                <v:imagedata o:title=""/>
                <o:lock v:ext="edit" aspectratio="f"/>
                <v:textbox>
                  <w:txbxContent>
                    <w:p w14:paraId="5F1DC759">
                      <w:pPr>
                        <w:spacing w:line="240" w:lineRule="atLeast"/>
                        <w:jc w:val="center"/>
                        <w:rPr>
                          <w:b/>
                          <w:bCs/>
                          <w:sz w:val="20"/>
                          <w:szCs w:val="22"/>
                        </w:rPr>
                      </w:pPr>
                      <w:r>
                        <w:rPr>
                          <w:rFonts w:hint="eastAsia"/>
                          <w:b/>
                          <w:bCs/>
                          <w:sz w:val="20"/>
                          <w:szCs w:val="22"/>
                        </w:rPr>
                        <w:t>排放气管道起点</w:t>
                      </w:r>
                    </w:p>
                  </w:txbxContent>
                </v:textbox>
              </v:shape>
            </w:pict>
          </mc:Fallback>
        </mc:AlternateContent>
      </w:r>
      <w:r>
        <w:drawing>
          <wp:anchor distT="0" distB="0" distL="114300" distR="114300" simplePos="0" relativeHeight="251697152" behindDoc="0" locked="0" layoutInCell="1" allowOverlap="1">
            <wp:simplePos x="0" y="0"/>
            <wp:positionH relativeFrom="column">
              <wp:posOffset>533400</wp:posOffset>
            </wp:positionH>
            <wp:positionV relativeFrom="paragraph">
              <wp:posOffset>13970</wp:posOffset>
            </wp:positionV>
            <wp:extent cx="1971675" cy="1310640"/>
            <wp:effectExtent l="0" t="0" r="0" b="4445"/>
            <wp:wrapNone/>
            <wp:docPr id="2094518721" name="图片 209451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18721" name="图片 209451872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71675" cy="1310393"/>
                    </a:xfrm>
                    <a:prstGeom prst="rect">
                      <a:avLst/>
                    </a:prstGeom>
                  </pic:spPr>
                </pic:pic>
              </a:graphicData>
            </a:graphic>
          </wp:anchor>
        </w:drawing>
      </w:r>
      <w:r>
        <w:rPr>
          <w:sz w:val="24"/>
          <w:szCs w:val="32"/>
        </w:rPr>
        <mc:AlternateContent>
          <mc:Choice Requires="wps">
            <w:drawing>
              <wp:anchor distT="0" distB="0" distL="114300" distR="114300" simplePos="0" relativeHeight="251689984" behindDoc="0" locked="0" layoutInCell="1" allowOverlap="1">
                <wp:simplePos x="0" y="0"/>
                <wp:positionH relativeFrom="column">
                  <wp:posOffset>1019175</wp:posOffset>
                </wp:positionH>
                <wp:positionV relativeFrom="paragraph">
                  <wp:posOffset>2623820</wp:posOffset>
                </wp:positionV>
                <wp:extent cx="981075" cy="476250"/>
                <wp:effectExtent l="0" t="57150" r="942975" b="19050"/>
                <wp:wrapNone/>
                <wp:docPr id="17" name="AutoShape 572"/>
                <wp:cNvGraphicFramePr/>
                <a:graphic xmlns:a="http://schemas.openxmlformats.org/drawingml/2006/main">
                  <a:graphicData uri="http://schemas.microsoft.com/office/word/2010/wordprocessingShape">
                    <wps:wsp>
                      <wps:cNvSpPr>
                        <a:spLocks noChangeArrowheads="1"/>
                      </wps:cNvSpPr>
                      <wps:spPr bwMode="auto">
                        <a:xfrm>
                          <a:off x="0" y="0"/>
                          <a:ext cx="981075" cy="476250"/>
                        </a:xfrm>
                        <a:prstGeom prst="wedgeRoundRectCallout">
                          <a:avLst>
                            <a:gd name="adj1" fmla="val 137515"/>
                            <a:gd name="adj2" fmla="val -59644"/>
                            <a:gd name="adj3" fmla="val 16667"/>
                          </a:avLst>
                        </a:prstGeom>
                        <a:solidFill>
                          <a:srgbClr val="FFFFFF"/>
                        </a:solidFill>
                        <a:ln w="9525">
                          <a:solidFill>
                            <a:srgbClr val="000000"/>
                          </a:solidFill>
                          <a:miter lim="800000"/>
                        </a:ln>
                      </wps:spPr>
                      <wps:txbx>
                        <w:txbxContent>
                          <w:p w14:paraId="7998BD70">
                            <w:pPr>
                              <w:spacing w:line="240" w:lineRule="atLeast"/>
                              <w:rPr>
                                <w:b/>
                                <w:bCs/>
                                <w:sz w:val="20"/>
                                <w:szCs w:val="22"/>
                              </w:rPr>
                            </w:pPr>
                            <w:r>
                              <w:rPr>
                                <w:rFonts w:hint="eastAsia"/>
                                <w:b/>
                                <w:bCs/>
                                <w:sz w:val="20"/>
                                <w:szCs w:val="22"/>
                              </w:rPr>
                              <w:t>伊泰宏城厂区（终点）</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80.25pt;margin-top:206.6pt;height:37.5pt;width:77.25pt;z-index:251689984;mso-width-relative:page;mso-height-relative:page;" fillcolor="#FFFFFF" filled="t" stroked="t" coordsize="21600,21600" o:gfxdata="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hbeF2wAAAAsBAAAPAAAAAAAAAAEAIAAAACIAAABkcnMvZG93bnJldi54bWxQ&#10;SwECFAAUAAAACACHTuJAW41V12YCAAAHBQAADgAAAAAAAAABACAAAAAqAQAAZHJzL2Uyb0RvYy54&#10;bWxQSwUGAAAAAAYABgBZAQAAAgYAAAAA&#10;" adj="40503,-2083,14400">
                <v:fill on="t" focussize="0,0"/>
                <v:stroke color="#000000" miterlimit="8" joinstyle="miter"/>
                <v:imagedata o:title=""/>
                <o:lock v:ext="edit" aspectratio="f"/>
                <v:textbox>
                  <w:txbxContent>
                    <w:p w14:paraId="7998BD70">
                      <w:pPr>
                        <w:spacing w:line="240" w:lineRule="atLeast"/>
                        <w:rPr>
                          <w:b/>
                          <w:bCs/>
                          <w:sz w:val="20"/>
                          <w:szCs w:val="22"/>
                        </w:rPr>
                      </w:pPr>
                      <w:r>
                        <w:rPr>
                          <w:rFonts w:hint="eastAsia"/>
                          <w:b/>
                          <w:bCs/>
                          <w:sz w:val="20"/>
                          <w:szCs w:val="22"/>
                        </w:rPr>
                        <w:t>伊泰宏城厂区（终点）</w:t>
                      </w:r>
                    </w:p>
                  </w:txbxContent>
                </v:textbox>
              </v:shape>
            </w:pict>
          </mc:Fallback>
        </mc:AlternateContent>
      </w:r>
      <w:r>
        <w:rPr>
          <w:b/>
          <w:bCs/>
          <w:sz w:val="24"/>
          <w:szCs w:val="32"/>
        </w:rPr>
        <w:drawing>
          <wp:anchor distT="0" distB="0" distL="114300" distR="114300" simplePos="0" relativeHeight="251696128" behindDoc="0" locked="0" layoutInCell="1" allowOverlap="1">
            <wp:simplePos x="0" y="0"/>
            <wp:positionH relativeFrom="column">
              <wp:posOffset>542925</wp:posOffset>
            </wp:positionH>
            <wp:positionV relativeFrom="paragraph">
              <wp:posOffset>4492625</wp:posOffset>
            </wp:positionV>
            <wp:extent cx="1295400" cy="371475"/>
            <wp:effectExtent l="0" t="0" r="0" b="9525"/>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95400" cy="371475"/>
                    </a:xfrm>
                    <a:prstGeom prst="rect">
                      <a:avLst/>
                    </a:prstGeom>
                    <a:solidFill>
                      <a:schemeClr val="bg1"/>
                    </a:solidFill>
                  </pic:spPr>
                </pic:pic>
              </a:graphicData>
            </a:graphic>
          </wp:anchor>
        </w:drawing>
      </w:r>
      <w:r>
        <w:rPr>
          <w:b/>
          <w:bCs/>
          <w:sz w:val="24"/>
          <w:szCs w:val="32"/>
        </w:rPr>
        <w:drawing>
          <wp:anchor distT="0" distB="0" distL="114300" distR="114300" simplePos="0" relativeHeight="251695104" behindDoc="0" locked="0" layoutInCell="1" allowOverlap="1">
            <wp:simplePos x="0" y="0"/>
            <wp:positionH relativeFrom="column">
              <wp:posOffset>7477125</wp:posOffset>
            </wp:positionH>
            <wp:positionV relativeFrom="paragraph">
              <wp:posOffset>4214495</wp:posOffset>
            </wp:positionV>
            <wp:extent cx="828675" cy="650240"/>
            <wp:effectExtent l="0" t="0" r="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828675" cy="650280"/>
                    </a:xfrm>
                    <a:prstGeom prst="rect">
                      <a:avLst/>
                    </a:prstGeom>
                    <a:solidFill>
                      <a:schemeClr val="bg1"/>
                    </a:solidFill>
                  </pic:spPr>
                </pic:pic>
              </a:graphicData>
            </a:graphic>
          </wp:anchor>
        </w:drawing>
      </w:r>
      <w:r>
        <w:rPr>
          <w:sz w:val="24"/>
          <w:szCs w:val="32"/>
        </w:rPr>
        <mc:AlternateContent>
          <mc:Choice Requires="wps">
            <w:drawing>
              <wp:anchor distT="0" distB="0" distL="114300" distR="114300" simplePos="0" relativeHeight="251694080" behindDoc="0" locked="0" layoutInCell="1" allowOverlap="1">
                <wp:simplePos x="0" y="0"/>
                <wp:positionH relativeFrom="column">
                  <wp:posOffset>5305425</wp:posOffset>
                </wp:positionH>
                <wp:positionV relativeFrom="paragraph">
                  <wp:posOffset>3004820</wp:posOffset>
                </wp:positionV>
                <wp:extent cx="742950" cy="628650"/>
                <wp:effectExtent l="57150" t="114300" r="0" b="114300"/>
                <wp:wrapNone/>
                <wp:docPr id="21" name="文本框 21"/>
                <wp:cNvGraphicFramePr/>
                <a:graphic xmlns:a="http://schemas.openxmlformats.org/drawingml/2006/main">
                  <a:graphicData uri="http://schemas.microsoft.com/office/word/2010/wordprocessingShape">
                    <wps:wsp>
                      <wps:cNvSpPr txBox="1"/>
                      <wps:spPr>
                        <a:xfrm rot="19022567">
                          <a:off x="0" y="0"/>
                          <a:ext cx="742950" cy="628650"/>
                        </a:xfrm>
                        <a:prstGeom prst="rect">
                          <a:avLst/>
                        </a:prstGeom>
                        <a:noFill/>
                        <a:ln w="6350">
                          <a:noFill/>
                        </a:ln>
                      </wps:spPr>
                      <wps:txbx>
                        <w:txbxContent>
                          <w:p w14:paraId="1FEF6BF6">
                            <w:pPr>
                              <w:rPr>
                                <w:b/>
                                <w:bCs/>
                              </w:rPr>
                            </w:pPr>
                            <w:r>
                              <w:rPr>
                                <w:rFonts w:hint="eastAsia"/>
                                <w:b/>
                                <w:bCs/>
                                <w:highlight w:val="yellow"/>
                              </w:rPr>
                              <w:t>内蒙古伊诺新材料有限公司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7.75pt;margin-top:236.6pt;height:49.5pt;width:58.5pt;rotation:-2815244f;z-index:251694080;mso-width-relative:page;mso-height-relative:page;" filled="f" stroked="f" coordsize="21600,21600" o:gfxdata="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lqkj1wAAAAsBAAAPAAAAAAAAAAEAIAAAACIA&#10;AABkcnMvZG93bnJldi54bWxQSwECFAAUAAAACACHTuJACvj+n0MCAAB2BAAADgAAAAAAAAABACAA&#10;AAAmAQAAZHJzL2Uyb0RvYy54bWxQSwUGAAAAAAYABgBZAQAA2wUAAAAA&#10;">
                <v:fill on="f" focussize="0,0"/>
                <v:stroke on="f" weight="0.5pt"/>
                <v:imagedata o:title=""/>
                <o:lock v:ext="edit" aspectratio="f"/>
                <v:textbox>
                  <w:txbxContent>
                    <w:p w14:paraId="1FEF6BF6">
                      <w:pPr>
                        <w:rPr>
                          <w:b/>
                          <w:bCs/>
                        </w:rPr>
                      </w:pPr>
                      <w:r>
                        <w:rPr>
                          <w:rFonts w:hint="eastAsia"/>
                          <w:b/>
                          <w:bCs/>
                          <w:highlight w:val="yellow"/>
                        </w:rPr>
                        <w:t>内蒙古伊诺新材料有限公司</w:t>
                      </w:r>
                    </w:p>
                  </w:txbxContent>
                </v:textbox>
              </v:shape>
            </w:pict>
          </mc:Fallback>
        </mc:AlternateContent>
      </w:r>
      <w:r>
        <w:rPr>
          <w:sz w:val="24"/>
          <w:szCs w:val="32"/>
        </w:rPr>
        <mc:AlternateContent>
          <mc:Choice Requires="wps">
            <w:drawing>
              <wp:anchor distT="0" distB="0" distL="114300" distR="114300" simplePos="0" relativeHeight="251693056" behindDoc="0" locked="0" layoutInCell="1" allowOverlap="1">
                <wp:simplePos x="0" y="0"/>
                <wp:positionH relativeFrom="column">
                  <wp:posOffset>3886200</wp:posOffset>
                </wp:positionH>
                <wp:positionV relativeFrom="paragraph">
                  <wp:posOffset>2490470</wp:posOffset>
                </wp:positionV>
                <wp:extent cx="781050" cy="476250"/>
                <wp:effectExtent l="0" t="381000" r="285750" b="19050"/>
                <wp:wrapNone/>
                <wp:docPr id="20" name="AutoShape 572"/>
                <wp:cNvGraphicFramePr/>
                <a:graphic xmlns:a="http://schemas.openxmlformats.org/drawingml/2006/main">
                  <a:graphicData uri="http://schemas.microsoft.com/office/word/2010/wordprocessingShape">
                    <wps:wsp>
                      <wps:cNvSpPr>
                        <a:spLocks noChangeArrowheads="1"/>
                      </wps:cNvSpPr>
                      <wps:spPr bwMode="auto">
                        <a:xfrm>
                          <a:off x="0" y="0"/>
                          <a:ext cx="781050" cy="476250"/>
                        </a:xfrm>
                        <a:prstGeom prst="wedgeRoundRectCallout">
                          <a:avLst>
                            <a:gd name="adj1" fmla="val 79393"/>
                            <a:gd name="adj2" fmla="val -121644"/>
                            <a:gd name="adj3" fmla="val 16667"/>
                          </a:avLst>
                        </a:prstGeom>
                        <a:solidFill>
                          <a:srgbClr val="FFFFFF"/>
                        </a:solidFill>
                        <a:ln w="9525">
                          <a:solidFill>
                            <a:srgbClr val="000000"/>
                          </a:solidFill>
                          <a:miter lim="800000"/>
                        </a:ln>
                      </wps:spPr>
                      <wps:txbx>
                        <w:txbxContent>
                          <w:p w14:paraId="01B68113">
                            <w:pPr>
                              <w:spacing w:line="240" w:lineRule="atLeast"/>
                              <w:jc w:val="center"/>
                              <w:rPr>
                                <w:b/>
                                <w:bCs/>
                                <w:sz w:val="20"/>
                                <w:szCs w:val="22"/>
                              </w:rPr>
                            </w:pPr>
                            <w:r>
                              <w:rPr>
                                <w:rFonts w:hint="eastAsia"/>
                                <w:b/>
                                <w:bCs/>
                                <w:sz w:val="20"/>
                                <w:szCs w:val="22"/>
                              </w:rPr>
                              <w:t>新氢管道起点</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306pt;margin-top:196.1pt;height:37.5pt;width:61.5pt;z-index:251693056;mso-width-relative:page;mso-height-relative:page;" fillcolor="#FFFFFF" filled="t" stroked="t" coordsize="21600,21600" o:gfxdata="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QcxLC2gAAAAsBAAAPAAAAAAAAAAEAIAAAACIAAABkcnMvZG93bnJldi54bWxQ&#10;SwECFAAUAAAACACHTuJAeiuQNWcCAAAHBQAADgAAAAAAAAABACAAAAApAQAAZHJzL2Uyb0RvYy54&#10;bWxQSwUGAAAAAAYABgBZAQAAAgYAAAAA&#10;" adj="27949,-15475,14400">
                <v:fill on="t" focussize="0,0"/>
                <v:stroke color="#000000" miterlimit="8" joinstyle="miter"/>
                <v:imagedata o:title=""/>
                <o:lock v:ext="edit" aspectratio="f"/>
                <v:textbox>
                  <w:txbxContent>
                    <w:p w14:paraId="01B68113">
                      <w:pPr>
                        <w:spacing w:line="240" w:lineRule="atLeast"/>
                        <w:jc w:val="center"/>
                        <w:rPr>
                          <w:b/>
                          <w:bCs/>
                          <w:sz w:val="20"/>
                          <w:szCs w:val="22"/>
                        </w:rPr>
                      </w:pPr>
                      <w:r>
                        <w:rPr>
                          <w:rFonts w:hint="eastAsia"/>
                          <w:b/>
                          <w:bCs/>
                          <w:sz w:val="20"/>
                          <w:szCs w:val="22"/>
                        </w:rPr>
                        <w:t>新氢管道起点</w:t>
                      </w:r>
                    </w:p>
                  </w:txbxContent>
                </v:textbox>
              </v:shape>
            </w:pict>
          </mc:Fallback>
        </mc:AlternateContent>
      </w:r>
      <w:r>
        <w:rPr>
          <w:sz w:val="24"/>
          <w:szCs w:val="32"/>
        </w:rPr>
        <mc:AlternateContent>
          <mc:Choice Requires="wps">
            <w:drawing>
              <wp:anchor distT="0" distB="0" distL="114300" distR="114300" simplePos="0" relativeHeight="251691008" behindDoc="0" locked="0" layoutInCell="1" allowOverlap="1">
                <wp:simplePos x="0" y="0"/>
                <wp:positionH relativeFrom="column">
                  <wp:posOffset>3143250</wp:posOffset>
                </wp:positionH>
                <wp:positionV relativeFrom="paragraph">
                  <wp:posOffset>699770</wp:posOffset>
                </wp:positionV>
                <wp:extent cx="885825" cy="476250"/>
                <wp:effectExtent l="0" t="0" r="638175" b="361950"/>
                <wp:wrapNone/>
                <wp:docPr id="18" name="AutoShape 572"/>
                <wp:cNvGraphicFramePr/>
                <a:graphic xmlns:a="http://schemas.openxmlformats.org/drawingml/2006/main">
                  <a:graphicData uri="http://schemas.microsoft.com/office/word/2010/wordprocessingShape">
                    <wps:wsp>
                      <wps:cNvSpPr>
                        <a:spLocks noChangeArrowheads="1"/>
                      </wps:cNvSpPr>
                      <wps:spPr bwMode="auto">
                        <a:xfrm>
                          <a:off x="0" y="0"/>
                          <a:ext cx="885825" cy="476250"/>
                        </a:xfrm>
                        <a:prstGeom prst="wedgeRoundRectCallout">
                          <a:avLst>
                            <a:gd name="adj1" fmla="val 111887"/>
                            <a:gd name="adj2" fmla="val 110356"/>
                            <a:gd name="adj3" fmla="val 16667"/>
                          </a:avLst>
                        </a:prstGeom>
                        <a:solidFill>
                          <a:srgbClr val="FFFFFF"/>
                        </a:solidFill>
                        <a:ln w="9525">
                          <a:solidFill>
                            <a:srgbClr val="000000"/>
                          </a:solidFill>
                          <a:miter lim="800000"/>
                        </a:ln>
                      </wps:spPr>
                      <wps:txbx>
                        <w:txbxContent>
                          <w:p w14:paraId="149E2E12">
                            <w:pPr>
                              <w:spacing w:line="240" w:lineRule="atLeast"/>
                              <w:jc w:val="center"/>
                              <w:rPr>
                                <w:b/>
                                <w:bCs/>
                                <w:sz w:val="20"/>
                                <w:szCs w:val="22"/>
                              </w:rPr>
                            </w:pPr>
                            <w:r>
                              <w:rPr>
                                <w:rFonts w:hint="eastAsia"/>
                                <w:b/>
                                <w:bCs/>
                                <w:sz w:val="20"/>
                                <w:szCs w:val="22"/>
                              </w:rPr>
                              <w:t>烷烃返回料管道起点</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247.5pt;margin-top:55.1pt;height:37.5pt;width:69.75pt;z-index:251691008;mso-width-relative:page;mso-height-relative:page;" fillcolor="#FFFFFF" filled="t" stroked="t" coordsize="21600,21600" o:gfxdata="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NbFANoAAAALAQAADwAAAAAAAAABACAAAAAiAAAAZHJzL2Rvd25yZXYueG1sUEsBAhQAFAAA&#10;AAgAh07iQOC8oqlfAgAABwUAAA4AAAAAAAAAAQAgAAAAKQEAAGRycy9lMm9Eb2MueG1sUEsFBgAA&#10;AAAGAAYAWQEAAPoFAAAAAA==&#10;" adj="34968,34637,14400">
                <v:fill on="t" focussize="0,0"/>
                <v:stroke color="#000000" miterlimit="8" joinstyle="miter"/>
                <v:imagedata o:title=""/>
                <o:lock v:ext="edit" aspectratio="f"/>
                <v:textbox>
                  <w:txbxContent>
                    <w:p w14:paraId="149E2E12">
                      <w:pPr>
                        <w:spacing w:line="240" w:lineRule="atLeast"/>
                        <w:jc w:val="center"/>
                        <w:rPr>
                          <w:b/>
                          <w:bCs/>
                          <w:sz w:val="20"/>
                          <w:szCs w:val="22"/>
                        </w:rPr>
                      </w:pPr>
                      <w:r>
                        <w:rPr>
                          <w:rFonts w:hint="eastAsia"/>
                          <w:b/>
                          <w:bCs/>
                          <w:sz w:val="20"/>
                          <w:szCs w:val="22"/>
                        </w:rPr>
                        <w:t>烷烃返回料管道起点</w:t>
                      </w:r>
                    </w:p>
                  </w:txbxContent>
                </v:textbox>
              </v:shape>
            </w:pict>
          </mc:Fallback>
        </mc:AlternateContent>
      </w:r>
      <w:r>
        <w:rPr>
          <w:sz w:val="24"/>
          <w:szCs w:val="32"/>
        </w:rPr>
        <mc:AlternateContent>
          <mc:Choice Requires="wps">
            <w:drawing>
              <wp:anchor distT="0" distB="0" distL="114300" distR="114300" simplePos="0" relativeHeight="251688960" behindDoc="0" locked="0" layoutInCell="1" allowOverlap="1">
                <wp:simplePos x="0" y="0"/>
                <wp:positionH relativeFrom="column">
                  <wp:posOffset>4381500</wp:posOffset>
                </wp:positionH>
                <wp:positionV relativeFrom="paragraph">
                  <wp:posOffset>3766820</wp:posOffset>
                </wp:positionV>
                <wp:extent cx="781050" cy="476250"/>
                <wp:effectExtent l="0" t="990600" r="95250" b="19050"/>
                <wp:wrapNone/>
                <wp:docPr id="16" name="AutoShape 572"/>
                <wp:cNvGraphicFramePr/>
                <a:graphic xmlns:a="http://schemas.openxmlformats.org/drawingml/2006/main">
                  <a:graphicData uri="http://schemas.microsoft.com/office/word/2010/wordprocessingShape">
                    <wps:wsp>
                      <wps:cNvSpPr>
                        <a:spLocks noChangeArrowheads="1"/>
                      </wps:cNvSpPr>
                      <wps:spPr bwMode="auto">
                        <a:xfrm>
                          <a:off x="0" y="0"/>
                          <a:ext cx="781050" cy="476250"/>
                        </a:xfrm>
                        <a:prstGeom prst="wedgeRoundRectCallout">
                          <a:avLst>
                            <a:gd name="adj1" fmla="val 56222"/>
                            <a:gd name="adj2" fmla="val -247644"/>
                            <a:gd name="adj3" fmla="val 16667"/>
                          </a:avLst>
                        </a:prstGeom>
                        <a:solidFill>
                          <a:srgbClr val="FFFFFF"/>
                        </a:solidFill>
                        <a:ln w="9525">
                          <a:solidFill>
                            <a:srgbClr val="000000"/>
                          </a:solidFill>
                          <a:miter lim="800000"/>
                        </a:ln>
                      </wps:spPr>
                      <wps:txbx>
                        <w:txbxContent>
                          <w:p w14:paraId="0195C6C7">
                            <w:pPr>
                              <w:spacing w:line="240" w:lineRule="atLeast"/>
                              <w:rPr>
                                <w:b/>
                                <w:bCs/>
                                <w:sz w:val="20"/>
                                <w:szCs w:val="22"/>
                              </w:rPr>
                            </w:pPr>
                            <w:r>
                              <w:rPr>
                                <w:rFonts w:hint="eastAsia"/>
                                <w:b/>
                                <w:bCs/>
                                <w:sz w:val="20"/>
                                <w:szCs w:val="22"/>
                              </w:rPr>
                              <w:t>混合烯烃管道起点</w:t>
                            </w:r>
                          </w:p>
                        </w:txbxContent>
                      </wps:txbx>
                      <wps:bodyPr rot="0" vert="horz" wrap="square" lIns="91440" tIns="45720" rIns="91440" bIns="45720" anchor="t" anchorCtr="0" upright="1">
                        <a:noAutofit/>
                      </wps:bodyPr>
                    </wps:wsp>
                  </a:graphicData>
                </a:graphic>
              </wp:anchor>
            </w:drawing>
          </mc:Choice>
          <mc:Fallback>
            <w:pict>
              <v:shape id="AutoShape 572" o:spid="_x0000_s1026" o:spt="62" type="#_x0000_t62" style="position:absolute;left:0pt;margin-left:345pt;margin-top:296.6pt;height:37.5pt;width:61.5pt;z-index:251688960;mso-width-relative:page;mso-height-relative:page;" fillcolor="#FFFFFF" filled="t" stroked="t" coordsize="21600,21600" o:gfxdata="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Lex8P2QAAAAsBAAAPAAAAAAAAAAEAIAAAACIAAABkcnMvZG93bnJldi54bWxQ&#10;SwECFAAUAAAACACHTuJADeezcmgCAAAHBQAADgAAAAAAAAABACAAAAAoAQAAZHJzL2Uyb0RvYy54&#10;bWxQSwUGAAAAAAYABgBZAQAAAgYAAAAA&#10;" adj="22944,-42691,14400">
                <v:fill on="t" focussize="0,0"/>
                <v:stroke color="#000000" miterlimit="8" joinstyle="miter"/>
                <v:imagedata o:title=""/>
                <o:lock v:ext="edit" aspectratio="f"/>
                <v:textbox>
                  <w:txbxContent>
                    <w:p w14:paraId="0195C6C7">
                      <w:pPr>
                        <w:spacing w:line="240" w:lineRule="atLeast"/>
                        <w:rPr>
                          <w:b/>
                          <w:bCs/>
                          <w:sz w:val="20"/>
                          <w:szCs w:val="22"/>
                        </w:rPr>
                      </w:pPr>
                      <w:r>
                        <w:rPr>
                          <w:rFonts w:hint="eastAsia"/>
                          <w:b/>
                          <w:bCs/>
                          <w:sz w:val="20"/>
                          <w:szCs w:val="22"/>
                        </w:rPr>
                        <w:t>混合烯烃管道起点</w:t>
                      </w:r>
                    </w:p>
                  </w:txbxContent>
                </v:textbox>
              </v:shape>
            </w:pict>
          </mc:Fallback>
        </mc:AlternateContent>
      </w:r>
      <w:r>
        <w:drawing>
          <wp:anchor distT="0" distB="0" distL="114300" distR="114300" simplePos="0" relativeHeight="251687936" behindDoc="0" locked="0" layoutInCell="1" allowOverlap="1">
            <wp:simplePos x="0" y="0"/>
            <wp:positionH relativeFrom="column">
              <wp:posOffset>7543800</wp:posOffset>
            </wp:positionH>
            <wp:positionV relativeFrom="paragraph">
              <wp:posOffset>13970</wp:posOffset>
            </wp:positionV>
            <wp:extent cx="762000" cy="847725"/>
            <wp:effectExtent l="0" t="0" r="0" b="9525"/>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62000" cy="847725"/>
                    </a:xfrm>
                    <a:prstGeom prst="rect">
                      <a:avLst/>
                    </a:prstGeom>
                  </pic:spPr>
                </pic:pic>
              </a:graphicData>
            </a:graphic>
          </wp:anchor>
        </w:drawing>
      </w:r>
      <w:r>
        <w:drawing>
          <wp:inline distT="0" distB="0" distL="0" distR="0">
            <wp:extent cx="7790180" cy="4876165"/>
            <wp:effectExtent l="0" t="0" r="1270"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a:stretch>
                      <a:fillRect/>
                    </a:stretch>
                  </pic:blipFill>
                  <pic:spPr>
                    <a:xfrm>
                      <a:off x="0" y="0"/>
                      <a:ext cx="7805633" cy="4885573"/>
                    </a:xfrm>
                    <a:prstGeom prst="rect">
                      <a:avLst/>
                    </a:prstGeom>
                  </pic:spPr>
                </pic:pic>
              </a:graphicData>
            </a:graphic>
          </wp:inline>
        </w:drawing>
      </w:r>
    </w:p>
    <w:p w14:paraId="08BDB878">
      <w:pPr>
        <w:widowControl/>
        <w:jc w:val="left"/>
        <w:rPr>
          <w:sz w:val="24"/>
          <w:szCs w:val="32"/>
        </w:rPr>
      </w:pPr>
      <w:r>
        <w:rPr>
          <w:sz w:val="24"/>
          <w:szCs w:val="32"/>
        </w:rPr>
        <w:br w:type="page"/>
      </w:r>
    </w:p>
    <w:p w14:paraId="715A8831">
      <w:pPr>
        <w:outlineLvl w:val="0"/>
        <w:rPr>
          <w:sz w:val="24"/>
          <w:szCs w:val="32"/>
        </w:rPr>
      </w:pPr>
      <w:r>
        <w:rPr>
          <w:rFonts w:hint="eastAsia"/>
          <w:b/>
          <w:bCs/>
          <w:sz w:val="24"/>
          <w:szCs w:val="32"/>
        </w:rPr>
        <w:t>附图3：园区产业布局图</w:t>
      </w:r>
    </w:p>
    <w:p w14:paraId="3927AD46">
      <w:pPr>
        <w:jc w:val="center"/>
        <w:rPr>
          <w:sz w:val="24"/>
          <w:szCs w:val="32"/>
        </w:rPr>
      </w:pPr>
      <w:r>
        <w:rPr>
          <w:rFonts w:hint="eastAsia"/>
          <w:b/>
          <w:bCs/>
          <w:sz w:val="24"/>
          <w:szCs w:val="32"/>
        </w:rPr>
        <mc:AlternateContent>
          <mc:Choice Requires="wps">
            <w:drawing>
              <wp:anchor distT="0" distB="0" distL="114300" distR="114300" simplePos="0" relativeHeight="251677696" behindDoc="0" locked="0" layoutInCell="1" allowOverlap="1">
                <wp:simplePos x="0" y="0"/>
                <wp:positionH relativeFrom="column">
                  <wp:posOffset>3324225</wp:posOffset>
                </wp:positionH>
                <wp:positionV relativeFrom="paragraph">
                  <wp:posOffset>1718945</wp:posOffset>
                </wp:positionV>
                <wp:extent cx="857250" cy="304800"/>
                <wp:effectExtent l="285750" t="0" r="19050" b="438150"/>
                <wp:wrapNone/>
                <wp:docPr id="5" name="AutoShape 574"/>
                <wp:cNvGraphicFramePr/>
                <a:graphic xmlns:a="http://schemas.openxmlformats.org/drawingml/2006/main">
                  <a:graphicData uri="http://schemas.microsoft.com/office/word/2010/wordprocessingShape">
                    <wps:wsp>
                      <wps:cNvSpPr>
                        <a:spLocks noChangeArrowheads="1"/>
                      </wps:cNvSpPr>
                      <wps:spPr bwMode="auto">
                        <a:xfrm>
                          <a:off x="0" y="0"/>
                          <a:ext cx="857250" cy="304800"/>
                        </a:xfrm>
                        <a:prstGeom prst="wedgeRoundRectCallout">
                          <a:avLst>
                            <a:gd name="adj1" fmla="val -78222"/>
                            <a:gd name="adj2" fmla="val 174731"/>
                            <a:gd name="adj3" fmla="val 16667"/>
                          </a:avLst>
                        </a:prstGeom>
                        <a:solidFill>
                          <a:srgbClr val="FFFFFF"/>
                        </a:solidFill>
                        <a:ln w="9525">
                          <a:solidFill>
                            <a:srgbClr val="000000"/>
                          </a:solidFill>
                          <a:miter lim="800000"/>
                        </a:ln>
                      </wps:spPr>
                      <wps:txbx>
                        <w:txbxContent>
                          <w:p w14:paraId="550CFF25">
                            <w:pPr>
                              <w:spacing w:line="240" w:lineRule="atLeast"/>
                            </w:pPr>
                            <w:r>
                              <w:rPr>
                                <w:rFonts w:hint="eastAsia"/>
                              </w:rPr>
                              <w:t>项目位置</w:t>
                            </w:r>
                          </w:p>
                        </w:txbxContent>
                      </wps:txbx>
                      <wps:bodyPr rot="0" vert="horz" wrap="square" lIns="91440" tIns="45720" rIns="91440" bIns="45720" anchor="t" anchorCtr="0" upright="1">
                        <a:noAutofit/>
                      </wps:bodyPr>
                    </wps:wsp>
                  </a:graphicData>
                </a:graphic>
              </wp:anchor>
            </w:drawing>
          </mc:Choice>
          <mc:Fallback>
            <w:pict>
              <v:shape id="AutoShape 574" o:spid="_x0000_s1026" o:spt="62" type="#_x0000_t62" style="position:absolute;left:0pt;margin-left:261.75pt;margin-top:135.35pt;height:24pt;width:67.5pt;z-index:251677696;mso-width-relative:page;mso-height-relative:page;" fillcolor="#FFFFFF" filled="t" stroked="t" coordsize="21600,21600" o:gfxdata="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YcNWNoAAAALAQAADwAAAAAAAAABACAAAAAiAAAAZHJzL2Rvd25yZXYueG1sUEsB&#10;AhQAFAAAAAgAh07iQNsJqYplAgAABgUAAA4AAAAAAAAAAQAgAAAAKQEAAGRycy9lMm9Eb2MueG1s&#10;UEsFBgAAAAAGAAYAWQEAAAAGAAAAAA==&#10;" adj="-6096,48542,14400">
                <v:fill on="t" focussize="0,0"/>
                <v:stroke color="#000000" miterlimit="8" joinstyle="miter"/>
                <v:imagedata o:title=""/>
                <o:lock v:ext="edit" aspectratio="f"/>
                <v:textbox>
                  <w:txbxContent>
                    <w:p w14:paraId="550CFF25">
                      <w:pPr>
                        <w:spacing w:line="240" w:lineRule="atLeast"/>
                      </w:pPr>
                      <w:r>
                        <w:rPr>
                          <w:rFonts w:hint="eastAsia"/>
                        </w:rPr>
                        <w:t>项目位置</w:t>
                      </w:r>
                    </w:p>
                  </w:txbxContent>
                </v:textbox>
              </v:shape>
            </w:pict>
          </mc:Fallback>
        </mc:AlternateContent>
      </w:r>
      <w:r>
        <w:rPr>
          <w:rFonts w:hint="eastAsia"/>
          <w:b/>
          <w:bCs/>
          <w:sz w:val="24"/>
          <w:szCs w:val="32"/>
        </w:rPr>
        <mc:AlternateContent>
          <mc:Choice Requires="wps">
            <w:drawing>
              <wp:anchor distT="0" distB="0" distL="114300" distR="114300" simplePos="0" relativeHeight="251676672" behindDoc="0" locked="0" layoutInCell="1" allowOverlap="1">
                <wp:simplePos x="0" y="0"/>
                <wp:positionH relativeFrom="column">
                  <wp:posOffset>2971800</wp:posOffset>
                </wp:positionH>
                <wp:positionV relativeFrom="paragraph">
                  <wp:posOffset>2366645</wp:posOffset>
                </wp:positionV>
                <wp:extent cx="161925" cy="161925"/>
                <wp:effectExtent l="19050" t="28575" r="19050" b="19050"/>
                <wp:wrapNone/>
                <wp:docPr id="4" name="AutoShape 573"/>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star5">
                          <a:avLst/>
                        </a:prstGeom>
                        <a:solidFill>
                          <a:srgbClr val="FF0000"/>
                        </a:solidFill>
                        <a:ln w="9525">
                          <a:solidFill>
                            <a:srgbClr val="FF0000"/>
                          </a:solidFill>
                          <a:miter lim="800000"/>
                        </a:ln>
                      </wps:spPr>
                      <wps:bodyPr rot="0" vert="horz" wrap="square" lIns="91440" tIns="45720" rIns="91440" bIns="45720" anchor="t" anchorCtr="0" upright="1">
                        <a:noAutofit/>
                      </wps:bodyPr>
                    </wps:wsp>
                  </a:graphicData>
                </a:graphic>
              </wp:anchor>
            </w:drawing>
          </mc:Choice>
          <mc:Fallback>
            <w:pict>
              <v:shape id="AutoShape 573" o:spid="_x0000_s1026" style="position:absolute;left:0pt;margin-left:234pt;margin-top:186.35pt;height:12.75pt;width:12.75pt;z-index:251676672;mso-width-relative:page;mso-height-relative:page;" fillcolor="#FF0000" filled="t" stroked="t" coordsize="161925,161925" o:gfxdata="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G1O&#10;vtsAAAALAQAADwAAAAAAAAABACAAAAAiAAAAZHJzL2Rvd25yZXYueG1sUEsBAhQAFAAAAAgAh07i&#10;QF/XDRkfAgAAdAQAAA4AAAAAAAAAAQAgAAAAKgEAAGRycy9lMm9Eb2MueG1sUEsFBgAAAAAGAAYA&#10;WQEAALsFAAAAAA==&#10;" path="m0,61849l61850,61850,80962,0,100074,61850,161924,61849,111886,100074,130999,161924,80962,123698,30925,161924,50038,100074xe">
                <v:path o:connectlocs="80962,0;0,61849;30925,161924;130999,161924;161924,61849" o:connectangles="247,164,82,82,0"/>
                <v:fill on="t" focussize="0,0"/>
                <v:stroke color="#FF0000" miterlimit="8" joinstyle="miter"/>
                <v:imagedata o:title=""/>
                <o:lock v:ext="edit" aspectratio="f"/>
              </v:shape>
            </w:pict>
          </mc:Fallback>
        </mc:AlternateContent>
      </w:r>
      <w:r>
        <w:drawing>
          <wp:inline distT="0" distB="0" distL="0" distR="0">
            <wp:extent cx="7877175" cy="5038725"/>
            <wp:effectExtent l="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7877175" cy="5038725"/>
                    </a:xfrm>
                    <a:prstGeom prst="rect">
                      <a:avLst/>
                    </a:prstGeom>
                    <a:noFill/>
                    <a:ln>
                      <a:noFill/>
                    </a:ln>
                  </pic:spPr>
                </pic:pic>
              </a:graphicData>
            </a:graphic>
          </wp:inline>
        </w:drawing>
      </w:r>
    </w:p>
    <w:p w14:paraId="422F1871">
      <w:pPr>
        <w:outlineLvl w:val="0"/>
        <w:rPr>
          <w:sz w:val="24"/>
          <w:szCs w:val="32"/>
        </w:rPr>
      </w:pPr>
      <w:r>
        <w:rPr>
          <w:sz w:val="24"/>
          <w:szCs w:val="32"/>
        </w:rPr>
        <w:br w:type="page"/>
      </w:r>
      <w:r>
        <w:rPr>
          <w:rFonts w:hint="eastAsia"/>
          <w:b/>
          <w:bCs/>
          <w:sz w:val="24"/>
          <w:szCs w:val="32"/>
        </w:rPr>
        <w:t>附图4：园区土地利用规划图</w:t>
      </w:r>
    </w:p>
    <w:p w14:paraId="23C981DE">
      <w:pPr>
        <w:jc w:val="center"/>
      </w:pPr>
      <w:r>
        <w:rPr>
          <w:rFonts w:hint="eastAsia"/>
          <w:b/>
          <w:bCs/>
          <w:sz w:val="24"/>
          <w:szCs w:val="32"/>
        </w:rPr>
        <mc:AlternateContent>
          <mc:Choice Requires="wps">
            <w:drawing>
              <wp:anchor distT="0" distB="0" distL="114300" distR="114300" simplePos="0" relativeHeight="251679744" behindDoc="0" locked="0" layoutInCell="1" allowOverlap="1">
                <wp:simplePos x="0" y="0"/>
                <wp:positionH relativeFrom="column">
                  <wp:posOffset>3524250</wp:posOffset>
                </wp:positionH>
                <wp:positionV relativeFrom="paragraph">
                  <wp:posOffset>1785620</wp:posOffset>
                </wp:positionV>
                <wp:extent cx="857250" cy="295275"/>
                <wp:effectExtent l="419100" t="0" r="19050" b="390525"/>
                <wp:wrapNone/>
                <wp:docPr id="3" name="AutoShape 576"/>
                <wp:cNvGraphicFramePr/>
                <a:graphic xmlns:a="http://schemas.openxmlformats.org/drawingml/2006/main">
                  <a:graphicData uri="http://schemas.microsoft.com/office/word/2010/wordprocessingShape">
                    <wps:wsp>
                      <wps:cNvSpPr>
                        <a:spLocks noChangeArrowheads="1"/>
                      </wps:cNvSpPr>
                      <wps:spPr bwMode="auto">
                        <a:xfrm>
                          <a:off x="0" y="0"/>
                          <a:ext cx="857250" cy="295275"/>
                        </a:xfrm>
                        <a:prstGeom prst="wedgeRoundRectCallout">
                          <a:avLst>
                            <a:gd name="adj1" fmla="val -92667"/>
                            <a:gd name="adj2" fmla="val 155625"/>
                            <a:gd name="adj3" fmla="val 16667"/>
                          </a:avLst>
                        </a:prstGeom>
                        <a:solidFill>
                          <a:srgbClr val="FFFFFF"/>
                        </a:solidFill>
                        <a:ln w="9525">
                          <a:solidFill>
                            <a:srgbClr val="000000"/>
                          </a:solidFill>
                          <a:miter lim="800000"/>
                        </a:ln>
                      </wps:spPr>
                      <wps:txbx>
                        <w:txbxContent>
                          <w:p w14:paraId="4C75013E">
                            <w:pPr>
                              <w:spacing w:line="240" w:lineRule="atLeast"/>
                            </w:pPr>
                            <w:r>
                              <w:rPr>
                                <w:rFonts w:hint="eastAsia"/>
                              </w:rPr>
                              <w:t>项目位置</w:t>
                            </w:r>
                          </w:p>
                        </w:txbxContent>
                      </wps:txbx>
                      <wps:bodyPr rot="0" vert="horz" wrap="square" lIns="91440" tIns="45720" rIns="91440" bIns="45720" anchor="t" anchorCtr="0" upright="1">
                        <a:noAutofit/>
                      </wps:bodyPr>
                    </wps:wsp>
                  </a:graphicData>
                </a:graphic>
              </wp:anchor>
            </w:drawing>
          </mc:Choice>
          <mc:Fallback>
            <w:pict>
              <v:shape id="AutoShape 576" o:spid="_x0000_s1026" o:spt="62" type="#_x0000_t62" style="position:absolute;left:0pt;margin-left:277.5pt;margin-top:140.6pt;height:23.25pt;width:67.5pt;z-index:251679744;mso-width-relative:page;mso-height-relative:page;" fillcolor="#FFFFFF" filled="t" stroked="t" coordsize="21600,21600" o:gfxdata="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kQJvr2gAAAAsBAAAPAAAAAAAAAAEAIAAAACIAAABkcnMvZG93bnJldi54bWxQSwEC&#10;FAAUAAAACACHTuJAB1zA7mQCAAAGBQAADgAAAAAAAAABACAAAAApAQAAZHJzL2Uyb0RvYy54bWxQ&#10;SwUGAAAAAAYABgBZAQAA/wUAAAAA&#10;" adj="-9216,44415,14400">
                <v:fill on="t" focussize="0,0"/>
                <v:stroke color="#000000" miterlimit="8" joinstyle="miter"/>
                <v:imagedata o:title=""/>
                <o:lock v:ext="edit" aspectratio="f"/>
                <v:textbox>
                  <w:txbxContent>
                    <w:p w14:paraId="4C75013E">
                      <w:pPr>
                        <w:spacing w:line="240" w:lineRule="atLeast"/>
                      </w:pPr>
                      <w:r>
                        <w:rPr>
                          <w:rFonts w:hint="eastAsia"/>
                        </w:rPr>
                        <w:t>项目位置</w:t>
                      </w:r>
                    </w:p>
                  </w:txbxContent>
                </v:textbox>
              </v:shape>
            </w:pict>
          </mc:Fallback>
        </mc:AlternateContent>
      </w:r>
      <w:r>
        <w:rPr>
          <w:rFonts w:hint="eastAsia"/>
          <w:b/>
          <w:bCs/>
          <w:sz w:val="24"/>
          <w:szCs w:val="32"/>
        </w:rPr>
        <mc:AlternateContent>
          <mc:Choice Requires="wps">
            <w:drawing>
              <wp:anchor distT="0" distB="0" distL="114300" distR="114300" simplePos="0" relativeHeight="251678720" behindDoc="0" locked="0" layoutInCell="1" allowOverlap="1">
                <wp:simplePos x="0" y="0"/>
                <wp:positionH relativeFrom="column">
                  <wp:posOffset>3038475</wp:posOffset>
                </wp:positionH>
                <wp:positionV relativeFrom="paragraph">
                  <wp:posOffset>2328545</wp:posOffset>
                </wp:positionV>
                <wp:extent cx="161925" cy="161925"/>
                <wp:effectExtent l="19050" t="28575" r="19050" b="19050"/>
                <wp:wrapNone/>
                <wp:docPr id="2" name="AutoShape 575"/>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star5">
                          <a:avLst/>
                        </a:prstGeom>
                        <a:solidFill>
                          <a:srgbClr val="FF0000"/>
                        </a:solidFill>
                        <a:ln w="9525">
                          <a:solidFill>
                            <a:srgbClr val="FF0000"/>
                          </a:solidFill>
                          <a:miter lim="800000"/>
                        </a:ln>
                      </wps:spPr>
                      <wps:bodyPr rot="0" vert="horz" wrap="square" lIns="91440" tIns="45720" rIns="91440" bIns="45720" anchor="t" anchorCtr="0" upright="1">
                        <a:noAutofit/>
                      </wps:bodyPr>
                    </wps:wsp>
                  </a:graphicData>
                </a:graphic>
              </wp:anchor>
            </w:drawing>
          </mc:Choice>
          <mc:Fallback>
            <w:pict>
              <v:shape id="AutoShape 575" o:spid="_x0000_s1026" style="position:absolute;left:0pt;margin-left:239.25pt;margin-top:183.35pt;height:12.75pt;width:12.75pt;z-index:251678720;mso-width-relative:page;mso-height-relative:page;" fillcolor="#FF0000" filled="t" stroked="t" coordsize="161925,161925" o:gfxdata="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jG4&#10;ZdsAAAALAQAADwAAAAAAAAABACAAAAAiAAAAZHJzL2Rvd25yZXYueG1sUEsBAhQAFAAAAAgAh07i&#10;QOrxoiwfAgAAdAQAAA4AAAAAAAAAAQAgAAAAKgEAAGRycy9lMm9Eb2MueG1sUEsFBgAAAAAGAAYA&#10;WQEAALsFAAAAAA==&#10;" path="m0,61849l61850,61850,80962,0,100074,61850,161924,61849,111886,100074,130999,161924,80962,123698,30925,161924,50038,100074xe">
                <v:path o:connectlocs="80962,0;0,61849;30925,161924;130999,161924;161924,61849" o:connectangles="247,164,82,82,0"/>
                <v:fill on="t" focussize="0,0"/>
                <v:stroke color="#FF0000" miterlimit="8" joinstyle="miter"/>
                <v:imagedata o:title=""/>
                <o:lock v:ext="edit" aspectratio="f"/>
              </v:shape>
            </w:pict>
          </mc:Fallback>
        </mc:AlternateContent>
      </w:r>
      <w:r>
        <w:drawing>
          <wp:inline distT="0" distB="0" distL="0" distR="0">
            <wp:extent cx="7651750" cy="4898390"/>
            <wp:effectExtent l="0" t="0" r="635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7655094" cy="4901127"/>
                    </a:xfrm>
                    <a:prstGeom prst="rect">
                      <a:avLst/>
                    </a:prstGeom>
                    <a:noFill/>
                    <a:ln>
                      <a:noFill/>
                    </a:ln>
                  </pic:spPr>
                </pic:pic>
              </a:graphicData>
            </a:graphic>
          </wp:inline>
        </w:drawing>
      </w:r>
    </w:p>
    <w:p w14:paraId="0487DAD3">
      <w:pPr>
        <w:widowControl/>
        <w:jc w:val="left"/>
        <w:rPr>
          <w:sz w:val="24"/>
          <w:szCs w:val="32"/>
        </w:rPr>
      </w:pPr>
      <w:r>
        <w:rPr>
          <w:sz w:val="24"/>
          <w:szCs w:val="32"/>
        </w:rPr>
        <w:br w:type="page"/>
      </w:r>
    </w:p>
    <w:p w14:paraId="6AE27477">
      <w:pPr>
        <w:outlineLvl w:val="0"/>
        <w:rPr>
          <w:sz w:val="24"/>
          <w:szCs w:val="32"/>
        </w:rPr>
      </w:pPr>
      <w:r>
        <w:rPr>
          <w:rFonts w:hint="eastAsia"/>
          <w:b/>
          <w:bCs/>
          <w:sz w:val="24"/>
          <w:szCs w:val="32"/>
        </w:rPr>
        <w:t>附图5：“</w:t>
      </w:r>
      <w:r>
        <w:rPr>
          <w:b/>
          <w:bCs/>
          <w:sz w:val="24"/>
          <w:szCs w:val="32"/>
        </w:rPr>
        <w:t>生态环境分区管控公众端应用平台</w:t>
      </w:r>
      <w:r>
        <w:rPr>
          <w:rFonts w:hint="eastAsia"/>
          <w:b/>
          <w:bCs/>
          <w:sz w:val="24"/>
          <w:szCs w:val="32"/>
        </w:rPr>
        <w:t>”</w:t>
      </w:r>
      <w:r>
        <w:rPr>
          <w:b/>
          <w:bCs/>
          <w:sz w:val="24"/>
          <w:szCs w:val="32"/>
        </w:rPr>
        <w:t>平台查询结果</w:t>
      </w:r>
    </w:p>
    <w:p w14:paraId="0C9AF2B1">
      <w:pPr>
        <w:jc w:val="center"/>
        <w:rPr>
          <w:sz w:val="24"/>
          <w:szCs w:val="32"/>
        </w:rPr>
      </w:pPr>
      <w:r>
        <w:drawing>
          <wp:inline distT="0" distB="0" distL="0" distR="0">
            <wp:extent cx="7918450" cy="4858385"/>
            <wp:effectExtent l="0" t="0" r="6350" b="0"/>
            <wp:docPr id="1283186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86283" name="图片 1"/>
                    <pic:cNvPicPr>
                      <a:picLocks noChangeAspect="1"/>
                    </pic:cNvPicPr>
                  </pic:nvPicPr>
                  <pic:blipFill>
                    <a:blip r:embed="rId26"/>
                    <a:stretch>
                      <a:fillRect/>
                    </a:stretch>
                  </pic:blipFill>
                  <pic:spPr>
                    <a:xfrm>
                      <a:off x="0" y="0"/>
                      <a:ext cx="7927773" cy="4864224"/>
                    </a:xfrm>
                    <a:prstGeom prst="rect">
                      <a:avLst/>
                    </a:prstGeom>
                  </pic:spPr>
                </pic:pic>
              </a:graphicData>
            </a:graphic>
          </wp:inline>
        </w:drawing>
      </w:r>
    </w:p>
    <w:p w14:paraId="2C59D0DE">
      <w:pPr>
        <w:widowControl/>
        <w:jc w:val="left"/>
        <w:rPr>
          <w:sz w:val="24"/>
          <w:szCs w:val="32"/>
        </w:rPr>
      </w:pPr>
    </w:p>
    <w:sectPr>
      <w:pgSz w:w="16838" w:h="11906" w:orient="landscape"/>
      <w:pgMar w:top="1797" w:right="1440" w:bottom="1797" w:left="1440" w:header="851" w:footer="10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D343750-09DC-4626-BC58-15AC4267C8E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思源宋体">
    <w:altName w:val="宋体"/>
    <w:panose1 w:val="02020400000000000000"/>
    <w:charset w:val="86"/>
    <w:family w:val="auto"/>
    <w:pitch w:val="default"/>
    <w:sig w:usb0="00000000" w:usb1="00000000" w:usb2="00000016" w:usb3="00000000" w:csb0="602E0107" w:csb1="00000000"/>
  </w:font>
  <w:font w:name="Cambria">
    <w:panose1 w:val="02040503050406030204"/>
    <w:charset w:val="00"/>
    <w:family w:val="roman"/>
    <w:pitch w:val="default"/>
    <w:sig w:usb0="E00002FF" w:usb1="400004FF" w:usb2="00000000" w:usb3="00000000" w:csb0="2000019F" w:csb1="00000000"/>
  </w:font>
  <w:font w:name="华文新魏">
    <w:panose1 w:val="02010800040101010101"/>
    <w:charset w:val="86"/>
    <w:family w:val="auto"/>
    <w:pitch w:val="default"/>
    <w:sig w:usb0="00000001" w:usb1="080F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舒体">
    <w:panose1 w:val="02010601030101010101"/>
    <w:charset w:val="86"/>
    <w:family w:val="auto"/>
    <w:pitch w:val="default"/>
    <w:sig w:usb0="00000003" w:usb1="080E0000" w:usb2="00000000" w:usb3="00000000" w:csb0="00040000" w:csb1="00000000"/>
  </w:font>
  <w:font w:name="方正超粗黑简体">
    <w:panose1 w:val="03000509000000000000"/>
    <w:charset w:val="86"/>
    <w:family w:val="script"/>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汉鼎简书宋">
    <w:altName w:val="宋体"/>
    <w:panose1 w:val="00000000000000000000"/>
    <w:charset w:val="86"/>
    <w:family w:val="modern"/>
    <w:pitch w:val="default"/>
    <w:sig w:usb0="00000000" w:usb1="00000000" w:usb2="00000010" w:usb3="00000000" w:csb0="00040000" w:csb1="00000000"/>
  </w:font>
  <w:font w:name="方正书宋_GBK">
    <w:altName w:val="Arial Unicode MS"/>
    <w:panose1 w:val="02000000000000000000"/>
    <w:charset w:val="86"/>
    <w:family w:val="auto"/>
    <w:pitch w:val="default"/>
    <w:sig w:usb0="00000000" w:usb1="00000000" w:usb2="00000000" w:usb3="00000000" w:csb0="00040000" w:csb1="00000000"/>
  </w:font>
  <w:font w:name="Sim Hei">
    <w:altName w:val="宋体"/>
    <w:panose1 w:val="00000000000000000000"/>
    <w:charset w:val="86"/>
    <w:family w:val="swiss"/>
    <w:pitch w:val="default"/>
    <w:sig w:usb0="00000000" w:usb1="00000000" w:usb2="0000001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B80CCDA6-9F1C-4B0E-92C8-63BE9C04B43C}"/>
  </w:font>
  <w:font w:name="仿宋">
    <w:panose1 w:val="02010609060101010101"/>
    <w:charset w:val="86"/>
    <w:family w:val="modern"/>
    <w:pitch w:val="default"/>
    <w:sig w:usb0="800002BF" w:usb1="38CF7CFA" w:usb2="00000016" w:usb3="00000000" w:csb0="00040001" w:csb1="00000000"/>
    <w:embedRegular r:id="rId3" w:fontKey="{48254EAA-CCDA-4DD3-9F0D-D573E0B6B37F}"/>
  </w:font>
  <w:font w:name="___WRD_EMBED_SUB_46">
    <w:altName w:val="宋体"/>
    <w:panose1 w:val="00000000000000000000"/>
    <w:charset w:val="86"/>
    <w:family w:val="auto"/>
    <w:pitch w:val="default"/>
    <w:sig w:usb0="00000000" w:usb1="00000000" w:usb2="00000012" w:usb3="00000000" w:csb0="00040001" w:csb1="00000000"/>
    <w:embedRegular r:id="rId4" w:fontKey="{34B56D6B-D14D-4599-BF5B-6CBEC276F9F3}"/>
  </w:font>
  <w:font w:name="等线">
    <w:altName w:val="汉仪中宋简"/>
    <w:panose1 w:val="02010600030101010101"/>
    <w:charset w:val="86"/>
    <w:family w:val="auto"/>
    <w:pitch w:val="default"/>
    <w:sig w:usb0="00000000" w:usb1="00000000" w:usb2="00000016" w:usb3="00000000" w:csb0="0004000F" w:csb1="00000000"/>
    <w:embedRegular r:id="rId5" w:fontKey="{6EF01908-5845-415E-A7E2-9AB5F104AE0D}"/>
  </w:font>
  <w:font w:name="汉仪中宋简">
    <w:panose1 w:val="02010609000101010101"/>
    <w:charset w:val="86"/>
    <w:family w:val="auto"/>
    <w:pitch w:val="default"/>
    <w:sig w:usb0="00000001" w:usb1="080E0800" w:usb2="00000002"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公文小标宋">
    <w:panose1 w:val="02000500000000000000"/>
    <w:charset w:val="86"/>
    <w:family w:val="auto"/>
    <w:pitch w:val="default"/>
    <w:sig w:usb0="A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embedRegular r:id="rId6" w:fontKey="{F6A4692D-C42A-4933-AC8B-593EBAFB3D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26AB7">
    <w:pPr>
      <w:pStyle w:val="49"/>
      <w:jc w:val="center"/>
    </w:pPr>
  </w:p>
  <w:p w14:paraId="0CC4B4C4">
    <w:pPr>
      <w:pStyle w:val="4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69CB">
    <w:pPr>
      <w:pStyle w:val="49"/>
      <w:jc w:val="center"/>
    </w:pPr>
    <w:r>
      <w:fldChar w:fldCharType="begin"/>
    </w:r>
    <w:r>
      <w:instrText xml:space="preserve">PAGE   \* MERGEFORMAT</w:instrText>
    </w:r>
    <w:r>
      <w:fldChar w:fldCharType="separate"/>
    </w:r>
    <w:r>
      <w:rPr>
        <w:lang w:val="zh-CN"/>
      </w:rPr>
      <w:t>10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94455">
    <w:pPr>
      <w:pStyle w:val="49"/>
      <w:jc w:val="center"/>
    </w:pPr>
    <w:r>
      <w:fldChar w:fldCharType="begin"/>
    </w:r>
    <w:r>
      <w:instrText xml:space="preserve">PAGE   \* MERGEFORMAT</w:instrText>
    </w:r>
    <w:r>
      <w:fldChar w:fldCharType="separate"/>
    </w:r>
    <w:r>
      <w:rPr>
        <w:lang w:val="zh-CN"/>
      </w:rPr>
      <w:t>10</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4FF1">
    <w:pPr>
      <w:pStyle w:val="49"/>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15F8C1"/>
    <w:multiLevelType w:val="singleLevel"/>
    <w:tmpl w:val="F615F8C1"/>
    <w:lvl w:ilvl="0" w:tentative="0">
      <w:start w:val="2"/>
      <w:numFmt w:val="decimal"/>
      <w:suff w:val="nothing"/>
      <w:lvlText w:val="（%1）"/>
      <w:lvlJc w:val="left"/>
    </w:lvl>
  </w:abstractNum>
  <w:abstractNum w:abstractNumId="1">
    <w:nsid w:val="250859AB"/>
    <w:multiLevelType w:val="multilevel"/>
    <w:tmpl w:val="250859AB"/>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pStyle w:val="800"/>
      <w:suff w:val="space"/>
      <w:lvlText w:val="%1.%2.%3"/>
      <w:lvlJc w:val="left"/>
      <w:pPr>
        <w:ind w:left="0" w:firstLine="0"/>
      </w:pPr>
      <w:rPr>
        <w:rFonts w:hint="eastAsia"/>
      </w:rPr>
    </w:lvl>
    <w:lvl w:ilvl="3" w:tentative="0">
      <w:start w:val="1"/>
      <w:numFmt w:val="decimal"/>
      <w:suff w:val="space"/>
      <w:lvlText w:val="%1.%2.%3.%4"/>
      <w:lvlJc w:val="left"/>
      <w:pPr>
        <w:ind w:left="2552" w:hanging="2552"/>
      </w:pPr>
      <w:rPr>
        <w:rFonts w:hint="eastAsia"/>
      </w:rPr>
    </w:lvl>
    <w:lvl w:ilvl="4" w:tentative="0">
      <w:start w:val="1"/>
      <w:numFmt w:val="decimal"/>
      <w:suff w:val="space"/>
      <w:lvlText w:val="(%5)"/>
      <w:lvlJc w:val="left"/>
      <w:pPr>
        <w:ind w:left="0" w:firstLine="482"/>
      </w:pPr>
      <w:rPr>
        <w:rFonts w:hint="eastAsia" w:ascii="宋体" w:hAnsi="宋体" w:eastAsia="宋体"/>
      </w:rPr>
    </w:lvl>
    <w:lvl w:ilvl="5" w:tentative="0">
      <w:start w:val="1"/>
      <w:numFmt w:val="decimalEnclosedCircle"/>
      <w:suff w:val="space"/>
      <w:lvlText w:val="%6"/>
      <w:lvlJc w:val="left"/>
      <w:pPr>
        <w:ind w:left="0" w:firstLine="482"/>
      </w:pPr>
      <w:rPr>
        <w:rFonts w:hint="default"/>
      </w:rPr>
    </w:lvl>
    <w:lvl w:ilvl="6" w:tentative="0">
      <w:start w:val="1"/>
      <w:numFmt w:val="upperLetter"/>
      <w:suff w:val="space"/>
      <w:lvlText w:val="%7."/>
      <w:lvlJc w:val="left"/>
      <w:pPr>
        <w:ind w:left="0" w:firstLine="482"/>
      </w:pPr>
      <w:rPr>
        <w:rFonts w:hint="eastAsia"/>
      </w:rPr>
    </w:lvl>
    <w:lvl w:ilvl="7" w:tentative="0">
      <w:start w:val="1"/>
      <w:numFmt w:val="decimal"/>
      <w:lvlText w:val="表3.7-%8"/>
      <w:lvlJc w:val="left"/>
      <w:pPr>
        <w:ind w:left="0" w:firstLine="0"/>
      </w:pPr>
      <w:rPr>
        <w:rFonts w:hint="eastAsia"/>
      </w:rPr>
    </w:lvl>
    <w:lvl w:ilvl="8" w:tentative="0">
      <w:start w:val="1"/>
      <w:numFmt w:val="decimal"/>
      <w:lvlRestart w:val="2"/>
      <w:suff w:val="space"/>
      <w:lvlText w:val="图 %1.%2-%9"/>
      <w:lvlJc w:val="center"/>
      <w:pPr>
        <w:ind w:left="0" w:firstLine="0"/>
      </w:pPr>
      <w:rPr>
        <w:rFonts w:hint="eastAsia"/>
      </w:rPr>
    </w:lvl>
  </w:abstractNum>
  <w:abstractNum w:abstractNumId="2">
    <w:nsid w:val="3942647E"/>
    <w:multiLevelType w:val="multilevel"/>
    <w:tmpl w:val="3942647E"/>
    <w:lvl w:ilvl="0" w:tentative="0">
      <w:start w:val="7"/>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5528" w:firstLine="0"/>
      </w:pPr>
      <w:rPr>
        <w:rFonts w:hint="eastAsia"/>
      </w:rPr>
    </w:lvl>
    <w:lvl w:ilvl="4" w:tentative="0">
      <w:start w:val="1"/>
      <w:numFmt w:val="decimal"/>
      <w:suff w:val="space"/>
      <w:lvlText w:val="(%5)"/>
      <w:lvlJc w:val="left"/>
      <w:pPr>
        <w:ind w:left="0" w:firstLine="482"/>
      </w:pPr>
      <w:rPr>
        <w:rFonts w:hint="eastAsia" w:ascii="宋体" w:hAnsi="宋体" w:eastAsia="宋体"/>
      </w:rPr>
    </w:lvl>
    <w:lvl w:ilvl="5" w:tentative="0">
      <w:start w:val="1"/>
      <w:numFmt w:val="decimalEnclosedCircle"/>
      <w:suff w:val="space"/>
      <w:lvlText w:val="%6"/>
      <w:lvlJc w:val="left"/>
      <w:pPr>
        <w:ind w:left="0" w:firstLine="482"/>
      </w:pPr>
      <w:rPr>
        <w:rFonts w:hint="default"/>
      </w:rPr>
    </w:lvl>
    <w:lvl w:ilvl="6" w:tentative="0">
      <w:start w:val="1"/>
      <w:numFmt w:val="upperLetter"/>
      <w:suff w:val="space"/>
      <w:lvlText w:val="%7."/>
      <w:lvlJc w:val="left"/>
      <w:pPr>
        <w:ind w:left="0" w:firstLine="482"/>
      </w:pPr>
      <w:rPr>
        <w:rFonts w:hint="eastAsia"/>
      </w:rPr>
    </w:lvl>
    <w:lvl w:ilvl="7" w:tentative="0">
      <w:start w:val="1"/>
      <w:numFmt w:val="decimal"/>
      <w:lvlRestart w:val="3"/>
      <w:suff w:val="space"/>
      <w:lvlText w:val="表 %1.%2.%3-%8"/>
      <w:lvlJc w:val="left"/>
      <w:pPr>
        <w:ind w:left="0" w:firstLine="0"/>
      </w:pPr>
      <w:rPr>
        <w:rFonts w:hint="eastAsia"/>
      </w:rPr>
    </w:lvl>
    <w:lvl w:ilvl="8" w:tentative="0">
      <w:start w:val="1"/>
      <w:numFmt w:val="decimal"/>
      <w:lvlRestart w:val="2"/>
      <w:pStyle w:val="808"/>
      <w:suff w:val="space"/>
      <w:lvlText w:val="图 %1.%2-%9"/>
      <w:lvlJc w:val="center"/>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2YzA5OWRiNGRjMDUxYTc3YzQ3ODg0YWE5ODNjZDEifQ=="/>
  </w:docVars>
  <w:rsids>
    <w:rsidRoot w:val="00172A27"/>
    <w:rsid w:val="00001CED"/>
    <w:rsid w:val="00001E67"/>
    <w:rsid w:val="00003CD8"/>
    <w:rsid w:val="000050EF"/>
    <w:rsid w:val="00005AEF"/>
    <w:rsid w:val="00006AC7"/>
    <w:rsid w:val="000077AD"/>
    <w:rsid w:val="00007F04"/>
    <w:rsid w:val="000102AB"/>
    <w:rsid w:val="00010B40"/>
    <w:rsid w:val="000143D4"/>
    <w:rsid w:val="00014965"/>
    <w:rsid w:val="0001523A"/>
    <w:rsid w:val="00016C89"/>
    <w:rsid w:val="00016ECB"/>
    <w:rsid w:val="00017FF2"/>
    <w:rsid w:val="0002242C"/>
    <w:rsid w:val="00024971"/>
    <w:rsid w:val="00024B93"/>
    <w:rsid w:val="000269F6"/>
    <w:rsid w:val="0003053B"/>
    <w:rsid w:val="00030EBB"/>
    <w:rsid w:val="000313A4"/>
    <w:rsid w:val="00031939"/>
    <w:rsid w:val="00031D32"/>
    <w:rsid w:val="00032D25"/>
    <w:rsid w:val="0003394D"/>
    <w:rsid w:val="00047867"/>
    <w:rsid w:val="0005219D"/>
    <w:rsid w:val="0005253A"/>
    <w:rsid w:val="00052634"/>
    <w:rsid w:val="00052E1B"/>
    <w:rsid w:val="00053BFC"/>
    <w:rsid w:val="0005568F"/>
    <w:rsid w:val="00055E25"/>
    <w:rsid w:val="0005707A"/>
    <w:rsid w:val="00057164"/>
    <w:rsid w:val="0006153D"/>
    <w:rsid w:val="00061A9C"/>
    <w:rsid w:val="00061B1F"/>
    <w:rsid w:val="00062E7D"/>
    <w:rsid w:val="00064979"/>
    <w:rsid w:val="00066495"/>
    <w:rsid w:val="000664DB"/>
    <w:rsid w:val="0006773F"/>
    <w:rsid w:val="0007127D"/>
    <w:rsid w:val="00071AC9"/>
    <w:rsid w:val="00071AE5"/>
    <w:rsid w:val="00074783"/>
    <w:rsid w:val="000801E0"/>
    <w:rsid w:val="00080BCD"/>
    <w:rsid w:val="00082A29"/>
    <w:rsid w:val="0008331D"/>
    <w:rsid w:val="00083C18"/>
    <w:rsid w:val="00084A75"/>
    <w:rsid w:val="000857F9"/>
    <w:rsid w:val="000859F7"/>
    <w:rsid w:val="00085D5F"/>
    <w:rsid w:val="00085E75"/>
    <w:rsid w:val="0008784B"/>
    <w:rsid w:val="0009128D"/>
    <w:rsid w:val="00091A3E"/>
    <w:rsid w:val="00091BF4"/>
    <w:rsid w:val="00092899"/>
    <w:rsid w:val="000966EB"/>
    <w:rsid w:val="000A0818"/>
    <w:rsid w:val="000A178E"/>
    <w:rsid w:val="000A19A6"/>
    <w:rsid w:val="000A1E94"/>
    <w:rsid w:val="000A557E"/>
    <w:rsid w:val="000A612B"/>
    <w:rsid w:val="000A61BB"/>
    <w:rsid w:val="000B058F"/>
    <w:rsid w:val="000B15F5"/>
    <w:rsid w:val="000B251F"/>
    <w:rsid w:val="000B3F7E"/>
    <w:rsid w:val="000B4406"/>
    <w:rsid w:val="000B693F"/>
    <w:rsid w:val="000B7080"/>
    <w:rsid w:val="000C09AC"/>
    <w:rsid w:val="000C0A63"/>
    <w:rsid w:val="000C240E"/>
    <w:rsid w:val="000C3B14"/>
    <w:rsid w:val="000C3DBB"/>
    <w:rsid w:val="000C437E"/>
    <w:rsid w:val="000C48E9"/>
    <w:rsid w:val="000C5F80"/>
    <w:rsid w:val="000C6544"/>
    <w:rsid w:val="000C6E3F"/>
    <w:rsid w:val="000C7834"/>
    <w:rsid w:val="000C7B77"/>
    <w:rsid w:val="000D2335"/>
    <w:rsid w:val="000D29FE"/>
    <w:rsid w:val="000D3A18"/>
    <w:rsid w:val="000E0196"/>
    <w:rsid w:val="000E33B9"/>
    <w:rsid w:val="000E58A2"/>
    <w:rsid w:val="000E5F16"/>
    <w:rsid w:val="000E7053"/>
    <w:rsid w:val="000F13B2"/>
    <w:rsid w:val="000F1B50"/>
    <w:rsid w:val="000F3F27"/>
    <w:rsid w:val="000F4452"/>
    <w:rsid w:val="000F45C3"/>
    <w:rsid w:val="000F689B"/>
    <w:rsid w:val="000F6DA1"/>
    <w:rsid w:val="000F6DFE"/>
    <w:rsid w:val="000F701B"/>
    <w:rsid w:val="000F72F1"/>
    <w:rsid w:val="000F76AC"/>
    <w:rsid w:val="0010482C"/>
    <w:rsid w:val="001056A0"/>
    <w:rsid w:val="00106619"/>
    <w:rsid w:val="00111318"/>
    <w:rsid w:val="00112336"/>
    <w:rsid w:val="001149D7"/>
    <w:rsid w:val="00115279"/>
    <w:rsid w:val="0011715E"/>
    <w:rsid w:val="00117459"/>
    <w:rsid w:val="0011749A"/>
    <w:rsid w:val="001205A8"/>
    <w:rsid w:val="001217FF"/>
    <w:rsid w:val="0012257A"/>
    <w:rsid w:val="001236E5"/>
    <w:rsid w:val="0012681F"/>
    <w:rsid w:val="00127A68"/>
    <w:rsid w:val="001321D6"/>
    <w:rsid w:val="00132B27"/>
    <w:rsid w:val="00133C38"/>
    <w:rsid w:val="00135D5C"/>
    <w:rsid w:val="001370F7"/>
    <w:rsid w:val="001374EB"/>
    <w:rsid w:val="00137CD1"/>
    <w:rsid w:val="00140B13"/>
    <w:rsid w:val="00141B68"/>
    <w:rsid w:val="001448D2"/>
    <w:rsid w:val="00144D79"/>
    <w:rsid w:val="001466DA"/>
    <w:rsid w:val="0014780D"/>
    <w:rsid w:val="001528FD"/>
    <w:rsid w:val="001531D7"/>
    <w:rsid w:val="00154DE1"/>
    <w:rsid w:val="00155B40"/>
    <w:rsid w:val="00157435"/>
    <w:rsid w:val="00163EEA"/>
    <w:rsid w:val="00164F81"/>
    <w:rsid w:val="00166081"/>
    <w:rsid w:val="00167A07"/>
    <w:rsid w:val="001701C8"/>
    <w:rsid w:val="0017046A"/>
    <w:rsid w:val="001704A3"/>
    <w:rsid w:val="001725B6"/>
    <w:rsid w:val="00172A27"/>
    <w:rsid w:val="00174488"/>
    <w:rsid w:val="0017504D"/>
    <w:rsid w:val="00175DDA"/>
    <w:rsid w:val="00176B97"/>
    <w:rsid w:val="00177422"/>
    <w:rsid w:val="00177969"/>
    <w:rsid w:val="00180846"/>
    <w:rsid w:val="001814D2"/>
    <w:rsid w:val="00184E8F"/>
    <w:rsid w:val="00184F10"/>
    <w:rsid w:val="00185546"/>
    <w:rsid w:val="001864E6"/>
    <w:rsid w:val="001910AB"/>
    <w:rsid w:val="0019146B"/>
    <w:rsid w:val="00192D97"/>
    <w:rsid w:val="001930E2"/>
    <w:rsid w:val="00194398"/>
    <w:rsid w:val="00194FFE"/>
    <w:rsid w:val="00195150"/>
    <w:rsid w:val="00195DDF"/>
    <w:rsid w:val="001A09CB"/>
    <w:rsid w:val="001A25A7"/>
    <w:rsid w:val="001A2C8F"/>
    <w:rsid w:val="001A2EBD"/>
    <w:rsid w:val="001A46D0"/>
    <w:rsid w:val="001A4F41"/>
    <w:rsid w:val="001A5C00"/>
    <w:rsid w:val="001A5C3F"/>
    <w:rsid w:val="001A7A00"/>
    <w:rsid w:val="001A7B35"/>
    <w:rsid w:val="001A7D2A"/>
    <w:rsid w:val="001B41B6"/>
    <w:rsid w:val="001B4FCB"/>
    <w:rsid w:val="001B574C"/>
    <w:rsid w:val="001B611D"/>
    <w:rsid w:val="001B6277"/>
    <w:rsid w:val="001B7697"/>
    <w:rsid w:val="001C0AF9"/>
    <w:rsid w:val="001C155A"/>
    <w:rsid w:val="001C48C0"/>
    <w:rsid w:val="001C709D"/>
    <w:rsid w:val="001C7FE7"/>
    <w:rsid w:val="001D1451"/>
    <w:rsid w:val="001D369C"/>
    <w:rsid w:val="001D530E"/>
    <w:rsid w:val="001D6726"/>
    <w:rsid w:val="001D6C75"/>
    <w:rsid w:val="001D76B6"/>
    <w:rsid w:val="001E0983"/>
    <w:rsid w:val="001E28B3"/>
    <w:rsid w:val="001E2C7E"/>
    <w:rsid w:val="001E3B40"/>
    <w:rsid w:val="001E4872"/>
    <w:rsid w:val="001E4E1A"/>
    <w:rsid w:val="001E514C"/>
    <w:rsid w:val="001E5935"/>
    <w:rsid w:val="001E72B9"/>
    <w:rsid w:val="001E7B82"/>
    <w:rsid w:val="001E7F6F"/>
    <w:rsid w:val="001F1EA1"/>
    <w:rsid w:val="001F204B"/>
    <w:rsid w:val="001F3069"/>
    <w:rsid w:val="001F3347"/>
    <w:rsid w:val="001F3636"/>
    <w:rsid w:val="001F3B2F"/>
    <w:rsid w:val="001F4440"/>
    <w:rsid w:val="001F59B2"/>
    <w:rsid w:val="001F69E4"/>
    <w:rsid w:val="001F6C12"/>
    <w:rsid w:val="00200645"/>
    <w:rsid w:val="00202226"/>
    <w:rsid w:val="002029ED"/>
    <w:rsid w:val="00206A65"/>
    <w:rsid w:val="00206B02"/>
    <w:rsid w:val="0021231D"/>
    <w:rsid w:val="00212D31"/>
    <w:rsid w:val="00212EAC"/>
    <w:rsid w:val="00212EB4"/>
    <w:rsid w:val="002130C7"/>
    <w:rsid w:val="00217976"/>
    <w:rsid w:val="002215E7"/>
    <w:rsid w:val="002218A8"/>
    <w:rsid w:val="00221AAB"/>
    <w:rsid w:val="00222B68"/>
    <w:rsid w:val="00222D62"/>
    <w:rsid w:val="0022306D"/>
    <w:rsid w:val="00224334"/>
    <w:rsid w:val="00224D5E"/>
    <w:rsid w:val="002261E7"/>
    <w:rsid w:val="00226574"/>
    <w:rsid w:val="00226C47"/>
    <w:rsid w:val="002278EC"/>
    <w:rsid w:val="0023028F"/>
    <w:rsid w:val="00230938"/>
    <w:rsid w:val="00230F92"/>
    <w:rsid w:val="002322D0"/>
    <w:rsid w:val="00232508"/>
    <w:rsid w:val="00234070"/>
    <w:rsid w:val="002343E2"/>
    <w:rsid w:val="00234B0D"/>
    <w:rsid w:val="00234BA4"/>
    <w:rsid w:val="002357C7"/>
    <w:rsid w:val="002367C4"/>
    <w:rsid w:val="0023715A"/>
    <w:rsid w:val="00242BFA"/>
    <w:rsid w:val="00244FB2"/>
    <w:rsid w:val="00253C20"/>
    <w:rsid w:val="00254266"/>
    <w:rsid w:val="0025679E"/>
    <w:rsid w:val="00260344"/>
    <w:rsid w:val="00260C68"/>
    <w:rsid w:val="00262102"/>
    <w:rsid w:val="002648B0"/>
    <w:rsid w:val="0026570B"/>
    <w:rsid w:val="00267602"/>
    <w:rsid w:val="002705CF"/>
    <w:rsid w:val="00274184"/>
    <w:rsid w:val="00275271"/>
    <w:rsid w:val="0027535E"/>
    <w:rsid w:val="00275AA6"/>
    <w:rsid w:val="00276F9D"/>
    <w:rsid w:val="002807D5"/>
    <w:rsid w:val="00282028"/>
    <w:rsid w:val="00282CCD"/>
    <w:rsid w:val="0028315B"/>
    <w:rsid w:val="00283F05"/>
    <w:rsid w:val="00291EC7"/>
    <w:rsid w:val="0029280A"/>
    <w:rsid w:val="002A0317"/>
    <w:rsid w:val="002A168C"/>
    <w:rsid w:val="002A19D6"/>
    <w:rsid w:val="002A2401"/>
    <w:rsid w:val="002A2C48"/>
    <w:rsid w:val="002A3EED"/>
    <w:rsid w:val="002A4A39"/>
    <w:rsid w:val="002A5A17"/>
    <w:rsid w:val="002A5F2D"/>
    <w:rsid w:val="002A6425"/>
    <w:rsid w:val="002A7814"/>
    <w:rsid w:val="002A79B7"/>
    <w:rsid w:val="002B0171"/>
    <w:rsid w:val="002B13D7"/>
    <w:rsid w:val="002B1B1F"/>
    <w:rsid w:val="002B444F"/>
    <w:rsid w:val="002B49E2"/>
    <w:rsid w:val="002B53E6"/>
    <w:rsid w:val="002B7617"/>
    <w:rsid w:val="002B7788"/>
    <w:rsid w:val="002B7B00"/>
    <w:rsid w:val="002B7C44"/>
    <w:rsid w:val="002B7D94"/>
    <w:rsid w:val="002C09DD"/>
    <w:rsid w:val="002C1388"/>
    <w:rsid w:val="002C2916"/>
    <w:rsid w:val="002C33A4"/>
    <w:rsid w:val="002C3A81"/>
    <w:rsid w:val="002C3C6A"/>
    <w:rsid w:val="002D09B3"/>
    <w:rsid w:val="002D42DB"/>
    <w:rsid w:val="002D57B2"/>
    <w:rsid w:val="002D713D"/>
    <w:rsid w:val="002D799A"/>
    <w:rsid w:val="002D7F6F"/>
    <w:rsid w:val="002E00B7"/>
    <w:rsid w:val="002E10C7"/>
    <w:rsid w:val="002E1F3A"/>
    <w:rsid w:val="002E298A"/>
    <w:rsid w:val="002E29C7"/>
    <w:rsid w:val="002E2BF7"/>
    <w:rsid w:val="002E3D90"/>
    <w:rsid w:val="002E3F20"/>
    <w:rsid w:val="002E4DEF"/>
    <w:rsid w:val="002F02A4"/>
    <w:rsid w:val="002F1397"/>
    <w:rsid w:val="002F1952"/>
    <w:rsid w:val="002F20DB"/>
    <w:rsid w:val="002F272B"/>
    <w:rsid w:val="002F584C"/>
    <w:rsid w:val="002F7C6D"/>
    <w:rsid w:val="002F7E8A"/>
    <w:rsid w:val="002F7EC8"/>
    <w:rsid w:val="0030191A"/>
    <w:rsid w:val="003027E4"/>
    <w:rsid w:val="0030332C"/>
    <w:rsid w:val="00303744"/>
    <w:rsid w:val="0030496B"/>
    <w:rsid w:val="003055FE"/>
    <w:rsid w:val="0030560D"/>
    <w:rsid w:val="00306D42"/>
    <w:rsid w:val="00307C7F"/>
    <w:rsid w:val="00312208"/>
    <w:rsid w:val="0031220A"/>
    <w:rsid w:val="00312296"/>
    <w:rsid w:val="0031261D"/>
    <w:rsid w:val="00312D91"/>
    <w:rsid w:val="0031340E"/>
    <w:rsid w:val="003143CB"/>
    <w:rsid w:val="00314B09"/>
    <w:rsid w:val="00314E36"/>
    <w:rsid w:val="003150F4"/>
    <w:rsid w:val="0031568F"/>
    <w:rsid w:val="00316464"/>
    <w:rsid w:val="00317175"/>
    <w:rsid w:val="0032073A"/>
    <w:rsid w:val="00320788"/>
    <w:rsid w:val="00321727"/>
    <w:rsid w:val="003219C2"/>
    <w:rsid w:val="00321D8E"/>
    <w:rsid w:val="003225DD"/>
    <w:rsid w:val="00324EF4"/>
    <w:rsid w:val="0032611B"/>
    <w:rsid w:val="0032794B"/>
    <w:rsid w:val="00332865"/>
    <w:rsid w:val="00333D91"/>
    <w:rsid w:val="00334996"/>
    <w:rsid w:val="00336533"/>
    <w:rsid w:val="00336969"/>
    <w:rsid w:val="00336C52"/>
    <w:rsid w:val="0033714F"/>
    <w:rsid w:val="003378B7"/>
    <w:rsid w:val="003409B6"/>
    <w:rsid w:val="00341B3E"/>
    <w:rsid w:val="00341B42"/>
    <w:rsid w:val="00343906"/>
    <w:rsid w:val="00345154"/>
    <w:rsid w:val="0034560E"/>
    <w:rsid w:val="00345FE3"/>
    <w:rsid w:val="0034645D"/>
    <w:rsid w:val="003466BD"/>
    <w:rsid w:val="00350523"/>
    <w:rsid w:val="00352975"/>
    <w:rsid w:val="00352D6D"/>
    <w:rsid w:val="00356868"/>
    <w:rsid w:val="003579DA"/>
    <w:rsid w:val="0036287B"/>
    <w:rsid w:val="00362F5A"/>
    <w:rsid w:val="00362F85"/>
    <w:rsid w:val="003630A0"/>
    <w:rsid w:val="003634BB"/>
    <w:rsid w:val="003635E8"/>
    <w:rsid w:val="00364820"/>
    <w:rsid w:val="0036485B"/>
    <w:rsid w:val="00366269"/>
    <w:rsid w:val="003672DC"/>
    <w:rsid w:val="00371826"/>
    <w:rsid w:val="003719F3"/>
    <w:rsid w:val="00372F94"/>
    <w:rsid w:val="00373911"/>
    <w:rsid w:val="00373B0D"/>
    <w:rsid w:val="00375320"/>
    <w:rsid w:val="00375574"/>
    <w:rsid w:val="00375824"/>
    <w:rsid w:val="003766E1"/>
    <w:rsid w:val="00376988"/>
    <w:rsid w:val="0038164C"/>
    <w:rsid w:val="00381679"/>
    <w:rsid w:val="00381A72"/>
    <w:rsid w:val="00381EB1"/>
    <w:rsid w:val="003847E0"/>
    <w:rsid w:val="003900EC"/>
    <w:rsid w:val="003904D5"/>
    <w:rsid w:val="00392EC3"/>
    <w:rsid w:val="003A004A"/>
    <w:rsid w:val="003A043A"/>
    <w:rsid w:val="003A0AAC"/>
    <w:rsid w:val="003A1948"/>
    <w:rsid w:val="003A2ADF"/>
    <w:rsid w:val="003A5821"/>
    <w:rsid w:val="003A636E"/>
    <w:rsid w:val="003A7654"/>
    <w:rsid w:val="003B152A"/>
    <w:rsid w:val="003B1B5B"/>
    <w:rsid w:val="003B294B"/>
    <w:rsid w:val="003B2D1F"/>
    <w:rsid w:val="003B426A"/>
    <w:rsid w:val="003B545B"/>
    <w:rsid w:val="003C4CCD"/>
    <w:rsid w:val="003C7BDA"/>
    <w:rsid w:val="003C7D82"/>
    <w:rsid w:val="003D0726"/>
    <w:rsid w:val="003D3EE9"/>
    <w:rsid w:val="003D6253"/>
    <w:rsid w:val="003E00D1"/>
    <w:rsid w:val="003E3AD2"/>
    <w:rsid w:val="003E4E62"/>
    <w:rsid w:val="003E5DF3"/>
    <w:rsid w:val="003E7681"/>
    <w:rsid w:val="003F04AE"/>
    <w:rsid w:val="003F0809"/>
    <w:rsid w:val="003F3822"/>
    <w:rsid w:val="003F611C"/>
    <w:rsid w:val="003F61F7"/>
    <w:rsid w:val="003F695B"/>
    <w:rsid w:val="003F755C"/>
    <w:rsid w:val="003F79F7"/>
    <w:rsid w:val="003F7F6B"/>
    <w:rsid w:val="00405A68"/>
    <w:rsid w:val="00406013"/>
    <w:rsid w:val="00406F01"/>
    <w:rsid w:val="0040728B"/>
    <w:rsid w:val="00407B83"/>
    <w:rsid w:val="0041094B"/>
    <w:rsid w:val="00411B36"/>
    <w:rsid w:val="004121D7"/>
    <w:rsid w:val="004133E5"/>
    <w:rsid w:val="00414294"/>
    <w:rsid w:val="004154B4"/>
    <w:rsid w:val="0041632A"/>
    <w:rsid w:val="00416D50"/>
    <w:rsid w:val="00416FEA"/>
    <w:rsid w:val="00417772"/>
    <w:rsid w:val="004178FA"/>
    <w:rsid w:val="00420E6A"/>
    <w:rsid w:val="00421FDC"/>
    <w:rsid w:val="004245A1"/>
    <w:rsid w:val="00426A81"/>
    <w:rsid w:val="00431445"/>
    <w:rsid w:val="0043338B"/>
    <w:rsid w:val="00433CA9"/>
    <w:rsid w:val="0043521D"/>
    <w:rsid w:val="00435488"/>
    <w:rsid w:val="00435B5B"/>
    <w:rsid w:val="00436EAD"/>
    <w:rsid w:val="00437529"/>
    <w:rsid w:val="0044020F"/>
    <w:rsid w:val="00440643"/>
    <w:rsid w:val="004409FC"/>
    <w:rsid w:val="0044158C"/>
    <w:rsid w:val="00442024"/>
    <w:rsid w:val="0044254C"/>
    <w:rsid w:val="00443017"/>
    <w:rsid w:val="00443F6A"/>
    <w:rsid w:val="00450A17"/>
    <w:rsid w:val="00451031"/>
    <w:rsid w:val="0045180F"/>
    <w:rsid w:val="00452923"/>
    <w:rsid w:val="004545EE"/>
    <w:rsid w:val="004559AF"/>
    <w:rsid w:val="00455B3D"/>
    <w:rsid w:val="00460496"/>
    <w:rsid w:val="004612D2"/>
    <w:rsid w:val="00463247"/>
    <w:rsid w:val="00465C82"/>
    <w:rsid w:val="00465E1B"/>
    <w:rsid w:val="00466321"/>
    <w:rsid w:val="0046697C"/>
    <w:rsid w:val="004669D8"/>
    <w:rsid w:val="0046718D"/>
    <w:rsid w:val="004672AF"/>
    <w:rsid w:val="00470302"/>
    <w:rsid w:val="004727B0"/>
    <w:rsid w:val="004735B0"/>
    <w:rsid w:val="00475135"/>
    <w:rsid w:val="00480247"/>
    <w:rsid w:val="0048081D"/>
    <w:rsid w:val="0048117E"/>
    <w:rsid w:val="004819C5"/>
    <w:rsid w:val="00482C8B"/>
    <w:rsid w:val="0048392E"/>
    <w:rsid w:val="004855F6"/>
    <w:rsid w:val="00485A13"/>
    <w:rsid w:val="004869D0"/>
    <w:rsid w:val="00486DCB"/>
    <w:rsid w:val="00486F0C"/>
    <w:rsid w:val="00492AC7"/>
    <w:rsid w:val="00494247"/>
    <w:rsid w:val="00494670"/>
    <w:rsid w:val="00497A68"/>
    <w:rsid w:val="00497B08"/>
    <w:rsid w:val="004A0EB4"/>
    <w:rsid w:val="004A2A18"/>
    <w:rsid w:val="004A3823"/>
    <w:rsid w:val="004A3F9F"/>
    <w:rsid w:val="004A59BB"/>
    <w:rsid w:val="004A59E8"/>
    <w:rsid w:val="004A6B93"/>
    <w:rsid w:val="004B2E83"/>
    <w:rsid w:val="004B3514"/>
    <w:rsid w:val="004B3FAA"/>
    <w:rsid w:val="004B43A3"/>
    <w:rsid w:val="004B4C49"/>
    <w:rsid w:val="004B5694"/>
    <w:rsid w:val="004B58A5"/>
    <w:rsid w:val="004B5D7F"/>
    <w:rsid w:val="004B63D9"/>
    <w:rsid w:val="004B6597"/>
    <w:rsid w:val="004B76DE"/>
    <w:rsid w:val="004C0882"/>
    <w:rsid w:val="004C227B"/>
    <w:rsid w:val="004C23DA"/>
    <w:rsid w:val="004C2E90"/>
    <w:rsid w:val="004C55BE"/>
    <w:rsid w:val="004D64A4"/>
    <w:rsid w:val="004D79C2"/>
    <w:rsid w:val="004E12DB"/>
    <w:rsid w:val="004E206C"/>
    <w:rsid w:val="004E3C00"/>
    <w:rsid w:val="004E5B30"/>
    <w:rsid w:val="004E5D60"/>
    <w:rsid w:val="004F0779"/>
    <w:rsid w:val="004F0E25"/>
    <w:rsid w:val="004F1230"/>
    <w:rsid w:val="004F173F"/>
    <w:rsid w:val="004F177C"/>
    <w:rsid w:val="004F1EFC"/>
    <w:rsid w:val="004F2DCE"/>
    <w:rsid w:val="004F3312"/>
    <w:rsid w:val="004F37FB"/>
    <w:rsid w:val="004F3CBD"/>
    <w:rsid w:val="004F5295"/>
    <w:rsid w:val="004F712F"/>
    <w:rsid w:val="004F786D"/>
    <w:rsid w:val="005004A8"/>
    <w:rsid w:val="00502466"/>
    <w:rsid w:val="005027B3"/>
    <w:rsid w:val="005039CB"/>
    <w:rsid w:val="00504EEA"/>
    <w:rsid w:val="005051AF"/>
    <w:rsid w:val="0050558F"/>
    <w:rsid w:val="005057E0"/>
    <w:rsid w:val="00505C73"/>
    <w:rsid w:val="00506286"/>
    <w:rsid w:val="00506D7D"/>
    <w:rsid w:val="00507B1E"/>
    <w:rsid w:val="00510813"/>
    <w:rsid w:val="00511DE0"/>
    <w:rsid w:val="00512736"/>
    <w:rsid w:val="00512A6F"/>
    <w:rsid w:val="00517AEE"/>
    <w:rsid w:val="00517F02"/>
    <w:rsid w:val="00521967"/>
    <w:rsid w:val="00522D88"/>
    <w:rsid w:val="005239E5"/>
    <w:rsid w:val="00524547"/>
    <w:rsid w:val="00524B93"/>
    <w:rsid w:val="005258A2"/>
    <w:rsid w:val="00525E37"/>
    <w:rsid w:val="005261AB"/>
    <w:rsid w:val="00526810"/>
    <w:rsid w:val="0052692A"/>
    <w:rsid w:val="00527CA9"/>
    <w:rsid w:val="00530F7C"/>
    <w:rsid w:val="005321BF"/>
    <w:rsid w:val="00534110"/>
    <w:rsid w:val="00534567"/>
    <w:rsid w:val="00534D08"/>
    <w:rsid w:val="00534F43"/>
    <w:rsid w:val="00535A84"/>
    <w:rsid w:val="00535D29"/>
    <w:rsid w:val="00535F42"/>
    <w:rsid w:val="0053678C"/>
    <w:rsid w:val="00536889"/>
    <w:rsid w:val="00537599"/>
    <w:rsid w:val="0054096C"/>
    <w:rsid w:val="00541656"/>
    <w:rsid w:val="005419E2"/>
    <w:rsid w:val="00541B65"/>
    <w:rsid w:val="00541C01"/>
    <w:rsid w:val="00542652"/>
    <w:rsid w:val="0054288F"/>
    <w:rsid w:val="00542E07"/>
    <w:rsid w:val="005450B1"/>
    <w:rsid w:val="005456AE"/>
    <w:rsid w:val="00550CB8"/>
    <w:rsid w:val="0055244C"/>
    <w:rsid w:val="0055260D"/>
    <w:rsid w:val="00553B2B"/>
    <w:rsid w:val="00554A7B"/>
    <w:rsid w:val="0055571F"/>
    <w:rsid w:val="0055572C"/>
    <w:rsid w:val="00555824"/>
    <w:rsid w:val="00556072"/>
    <w:rsid w:val="0055616A"/>
    <w:rsid w:val="0055716E"/>
    <w:rsid w:val="00557192"/>
    <w:rsid w:val="0056064F"/>
    <w:rsid w:val="005614CB"/>
    <w:rsid w:val="00561B84"/>
    <w:rsid w:val="00562BA6"/>
    <w:rsid w:val="00563F54"/>
    <w:rsid w:val="0056417C"/>
    <w:rsid w:val="00564D0E"/>
    <w:rsid w:val="00564D1D"/>
    <w:rsid w:val="005650A7"/>
    <w:rsid w:val="0056510A"/>
    <w:rsid w:val="005702B1"/>
    <w:rsid w:val="0057081C"/>
    <w:rsid w:val="00571D98"/>
    <w:rsid w:val="005720AE"/>
    <w:rsid w:val="005721B2"/>
    <w:rsid w:val="00572C6E"/>
    <w:rsid w:val="00577860"/>
    <w:rsid w:val="0058030D"/>
    <w:rsid w:val="00580857"/>
    <w:rsid w:val="00580F56"/>
    <w:rsid w:val="00581C39"/>
    <w:rsid w:val="00582045"/>
    <w:rsid w:val="0058710C"/>
    <w:rsid w:val="00590AE3"/>
    <w:rsid w:val="005918F1"/>
    <w:rsid w:val="00592FE9"/>
    <w:rsid w:val="00594833"/>
    <w:rsid w:val="005955D6"/>
    <w:rsid w:val="005A06B7"/>
    <w:rsid w:val="005A0B33"/>
    <w:rsid w:val="005A1759"/>
    <w:rsid w:val="005A6437"/>
    <w:rsid w:val="005A74A1"/>
    <w:rsid w:val="005A7F99"/>
    <w:rsid w:val="005B1E32"/>
    <w:rsid w:val="005B6904"/>
    <w:rsid w:val="005C276B"/>
    <w:rsid w:val="005C2858"/>
    <w:rsid w:val="005C518F"/>
    <w:rsid w:val="005C7DC3"/>
    <w:rsid w:val="005D0369"/>
    <w:rsid w:val="005D0F2F"/>
    <w:rsid w:val="005D292A"/>
    <w:rsid w:val="005D3036"/>
    <w:rsid w:val="005D42F5"/>
    <w:rsid w:val="005D53FE"/>
    <w:rsid w:val="005D5674"/>
    <w:rsid w:val="005D61E7"/>
    <w:rsid w:val="005D721B"/>
    <w:rsid w:val="005D7A0F"/>
    <w:rsid w:val="005E034C"/>
    <w:rsid w:val="005E0438"/>
    <w:rsid w:val="005E1791"/>
    <w:rsid w:val="005E25F8"/>
    <w:rsid w:val="005E2CE6"/>
    <w:rsid w:val="005E32B8"/>
    <w:rsid w:val="005E561E"/>
    <w:rsid w:val="005E5F53"/>
    <w:rsid w:val="005E6324"/>
    <w:rsid w:val="005E74B2"/>
    <w:rsid w:val="005F02D9"/>
    <w:rsid w:val="005F1425"/>
    <w:rsid w:val="005F228B"/>
    <w:rsid w:val="005F29CD"/>
    <w:rsid w:val="005F31ED"/>
    <w:rsid w:val="005F33D4"/>
    <w:rsid w:val="005F3C09"/>
    <w:rsid w:val="005F4DFB"/>
    <w:rsid w:val="005F62ED"/>
    <w:rsid w:val="005F6CC0"/>
    <w:rsid w:val="00601962"/>
    <w:rsid w:val="00603E5B"/>
    <w:rsid w:val="00603E8C"/>
    <w:rsid w:val="0060425F"/>
    <w:rsid w:val="00604BC8"/>
    <w:rsid w:val="0060592A"/>
    <w:rsid w:val="006062EE"/>
    <w:rsid w:val="006141E7"/>
    <w:rsid w:val="00614F87"/>
    <w:rsid w:val="00615B4C"/>
    <w:rsid w:val="00615B5D"/>
    <w:rsid w:val="0062146F"/>
    <w:rsid w:val="00621916"/>
    <w:rsid w:val="00624B10"/>
    <w:rsid w:val="00625187"/>
    <w:rsid w:val="00625518"/>
    <w:rsid w:val="00625B6B"/>
    <w:rsid w:val="00626159"/>
    <w:rsid w:val="006307E5"/>
    <w:rsid w:val="006343AF"/>
    <w:rsid w:val="00635D46"/>
    <w:rsid w:val="0063634A"/>
    <w:rsid w:val="0064250D"/>
    <w:rsid w:val="006426EF"/>
    <w:rsid w:val="00643D7B"/>
    <w:rsid w:val="00650C41"/>
    <w:rsid w:val="00650C7E"/>
    <w:rsid w:val="00651691"/>
    <w:rsid w:val="006535EB"/>
    <w:rsid w:val="00653DB9"/>
    <w:rsid w:val="00657AF0"/>
    <w:rsid w:val="00660A8E"/>
    <w:rsid w:val="006611B9"/>
    <w:rsid w:val="00661FC9"/>
    <w:rsid w:val="00662AD6"/>
    <w:rsid w:val="00663016"/>
    <w:rsid w:val="00665499"/>
    <w:rsid w:val="006660DC"/>
    <w:rsid w:val="00667981"/>
    <w:rsid w:val="00674605"/>
    <w:rsid w:val="006748B8"/>
    <w:rsid w:val="00674D95"/>
    <w:rsid w:val="00674F17"/>
    <w:rsid w:val="006767D1"/>
    <w:rsid w:val="00681F77"/>
    <w:rsid w:val="00683BB5"/>
    <w:rsid w:val="0068535B"/>
    <w:rsid w:val="00685C1D"/>
    <w:rsid w:val="006860C6"/>
    <w:rsid w:val="00686A05"/>
    <w:rsid w:val="0068736E"/>
    <w:rsid w:val="0069099B"/>
    <w:rsid w:val="006927FA"/>
    <w:rsid w:val="0069290A"/>
    <w:rsid w:val="00695284"/>
    <w:rsid w:val="00697032"/>
    <w:rsid w:val="006975AC"/>
    <w:rsid w:val="0069795B"/>
    <w:rsid w:val="006A03A4"/>
    <w:rsid w:val="006A0B7E"/>
    <w:rsid w:val="006A15FB"/>
    <w:rsid w:val="006A3E8B"/>
    <w:rsid w:val="006A72BF"/>
    <w:rsid w:val="006A7DBD"/>
    <w:rsid w:val="006B015C"/>
    <w:rsid w:val="006B31A2"/>
    <w:rsid w:val="006B332A"/>
    <w:rsid w:val="006B33BD"/>
    <w:rsid w:val="006B4319"/>
    <w:rsid w:val="006B6AE4"/>
    <w:rsid w:val="006C1CA9"/>
    <w:rsid w:val="006C1D01"/>
    <w:rsid w:val="006C3F75"/>
    <w:rsid w:val="006C4BEE"/>
    <w:rsid w:val="006D03CA"/>
    <w:rsid w:val="006D170E"/>
    <w:rsid w:val="006D29F6"/>
    <w:rsid w:val="006D2F01"/>
    <w:rsid w:val="006D330D"/>
    <w:rsid w:val="006D3D35"/>
    <w:rsid w:val="006D6376"/>
    <w:rsid w:val="006D65CE"/>
    <w:rsid w:val="006D66B6"/>
    <w:rsid w:val="006D6C4B"/>
    <w:rsid w:val="006D6DD1"/>
    <w:rsid w:val="006D7602"/>
    <w:rsid w:val="006E06AF"/>
    <w:rsid w:val="006E0A98"/>
    <w:rsid w:val="006E21A7"/>
    <w:rsid w:val="006E4522"/>
    <w:rsid w:val="006E596E"/>
    <w:rsid w:val="006E5DA2"/>
    <w:rsid w:val="006E60D4"/>
    <w:rsid w:val="006E6D68"/>
    <w:rsid w:val="006F1789"/>
    <w:rsid w:val="006F3493"/>
    <w:rsid w:val="006F5097"/>
    <w:rsid w:val="006F62DA"/>
    <w:rsid w:val="006F63EB"/>
    <w:rsid w:val="006F6E6E"/>
    <w:rsid w:val="006F7148"/>
    <w:rsid w:val="007004ED"/>
    <w:rsid w:val="00700847"/>
    <w:rsid w:val="0070135F"/>
    <w:rsid w:val="007024A3"/>
    <w:rsid w:val="00705E11"/>
    <w:rsid w:val="0070688A"/>
    <w:rsid w:val="00706C5D"/>
    <w:rsid w:val="00706F97"/>
    <w:rsid w:val="00707B67"/>
    <w:rsid w:val="00707B84"/>
    <w:rsid w:val="0071110C"/>
    <w:rsid w:val="007118E6"/>
    <w:rsid w:val="00711A1A"/>
    <w:rsid w:val="00714A96"/>
    <w:rsid w:val="007172F0"/>
    <w:rsid w:val="007225C9"/>
    <w:rsid w:val="00723354"/>
    <w:rsid w:val="00732885"/>
    <w:rsid w:val="0073454E"/>
    <w:rsid w:val="00735CD7"/>
    <w:rsid w:val="007407E4"/>
    <w:rsid w:val="007426C7"/>
    <w:rsid w:val="00744217"/>
    <w:rsid w:val="00744255"/>
    <w:rsid w:val="00744429"/>
    <w:rsid w:val="00746DA3"/>
    <w:rsid w:val="00747CE2"/>
    <w:rsid w:val="00751B63"/>
    <w:rsid w:val="007527B3"/>
    <w:rsid w:val="00752C2E"/>
    <w:rsid w:val="00754034"/>
    <w:rsid w:val="00754BF1"/>
    <w:rsid w:val="00755A30"/>
    <w:rsid w:val="00755E1C"/>
    <w:rsid w:val="00756556"/>
    <w:rsid w:val="00757CDA"/>
    <w:rsid w:val="007608DA"/>
    <w:rsid w:val="0076132B"/>
    <w:rsid w:val="007616C0"/>
    <w:rsid w:val="007623AE"/>
    <w:rsid w:val="00763443"/>
    <w:rsid w:val="007649E0"/>
    <w:rsid w:val="00766BA4"/>
    <w:rsid w:val="007709FE"/>
    <w:rsid w:val="00770B19"/>
    <w:rsid w:val="00771B60"/>
    <w:rsid w:val="00774FA0"/>
    <w:rsid w:val="00776458"/>
    <w:rsid w:val="00776620"/>
    <w:rsid w:val="00777B6D"/>
    <w:rsid w:val="00780567"/>
    <w:rsid w:val="007837BE"/>
    <w:rsid w:val="00783E72"/>
    <w:rsid w:val="00784583"/>
    <w:rsid w:val="00784855"/>
    <w:rsid w:val="00784F39"/>
    <w:rsid w:val="007853CC"/>
    <w:rsid w:val="0078545C"/>
    <w:rsid w:val="00786A36"/>
    <w:rsid w:val="00786E02"/>
    <w:rsid w:val="00790327"/>
    <w:rsid w:val="007906C4"/>
    <w:rsid w:val="00792302"/>
    <w:rsid w:val="00792AF6"/>
    <w:rsid w:val="007940EA"/>
    <w:rsid w:val="0079481A"/>
    <w:rsid w:val="00794F30"/>
    <w:rsid w:val="0079673C"/>
    <w:rsid w:val="0079677C"/>
    <w:rsid w:val="007967E8"/>
    <w:rsid w:val="007A3027"/>
    <w:rsid w:val="007A63F2"/>
    <w:rsid w:val="007B0712"/>
    <w:rsid w:val="007B0BD1"/>
    <w:rsid w:val="007B1247"/>
    <w:rsid w:val="007B3816"/>
    <w:rsid w:val="007B3DE4"/>
    <w:rsid w:val="007B52D2"/>
    <w:rsid w:val="007B5ED6"/>
    <w:rsid w:val="007B6257"/>
    <w:rsid w:val="007B68DE"/>
    <w:rsid w:val="007C1857"/>
    <w:rsid w:val="007C1AD8"/>
    <w:rsid w:val="007C1FD5"/>
    <w:rsid w:val="007C4BA3"/>
    <w:rsid w:val="007C514F"/>
    <w:rsid w:val="007C6888"/>
    <w:rsid w:val="007C770C"/>
    <w:rsid w:val="007D0F95"/>
    <w:rsid w:val="007D3FC4"/>
    <w:rsid w:val="007D78B6"/>
    <w:rsid w:val="007D7ECB"/>
    <w:rsid w:val="007E25A1"/>
    <w:rsid w:val="007E34C2"/>
    <w:rsid w:val="007E388F"/>
    <w:rsid w:val="007E4399"/>
    <w:rsid w:val="007E4BD2"/>
    <w:rsid w:val="007E62BD"/>
    <w:rsid w:val="007E7145"/>
    <w:rsid w:val="007F0F70"/>
    <w:rsid w:val="007F1235"/>
    <w:rsid w:val="007F19F4"/>
    <w:rsid w:val="007F1ABE"/>
    <w:rsid w:val="007F3916"/>
    <w:rsid w:val="007F442A"/>
    <w:rsid w:val="007F6C07"/>
    <w:rsid w:val="008001D0"/>
    <w:rsid w:val="008006F3"/>
    <w:rsid w:val="0080072C"/>
    <w:rsid w:val="00801179"/>
    <w:rsid w:val="00802226"/>
    <w:rsid w:val="00802479"/>
    <w:rsid w:val="0080496B"/>
    <w:rsid w:val="00805372"/>
    <w:rsid w:val="00805B7B"/>
    <w:rsid w:val="0080727A"/>
    <w:rsid w:val="0080729B"/>
    <w:rsid w:val="0081093F"/>
    <w:rsid w:val="008114BA"/>
    <w:rsid w:val="0081293E"/>
    <w:rsid w:val="00813678"/>
    <w:rsid w:val="0081472E"/>
    <w:rsid w:val="00814FFB"/>
    <w:rsid w:val="008161DE"/>
    <w:rsid w:val="00816AE2"/>
    <w:rsid w:val="00817CB5"/>
    <w:rsid w:val="00820568"/>
    <w:rsid w:val="00820C85"/>
    <w:rsid w:val="008225EE"/>
    <w:rsid w:val="00826F77"/>
    <w:rsid w:val="00830BB2"/>
    <w:rsid w:val="00831A80"/>
    <w:rsid w:val="008323AB"/>
    <w:rsid w:val="008332C8"/>
    <w:rsid w:val="008335B6"/>
    <w:rsid w:val="00833743"/>
    <w:rsid w:val="008340A4"/>
    <w:rsid w:val="00834812"/>
    <w:rsid w:val="00835288"/>
    <w:rsid w:val="00836799"/>
    <w:rsid w:val="00837028"/>
    <w:rsid w:val="00837131"/>
    <w:rsid w:val="00837D2F"/>
    <w:rsid w:val="00842054"/>
    <w:rsid w:val="00845669"/>
    <w:rsid w:val="00845F57"/>
    <w:rsid w:val="008461F0"/>
    <w:rsid w:val="00846268"/>
    <w:rsid w:val="008521E0"/>
    <w:rsid w:val="008523F9"/>
    <w:rsid w:val="008525B0"/>
    <w:rsid w:val="00853D2B"/>
    <w:rsid w:val="00856C37"/>
    <w:rsid w:val="00856EA2"/>
    <w:rsid w:val="0086109A"/>
    <w:rsid w:val="00862248"/>
    <w:rsid w:val="00863B84"/>
    <w:rsid w:val="008642B4"/>
    <w:rsid w:val="00865AC0"/>
    <w:rsid w:val="008662D5"/>
    <w:rsid w:val="00867CBC"/>
    <w:rsid w:val="00870D47"/>
    <w:rsid w:val="00870E90"/>
    <w:rsid w:val="00871BAE"/>
    <w:rsid w:val="00871C16"/>
    <w:rsid w:val="00873DF6"/>
    <w:rsid w:val="00876C30"/>
    <w:rsid w:val="00877017"/>
    <w:rsid w:val="008773C0"/>
    <w:rsid w:val="00880364"/>
    <w:rsid w:val="00881599"/>
    <w:rsid w:val="00886C4C"/>
    <w:rsid w:val="0088711C"/>
    <w:rsid w:val="00890711"/>
    <w:rsid w:val="00892ECF"/>
    <w:rsid w:val="00892F06"/>
    <w:rsid w:val="00894285"/>
    <w:rsid w:val="008948CB"/>
    <w:rsid w:val="00894D27"/>
    <w:rsid w:val="00894D74"/>
    <w:rsid w:val="00896CA8"/>
    <w:rsid w:val="00897EE5"/>
    <w:rsid w:val="008A1875"/>
    <w:rsid w:val="008A2413"/>
    <w:rsid w:val="008A2842"/>
    <w:rsid w:val="008A36DB"/>
    <w:rsid w:val="008A40AE"/>
    <w:rsid w:val="008A4E19"/>
    <w:rsid w:val="008A5460"/>
    <w:rsid w:val="008A5778"/>
    <w:rsid w:val="008A67C5"/>
    <w:rsid w:val="008B15FF"/>
    <w:rsid w:val="008B22E1"/>
    <w:rsid w:val="008B2405"/>
    <w:rsid w:val="008B2C0C"/>
    <w:rsid w:val="008B310B"/>
    <w:rsid w:val="008B3A3C"/>
    <w:rsid w:val="008B3B6E"/>
    <w:rsid w:val="008B3C78"/>
    <w:rsid w:val="008B4121"/>
    <w:rsid w:val="008B4AE9"/>
    <w:rsid w:val="008B55B8"/>
    <w:rsid w:val="008C0BCC"/>
    <w:rsid w:val="008C11AC"/>
    <w:rsid w:val="008C30AD"/>
    <w:rsid w:val="008C3CB3"/>
    <w:rsid w:val="008C4538"/>
    <w:rsid w:val="008C593F"/>
    <w:rsid w:val="008C5E7D"/>
    <w:rsid w:val="008C7528"/>
    <w:rsid w:val="008C7DC0"/>
    <w:rsid w:val="008D068E"/>
    <w:rsid w:val="008D0F7A"/>
    <w:rsid w:val="008D18D8"/>
    <w:rsid w:val="008D482A"/>
    <w:rsid w:val="008D63BE"/>
    <w:rsid w:val="008D66F1"/>
    <w:rsid w:val="008D6B81"/>
    <w:rsid w:val="008E0CFF"/>
    <w:rsid w:val="008E1C49"/>
    <w:rsid w:val="008E5A36"/>
    <w:rsid w:val="008E5D6B"/>
    <w:rsid w:val="008E689B"/>
    <w:rsid w:val="008E76F0"/>
    <w:rsid w:val="008E7BBF"/>
    <w:rsid w:val="008F0F5D"/>
    <w:rsid w:val="008F15FE"/>
    <w:rsid w:val="008F254E"/>
    <w:rsid w:val="008F2A94"/>
    <w:rsid w:val="008F3842"/>
    <w:rsid w:val="008F4B92"/>
    <w:rsid w:val="008F5187"/>
    <w:rsid w:val="008F535D"/>
    <w:rsid w:val="008F6093"/>
    <w:rsid w:val="008F709C"/>
    <w:rsid w:val="008F7423"/>
    <w:rsid w:val="008F7566"/>
    <w:rsid w:val="009014BD"/>
    <w:rsid w:val="0090312B"/>
    <w:rsid w:val="00904961"/>
    <w:rsid w:val="00910AA1"/>
    <w:rsid w:val="00910BA6"/>
    <w:rsid w:val="009115C3"/>
    <w:rsid w:val="00912B4D"/>
    <w:rsid w:val="009133B8"/>
    <w:rsid w:val="00913BDB"/>
    <w:rsid w:val="00915FD6"/>
    <w:rsid w:val="009164C9"/>
    <w:rsid w:val="0091736D"/>
    <w:rsid w:val="00930A9E"/>
    <w:rsid w:val="00931001"/>
    <w:rsid w:val="0093134F"/>
    <w:rsid w:val="00931863"/>
    <w:rsid w:val="0093226E"/>
    <w:rsid w:val="00933524"/>
    <w:rsid w:val="00934F92"/>
    <w:rsid w:val="00937B0F"/>
    <w:rsid w:val="00940FA5"/>
    <w:rsid w:val="009410B4"/>
    <w:rsid w:val="0094278D"/>
    <w:rsid w:val="009444E7"/>
    <w:rsid w:val="00944AC6"/>
    <w:rsid w:val="00944C56"/>
    <w:rsid w:val="0094580B"/>
    <w:rsid w:val="00945FA4"/>
    <w:rsid w:val="009474FF"/>
    <w:rsid w:val="00950351"/>
    <w:rsid w:val="00950D35"/>
    <w:rsid w:val="0095104D"/>
    <w:rsid w:val="00952B29"/>
    <w:rsid w:val="0095308A"/>
    <w:rsid w:val="00953F4F"/>
    <w:rsid w:val="009547BC"/>
    <w:rsid w:val="00955AEE"/>
    <w:rsid w:val="00956F14"/>
    <w:rsid w:val="0096098B"/>
    <w:rsid w:val="00961309"/>
    <w:rsid w:val="009620FD"/>
    <w:rsid w:val="0096247A"/>
    <w:rsid w:val="00962A88"/>
    <w:rsid w:val="00963012"/>
    <w:rsid w:val="0096304B"/>
    <w:rsid w:val="009634B6"/>
    <w:rsid w:val="0096421F"/>
    <w:rsid w:val="00965D22"/>
    <w:rsid w:val="00965F4B"/>
    <w:rsid w:val="00970B7B"/>
    <w:rsid w:val="00970F8A"/>
    <w:rsid w:val="00971FB5"/>
    <w:rsid w:val="00972D2A"/>
    <w:rsid w:val="00973926"/>
    <w:rsid w:val="00975CC5"/>
    <w:rsid w:val="00976328"/>
    <w:rsid w:val="00976B4E"/>
    <w:rsid w:val="009824BA"/>
    <w:rsid w:val="00982D4A"/>
    <w:rsid w:val="00983708"/>
    <w:rsid w:val="00983F2D"/>
    <w:rsid w:val="00984458"/>
    <w:rsid w:val="00985283"/>
    <w:rsid w:val="009867D2"/>
    <w:rsid w:val="00987322"/>
    <w:rsid w:val="009874C8"/>
    <w:rsid w:val="00993B3D"/>
    <w:rsid w:val="00995506"/>
    <w:rsid w:val="0099590F"/>
    <w:rsid w:val="009A0F3B"/>
    <w:rsid w:val="009A5152"/>
    <w:rsid w:val="009A51D8"/>
    <w:rsid w:val="009A72C7"/>
    <w:rsid w:val="009B0897"/>
    <w:rsid w:val="009B6BDA"/>
    <w:rsid w:val="009C4348"/>
    <w:rsid w:val="009C4862"/>
    <w:rsid w:val="009C5406"/>
    <w:rsid w:val="009C6A9B"/>
    <w:rsid w:val="009D0852"/>
    <w:rsid w:val="009D0D8A"/>
    <w:rsid w:val="009D1323"/>
    <w:rsid w:val="009D1686"/>
    <w:rsid w:val="009D16B9"/>
    <w:rsid w:val="009D191A"/>
    <w:rsid w:val="009D1B9D"/>
    <w:rsid w:val="009D1FBF"/>
    <w:rsid w:val="009D5D60"/>
    <w:rsid w:val="009D6E8E"/>
    <w:rsid w:val="009D778E"/>
    <w:rsid w:val="009E010E"/>
    <w:rsid w:val="009E069A"/>
    <w:rsid w:val="009E0DC0"/>
    <w:rsid w:val="009E1071"/>
    <w:rsid w:val="009E154F"/>
    <w:rsid w:val="009E1D0E"/>
    <w:rsid w:val="009E1EFD"/>
    <w:rsid w:val="009E2769"/>
    <w:rsid w:val="009E399C"/>
    <w:rsid w:val="009E43C1"/>
    <w:rsid w:val="009E4758"/>
    <w:rsid w:val="009E70CD"/>
    <w:rsid w:val="009E7E95"/>
    <w:rsid w:val="009F0440"/>
    <w:rsid w:val="009F116F"/>
    <w:rsid w:val="009F329E"/>
    <w:rsid w:val="009F3488"/>
    <w:rsid w:val="009F4E4F"/>
    <w:rsid w:val="009F7187"/>
    <w:rsid w:val="009F7ED3"/>
    <w:rsid w:val="00A00F7D"/>
    <w:rsid w:val="00A03607"/>
    <w:rsid w:val="00A042DA"/>
    <w:rsid w:val="00A047FF"/>
    <w:rsid w:val="00A04FEF"/>
    <w:rsid w:val="00A060D7"/>
    <w:rsid w:val="00A06639"/>
    <w:rsid w:val="00A06916"/>
    <w:rsid w:val="00A071B9"/>
    <w:rsid w:val="00A114F5"/>
    <w:rsid w:val="00A122CD"/>
    <w:rsid w:val="00A12A32"/>
    <w:rsid w:val="00A12A33"/>
    <w:rsid w:val="00A12CE4"/>
    <w:rsid w:val="00A12D75"/>
    <w:rsid w:val="00A14248"/>
    <w:rsid w:val="00A1433C"/>
    <w:rsid w:val="00A14947"/>
    <w:rsid w:val="00A15C64"/>
    <w:rsid w:val="00A1680D"/>
    <w:rsid w:val="00A16DC9"/>
    <w:rsid w:val="00A172A0"/>
    <w:rsid w:val="00A17BE7"/>
    <w:rsid w:val="00A21664"/>
    <w:rsid w:val="00A23DC5"/>
    <w:rsid w:val="00A240C6"/>
    <w:rsid w:val="00A25A9F"/>
    <w:rsid w:val="00A26039"/>
    <w:rsid w:val="00A26D4D"/>
    <w:rsid w:val="00A27C47"/>
    <w:rsid w:val="00A30BCD"/>
    <w:rsid w:val="00A31579"/>
    <w:rsid w:val="00A34028"/>
    <w:rsid w:val="00A35568"/>
    <w:rsid w:val="00A35F4D"/>
    <w:rsid w:val="00A3628A"/>
    <w:rsid w:val="00A36689"/>
    <w:rsid w:val="00A36EE0"/>
    <w:rsid w:val="00A37056"/>
    <w:rsid w:val="00A42339"/>
    <w:rsid w:val="00A4358F"/>
    <w:rsid w:val="00A4630F"/>
    <w:rsid w:val="00A46F67"/>
    <w:rsid w:val="00A509C3"/>
    <w:rsid w:val="00A52C82"/>
    <w:rsid w:val="00A54AA1"/>
    <w:rsid w:val="00A557B4"/>
    <w:rsid w:val="00A568FF"/>
    <w:rsid w:val="00A5703C"/>
    <w:rsid w:val="00A57195"/>
    <w:rsid w:val="00A575FF"/>
    <w:rsid w:val="00A5776A"/>
    <w:rsid w:val="00A6050A"/>
    <w:rsid w:val="00A61496"/>
    <w:rsid w:val="00A61833"/>
    <w:rsid w:val="00A6188D"/>
    <w:rsid w:val="00A61B8A"/>
    <w:rsid w:val="00A61D11"/>
    <w:rsid w:val="00A624C6"/>
    <w:rsid w:val="00A63CEC"/>
    <w:rsid w:val="00A65936"/>
    <w:rsid w:val="00A6668D"/>
    <w:rsid w:val="00A67CC5"/>
    <w:rsid w:val="00A7031E"/>
    <w:rsid w:val="00A70B49"/>
    <w:rsid w:val="00A728B1"/>
    <w:rsid w:val="00A73BB9"/>
    <w:rsid w:val="00A763DE"/>
    <w:rsid w:val="00A803D6"/>
    <w:rsid w:val="00A81282"/>
    <w:rsid w:val="00A8713F"/>
    <w:rsid w:val="00A91167"/>
    <w:rsid w:val="00A9171C"/>
    <w:rsid w:val="00A92FFD"/>
    <w:rsid w:val="00A95975"/>
    <w:rsid w:val="00A95C2F"/>
    <w:rsid w:val="00A96E3C"/>
    <w:rsid w:val="00A9708D"/>
    <w:rsid w:val="00AA2C17"/>
    <w:rsid w:val="00AA3580"/>
    <w:rsid w:val="00AA3939"/>
    <w:rsid w:val="00AA4172"/>
    <w:rsid w:val="00AA4174"/>
    <w:rsid w:val="00AA7868"/>
    <w:rsid w:val="00AB0AD3"/>
    <w:rsid w:val="00AB1914"/>
    <w:rsid w:val="00AB21CE"/>
    <w:rsid w:val="00AB241E"/>
    <w:rsid w:val="00AB5330"/>
    <w:rsid w:val="00AB53E7"/>
    <w:rsid w:val="00AB7339"/>
    <w:rsid w:val="00AB7747"/>
    <w:rsid w:val="00AC2532"/>
    <w:rsid w:val="00AC2FA5"/>
    <w:rsid w:val="00AC53E9"/>
    <w:rsid w:val="00AC7A39"/>
    <w:rsid w:val="00AD0BF4"/>
    <w:rsid w:val="00AD0CBE"/>
    <w:rsid w:val="00AD1507"/>
    <w:rsid w:val="00AD1ADE"/>
    <w:rsid w:val="00AD23E1"/>
    <w:rsid w:val="00AD5A70"/>
    <w:rsid w:val="00AD738B"/>
    <w:rsid w:val="00AE0BC7"/>
    <w:rsid w:val="00AE1180"/>
    <w:rsid w:val="00AE1BF4"/>
    <w:rsid w:val="00AE2C04"/>
    <w:rsid w:val="00AE34E6"/>
    <w:rsid w:val="00AE4EB6"/>
    <w:rsid w:val="00AE5D97"/>
    <w:rsid w:val="00AE6794"/>
    <w:rsid w:val="00AE787D"/>
    <w:rsid w:val="00AF06D8"/>
    <w:rsid w:val="00AF159E"/>
    <w:rsid w:val="00AF3830"/>
    <w:rsid w:val="00AF5BF9"/>
    <w:rsid w:val="00AF5ED1"/>
    <w:rsid w:val="00AF6E94"/>
    <w:rsid w:val="00AF79B1"/>
    <w:rsid w:val="00B01110"/>
    <w:rsid w:val="00B02262"/>
    <w:rsid w:val="00B02C65"/>
    <w:rsid w:val="00B0328C"/>
    <w:rsid w:val="00B03CEC"/>
    <w:rsid w:val="00B03F84"/>
    <w:rsid w:val="00B0460E"/>
    <w:rsid w:val="00B06586"/>
    <w:rsid w:val="00B10A5E"/>
    <w:rsid w:val="00B11747"/>
    <w:rsid w:val="00B11DF5"/>
    <w:rsid w:val="00B1209F"/>
    <w:rsid w:val="00B12AD0"/>
    <w:rsid w:val="00B12BF1"/>
    <w:rsid w:val="00B13D39"/>
    <w:rsid w:val="00B14BAE"/>
    <w:rsid w:val="00B14CD4"/>
    <w:rsid w:val="00B14E4E"/>
    <w:rsid w:val="00B15028"/>
    <w:rsid w:val="00B157B4"/>
    <w:rsid w:val="00B167B0"/>
    <w:rsid w:val="00B16E3D"/>
    <w:rsid w:val="00B20863"/>
    <w:rsid w:val="00B22F39"/>
    <w:rsid w:val="00B240BC"/>
    <w:rsid w:val="00B24F30"/>
    <w:rsid w:val="00B27B22"/>
    <w:rsid w:val="00B30473"/>
    <w:rsid w:val="00B30BBE"/>
    <w:rsid w:val="00B31ABF"/>
    <w:rsid w:val="00B321E3"/>
    <w:rsid w:val="00B335AE"/>
    <w:rsid w:val="00B33C0B"/>
    <w:rsid w:val="00B34B62"/>
    <w:rsid w:val="00B37CE1"/>
    <w:rsid w:val="00B403B0"/>
    <w:rsid w:val="00B40886"/>
    <w:rsid w:val="00B40ACF"/>
    <w:rsid w:val="00B4154A"/>
    <w:rsid w:val="00B430D0"/>
    <w:rsid w:val="00B447CE"/>
    <w:rsid w:val="00B44E19"/>
    <w:rsid w:val="00B46BAA"/>
    <w:rsid w:val="00B50335"/>
    <w:rsid w:val="00B50B5F"/>
    <w:rsid w:val="00B512A9"/>
    <w:rsid w:val="00B514D6"/>
    <w:rsid w:val="00B51B09"/>
    <w:rsid w:val="00B53678"/>
    <w:rsid w:val="00B54128"/>
    <w:rsid w:val="00B54671"/>
    <w:rsid w:val="00B55826"/>
    <w:rsid w:val="00B56009"/>
    <w:rsid w:val="00B56A5D"/>
    <w:rsid w:val="00B571D3"/>
    <w:rsid w:val="00B60107"/>
    <w:rsid w:val="00B60426"/>
    <w:rsid w:val="00B61EF7"/>
    <w:rsid w:val="00B622DD"/>
    <w:rsid w:val="00B62B64"/>
    <w:rsid w:val="00B63522"/>
    <w:rsid w:val="00B65427"/>
    <w:rsid w:val="00B6574F"/>
    <w:rsid w:val="00B66057"/>
    <w:rsid w:val="00B66FE8"/>
    <w:rsid w:val="00B71A4B"/>
    <w:rsid w:val="00B73A80"/>
    <w:rsid w:val="00B754F5"/>
    <w:rsid w:val="00B76B7F"/>
    <w:rsid w:val="00B76F1D"/>
    <w:rsid w:val="00B82145"/>
    <w:rsid w:val="00B82384"/>
    <w:rsid w:val="00B8320A"/>
    <w:rsid w:val="00B83565"/>
    <w:rsid w:val="00B83A9F"/>
    <w:rsid w:val="00B84980"/>
    <w:rsid w:val="00B8550E"/>
    <w:rsid w:val="00B92A19"/>
    <w:rsid w:val="00B9544C"/>
    <w:rsid w:val="00B957C8"/>
    <w:rsid w:val="00BA1652"/>
    <w:rsid w:val="00BA2022"/>
    <w:rsid w:val="00BA29E9"/>
    <w:rsid w:val="00BA2B3F"/>
    <w:rsid w:val="00BA3687"/>
    <w:rsid w:val="00BA5512"/>
    <w:rsid w:val="00BA63F6"/>
    <w:rsid w:val="00BA6D5A"/>
    <w:rsid w:val="00BB3618"/>
    <w:rsid w:val="00BB5C86"/>
    <w:rsid w:val="00BC0C9E"/>
    <w:rsid w:val="00BC2C5E"/>
    <w:rsid w:val="00BC32DC"/>
    <w:rsid w:val="00BC7B91"/>
    <w:rsid w:val="00BC7CB1"/>
    <w:rsid w:val="00BD1AA2"/>
    <w:rsid w:val="00BD1B51"/>
    <w:rsid w:val="00BD3853"/>
    <w:rsid w:val="00BD47F6"/>
    <w:rsid w:val="00BE2639"/>
    <w:rsid w:val="00BE312D"/>
    <w:rsid w:val="00BE3FCA"/>
    <w:rsid w:val="00BE5BC3"/>
    <w:rsid w:val="00BE5E48"/>
    <w:rsid w:val="00BE6E90"/>
    <w:rsid w:val="00BF07BD"/>
    <w:rsid w:val="00BF1A44"/>
    <w:rsid w:val="00BF47E9"/>
    <w:rsid w:val="00BF53C5"/>
    <w:rsid w:val="00BF7559"/>
    <w:rsid w:val="00BF77C2"/>
    <w:rsid w:val="00C01EA4"/>
    <w:rsid w:val="00C0206A"/>
    <w:rsid w:val="00C022AB"/>
    <w:rsid w:val="00C05719"/>
    <w:rsid w:val="00C0613B"/>
    <w:rsid w:val="00C10578"/>
    <w:rsid w:val="00C122D8"/>
    <w:rsid w:val="00C140CA"/>
    <w:rsid w:val="00C14E7F"/>
    <w:rsid w:val="00C173DA"/>
    <w:rsid w:val="00C174CB"/>
    <w:rsid w:val="00C17618"/>
    <w:rsid w:val="00C17D62"/>
    <w:rsid w:val="00C21FDC"/>
    <w:rsid w:val="00C24EE7"/>
    <w:rsid w:val="00C2596A"/>
    <w:rsid w:val="00C26946"/>
    <w:rsid w:val="00C26A62"/>
    <w:rsid w:val="00C26E21"/>
    <w:rsid w:val="00C271BE"/>
    <w:rsid w:val="00C27425"/>
    <w:rsid w:val="00C328FE"/>
    <w:rsid w:val="00C33A05"/>
    <w:rsid w:val="00C3447B"/>
    <w:rsid w:val="00C35914"/>
    <w:rsid w:val="00C42500"/>
    <w:rsid w:val="00C43EC6"/>
    <w:rsid w:val="00C4409D"/>
    <w:rsid w:val="00C44C75"/>
    <w:rsid w:val="00C455BE"/>
    <w:rsid w:val="00C45B5E"/>
    <w:rsid w:val="00C46073"/>
    <w:rsid w:val="00C46239"/>
    <w:rsid w:val="00C472E9"/>
    <w:rsid w:val="00C50E19"/>
    <w:rsid w:val="00C51E5F"/>
    <w:rsid w:val="00C52372"/>
    <w:rsid w:val="00C53434"/>
    <w:rsid w:val="00C53442"/>
    <w:rsid w:val="00C53C59"/>
    <w:rsid w:val="00C60C4B"/>
    <w:rsid w:val="00C610AC"/>
    <w:rsid w:val="00C61E4B"/>
    <w:rsid w:val="00C62E3A"/>
    <w:rsid w:val="00C639C6"/>
    <w:rsid w:val="00C64503"/>
    <w:rsid w:val="00C64A1F"/>
    <w:rsid w:val="00C64BFF"/>
    <w:rsid w:val="00C64EAB"/>
    <w:rsid w:val="00C650C8"/>
    <w:rsid w:val="00C67211"/>
    <w:rsid w:val="00C67481"/>
    <w:rsid w:val="00C70E63"/>
    <w:rsid w:val="00C711F2"/>
    <w:rsid w:val="00C722FF"/>
    <w:rsid w:val="00C727DB"/>
    <w:rsid w:val="00C72EBD"/>
    <w:rsid w:val="00C7343F"/>
    <w:rsid w:val="00C73CDC"/>
    <w:rsid w:val="00C74530"/>
    <w:rsid w:val="00C74FF7"/>
    <w:rsid w:val="00C7525E"/>
    <w:rsid w:val="00C763C9"/>
    <w:rsid w:val="00C77B0B"/>
    <w:rsid w:val="00C80057"/>
    <w:rsid w:val="00C82C79"/>
    <w:rsid w:val="00C82FA3"/>
    <w:rsid w:val="00C83ED3"/>
    <w:rsid w:val="00C840A0"/>
    <w:rsid w:val="00C84753"/>
    <w:rsid w:val="00C85315"/>
    <w:rsid w:val="00C85D68"/>
    <w:rsid w:val="00C90E6C"/>
    <w:rsid w:val="00C91611"/>
    <w:rsid w:val="00C95337"/>
    <w:rsid w:val="00C95876"/>
    <w:rsid w:val="00CA1072"/>
    <w:rsid w:val="00CA3585"/>
    <w:rsid w:val="00CA3D5A"/>
    <w:rsid w:val="00CA4C7C"/>
    <w:rsid w:val="00CA5532"/>
    <w:rsid w:val="00CA746D"/>
    <w:rsid w:val="00CB0183"/>
    <w:rsid w:val="00CB0E01"/>
    <w:rsid w:val="00CB1EA3"/>
    <w:rsid w:val="00CB552C"/>
    <w:rsid w:val="00CB5614"/>
    <w:rsid w:val="00CB6A9E"/>
    <w:rsid w:val="00CB737F"/>
    <w:rsid w:val="00CC149C"/>
    <w:rsid w:val="00CC38BA"/>
    <w:rsid w:val="00CC6181"/>
    <w:rsid w:val="00CD13FB"/>
    <w:rsid w:val="00CD2BCD"/>
    <w:rsid w:val="00CD332F"/>
    <w:rsid w:val="00CD36AA"/>
    <w:rsid w:val="00CD3791"/>
    <w:rsid w:val="00CD3F09"/>
    <w:rsid w:val="00CD4726"/>
    <w:rsid w:val="00CD65B0"/>
    <w:rsid w:val="00CD7BD9"/>
    <w:rsid w:val="00CD7FCE"/>
    <w:rsid w:val="00CE02CD"/>
    <w:rsid w:val="00CE10E9"/>
    <w:rsid w:val="00CE1A5B"/>
    <w:rsid w:val="00CE2411"/>
    <w:rsid w:val="00CE2897"/>
    <w:rsid w:val="00CE2E7B"/>
    <w:rsid w:val="00CE6D40"/>
    <w:rsid w:val="00CF09DE"/>
    <w:rsid w:val="00CF3FD7"/>
    <w:rsid w:val="00CF41F5"/>
    <w:rsid w:val="00CF5602"/>
    <w:rsid w:val="00CF7726"/>
    <w:rsid w:val="00D0072E"/>
    <w:rsid w:val="00D01DE1"/>
    <w:rsid w:val="00D05C9E"/>
    <w:rsid w:val="00D112A8"/>
    <w:rsid w:val="00D132E5"/>
    <w:rsid w:val="00D14BD1"/>
    <w:rsid w:val="00D15727"/>
    <w:rsid w:val="00D16332"/>
    <w:rsid w:val="00D16E01"/>
    <w:rsid w:val="00D20146"/>
    <w:rsid w:val="00D21703"/>
    <w:rsid w:val="00D21DD3"/>
    <w:rsid w:val="00D222A2"/>
    <w:rsid w:val="00D24972"/>
    <w:rsid w:val="00D2515E"/>
    <w:rsid w:val="00D259F5"/>
    <w:rsid w:val="00D2626B"/>
    <w:rsid w:val="00D26D5E"/>
    <w:rsid w:val="00D26ECE"/>
    <w:rsid w:val="00D308ED"/>
    <w:rsid w:val="00D31157"/>
    <w:rsid w:val="00D328E0"/>
    <w:rsid w:val="00D344A6"/>
    <w:rsid w:val="00D34C85"/>
    <w:rsid w:val="00D359CF"/>
    <w:rsid w:val="00D362BC"/>
    <w:rsid w:val="00D3715D"/>
    <w:rsid w:val="00D37E26"/>
    <w:rsid w:val="00D40277"/>
    <w:rsid w:val="00D40FB2"/>
    <w:rsid w:val="00D41E10"/>
    <w:rsid w:val="00D4381E"/>
    <w:rsid w:val="00D43F5B"/>
    <w:rsid w:val="00D44C86"/>
    <w:rsid w:val="00D45B30"/>
    <w:rsid w:val="00D47901"/>
    <w:rsid w:val="00D50266"/>
    <w:rsid w:val="00D50D99"/>
    <w:rsid w:val="00D515F6"/>
    <w:rsid w:val="00D51F55"/>
    <w:rsid w:val="00D52A9E"/>
    <w:rsid w:val="00D52B7D"/>
    <w:rsid w:val="00D55A47"/>
    <w:rsid w:val="00D56178"/>
    <w:rsid w:val="00D565DA"/>
    <w:rsid w:val="00D56CF0"/>
    <w:rsid w:val="00D56F5C"/>
    <w:rsid w:val="00D60A0D"/>
    <w:rsid w:val="00D60A98"/>
    <w:rsid w:val="00D61876"/>
    <w:rsid w:val="00D64137"/>
    <w:rsid w:val="00D663EE"/>
    <w:rsid w:val="00D704B1"/>
    <w:rsid w:val="00D70B63"/>
    <w:rsid w:val="00D72B92"/>
    <w:rsid w:val="00D72ED4"/>
    <w:rsid w:val="00D739C6"/>
    <w:rsid w:val="00D73F61"/>
    <w:rsid w:val="00D754C0"/>
    <w:rsid w:val="00D75702"/>
    <w:rsid w:val="00D7754E"/>
    <w:rsid w:val="00D776A2"/>
    <w:rsid w:val="00D80111"/>
    <w:rsid w:val="00D801C4"/>
    <w:rsid w:val="00D80CD5"/>
    <w:rsid w:val="00D82459"/>
    <w:rsid w:val="00D86F68"/>
    <w:rsid w:val="00D87CF3"/>
    <w:rsid w:val="00D90836"/>
    <w:rsid w:val="00D9087E"/>
    <w:rsid w:val="00D91D6F"/>
    <w:rsid w:val="00D927B0"/>
    <w:rsid w:val="00D9533D"/>
    <w:rsid w:val="00D95896"/>
    <w:rsid w:val="00D95CC6"/>
    <w:rsid w:val="00D960E5"/>
    <w:rsid w:val="00D965A0"/>
    <w:rsid w:val="00D96A0E"/>
    <w:rsid w:val="00DA1822"/>
    <w:rsid w:val="00DA2A6D"/>
    <w:rsid w:val="00DA2DA3"/>
    <w:rsid w:val="00DA5BED"/>
    <w:rsid w:val="00DA6615"/>
    <w:rsid w:val="00DA76AE"/>
    <w:rsid w:val="00DA7AE7"/>
    <w:rsid w:val="00DB1714"/>
    <w:rsid w:val="00DB181E"/>
    <w:rsid w:val="00DB1C7A"/>
    <w:rsid w:val="00DB2983"/>
    <w:rsid w:val="00DB343D"/>
    <w:rsid w:val="00DB45DC"/>
    <w:rsid w:val="00DB5336"/>
    <w:rsid w:val="00DB5579"/>
    <w:rsid w:val="00DB57BE"/>
    <w:rsid w:val="00DB5CFE"/>
    <w:rsid w:val="00DB5FBD"/>
    <w:rsid w:val="00DC0805"/>
    <w:rsid w:val="00DC0D3E"/>
    <w:rsid w:val="00DC122F"/>
    <w:rsid w:val="00DC2097"/>
    <w:rsid w:val="00DC3655"/>
    <w:rsid w:val="00DC457F"/>
    <w:rsid w:val="00DC46B8"/>
    <w:rsid w:val="00DC72A6"/>
    <w:rsid w:val="00DD2113"/>
    <w:rsid w:val="00DD265E"/>
    <w:rsid w:val="00DD32E9"/>
    <w:rsid w:val="00DD58C1"/>
    <w:rsid w:val="00DD5B40"/>
    <w:rsid w:val="00DD7971"/>
    <w:rsid w:val="00DD7C60"/>
    <w:rsid w:val="00DE1171"/>
    <w:rsid w:val="00DE3239"/>
    <w:rsid w:val="00DE4AC1"/>
    <w:rsid w:val="00DE4E02"/>
    <w:rsid w:val="00DE5570"/>
    <w:rsid w:val="00DE64A4"/>
    <w:rsid w:val="00DE6D98"/>
    <w:rsid w:val="00DF1930"/>
    <w:rsid w:val="00DF1E8A"/>
    <w:rsid w:val="00DF514A"/>
    <w:rsid w:val="00DF6E28"/>
    <w:rsid w:val="00E00A89"/>
    <w:rsid w:val="00E0358D"/>
    <w:rsid w:val="00E05CA9"/>
    <w:rsid w:val="00E06327"/>
    <w:rsid w:val="00E06584"/>
    <w:rsid w:val="00E07E0C"/>
    <w:rsid w:val="00E11C42"/>
    <w:rsid w:val="00E12BB7"/>
    <w:rsid w:val="00E1350F"/>
    <w:rsid w:val="00E13747"/>
    <w:rsid w:val="00E13897"/>
    <w:rsid w:val="00E14A80"/>
    <w:rsid w:val="00E15AC7"/>
    <w:rsid w:val="00E15B6C"/>
    <w:rsid w:val="00E15C52"/>
    <w:rsid w:val="00E17367"/>
    <w:rsid w:val="00E17715"/>
    <w:rsid w:val="00E2064B"/>
    <w:rsid w:val="00E23C16"/>
    <w:rsid w:val="00E25239"/>
    <w:rsid w:val="00E25E0F"/>
    <w:rsid w:val="00E265B1"/>
    <w:rsid w:val="00E275B0"/>
    <w:rsid w:val="00E353F0"/>
    <w:rsid w:val="00E412D0"/>
    <w:rsid w:val="00E41D4A"/>
    <w:rsid w:val="00E435A9"/>
    <w:rsid w:val="00E44557"/>
    <w:rsid w:val="00E44E7C"/>
    <w:rsid w:val="00E44FDA"/>
    <w:rsid w:val="00E45180"/>
    <w:rsid w:val="00E45672"/>
    <w:rsid w:val="00E461B5"/>
    <w:rsid w:val="00E473E4"/>
    <w:rsid w:val="00E47CDB"/>
    <w:rsid w:val="00E50D11"/>
    <w:rsid w:val="00E55985"/>
    <w:rsid w:val="00E566BC"/>
    <w:rsid w:val="00E56E58"/>
    <w:rsid w:val="00E572C2"/>
    <w:rsid w:val="00E60982"/>
    <w:rsid w:val="00E60C8D"/>
    <w:rsid w:val="00E61618"/>
    <w:rsid w:val="00E6162F"/>
    <w:rsid w:val="00E627C4"/>
    <w:rsid w:val="00E6311B"/>
    <w:rsid w:val="00E645F8"/>
    <w:rsid w:val="00E6550D"/>
    <w:rsid w:val="00E65D97"/>
    <w:rsid w:val="00E66395"/>
    <w:rsid w:val="00E66454"/>
    <w:rsid w:val="00E6664C"/>
    <w:rsid w:val="00E676BE"/>
    <w:rsid w:val="00E67EFD"/>
    <w:rsid w:val="00E702DC"/>
    <w:rsid w:val="00E71FFB"/>
    <w:rsid w:val="00E73FF6"/>
    <w:rsid w:val="00E74C82"/>
    <w:rsid w:val="00E76D1D"/>
    <w:rsid w:val="00E806F8"/>
    <w:rsid w:val="00E82458"/>
    <w:rsid w:val="00E87752"/>
    <w:rsid w:val="00E8793B"/>
    <w:rsid w:val="00E90F81"/>
    <w:rsid w:val="00E9135D"/>
    <w:rsid w:val="00E91A6D"/>
    <w:rsid w:val="00E9242D"/>
    <w:rsid w:val="00E93162"/>
    <w:rsid w:val="00E9494A"/>
    <w:rsid w:val="00E96FDA"/>
    <w:rsid w:val="00EA0BFB"/>
    <w:rsid w:val="00EA163F"/>
    <w:rsid w:val="00EA16DC"/>
    <w:rsid w:val="00EA25C2"/>
    <w:rsid w:val="00EA7AFD"/>
    <w:rsid w:val="00EB041C"/>
    <w:rsid w:val="00EB1F7B"/>
    <w:rsid w:val="00EC02DA"/>
    <w:rsid w:val="00EC069C"/>
    <w:rsid w:val="00EC0D4F"/>
    <w:rsid w:val="00EC0D56"/>
    <w:rsid w:val="00EC1A7A"/>
    <w:rsid w:val="00EC2783"/>
    <w:rsid w:val="00EC4EC1"/>
    <w:rsid w:val="00EC5755"/>
    <w:rsid w:val="00EC5874"/>
    <w:rsid w:val="00EC787F"/>
    <w:rsid w:val="00EC7C68"/>
    <w:rsid w:val="00ED06A1"/>
    <w:rsid w:val="00ED1537"/>
    <w:rsid w:val="00ED192D"/>
    <w:rsid w:val="00ED23CA"/>
    <w:rsid w:val="00ED2934"/>
    <w:rsid w:val="00ED2AB6"/>
    <w:rsid w:val="00ED30B4"/>
    <w:rsid w:val="00ED31F5"/>
    <w:rsid w:val="00ED3EC2"/>
    <w:rsid w:val="00ED45AD"/>
    <w:rsid w:val="00ED4B7F"/>
    <w:rsid w:val="00ED6DD6"/>
    <w:rsid w:val="00EE0F47"/>
    <w:rsid w:val="00EE2D7C"/>
    <w:rsid w:val="00EE2E4F"/>
    <w:rsid w:val="00EE4629"/>
    <w:rsid w:val="00EE49E2"/>
    <w:rsid w:val="00EE62A5"/>
    <w:rsid w:val="00EF0147"/>
    <w:rsid w:val="00EF2759"/>
    <w:rsid w:val="00EF2A00"/>
    <w:rsid w:val="00EF45EB"/>
    <w:rsid w:val="00EF5099"/>
    <w:rsid w:val="00EF5673"/>
    <w:rsid w:val="00EF5E33"/>
    <w:rsid w:val="00EF7B4A"/>
    <w:rsid w:val="00F00075"/>
    <w:rsid w:val="00F00165"/>
    <w:rsid w:val="00F050F1"/>
    <w:rsid w:val="00F063C3"/>
    <w:rsid w:val="00F07822"/>
    <w:rsid w:val="00F07B01"/>
    <w:rsid w:val="00F125E9"/>
    <w:rsid w:val="00F12F2A"/>
    <w:rsid w:val="00F140B9"/>
    <w:rsid w:val="00F14788"/>
    <w:rsid w:val="00F15C95"/>
    <w:rsid w:val="00F16CD7"/>
    <w:rsid w:val="00F22985"/>
    <w:rsid w:val="00F23410"/>
    <w:rsid w:val="00F23553"/>
    <w:rsid w:val="00F23C3F"/>
    <w:rsid w:val="00F23C74"/>
    <w:rsid w:val="00F23F98"/>
    <w:rsid w:val="00F241AB"/>
    <w:rsid w:val="00F24C5C"/>
    <w:rsid w:val="00F253C4"/>
    <w:rsid w:val="00F2554A"/>
    <w:rsid w:val="00F268F5"/>
    <w:rsid w:val="00F31382"/>
    <w:rsid w:val="00F31965"/>
    <w:rsid w:val="00F321AA"/>
    <w:rsid w:val="00F33148"/>
    <w:rsid w:val="00F34978"/>
    <w:rsid w:val="00F35829"/>
    <w:rsid w:val="00F403EA"/>
    <w:rsid w:val="00F42868"/>
    <w:rsid w:val="00F42FD0"/>
    <w:rsid w:val="00F43401"/>
    <w:rsid w:val="00F455F0"/>
    <w:rsid w:val="00F465A7"/>
    <w:rsid w:val="00F5094F"/>
    <w:rsid w:val="00F50B7C"/>
    <w:rsid w:val="00F50BC9"/>
    <w:rsid w:val="00F51754"/>
    <w:rsid w:val="00F5202D"/>
    <w:rsid w:val="00F520DB"/>
    <w:rsid w:val="00F52CF6"/>
    <w:rsid w:val="00F52DD7"/>
    <w:rsid w:val="00F5384D"/>
    <w:rsid w:val="00F53E5E"/>
    <w:rsid w:val="00F54496"/>
    <w:rsid w:val="00F54AB6"/>
    <w:rsid w:val="00F5686E"/>
    <w:rsid w:val="00F61097"/>
    <w:rsid w:val="00F62B66"/>
    <w:rsid w:val="00F64014"/>
    <w:rsid w:val="00F643CA"/>
    <w:rsid w:val="00F666D4"/>
    <w:rsid w:val="00F67383"/>
    <w:rsid w:val="00F67A1A"/>
    <w:rsid w:val="00F70820"/>
    <w:rsid w:val="00F7109B"/>
    <w:rsid w:val="00F726FE"/>
    <w:rsid w:val="00F74345"/>
    <w:rsid w:val="00F74441"/>
    <w:rsid w:val="00F76C96"/>
    <w:rsid w:val="00F77721"/>
    <w:rsid w:val="00F77CE8"/>
    <w:rsid w:val="00F77F30"/>
    <w:rsid w:val="00F80AF7"/>
    <w:rsid w:val="00F81861"/>
    <w:rsid w:val="00F82589"/>
    <w:rsid w:val="00F82B19"/>
    <w:rsid w:val="00F82CBD"/>
    <w:rsid w:val="00F83B7A"/>
    <w:rsid w:val="00F865C8"/>
    <w:rsid w:val="00F87EFD"/>
    <w:rsid w:val="00F90AA7"/>
    <w:rsid w:val="00F91377"/>
    <w:rsid w:val="00F91F77"/>
    <w:rsid w:val="00F9212D"/>
    <w:rsid w:val="00F92554"/>
    <w:rsid w:val="00F962C7"/>
    <w:rsid w:val="00F96AD3"/>
    <w:rsid w:val="00FA03B5"/>
    <w:rsid w:val="00FA047D"/>
    <w:rsid w:val="00FA301A"/>
    <w:rsid w:val="00FA3F88"/>
    <w:rsid w:val="00FA406A"/>
    <w:rsid w:val="00FA5CB6"/>
    <w:rsid w:val="00FA71C3"/>
    <w:rsid w:val="00FB492F"/>
    <w:rsid w:val="00FB7356"/>
    <w:rsid w:val="00FC008A"/>
    <w:rsid w:val="00FC0AE7"/>
    <w:rsid w:val="00FC66AC"/>
    <w:rsid w:val="00FD18F4"/>
    <w:rsid w:val="00FD4913"/>
    <w:rsid w:val="00FD502A"/>
    <w:rsid w:val="00FD7398"/>
    <w:rsid w:val="00FD74B4"/>
    <w:rsid w:val="00FD789C"/>
    <w:rsid w:val="00FE0CCB"/>
    <w:rsid w:val="00FE1202"/>
    <w:rsid w:val="00FE4022"/>
    <w:rsid w:val="00FE4628"/>
    <w:rsid w:val="00FE5A06"/>
    <w:rsid w:val="00FE648D"/>
    <w:rsid w:val="00FE77C0"/>
    <w:rsid w:val="00FF5CA4"/>
    <w:rsid w:val="00FF6FCE"/>
    <w:rsid w:val="00FF7518"/>
    <w:rsid w:val="00FF7FD8"/>
    <w:rsid w:val="011C2E12"/>
    <w:rsid w:val="015146CD"/>
    <w:rsid w:val="016043AA"/>
    <w:rsid w:val="016735C4"/>
    <w:rsid w:val="019B3A73"/>
    <w:rsid w:val="01EB16E3"/>
    <w:rsid w:val="025A7DA8"/>
    <w:rsid w:val="02696882"/>
    <w:rsid w:val="02805AC3"/>
    <w:rsid w:val="02924A37"/>
    <w:rsid w:val="02E764DD"/>
    <w:rsid w:val="02F0422B"/>
    <w:rsid w:val="031505BA"/>
    <w:rsid w:val="034A0217"/>
    <w:rsid w:val="035E0243"/>
    <w:rsid w:val="04C133B2"/>
    <w:rsid w:val="04FD4898"/>
    <w:rsid w:val="05026D04"/>
    <w:rsid w:val="05134790"/>
    <w:rsid w:val="051B40B6"/>
    <w:rsid w:val="051E1FF4"/>
    <w:rsid w:val="055B4360"/>
    <w:rsid w:val="05742AC8"/>
    <w:rsid w:val="05942EE1"/>
    <w:rsid w:val="05B53093"/>
    <w:rsid w:val="05C14BDF"/>
    <w:rsid w:val="060E518F"/>
    <w:rsid w:val="06352F05"/>
    <w:rsid w:val="063E7D85"/>
    <w:rsid w:val="067B57E2"/>
    <w:rsid w:val="06A5346E"/>
    <w:rsid w:val="06C40FD1"/>
    <w:rsid w:val="06CF6A16"/>
    <w:rsid w:val="070875E0"/>
    <w:rsid w:val="07293586"/>
    <w:rsid w:val="07295285"/>
    <w:rsid w:val="074327A4"/>
    <w:rsid w:val="076820FB"/>
    <w:rsid w:val="076F1494"/>
    <w:rsid w:val="07770C56"/>
    <w:rsid w:val="07AF6BCA"/>
    <w:rsid w:val="07E732C7"/>
    <w:rsid w:val="08510338"/>
    <w:rsid w:val="085705E0"/>
    <w:rsid w:val="08FA32AB"/>
    <w:rsid w:val="092217DD"/>
    <w:rsid w:val="09316B04"/>
    <w:rsid w:val="093A7294"/>
    <w:rsid w:val="095D2B9E"/>
    <w:rsid w:val="09910B52"/>
    <w:rsid w:val="0A4B1FF8"/>
    <w:rsid w:val="0A8A27DD"/>
    <w:rsid w:val="0AFB7F81"/>
    <w:rsid w:val="0B3568A8"/>
    <w:rsid w:val="0B905917"/>
    <w:rsid w:val="0BD27BF6"/>
    <w:rsid w:val="0CF82A86"/>
    <w:rsid w:val="0DEF5F3D"/>
    <w:rsid w:val="0E0C3A47"/>
    <w:rsid w:val="0E110D06"/>
    <w:rsid w:val="0E4868F2"/>
    <w:rsid w:val="0E5E4367"/>
    <w:rsid w:val="0E864B42"/>
    <w:rsid w:val="0E8E4060"/>
    <w:rsid w:val="0EF911E3"/>
    <w:rsid w:val="0F13775A"/>
    <w:rsid w:val="0F2B5B48"/>
    <w:rsid w:val="0F7200CA"/>
    <w:rsid w:val="0F9A112B"/>
    <w:rsid w:val="0FB403C5"/>
    <w:rsid w:val="0FF77E7B"/>
    <w:rsid w:val="106D2F64"/>
    <w:rsid w:val="109648EB"/>
    <w:rsid w:val="10996C3B"/>
    <w:rsid w:val="10B63710"/>
    <w:rsid w:val="111C2F7A"/>
    <w:rsid w:val="113013DE"/>
    <w:rsid w:val="115C3A7F"/>
    <w:rsid w:val="11D847F3"/>
    <w:rsid w:val="122B06C2"/>
    <w:rsid w:val="12F77EAF"/>
    <w:rsid w:val="136339C5"/>
    <w:rsid w:val="13951726"/>
    <w:rsid w:val="13C814B1"/>
    <w:rsid w:val="14396509"/>
    <w:rsid w:val="1447165C"/>
    <w:rsid w:val="14822E82"/>
    <w:rsid w:val="148B7FC7"/>
    <w:rsid w:val="14905BA3"/>
    <w:rsid w:val="15A12E8B"/>
    <w:rsid w:val="15EB52E3"/>
    <w:rsid w:val="15FC2CBE"/>
    <w:rsid w:val="16117F11"/>
    <w:rsid w:val="16404BF0"/>
    <w:rsid w:val="16D07DDA"/>
    <w:rsid w:val="16F309CF"/>
    <w:rsid w:val="173B671E"/>
    <w:rsid w:val="17735226"/>
    <w:rsid w:val="18626802"/>
    <w:rsid w:val="18686F0C"/>
    <w:rsid w:val="189764CC"/>
    <w:rsid w:val="189C00F1"/>
    <w:rsid w:val="18E611E1"/>
    <w:rsid w:val="192863B4"/>
    <w:rsid w:val="19353964"/>
    <w:rsid w:val="19DE438D"/>
    <w:rsid w:val="1A1C66C0"/>
    <w:rsid w:val="1A42393B"/>
    <w:rsid w:val="1A442A42"/>
    <w:rsid w:val="1A467A89"/>
    <w:rsid w:val="1A765717"/>
    <w:rsid w:val="1B046F80"/>
    <w:rsid w:val="1B3267B5"/>
    <w:rsid w:val="1B836942"/>
    <w:rsid w:val="1BC25DC8"/>
    <w:rsid w:val="1BFD3AF9"/>
    <w:rsid w:val="1C2E1720"/>
    <w:rsid w:val="1C3F5E4C"/>
    <w:rsid w:val="1C425DF9"/>
    <w:rsid w:val="1C5E7925"/>
    <w:rsid w:val="1C636139"/>
    <w:rsid w:val="1C887FC8"/>
    <w:rsid w:val="1D5E1C8E"/>
    <w:rsid w:val="1D5F6196"/>
    <w:rsid w:val="1D6132A5"/>
    <w:rsid w:val="1D6D0255"/>
    <w:rsid w:val="1D8E56D5"/>
    <w:rsid w:val="1E7A43DA"/>
    <w:rsid w:val="1E906E3D"/>
    <w:rsid w:val="1EA31703"/>
    <w:rsid w:val="1EB277FE"/>
    <w:rsid w:val="1FE7539E"/>
    <w:rsid w:val="2047244F"/>
    <w:rsid w:val="206004BE"/>
    <w:rsid w:val="20963CB8"/>
    <w:rsid w:val="20B07FB6"/>
    <w:rsid w:val="20BC57A2"/>
    <w:rsid w:val="20F10673"/>
    <w:rsid w:val="213B74B1"/>
    <w:rsid w:val="213D6600"/>
    <w:rsid w:val="213E00B3"/>
    <w:rsid w:val="215A2310"/>
    <w:rsid w:val="217D645B"/>
    <w:rsid w:val="21D20207"/>
    <w:rsid w:val="21DE318A"/>
    <w:rsid w:val="21EF5B80"/>
    <w:rsid w:val="224B25E9"/>
    <w:rsid w:val="22576990"/>
    <w:rsid w:val="229C4EAB"/>
    <w:rsid w:val="22AC4416"/>
    <w:rsid w:val="22BA5D88"/>
    <w:rsid w:val="22CE35B4"/>
    <w:rsid w:val="23552EDB"/>
    <w:rsid w:val="236F5656"/>
    <w:rsid w:val="23715B1A"/>
    <w:rsid w:val="23783F63"/>
    <w:rsid w:val="23CD12DD"/>
    <w:rsid w:val="23DC7C5A"/>
    <w:rsid w:val="242331F9"/>
    <w:rsid w:val="2496315D"/>
    <w:rsid w:val="24DE244E"/>
    <w:rsid w:val="25036989"/>
    <w:rsid w:val="251F5133"/>
    <w:rsid w:val="252D53FE"/>
    <w:rsid w:val="25415C09"/>
    <w:rsid w:val="25710DA1"/>
    <w:rsid w:val="25EC2D81"/>
    <w:rsid w:val="2612447C"/>
    <w:rsid w:val="264528BD"/>
    <w:rsid w:val="266C3639"/>
    <w:rsid w:val="26A76454"/>
    <w:rsid w:val="271E1731"/>
    <w:rsid w:val="272253C7"/>
    <w:rsid w:val="27285E3A"/>
    <w:rsid w:val="27AA3323"/>
    <w:rsid w:val="27D15DD1"/>
    <w:rsid w:val="27D778FE"/>
    <w:rsid w:val="27F0651C"/>
    <w:rsid w:val="28080A98"/>
    <w:rsid w:val="288566F8"/>
    <w:rsid w:val="28A76295"/>
    <w:rsid w:val="29206EB8"/>
    <w:rsid w:val="29656152"/>
    <w:rsid w:val="29CD6194"/>
    <w:rsid w:val="29E325E0"/>
    <w:rsid w:val="2A452503"/>
    <w:rsid w:val="2A6015D2"/>
    <w:rsid w:val="2AAE35FB"/>
    <w:rsid w:val="2AD21735"/>
    <w:rsid w:val="2AF70C5B"/>
    <w:rsid w:val="2B2226C7"/>
    <w:rsid w:val="2B701A34"/>
    <w:rsid w:val="2B92172B"/>
    <w:rsid w:val="2BA936A8"/>
    <w:rsid w:val="2BCD3AD4"/>
    <w:rsid w:val="2BF01DA1"/>
    <w:rsid w:val="2C315A5A"/>
    <w:rsid w:val="2C7E59C7"/>
    <w:rsid w:val="2C8D5AE6"/>
    <w:rsid w:val="2CB865ED"/>
    <w:rsid w:val="2CBB0B29"/>
    <w:rsid w:val="2CC33BD1"/>
    <w:rsid w:val="2CD74D58"/>
    <w:rsid w:val="2D293313"/>
    <w:rsid w:val="2D2F7C95"/>
    <w:rsid w:val="2D592326"/>
    <w:rsid w:val="2D5B112B"/>
    <w:rsid w:val="2D9E56F5"/>
    <w:rsid w:val="2DA31E13"/>
    <w:rsid w:val="2E4626CC"/>
    <w:rsid w:val="2E667F96"/>
    <w:rsid w:val="2E8226AB"/>
    <w:rsid w:val="2EEE2BF6"/>
    <w:rsid w:val="2F1523C9"/>
    <w:rsid w:val="2F4D7DFE"/>
    <w:rsid w:val="2F686402"/>
    <w:rsid w:val="2F832C79"/>
    <w:rsid w:val="2F93687F"/>
    <w:rsid w:val="2FBD1128"/>
    <w:rsid w:val="2FCD2C06"/>
    <w:rsid w:val="2FEB4A1B"/>
    <w:rsid w:val="2FEF2D58"/>
    <w:rsid w:val="303F76FD"/>
    <w:rsid w:val="3041145B"/>
    <w:rsid w:val="30507330"/>
    <w:rsid w:val="30580BC9"/>
    <w:rsid w:val="309F07BD"/>
    <w:rsid w:val="31122CEE"/>
    <w:rsid w:val="311E2ED7"/>
    <w:rsid w:val="31334B70"/>
    <w:rsid w:val="315C449C"/>
    <w:rsid w:val="31B82709"/>
    <w:rsid w:val="31BF0628"/>
    <w:rsid w:val="31C10B6C"/>
    <w:rsid w:val="31EC3ED2"/>
    <w:rsid w:val="323D198F"/>
    <w:rsid w:val="32400B34"/>
    <w:rsid w:val="329E6876"/>
    <w:rsid w:val="32A52E8C"/>
    <w:rsid w:val="32B30A7E"/>
    <w:rsid w:val="32F47161"/>
    <w:rsid w:val="33D7156C"/>
    <w:rsid w:val="33D934D4"/>
    <w:rsid w:val="33E331F3"/>
    <w:rsid w:val="33FE2F6A"/>
    <w:rsid w:val="348B6E58"/>
    <w:rsid w:val="34CF0ABD"/>
    <w:rsid w:val="352F58B5"/>
    <w:rsid w:val="35524FDF"/>
    <w:rsid w:val="358E3777"/>
    <w:rsid w:val="35DE6EEC"/>
    <w:rsid w:val="36074A7F"/>
    <w:rsid w:val="365A148F"/>
    <w:rsid w:val="36923549"/>
    <w:rsid w:val="36B75FBF"/>
    <w:rsid w:val="36FB4891"/>
    <w:rsid w:val="37146401"/>
    <w:rsid w:val="3743724F"/>
    <w:rsid w:val="37645546"/>
    <w:rsid w:val="37F253F4"/>
    <w:rsid w:val="38657F1D"/>
    <w:rsid w:val="38B206B3"/>
    <w:rsid w:val="38F12CD3"/>
    <w:rsid w:val="38F94775"/>
    <w:rsid w:val="392971ED"/>
    <w:rsid w:val="39342B51"/>
    <w:rsid w:val="394C172B"/>
    <w:rsid w:val="3962524A"/>
    <w:rsid w:val="397427C5"/>
    <w:rsid w:val="39D135A8"/>
    <w:rsid w:val="3A41218D"/>
    <w:rsid w:val="3AE57743"/>
    <w:rsid w:val="3B3763D1"/>
    <w:rsid w:val="3C6A450D"/>
    <w:rsid w:val="3C7730F8"/>
    <w:rsid w:val="3C930808"/>
    <w:rsid w:val="3CA32AEC"/>
    <w:rsid w:val="3CC16C76"/>
    <w:rsid w:val="3CDA245A"/>
    <w:rsid w:val="3CEE0A37"/>
    <w:rsid w:val="3D217AA7"/>
    <w:rsid w:val="3DA12CAE"/>
    <w:rsid w:val="3DEB4A20"/>
    <w:rsid w:val="3E143A42"/>
    <w:rsid w:val="3EDA10F7"/>
    <w:rsid w:val="3EDE16DC"/>
    <w:rsid w:val="3F660E74"/>
    <w:rsid w:val="3F6C0296"/>
    <w:rsid w:val="40102B00"/>
    <w:rsid w:val="40711E05"/>
    <w:rsid w:val="407A6407"/>
    <w:rsid w:val="40895179"/>
    <w:rsid w:val="40F64CDB"/>
    <w:rsid w:val="4111786A"/>
    <w:rsid w:val="41A9583E"/>
    <w:rsid w:val="41F95D82"/>
    <w:rsid w:val="420C42C7"/>
    <w:rsid w:val="423A3BCC"/>
    <w:rsid w:val="425775F7"/>
    <w:rsid w:val="427B42AA"/>
    <w:rsid w:val="4282551A"/>
    <w:rsid w:val="42944454"/>
    <w:rsid w:val="42BC47A3"/>
    <w:rsid w:val="42C02DCF"/>
    <w:rsid w:val="43046BF4"/>
    <w:rsid w:val="433A6FE6"/>
    <w:rsid w:val="4350713C"/>
    <w:rsid w:val="436653E0"/>
    <w:rsid w:val="436D4129"/>
    <w:rsid w:val="438020AF"/>
    <w:rsid w:val="43E91A02"/>
    <w:rsid w:val="44510EC4"/>
    <w:rsid w:val="44585BBB"/>
    <w:rsid w:val="447D7546"/>
    <w:rsid w:val="44CD14E0"/>
    <w:rsid w:val="44CF0E49"/>
    <w:rsid w:val="44EB0E88"/>
    <w:rsid w:val="4561710C"/>
    <w:rsid w:val="458946E9"/>
    <w:rsid w:val="459C2AA4"/>
    <w:rsid w:val="45B10FD0"/>
    <w:rsid w:val="45EF27F3"/>
    <w:rsid w:val="46146ADE"/>
    <w:rsid w:val="466B1B9E"/>
    <w:rsid w:val="46D955A7"/>
    <w:rsid w:val="47073A72"/>
    <w:rsid w:val="47133957"/>
    <w:rsid w:val="4723347D"/>
    <w:rsid w:val="47662148"/>
    <w:rsid w:val="4779329E"/>
    <w:rsid w:val="478F36AA"/>
    <w:rsid w:val="47905658"/>
    <w:rsid w:val="479C4C5C"/>
    <w:rsid w:val="47A07E0C"/>
    <w:rsid w:val="47A367A5"/>
    <w:rsid w:val="47E61D5F"/>
    <w:rsid w:val="482F591D"/>
    <w:rsid w:val="4870272E"/>
    <w:rsid w:val="48C81A9C"/>
    <w:rsid w:val="48CD7499"/>
    <w:rsid w:val="48DB78B8"/>
    <w:rsid w:val="48F77395"/>
    <w:rsid w:val="49667CAF"/>
    <w:rsid w:val="49760C3A"/>
    <w:rsid w:val="49D4235F"/>
    <w:rsid w:val="49DC7715"/>
    <w:rsid w:val="49FF08EB"/>
    <w:rsid w:val="4A023139"/>
    <w:rsid w:val="4A171AF3"/>
    <w:rsid w:val="4A5C0015"/>
    <w:rsid w:val="4A5C759F"/>
    <w:rsid w:val="4A7B576F"/>
    <w:rsid w:val="4B2772B4"/>
    <w:rsid w:val="4B433525"/>
    <w:rsid w:val="4B8F3AA1"/>
    <w:rsid w:val="4C3D198C"/>
    <w:rsid w:val="4C4A0649"/>
    <w:rsid w:val="4C8B4DA8"/>
    <w:rsid w:val="4CA90CD0"/>
    <w:rsid w:val="4CB5559B"/>
    <w:rsid w:val="4CD356E0"/>
    <w:rsid w:val="4CDF1DF5"/>
    <w:rsid w:val="4CE470D3"/>
    <w:rsid w:val="4D09519D"/>
    <w:rsid w:val="4D1E1A07"/>
    <w:rsid w:val="4D516CDB"/>
    <w:rsid w:val="4DE34C26"/>
    <w:rsid w:val="4DEC4FB0"/>
    <w:rsid w:val="4E075D8A"/>
    <w:rsid w:val="4E077C50"/>
    <w:rsid w:val="4E46738F"/>
    <w:rsid w:val="4E8567CB"/>
    <w:rsid w:val="4E9A1000"/>
    <w:rsid w:val="4EA1676B"/>
    <w:rsid w:val="4F2A3D7A"/>
    <w:rsid w:val="4F3015FF"/>
    <w:rsid w:val="4F364B59"/>
    <w:rsid w:val="4FC62A8C"/>
    <w:rsid w:val="4FE20F0D"/>
    <w:rsid w:val="50010F5D"/>
    <w:rsid w:val="50504C4B"/>
    <w:rsid w:val="50784140"/>
    <w:rsid w:val="509C6E7C"/>
    <w:rsid w:val="50E167B1"/>
    <w:rsid w:val="50F3566C"/>
    <w:rsid w:val="50FD7BBB"/>
    <w:rsid w:val="51583D23"/>
    <w:rsid w:val="5162104E"/>
    <w:rsid w:val="51AE022E"/>
    <w:rsid w:val="52735D76"/>
    <w:rsid w:val="528A1715"/>
    <w:rsid w:val="52EC0B25"/>
    <w:rsid w:val="530C10F9"/>
    <w:rsid w:val="53857344"/>
    <w:rsid w:val="53A039CC"/>
    <w:rsid w:val="53A1505A"/>
    <w:rsid w:val="53FA073E"/>
    <w:rsid w:val="54063E08"/>
    <w:rsid w:val="543437E8"/>
    <w:rsid w:val="54BB2F20"/>
    <w:rsid w:val="54BE3268"/>
    <w:rsid w:val="54FD69B2"/>
    <w:rsid w:val="55131028"/>
    <w:rsid w:val="55210AD8"/>
    <w:rsid w:val="559B174B"/>
    <w:rsid w:val="55CE0CF4"/>
    <w:rsid w:val="56044479"/>
    <w:rsid w:val="56B22A9C"/>
    <w:rsid w:val="56B30412"/>
    <w:rsid w:val="570815FB"/>
    <w:rsid w:val="57157376"/>
    <w:rsid w:val="57823F7A"/>
    <w:rsid w:val="57B72A76"/>
    <w:rsid w:val="581154C4"/>
    <w:rsid w:val="589B55C8"/>
    <w:rsid w:val="58AA5F8C"/>
    <w:rsid w:val="58CD35CD"/>
    <w:rsid w:val="58F442DE"/>
    <w:rsid w:val="5908752E"/>
    <w:rsid w:val="592C1C72"/>
    <w:rsid w:val="59BA3E3C"/>
    <w:rsid w:val="59C868EC"/>
    <w:rsid w:val="59DB461A"/>
    <w:rsid w:val="5A3C747D"/>
    <w:rsid w:val="5A4D5D0E"/>
    <w:rsid w:val="5A93401E"/>
    <w:rsid w:val="5ABE2233"/>
    <w:rsid w:val="5AC661A1"/>
    <w:rsid w:val="5AE22D5C"/>
    <w:rsid w:val="5AE505BB"/>
    <w:rsid w:val="5B276D18"/>
    <w:rsid w:val="5B302933"/>
    <w:rsid w:val="5B4507EE"/>
    <w:rsid w:val="5BDF5D95"/>
    <w:rsid w:val="5C1413A1"/>
    <w:rsid w:val="5C715953"/>
    <w:rsid w:val="5C8F2D7B"/>
    <w:rsid w:val="5CA36FC5"/>
    <w:rsid w:val="5CBA122E"/>
    <w:rsid w:val="5CC137AF"/>
    <w:rsid w:val="5D0134C1"/>
    <w:rsid w:val="5D0767F0"/>
    <w:rsid w:val="5D137698"/>
    <w:rsid w:val="5D1B5095"/>
    <w:rsid w:val="5D270F1E"/>
    <w:rsid w:val="5D750A51"/>
    <w:rsid w:val="5DF87A0F"/>
    <w:rsid w:val="5E354C2B"/>
    <w:rsid w:val="5E4044BD"/>
    <w:rsid w:val="5E546E20"/>
    <w:rsid w:val="5E97050D"/>
    <w:rsid w:val="5EF61B0D"/>
    <w:rsid w:val="5EFA583C"/>
    <w:rsid w:val="5F1A2B43"/>
    <w:rsid w:val="5F481E68"/>
    <w:rsid w:val="5F7924AF"/>
    <w:rsid w:val="5F7A7664"/>
    <w:rsid w:val="5FB837BB"/>
    <w:rsid w:val="5FFD0588"/>
    <w:rsid w:val="60034669"/>
    <w:rsid w:val="601D2D07"/>
    <w:rsid w:val="60716BAF"/>
    <w:rsid w:val="60FA5DE1"/>
    <w:rsid w:val="617A1A94"/>
    <w:rsid w:val="623054B0"/>
    <w:rsid w:val="62364782"/>
    <w:rsid w:val="626D32CD"/>
    <w:rsid w:val="627F5ED7"/>
    <w:rsid w:val="62CE3D8B"/>
    <w:rsid w:val="63281D24"/>
    <w:rsid w:val="634C19AB"/>
    <w:rsid w:val="638B003A"/>
    <w:rsid w:val="63C26304"/>
    <w:rsid w:val="63D40BE9"/>
    <w:rsid w:val="63E0211F"/>
    <w:rsid w:val="64C96717"/>
    <w:rsid w:val="64CC0C6F"/>
    <w:rsid w:val="650F6997"/>
    <w:rsid w:val="65373578"/>
    <w:rsid w:val="65401FB4"/>
    <w:rsid w:val="655C4EC7"/>
    <w:rsid w:val="656304DE"/>
    <w:rsid w:val="659316C9"/>
    <w:rsid w:val="659B7B77"/>
    <w:rsid w:val="666419F2"/>
    <w:rsid w:val="66EF6509"/>
    <w:rsid w:val="67391A55"/>
    <w:rsid w:val="673F2C7A"/>
    <w:rsid w:val="67652217"/>
    <w:rsid w:val="676D65BA"/>
    <w:rsid w:val="68196D67"/>
    <w:rsid w:val="681F6961"/>
    <w:rsid w:val="68610A2F"/>
    <w:rsid w:val="68805514"/>
    <w:rsid w:val="689A54C0"/>
    <w:rsid w:val="69143325"/>
    <w:rsid w:val="69255E73"/>
    <w:rsid w:val="694E2071"/>
    <w:rsid w:val="6961093C"/>
    <w:rsid w:val="697A3B33"/>
    <w:rsid w:val="69996907"/>
    <w:rsid w:val="699E2456"/>
    <w:rsid w:val="69AB29CC"/>
    <w:rsid w:val="69EC0EE7"/>
    <w:rsid w:val="6A2D302C"/>
    <w:rsid w:val="6A523AAD"/>
    <w:rsid w:val="6A9369EE"/>
    <w:rsid w:val="6AB4458F"/>
    <w:rsid w:val="6AEA7CA0"/>
    <w:rsid w:val="6B09394A"/>
    <w:rsid w:val="6B0F092B"/>
    <w:rsid w:val="6B322639"/>
    <w:rsid w:val="6B4A2903"/>
    <w:rsid w:val="6BA14295"/>
    <w:rsid w:val="6BB14CDA"/>
    <w:rsid w:val="6C6015D0"/>
    <w:rsid w:val="6C636C38"/>
    <w:rsid w:val="6D194857"/>
    <w:rsid w:val="6D2F5E28"/>
    <w:rsid w:val="6D343A25"/>
    <w:rsid w:val="6DB34098"/>
    <w:rsid w:val="6DB545B6"/>
    <w:rsid w:val="6DC1067C"/>
    <w:rsid w:val="6DF8446C"/>
    <w:rsid w:val="6E4375A0"/>
    <w:rsid w:val="6E514CED"/>
    <w:rsid w:val="6E79491A"/>
    <w:rsid w:val="6EA36ACE"/>
    <w:rsid w:val="6EB563D5"/>
    <w:rsid w:val="6ED22F0F"/>
    <w:rsid w:val="6F225983"/>
    <w:rsid w:val="6F831C62"/>
    <w:rsid w:val="6FA907B7"/>
    <w:rsid w:val="6FDD555A"/>
    <w:rsid w:val="6FE9218D"/>
    <w:rsid w:val="6FEF29EC"/>
    <w:rsid w:val="6FF05742"/>
    <w:rsid w:val="6FFC5590"/>
    <w:rsid w:val="702F0786"/>
    <w:rsid w:val="70301DA3"/>
    <w:rsid w:val="70334CDE"/>
    <w:rsid w:val="70666B4F"/>
    <w:rsid w:val="706D1DD0"/>
    <w:rsid w:val="7070662D"/>
    <w:rsid w:val="70856B87"/>
    <w:rsid w:val="70C82436"/>
    <w:rsid w:val="70D20FBE"/>
    <w:rsid w:val="70D527EE"/>
    <w:rsid w:val="70FD7FEB"/>
    <w:rsid w:val="715B5300"/>
    <w:rsid w:val="715F4BD7"/>
    <w:rsid w:val="716573BE"/>
    <w:rsid w:val="71AC0A6D"/>
    <w:rsid w:val="71D27F8A"/>
    <w:rsid w:val="71F744C6"/>
    <w:rsid w:val="71F960CF"/>
    <w:rsid w:val="725D6F93"/>
    <w:rsid w:val="72A95707"/>
    <w:rsid w:val="72E26FFF"/>
    <w:rsid w:val="73042E23"/>
    <w:rsid w:val="731F5D5E"/>
    <w:rsid w:val="73272CD6"/>
    <w:rsid w:val="73316770"/>
    <w:rsid w:val="733734B6"/>
    <w:rsid w:val="73374CC4"/>
    <w:rsid w:val="735B3592"/>
    <w:rsid w:val="737D2482"/>
    <w:rsid w:val="73A10B32"/>
    <w:rsid w:val="740E09E1"/>
    <w:rsid w:val="741E793C"/>
    <w:rsid w:val="74F63DD8"/>
    <w:rsid w:val="758D75E2"/>
    <w:rsid w:val="75A94F15"/>
    <w:rsid w:val="76421B31"/>
    <w:rsid w:val="767B527C"/>
    <w:rsid w:val="769B62DC"/>
    <w:rsid w:val="76AA4A02"/>
    <w:rsid w:val="76B730ED"/>
    <w:rsid w:val="76BC0784"/>
    <w:rsid w:val="76DB60C3"/>
    <w:rsid w:val="77762421"/>
    <w:rsid w:val="77AF09A7"/>
    <w:rsid w:val="77B5AD3D"/>
    <w:rsid w:val="77CD11BF"/>
    <w:rsid w:val="77FB3CEC"/>
    <w:rsid w:val="780F09F4"/>
    <w:rsid w:val="78252301"/>
    <w:rsid w:val="783141BB"/>
    <w:rsid w:val="78396A30"/>
    <w:rsid w:val="78713541"/>
    <w:rsid w:val="789565CF"/>
    <w:rsid w:val="789C4F47"/>
    <w:rsid w:val="78A23952"/>
    <w:rsid w:val="78A90480"/>
    <w:rsid w:val="78E8465E"/>
    <w:rsid w:val="790C1374"/>
    <w:rsid w:val="79202AC9"/>
    <w:rsid w:val="794752AB"/>
    <w:rsid w:val="797EB0C4"/>
    <w:rsid w:val="79811327"/>
    <w:rsid w:val="79887448"/>
    <w:rsid w:val="79892B12"/>
    <w:rsid w:val="79AE3E4F"/>
    <w:rsid w:val="7A364017"/>
    <w:rsid w:val="7A4D3724"/>
    <w:rsid w:val="7A8265E1"/>
    <w:rsid w:val="7AA8721A"/>
    <w:rsid w:val="7AE40AEA"/>
    <w:rsid w:val="7B2179B6"/>
    <w:rsid w:val="7B505D80"/>
    <w:rsid w:val="7B686D42"/>
    <w:rsid w:val="7B81622B"/>
    <w:rsid w:val="7B841746"/>
    <w:rsid w:val="7C1F350C"/>
    <w:rsid w:val="7C370CAD"/>
    <w:rsid w:val="7C5228F9"/>
    <w:rsid w:val="7CC81D42"/>
    <w:rsid w:val="7CE20B11"/>
    <w:rsid w:val="7D0239FF"/>
    <w:rsid w:val="7D472D1A"/>
    <w:rsid w:val="7D5E40CD"/>
    <w:rsid w:val="7D693BED"/>
    <w:rsid w:val="7DFFD976"/>
    <w:rsid w:val="7EC02526"/>
    <w:rsid w:val="7F007928"/>
    <w:rsid w:val="7F3138E1"/>
    <w:rsid w:val="7F40343C"/>
    <w:rsid w:val="7F7EAB57"/>
    <w:rsid w:val="7F8162D9"/>
    <w:rsid w:val="7FE47E50"/>
    <w:rsid w:val="DFEAF849"/>
    <w:rsid w:val="EF9F6FB3"/>
    <w:rsid w:val="F1EED1BF"/>
    <w:rsid w:val="F7795303"/>
    <w:rsid w:val="FFA9B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99" w:semiHidden="0" w:name="heading 7" w:locked="1"/>
    <w:lsdException w:qFormat="1" w:unhideWhenUsed="0" w:uiPriority="99" w:semiHidden="0" w:name="heading 8" w:locked="1"/>
    <w:lsdException w:qFormat="1" w:unhideWhenUsed="0" w:uiPriority="99" w:semiHidden="0" w:name="heading 9" w:locked="1"/>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ocked="1"/>
    <w:lsdException w:qFormat="1" w:unhideWhenUsed="0" w:uiPriority="39" w:semiHidden="0" w:name="toc 2" w:locked="1"/>
    <w:lsdException w:qFormat="1" w:unhideWhenUsed="0" w:uiPriority="39" w:semiHidden="0" w:name="toc 3" w:locked="1"/>
    <w:lsdException w:qFormat="1" w:unhideWhenUsed="0" w:uiPriority="39" w:semiHidden="0" w:name="toc 4" w:locked="1"/>
    <w:lsdException w:qFormat="1" w:unhideWhenUsed="0" w:uiPriority="39" w:semiHidden="0" w:name="toc 5" w:locked="1"/>
    <w:lsdException w:qFormat="1" w:unhideWhenUsed="0" w:uiPriority="39" w:semiHidden="0" w:name="toc 6" w:locked="1"/>
    <w:lsdException w:qFormat="1" w:unhideWhenUsed="0" w:uiPriority="39" w:semiHidden="0" w:name="toc 7" w:locked="1"/>
    <w:lsdException w:qFormat="1" w:unhideWhenUsed="0" w:uiPriority="39" w:semiHidden="0" w:name="toc 8" w:locked="1"/>
    <w:lsdException w:qFormat="1" w:unhideWhenUsed="0" w:uiPriority="39" w:semiHidden="0" w:name="toc 9" w:locked="1"/>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ocked="1"/>
    <w:lsdException w:qFormat="1" w:uiPriority="99" w:semiHidden="0" w:name="table of figures"/>
    <w:lsdException w:qFormat="1" w:uiPriority="99"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iPriority="99" w:semiHidden="0" w:name="List 4"/>
    <w:lsdException w:qFormat="1"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ocked="1"/>
    <w:lsdException w:qFormat="1" w:uiPriority="0" w:semiHidden="0" w:name="Closing"/>
    <w:lsdException w:qFormat="1"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iPriority="99" w:semiHidden="0" w:name="List Continue"/>
    <w:lsdException w:qFormat="1" w:unhideWhenUsed="0"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0" w:semiHidden="0" w:name="Message Header"/>
    <w:lsdException w:qFormat="1" w:unhideWhenUsed="0" w:uiPriority="0" w:semiHidden="0" w:name="Subtitle" w:locked="1"/>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qFormat="1" w:uiPriority="0" w:semiHidden="0" w:name="E-mail Signature"/>
    <w:lsdException w:qFormat="1" w:unhideWhenUsed="0" w:uiPriority="0" w:semiHidden="0" w:name="Normal (Web)"/>
    <w:lsdException w:unhideWhenUsed="0" w:uiPriority="0" w:semiHidden="0" w:name="HTML Acronym"/>
    <w:lsdException w:qFormat="1" w:uiPriority="0" w:semiHidden="0" w:name="HTML Address"/>
    <w:lsdException w:unhideWhenUsed="0" w:uiPriority="0" w:semiHidden="0" w:name="HTML Cite"/>
    <w:lsdException w:qFormat="1" w:uiPriority="0" w:semiHidden="0" w:name="HTML Code"/>
    <w:lsdException w:unhideWhenUsed="0" w:uiPriority="0" w:semiHidden="0" w:name="HTML Definition"/>
    <w:lsdException w:qFormat="1" w:uiPriority="0" w:semiHidden="0" w:name="HTML Keyboard"/>
    <w:lsdException w:qFormat="1" w:unhideWhenUsed="0" w:uiPriority="0" w:semiHidden="0" w:name="HTML Preformatted"/>
    <w:lsdException w:qFormat="1" w:uiPriority="0" w:semiHidden="0" w:name="HTML Sample"/>
    <w:lsdException w:qFormat="1"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2"/>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93"/>
    <w:qFormat/>
    <w:locked/>
    <w:uiPriority w:val="0"/>
    <w:pPr>
      <w:keepNext/>
      <w:spacing w:line="200" w:lineRule="atLeast"/>
      <w:outlineLvl w:val="1"/>
    </w:pPr>
    <w:rPr>
      <w:sz w:val="28"/>
      <w:szCs w:val="20"/>
    </w:rPr>
  </w:style>
  <w:style w:type="paragraph" w:styleId="4">
    <w:name w:val="heading 3"/>
    <w:basedOn w:val="1"/>
    <w:next w:val="1"/>
    <w:link w:val="94"/>
    <w:qFormat/>
    <w:locked/>
    <w:uiPriority w:val="0"/>
    <w:pPr>
      <w:keepNext/>
      <w:keepLines/>
      <w:widowControl/>
      <w:spacing w:before="120" w:after="120"/>
      <w:outlineLvl w:val="2"/>
    </w:pPr>
    <w:rPr>
      <w:rFonts w:eastAsia="ˎ̥"/>
      <w:sz w:val="24"/>
      <w:szCs w:val="20"/>
    </w:rPr>
  </w:style>
  <w:style w:type="paragraph" w:styleId="5">
    <w:name w:val="heading 4"/>
    <w:basedOn w:val="1"/>
    <w:next w:val="1"/>
    <w:link w:val="95"/>
    <w:qFormat/>
    <w:locked/>
    <w:uiPriority w:val="0"/>
    <w:pPr>
      <w:keepNext/>
      <w:keepLines/>
      <w:spacing w:before="280" w:after="290" w:line="372" w:lineRule="auto"/>
      <w:outlineLvl w:val="3"/>
    </w:pPr>
    <w:rPr>
      <w:rFonts w:ascii="ˎ̥" w:hAnsi="ˎ̥" w:eastAsia="ˎ̥"/>
      <w:b/>
      <w:bCs/>
      <w:sz w:val="28"/>
      <w:szCs w:val="28"/>
    </w:rPr>
  </w:style>
  <w:style w:type="paragraph" w:styleId="6">
    <w:name w:val="heading 5"/>
    <w:basedOn w:val="1"/>
    <w:next w:val="1"/>
    <w:link w:val="96"/>
    <w:qFormat/>
    <w:locked/>
    <w:uiPriority w:val="0"/>
    <w:pPr>
      <w:keepNext/>
      <w:keepLines/>
      <w:adjustRightInd w:val="0"/>
      <w:spacing w:before="280" w:after="290" w:line="376" w:lineRule="atLeast"/>
      <w:textAlignment w:val="baseline"/>
      <w:outlineLvl w:val="4"/>
    </w:pPr>
    <w:rPr>
      <w:b/>
      <w:sz w:val="28"/>
      <w:szCs w:val="20"/>
    </w:rPr>
  </w:style>
  <w:style w:type="paragraph" w:styleId="7">
    <w:name w:val="heading 6"/>
    <w:basedOn w:val="1"/>
    <w:next w:val="1"/>
    <w:link w:val="97"/>
    <w:qFormat/>
    <w:locked/>
    <w:uiPriority w:val="0"/>
    <w:pPr>
      <w:keepNext/>
      <w:keepLines/>
      <w:adjustRightInd w:val="0"/>
      <w:spacing w:before="240" w:after="64" w:line="317" w:lineRule="auto"/>
      <w:textAlignment w:val="baseline"/>
      <w:outlineLvl w:val="5"/>
    </w:pPr>
    <w:rPr>
      <w:rFonts w:ascii="ˎ̥" w:hAnsi="ˎ̥" w:eastAsia="ˎ̥"/>
      <w:b/>
      <w:bCs/>
      <w:sz w:val="24"/>
    </w:rPr>
  </w:style>
  <w:style w:type="paragraph" w:styleId="8">
    <w:name w:val="heading 7"/>
    <w:basedOn w:val="1"/>
    <w:next w:val="1"/>
    <w:link w:val="98"/>
    <w:qFormat/>
    <w:locked/>
    <w:uiPriority w:val="99"/>
    <w:pPr>
      <w:keepNext/>
      <w:keepLines/>
      <w:tabs>
        <w:tab w:val="left" w:pos="1296"/>
        <w:tab w:val="left" w:pos="2940"/>
        <w:tab w:val="left" w:pos="3420"/>
        <w:tab w:val="left" w:pos="3456"/>
      </w:tabs>
      <w:spacing w:before="240" w:after="64" w:line="320" w:lineRule="atLeast"/>
      <w:ind w:left="3456" w:hanging="420"/>
      <w:outlineLvl w:val="6"/>
    </w:pPr>
    <w:rPr>
      <w:b/>
      <w:sz w:val="24"/>
      <w:szCs w:val="20"/>
    </w:rPr>
  </w:style>
  <w:style w:type="paragraph" w:styleId="9">
    <w:name w:val="heading 8"/>
    <w:basedOn w:val="1"/>
    <w:next w:val="1"/>
    <w:link w:val="99"/>
    <w:qFormat/>
    <w:locked/>
    <w:uiPriority w:val="99"/>
    <w:pPr>
      <w:keepNext/>
      <w:keepLines/>
      <w:tabs>
        <w:tab w:val="left" w:pos="1440"/>
        <w:tab w:val="left" w:pos="3360"/>
        <w:tab w:val="left" w:pos="3840"/>
        <w:tab w:val="left" w:pos="3876"/>
      </w:tabs>
      <w:spacing w:before="240" w:after="64" w:line="320" w:lineRule="atLeast"/>
      <w:ind w:left="3876" w:hanging="420"/>
      <w:outlineLvl w:val="7"/>
    </w:pPr>
    <w:rPr>
      <w:rFonts w:ascii="ˎ̥" w:hAnsi="ˎ̥" w:eastAsia="ˎ̥"/>
      <w:sz w:val="24"/>
      <w:szCs w:val="20"/>
    </w:rPr>
  </w:style>
  <w:style w:type="paragraph" w:styleId="10">
    <w:name w:val="heading 9"/>
    <w:basedOn w:val="1"/>
    <w:next w:val="1"/>
    <w:link w:val="100"/>
    <w:qFormat/>
    <w:locked/>
    <w:uiPriority w:val="99"/>
    <w:pPr>
      <w:keepNext/>
      <w:keepLines/>
      <w:tabs>
        <w:tab w:val="left" w:pos="1584"/>
        <w:tab w:val="left" w:pos="3780"/>
        <w:tab w:val="left" w:pos="4260"/>
        <w:tab w:val="left" w:pos="4296"/>
      </w:tabs>
      <w:spacing w:before="240" w:after="64" w:line="320" w:lineRule="atLeast"/>
      <w:ind w:left="4296" w:hanging="420"/>
      <w:outlineLvl w:val="8"/>
    </w:pPr>
    <w:rPr>
      <w:rFonts w:ascii="ˎ̥" w:hAnsi="ˎ̥" w:eastAsia="ˎ̥"/>
      <w:szCs w:val="20"/>
    </w:rPr>
  </w:style>
  <w:style w:type="character" w:default="1" w:styleId="80">
    <w:name w:val="Default Paragraph Font"/>
    <w:semiHidden/>
    <w:unhideWhenUsed/>
    <w:qFormat/>
    <w:uiPriority w:val="1"/>
  </w:style>
  <w:style w:type="table" w:default="1" w:styleId="78">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spacing w:line="480" w:lineRule="exact"/>
      <w:ind w:left="100" w:leftChars="400" w:hanging="200" w:hangingChars="200"/>
    </w:pPr>
    <w:rPr>
      <w:sz w:val="24"/>
      <w:szCs w:val="20"/>
    </w:rPr>
  </w:style>
  <w:style w:type="paragraph" w:styleId="12">
    <w:name w:val="toc 7"/>
    <w:basedOn w:val="1"/>
    <w:next w:val="1"/>
    <w:qFormat/>
    <w:locked/>
    <w:uiPriority w:val="39"/>
    <w:pPr>
      <w:ind w:left="1260"/>
      <w:jc w:val="left"/>
    </w:pPr>
    <w:rPr>
      <w:sz w:val="18"/>
      <w:szCs w:val="20"/>
    </w:rPr>
  </w:style>
  <w:style w:type="paragraph" w:styleId="13">
    <w:name w:val="List Number 2"/>
    <w:basedOn w:val="1"/>
    <w:qFormat/>
    <w:uiPriority w:val="99"/>
    <w:pPr>
      <w:tabs>
        <w:tab w:val="left" w:pos="780"/>
      </w:tabs>
      <w:spacing w:line="480" w:lineRule="exact"/>
      <w:ind w:left="780" w:leftChars="200" w:hanging="360" w:hangingChars="200"/>
    </w:pPr>
    <w:rPr>
      <w:sz w:val="24"/>
      <w:szCs w:val="20"/>
    </w:rPr>
  </w:style>
  <w:style w:type="paragraph" w:styleId="14">
    <w:name w:val="Note Heading"/>
    <w:basedOn w:val="1"/>
    <w:next w:val="1"/>
    <w:link w:val="101"/>
    <w:qFormat/>
    <w:uiPriority w:val="99"/>
    <w:pPr>
      <w:jc w:val="center"/>
    </w:pPr>
    <w:rPr>
      <w:rFonts w:ascii="ˎ̥"/>
      <w:sz w:val="24"/>
      <w:szCs w:val="20"/>
    </w:rPr>
  </w:style>
  <w:style w:type="paragraph" w:styleId="15">
    <w:name w:val="List Bullet 4"/>
    <w:basedOn w:val="1"/>
    <w:qFormat/>
    <w:uiPriority w:val="99"/>
    <w:pPr>
      <w:tabs>
        <w:tab w:val="left" w:pos="1620"/>
      </w:tabs>
      <w:spacing w:line="480" w:lineRule="exact"/>
      <w:ind w:left="1620" w:leftChars="600" w:hanging="360" w:hangingChars="200"/>
    </w:pPr>
    <w:rPr>
      <w:sz w:val="24"/>
      <w:szCs w:val="20"/>
    </w:rPr>
  </w:style>
  <w:style w:type="paragraph" w:styleId="16">
    <w:name w:val="E-mail Signature"/>
    <w:link w:val="102"/>
    <w:unhideWhenUsed/>
    <w:qFormat/>
    <w:uiPriority w:val="0"/>
    <w:pPr>
      <w:widowControl w:val="0"/>
      <w:spacing w:line="360" w:lineRule="auto"/>
      <w:ind w:firstLine="200" w:firstLineChars="200"/>
      <w:jc w:val="both"/>
    </w:pPr>
    <w:rPr>
      <w:rFonts w:ascii="Times New Roman" w:hAnsi="Times New Roman" w:eastAsia="宋体" w:cs="Times New Roman"/>
      <w:kern w:val="2"/>
      <w:sz w:val="21"/>
      <w:lang w:val="en-US" w:eastAsia="zh-CN" w:bidi="ar-SA"/>
    </w:rPr>
  </w:style>
  <w:style w:type="paragraph" w:styleId="17">
    <w:name w:val="List Number"/>
    <w:basedOn w:val="1"/>
    <w:qFormat/>
    <w:uiPriority w:val="99"/>
    <w:pPr>
      <w:tabs>
        <w:tab w:val="left" w:pos="360"/>
      </w:tabs>
      <w:spacing w:line="480" w:lineRule="exact"/>
      <w:ind w:left="360" w:hanging="360" w:hangingChars="200"/>
    </w:pPr>
    <w:rPr>
      <w:sz w:val="24"/>
      <w:szCs w:val="20"/>
    </w:rPr>
  </w:style>
  <w:style w:type="paragraph" w:styleId="18">
    <w:name w:val="Normal Indent"/>
    <w:basedOn w:val="1"/>
    <w:next w:val="5"/>
    <w:qFormat/>
    <w:uiPriority w:val="0"/>
    <w:pPr>
      <w:ind w:firstLine="420" w:firstLineChars="200"/>
    </w:pPr>
    <w:rPr>
      <w:rFonts w:cs="ˎ̥"/>
      <w:bCs/>
      <w:color w:val="000000"/>
      <w:sz w:val="28"/>
      <w:szCs w:val="28"/>
    </w:rPr>
  </w:style>
  <w:style w:type="paragraph" w:styleId="19">
    <w:name w:val="caption"/>
    <w:basedOn w:val="1"/>
    <w:next w:val="1"/>
    <w:qFormat/>
    <w:locked/>
    <w:uiPriority w:val="0"/>
    <w:pPr>
      <w:overflowPunct w:val="0"/>
      <w:topLinePunct/>
      <w:autoSpaceDE w:val="0"/>
      <w:autoSpaceDN w:val="0"/>
      <w:adjustRightInd w:val="0"/>
      <w:snapToGrid w:val="0"/>
      <w:spacing w:before="120" w:line="312" w:lineRule="auto"/>
      <w:jc w:val="center"/>
      <w:textAlignment w:val="baseline"/>
    </w:pPr>
    <w:rPr>
      <w:rFonts w:ascii="ˎ̥" w:hAnsi="ˎ̥" w:eastAsia="ˎ̥"/>
      <w:b/>
      <w:spacing w:val="6"/>
      <w:kern w:val="0"/>
      <w:szCs w:val="20"/>
    </w:rPr>
  </w:style>
  <w:style w:type="paragraph" w:styleId="20">
    <w:name w:val="List Bullet"/>
    <w:basedOn w:val="1"/>
    <w:qFormat/>
    <w:uiPriority w:val="99"/>
    <w:pPr>
      <w:tabs>
        <w:tab w:val="left" w:pos="360"/>
      </w:tabs>
      <w:adjustRightInd w:val="0"/>
      <w:spacing w:line="312" w:lineRule="atLeast"/>
      <w:ind w:left="360" w:hanging="360"/>
      <w:textAlignment w:val="baseline"/>
    </w:pPr>
    <w:rPr>
      <w:kern w:val="0"/>
      <w:szCs w:val="20"/>
    </w:rPr>
  </w:style>
  <w:style w:type="paragraph" w:styleId="21">
    <w:name w:val="envelope address"/>
    <w:unhideWhenUsed/>
    <w:qFormat/>
    <w:uiPriority w:val="99"/>
    <w:pPr>
      <w:widowControl w:val="0"/>
      <w:snapToGrid w:val="0"/>
      <w:spacing w:line="360" w:lineRule="auto"/>
      <w:ind w:left="100" w:leftChars="1400" w:firstLine="200" w:firstLineChars="200"/>
      <w:jc w:val="both"/>
    </w:pPr>
    <w:rPr>
      <w:rFonts w:ascii="Arial" w:hAnsi="Arial" w:eastAsia="宋体" w:cs="Arial"/>
      <w:kern w:val="2"/>
      <w:sz w:val="24"/>
      <w:szCs w:val="24"/>
      <w:lang w:val="en-US" w:eastAsia="zh-CN" w:bidi="ar-SA"/>
    </w:rPr>
  </w:style>
  <w:style w:type="paragraph" w:styleId="22">
    <w:name w:val="Document Map"/>
    <w:basedOn w:val="1"/>
    <w:link w:val="103"/>
    <w:qFormat/>
    <w:uiPriority w:val="99"/>
    <w:pPr>
      <w:shd w:val="clear" w:color="auto" w:fill="000080"/>
    </w:pPr>
    <w:rPr>
      <w:szCs w:val="20"/>
    </w:rPr>
  </w:style>
  <w:style w:type="paragraph" w:styleId="23">
    <w:name w:val="toa heading"/>
    <w:basedOn w:val="1"/>
    <w:next w:val="1"/>
    <w:qFormat/>
    <w:uiPriority w:val="0"/>
    <w:pPr>
      <w:spacing w:before="120"/>
    </w:pPr>
    <w:rPr>
      <w:rFonts w:ascii="ˎ̥" w:hAnsi="ˎ̥"/>
      <w:b/>
      <w:szCs w:val="20"/>
    </w:rPr>
  </w:style>
  <w:style w:type="paragraph" w:styleId="24">
    <w:name w:val="annotation text"/>
    <w:basedOn w:val="1"/>
    <w:link w:val="104"/>
    <w:qFormat/>
    <w:uiPriority w:val="0"/>
    <w:pPr>
      <w:jc w:val="left"/>
    </w:pPr>
    <w:rPr>
      <w:kern w:val="0"/>
      <w:sz w:val="24"/>
      <w:szCs w:val="20"/>
    </w:rPr>
  </w:style>
  <w:style w:type="paragraph" w:styleId="25">
    <w:name w:val="index 6"/>
    <w:basedOn w:val="1"/>
    <w:next w:val="1"/>
    <w:qFormat/>
    <w:uiPriority w:val="0"/>
    <w:pPr>
      <w:ind w:left="1260" w:hanging="210"/>
      <w:jc w:val="left"/>
    </w:pPr>
    <w:rPr>
      <w:szCs w:val="20"/>
    </w:rPr>
  </w:style>
  <w:style w:type="paragraph" w:styleId="26">
    <w:name w:val="Salutation"/>
    <w:basedOn w:val="1"/>
    <w:next w:val="1"/>
    <w:link w:val="105"/>
    <w:qFormat/>
    <w:uiPriority w:val="99"/>
    <w:rPr>
      <w:sz w:val="28"/>
      <w:szCs w:val="20"/>
    </w:rPr>
  </w:style>
  <w:style w:type="paragraph" w:styleId="27">
    <w:name w:val="Body Text 3"/>
    <w:basedOn w:val="1"/>
    <w:link w:val="106"/>
    <w:qFormat/>
    <w:uiPriority w:val="0"/>
    <w:rPr>
      <w:rFonts w:eastAsia="ˎ̥"/>
      <w:sz w:val="24"/>
      <w:szCs w:val="20"/>
    </w:rPr>
  </w:style>
  <w:style w:type="paragraph" w:styleId="28">
    <w:name w:val="Closing"/>
    <w:link w:val="107"/>
    <w:unhideWhenUsed/>
    <w:qFormat/>
    <w:uiPriority w:val="0"/>
    <w:pPr>
      <w:widowControl w:val="0"/>
      <w:spacing w:line="360" w:lineRule="auto"/>
      <w:ind w:left="100" w:leftChars="2100" w:firstLine="200" w:firstLineChars="200"/>
      <w:jc w:val="both"/>
    </w:pPr>
    <w:rPr>
      <w:rFonts w:ascii="Times New Roman" w:hAnsi="Times New Roman" w:eastAsia="宋体" w:cs="Times New Roman"/>
      <w:kern w:val="2"/>
      <w:sz w:val="21"/>
      <w:lang w:val="en-US" w:eastAsia="zh-CN" w:bidi="ar-SA"/>
    </w:rPr>
  </w:style>
  <w:style w:type="paragraph" w:styleId="29">
    <w:name w:val="List Bullet 3"/>
    <w:basedOn w:val="1"/>
    <w:qFormat/>
    <w:uiPriority w:val="99"/>
    <w:pPr>
      <w:tabs>
        <w:tab w:val="left" w:pos="1200"/>
      </w:tabs>
      <w:spacing w:line="480" w:lineRule="exact"/>
      <w:ind w:left="1200" w:leftChars="400" w:hanging="360" w:hangingChars="200"/>
    </w:pPr>
    <w:rPr>
      <w:sz w:val="24"/>
      <w:szCs w:val="20"/>
    </w:rPr>
  </w:style>
  <w:style w:type="paragraph" w:styleId="30">
    <w:name w:val="Body Text"/>
    <w:basedOn w:val="1"/>
    <w:link w:val="108"/>
    <w:qFormat/>
    <w:uiPriority w:val="0"/>
    <w:pPr>
      <w:widowControl/>
      <w:snapToGrid w:val="0"/>
      <w:spacing w:before="60" w:after="160" w:line="259" w:lineRule="auto"/>
      <w:ind w:right="113"/>
    </w:pPr>
    <w:rPr>
      <w:kern w:val="0"/>
      <w:sz w:val="18"/>
      <w:szCs w:val="20"/>
    </w:rPr>
  </w:style>
  <w:style w:type="paragraph" w:styleId="31">
    <w:name w:val="Body Text Indent"/>
    <w:basedOn w:val="1"/>
    <w:link w:val="109"/>
    <w:qFormat/>
    <w:uiPriority w:val="0"/>
    <w:pPr>
      <w:spacing w:after="120"/>
      <w:ind w:left="420" w:leftChars="200"/>
    </w:pPr>
    <w:rPr>
      <w:kern w:val="0"/>
      <w:sz w:val="24"/>
    </w:rPr>
  </w:style>
  <w:style w:type="paragraph" w:styleId="32">
    <w:name w:val="List Number 3"/>
    <w:basedOn w:val="1"/>
    <w:qFormat/>
    <w:uiPriority w:val="99"/>
    <w:pPr>
      <w:tabs>
        <w:tab w:val="left" w:pos="1200"/>
      </w:tabs>
      <w:spacing w:line="480" w:lineRule="exact"/>
      <w:ind w:left="1200" w:leftChars="400" w:hanging="360" w:hangingChars="200"/>
    </w:pPr>
    <w:rPr>
      <w:sz w:val="24"/>
      <w:szCs w:val="20"/>
    </w:rPr>
  </w:style>
  <w:style w:type="paragraph" w:styleId="33">
    <w:name w:val="List 2"/>
    <w:basedOn w:val="1"/>
    <w:qFormat/>
    <w:uiPriority w:val="99"/>
    <w:pPr>
      <w:spacing w:line="320" w:lineRule="exact"/>
      <w:jc w:val="center"/>
    </w:pPr>
    <w:rPr>
      <w:b/>
      <w:szCs w:val="20"/>
    </w:rPr>
  </w:style>
  <w:style w:type="paragraph" w:styleId="34">
    <w:name w:val="List Continue"/>
    <w:unhideWhenUsed/>
    <w:qFormat/>
    <w:uiPriority w:val="99"/>
    <w:pPr>
      <w:widowControl w:val="0"/>
      <w:spacing w:after="120" w:line="360" w:lineRule="auto"/>
      <w:ind w:left="420" w:leftChars="200" w:firstLine="200" w:firstLineChars="200"/>
      <w:jc w:val="both"/>
    </w:pPr>
    <w:rPr>
      <w:rFonts w:ascii="Times New Roman" w:hAnsi="Times New Roman" w:eastAsia="宋体" w:cs="Times New Roman"/>
      <w:kern w:val="2"/>
      <w:sz w:val="24"/>
      <w:szCs w:val="24"/>
      <w:lang w:val="en-US" w:eastAsia="zh-CN" w:bidi="ar-SA"/>
    </w:rPr>
  </w:style>
  <w:style w:type="paragraph" w:styleId="35">
    <w:name w:val="Block Text"/>
    <w:basedOn w:val="1"/>
    <w:qFormat/>
    <w:uiPriority w:val="99"/>
    <w:pPr>
      <w:ind w:left="137" w:right="116" w:firstLine="317"/>
    </w:pPr>
    <w:rPr>
      <w:sz w:val="28"/>
      <w:szCs w:val="20"/>
    </w:rPr>
  </w:style>
  <w:style w:type="paragraph" w:styleId="36">
    <w:name w:val="List Bullet 2"/>
    <w:basedOn w:val="1"/>
    <w:qFormat/>
    <w:uiPriority w:val="99"/>
    <w:pPr>
      <w:tabs>
        <w:tab w:val="left" w:pos="780"/>
        <w:tab w:val="left" w:pos="1200"/>
        <w:tab w:val="left" w:pos="1260"/>
      </w:tabs>
      <w:spacing w:line="480" w:lineRule="exact"/>
      <w:ind w:firstLine="200" w:firstLineChars="200"/>
    </w:pPr>
    <w:rPr>
      <w:sz w:val="24"/>
      <w:szCs w:val="20"/>
    </w:rPr>
  </w:style>
  <w:style w:type="paragraph" w:styleId="37">
    <w:name w:val="HTML Address"/>
    <w:basedOn w:val="1"/>
    <w:link w:val="110"/>
    <w:unhideWhenUsed/>
    <w:qFormat/>
    <w:uiPriority w:val="0"/>
    <w:pPr>
      <w:spacing w:line="360" w:lineRule="auto"/>
      <w:ind w:firstLine="200" w:firstLineChars="200"/>
    </w:pPr>
    <w:rPr>
      <w:i/>
      <w:iCs/>
      <w:sz w:val="24"/>
    </w:rPr>
  </w:style>
  <w:style w:type="paragraph" w:styleId="38">
    <w:name w:val="toc 5"/>
    <w:basedOn w:val="1"/>
    <w:next w:val="1"/>
    <w:qFormat/>
    <w:locked/>
    <w:uiPriority w:val="39"/>
    <w:pPr>
      <w:ind w:left="840"/>
      <w:jc w:val="left"/>
    </w:pPr>
    <w:rPr>
      <w:sz w:val="18"/>
      <w:szCs w:val="20"/>
    </w:rPr>
  </w:style>
  <w:style w:type="paragraph" w:styleId="39">
    <w:name w:val="toc 3"/>
    <w:basedOn w:val="1"/>
    <w:next w:val="1"/>
    <w:qFormat/>
    <w:locked/>
    <w:uiPriority w:val="39"/>
    <w:pPr>
      <w:ind w:left="420"/>
      <w:jc w:val="left"/>
    </w:pPr>
    <w:rPr>
      <w:i/>
      <w:sz w:val="20"/>
      <w:szCs w:val="20"/>
    </w:rPr>
  </w:style>
  <w:style w:type="paragraph" w:styleId="40">
    <w:name w:val="Plain Text"/>
    <w:basedOn w:val="1"/>
    <w:link w:val="111"/>
    <w:qFormat/>
    <w:uiPriority w:val="0"/>
    <w:rPr>
      <w:rFonts w:ascii="ˎ̥" w:hAnsi="ˎ̥" w:eastAsia="ˎ̥"/>
      <w:szCs w:val="20"/>
    </w:rPr>
  </w:style>
  <w:style w:type="paragraph" w:styleId="41">
    <w:name w:val="List Bullet 5"/>
    <w:basedOn w:val="1"/>
    <w:qFormat/>
    <w:uiPriority w:val="99"/>
    <w:pPr>
      <w:tabs>
        <w:tab w:val="left" w:pos="2040"/>
      </w:tabs>
      <w:spacing w:line="480" w:lineRule="exact"/>
      <w:ind w:left="2040" w:leftChars="800" w:hanging="360" w:hangingChars="200"/>
    </w:pPr>
    <w:rPr>
      <w:sz w:val="24"/>
      <w:szCs w:val="20"/>
    </w:rPr>
  </w:style>
  <w:style w:type="paragraph" w:styleId="42">
    <w:name w:val="List Number 4"/>
    <w:basedOn w:val="1"/>
    <w:qFormat/>
    <w:uiPriority w:val="99"/>
    <w:pPr>
      <w:tabs>
        <w:tab w:val="left" w:pos="1620"/>
      </w:tabs>
      <w:spacing w:line="480" w:lineRule="exact"/>
      <w:ind w:left="1620" w:hanging="360" w:firstLineChars="200"/>
    </w:pPr>
    <w:rPr>
      <w:sz w:val="24"/>
      <w:szCs w:val="20"/>
    </w:rPr>
  </w:style>
  <w:style w:type="paragraph" w:styleId="43">
    <w:name w:val="toc 8"/>
    <w:basedOn w:val="1"/>
    <w:next w:val="1"/>
    <w:qFormat/>
    <w:locked/>
    <w:uiPriority w:val="39"/>
    <w:pPr>
      <w:ind w:left="1470"/>
      <w:jc w:val="left"/>
    </w:pPr>
    <w:rPr>
      <w:sz w:val="18"/>
      <w:szCs w:val="20"/>
    </w:rPr>
  </w:style>
  <w:style w:type="paragraph" w:styleId="44">
    <w:name w:val="Date"/>
    <w:basedOn w:val="1"/>
    <w:next w:val="1"/>
    <w:link w:val="112"/>
    <w:qFormat/>
    <w:uiPriority w:val="0"/>
    <w:pPr>
      <w:ind w:left="100" w:leftChars="2500"/>
    </w:pPr>
    <w:rPr>
      <w:kern w:val="0"/>
      <w:sz w:val="24"/>
      <w:szCs w:val="20"/>
    </w:rPr>
  </w:style>
  <w:style w:type="paragraph" w:styleId="45">
    <w:name w:val="Body Text Indent 2"/>
    <w:basedOn w:val="1"/>
    <w:link w:val="113"/>
    <w:qFormat/>
    <w:uiPriority w:val="99"/>
    <w:pPr>
      <w:spacing w:line="560" w:lineRule="exact"/>
      <w:ind w:firstLine="480" w:firstLineChars="200"/>
    </w:pPr>
    <w:rPr>
      <w:rFonts w:hAnsi="ˎ̥"/>
      <w:sz w:val="24"/>
      <w:szCs w:val="20"/>
    </w:rPr>
  </w:style>
  <w:style w:type="paragraph" w:styleId="46">
    <w:name w:val="endnote text"/>
    <w:basedOn w:val="1"/>
    <w:link w:val="114"/>
    <w:qFormat/>
    <w:uiPriority w:val="0"/>
    <w:pPr>
      <w:snapToGrid w:val="0"/>
      <w:jc w:val="left"/>
    </w:pPr>
    <w:rPr>
      <w:rFonts w:eastAsia="ˎ̥"/>
      <w:szCs w:val="20"/>
    </w:rPr>
  </w:style>
  <w:style w:type="paragraph" w:styleId="47">
    <w:name w:val="List Continue 5"/>
    <w:unhideWhenUsed/>
    <w:qFormat/>
    <w:uiPriority w:val="99"/>
    <w:pPr>
      <w:widowControl w:val="0"/>
      <w:spacing w:after="120" w:line="360" w:lineRule="auto"/>
      <w:ind w:left="2100" w:leftChars="1000" w:firstLine="200" w:firstLineChars="200"/>
      <w:jc w:val="both"/>
    </w:pPr>
    <w:rPr>
      <w:rFonts w:ascii="Times New Roman" w:hAnsi="Times New Roman" w:eastAsia="宋体" w:cs="Times New Roman"/>
      <w:kern w:val="2"/>
      <w:sz w:val="24"/>
      <w:szCs w:val="24"/>
      <w:lang w:val="en-US" w:eastAsia="zh-CN" w:bidi="ar-SA"/>
    </w:rPr>
  </w:style>
  <w:style w:type="paragraph" w:styleId="48">
    <w:name w:val="Balloon Text"/>
    <w:basedOn w:val="1"/>
    <w:link w:val="115"/>
    <w:qFormat/>
    <w:uiPriority w:val="99"/>
    <w:rPr>
      <w:kern w:val="0"/>
      <w:sz w:val="18"/>
      <w:szCs w:val="18"/>
    </w:rPr>
  </w:style>
  <w:style w:type="paragraph" w:styleId="49">
    <w:name w:val="footer"/>
    <w:basedOn w:val="1"/>
    <w:link w:val="116"/>
    <w:qFormat/>
    <w:uiPriority w:val="0"/>
    <w:pPr>
      <w:tabs>
        <w:tab w:val="center" w:pos="4153"/>
        <w:tab w:val="right" w:pos="8306"/>
      </w:tabs>
      <w:snapToGrid w:val="0"/>
      <w:jc w:val="left"/>
    </w:pPr>
    <w:rPr>
      <w:kern w:val="0"/>
      <w:sz w:val="18"/>
      <w:szCs w:val="18"/>
    </w:rPr>
  </w:style>
  <w:style w:type="paragraph" w:styleId="50">
    <w:name w:val="envelope return"/>
    <w:unhideWhenUsed/>
    <w:qFormat/>
    <w:uiPriority w:val="99"/>
    <w:pPr>
      <w:widowControl w:val="0"/>
      <w:snapToGrid w:val="0"/>
      <w:spacing w:line="360" w:lineRule="auto"/>
      <w:ind w:firstLine="200" w:firstLineChars="200"/>
      <w:jc w:val="both"/>
    </w:pPr>
    <w:rPr>
      <w:rFonts w:ascii="Arial" w:hAnsi="Arial" w:eastAsia="宋体" w:cs="Arial"/>
      <w:kern w:val="2"/>
      <w:sz w:val="24"/>
      <w:szCs w:val="24"/>
      <w:lang w:val="en-US" w:eastAsia="zh-CN" w:bidi="ar-SA"/>
    </w:rPr>
  </w:style>
  <w:style w:type="paragraph" w:styleId="51">
    <w:name w:val="header"/>
    <w:basedOn w:val="1"/>
    <w:link w:val="117"/>
    <w:qFormat/>
    <w:uiPriority w:val="0"/>
    <w:pPr>
      <w:pBdr>
        <w:bottom w:val="single" w:color="auto" w:sz="6" w:space="1"/>
      </w:pBdr>
      <w:tabs>
        <w:tab w:val="center" w:pos="4153"/>
        <w:tab w:val="right" w:pos="8306"/>
      </w:tabs>
      <w:snapToGrid w:val="0"/>
      <w:jc w:val="center"/>
    </w:pPr>
    <w:rPr>
      <w:kern w:val="0"/>
      <w:sz w:val="18"/>
      <w:szCs w:val="18"/>
    </w:rPr>
  </w:style>
  <w:style w:type="paragraph" w:styleId="52">
    <w:name w:val="Signature"/>
    <w:link w:val="118"/>
    <w:unhideWhenUsed/>
    <w:qFormat/>
    <w:uiPriority w:val="0"/>
    <w:pPr>
      <w:widowControl w:val="0"/>
      <w:spacing w:line="360" w:lineRule="auto"/>
      <w:ind w:left="100" w:leftChars="2100" w:firstLine="200" w:firstLineChars="200"/>
      <w:jc w:val="both"/>
    </w:pPr>
    <w:rPr>
      <w:rFonts w:ascii="Times New Roman" w:hAnsi="Times New Roman" w:eastAsia="宋体" w:cs="Times New Roman"/>
      <w:kern w:val="2"/>
      <w:sz w:val="24"/>
      <w:lang w:val="en-US" w:eastAsia="zh-CN" w:bidi="ar-SA"/>
    </w:rPr>
  </w:style>
  <w:style w:type="paragraph" w:styleId="53">
    <w:name w:val="toc 1"/>
    <w:next w:val="1"/>
    <w:unhideWhenUsed/>
    <w:qFormat/>
    <w:locked/>
    <w:uiPriority w:val="39"/>
    <w:pPr>
      <w:widowControl w:val="0"/>
      <w:spacing w:before="120" w:after="120"/>
      <w:ind w:left="240" w:leftChars="100" w:right="100" w:rightChars="100"/>
    </w:pPr>
    <w:rPr>
      <w:rFonts w:ascii="Times New Roman" w:hAnsi="Times New Roman" w:eastAsia="Times New Roman" w:cs="Times New Roman"/>
      <w:b/>
      <w:caps/>
      <w:kern w:val="2"/>
      <w:sz w:val="24"/>
      <w:lang w:val="en-US" w:eastAsia="zh-CN" w:bidi="ar-SA"/>
    </w:rPr>
  </w:style>
  <w:style w:type="paragraph" w:styleId="54">
    <w:name w:val="List Continue 4"/>
    <w:unhideWhenUsed/>
    <w:qFormat/>
    <w:uiPriority w:val="99"/>
    <w:pPr>
      <w:widowControl w:val="0"/>
      <w:spacing w:after="120" w:line="360" w:lineRule="auto"/>
      <w:ind w:left="1680" w:leftChars="800" w:firstLine="200" w:firstLineChars="200"/>
      <w:jc w:val="both"/>
    </w:pPr>
    <w:rPr>
      <w:rFonts w:ascii="Times New Roman" w:hAnsi="Times New Roman" w:eastAsia="宋体" w:cs="Times New Roman"/>
      <w:kern w:val="2"/>
      <w:sz w:val="24"/>
      <w:szCs w:val="24"/>
      <w:lang w:val="en-US" w:eastAsia="zh-CN" w:bidi="ar-SA"/>
    </w:rPr>
  </w:style>
  <w:style w:type="paragraph" w:styleId="55">
    <w:name w:val="toc 4"/>
    <w:basedOn w:val="1"/>
    <w:next w:val="1"/>
    <w:qFormat/>
    <w:locked/>
    <w:uiPriority w:val="39"/>
    <w:pPr>
      <w:ind w:left="630"/>
      <w:jc w:val="left"/>
    </w:pPr>
    <w:rPr>
      <w:sz w:val="18"/>
      <w:szCs w:val="20"/>
    </w:rPr>
  </w:style>
  <w:style w:type="paragraph" w:styleId="56">
    <w:name w:val="index heading"/>
    <w:basedOn w:val="1"/>
    <w:next w:val="57"/>
    <w:qFormat/>
    <w:uiPriority w:val="0"/>
    <w:rPr>
      <w:szCs w:val="20"/>
    </w:rPr>
  </w:style>
  <w:style w:type="paragraph" w:styleId="57">
    <w:name w:val="index 1"/>
    <w:basedOn w:val="1"/>
    <w:next w:val="1"/>
    <w:qFormat/>
    <w:uiPriority w:val="99"/>
    <w:rPr>
      <w:szCs w:val="20"/>
    </w:rPr>
  </w:style>
  <w:style w:type="paragraph" w:styleId="58">
    <w:name w:val="Subtitle"/>
    <w:link w:val="119"/>
    <w:qFormat/>
    <w:locked/>
    <w:uiPriority w:val="0"/>
    <w:pPr>
      <w:widowControl w:val="0"/>
      <w:spacing w:before="60" w:line="300" w:lineRule="exact"/>
      <w:jc w:val="center"/>
      <w:outlineLvl w:val="1"/>
    </w:pPr>
    <w:rPr>
      <w:rFonts w:ascii="Cambria" w:hAnsi="Cambria" w:eastAsia="宋体" w:cs="Times New Roman"/>
      <w:b/>
      <w:bCs/>
      <w:kern w:val="28"/>
      <w:sz w:val="32"/>
      <w:szCs w:val="32"/>
      <w:lang w:val="en-US" w:eastAsia="zh-CN" w:bidi="ar-SA"/>
    </w:rPr>
  </w:style>
  <w:style w:type="paragraph" w:styleId="59">
    <w:name w:val="List Number 5"/>
    <w:basedOn w:val="1"/>
    <w:qFormat/>
    <w:uiPriority w:val="99"/>
    <w:pPr>
      <w:tabs>
        <w:tab w:val="left" w:pos="2040"/>
      </w:tabs>
      <w:spacing w:line="480" w:lineRule="exact"/>
      <w:ind w:left="2040" w:leftChars="800" w:hanging="360" w:hangingChars="200"/>
    </w:pPr>
    <w:rPr>
      <w:sz w:val="24"/>
      <w:szCs w:val="20"/>
    </w:rPr>
  </w:style>
  <w:style w:type="paragraph" w:styleId="60">
    <w:name w:val="List"/>
    <w:basedOn w:val="1"/>
    <w:qFormat/>
    <w:uiPriority w:val="99"/>
    <w:pPr>
      <w:ind w:left="200" w:hanging="200" w:hangingChars="200"/>
    </w:pPr>
    <w:rPr>
      <w:szCs w:val="20"/>
    </w:rPr>
  </w:style>
  <w:style w:type="paragraph" w:styleId="61">
    <w:name w:val="toc 6"/>
    <w:basedOn w:val="1"/>
    <w:next w:val="1"/>
    <w:qFormat/>
    <w:locked/>
    <w:uiPriority w:val="39"/>
    <w:pPr>
      <w:ind w:left="1050"/>
      <w:jc w:val="left"/>
    </w:pPr>
    <w:rPr>
      <w:sz w:val="18"/>
      <w:szCs w:val="20"/>
    </w:rPr>
  </w:style>
  <w:style w:type="paragraph" w:styleId="62">
    <w:name w:val="List 5"/>
    <w:unhideWhenUsed/>
    <w:qFormat/>
    <w:uiPriority w:val="99"/>
    <w:pPr>
      <w:widowControl w:val="0"/>
      <w:spacing w:line="360" w:lineRule="auto"/>
      <w:ind w:left="100" w:leftChars="800" w:hanging="200" w:hangingChars="200"/>
      <w:jc w:val="both"/>
    </w:pPr>
    <w:rPr>
      <w:rFonts w:ascii="Times New Roman" w:hAnsi="Times New Roman" w:eastAsia="宋体" w:cs="Times New Roman"/>
      <w:kern w:val="2"/>
      <w:sz w:val="24"/>
      <w:szCs w:val="24"/>
      <w:lang w:val="en-US" w:eastAsia="zh-CN" w:bidi="ar-SA"/>
    </w:rPr>
  </w:style>
  <w:style w:type="paragraph" w:styleId="63">
    <w:name w:val="Body Text Indent 3"/>
    <w:basedOn w:val="1"/>
    <w:link w:val="120"/>
    <w:qFormat/>
    <w:uiPriority w:val="0"/>
    <w:pPr>
      <w:spacing w:after="120"/>
      <w:ind w:left="420"/>
    </w:pPr>
    <w:rPr>
      <w:rFonts w:eastAsia="ˎ̥"/>
      <w:sz w:val="16"/>
      <w:szCs w:val="20"/>
    </w:rPr>
  </w:style>
  <w:style w:type="paragraph" w:styleId="64">
    <w:name w:val="table of figures"/>
    <w:next w:val="1"/>
    <w:unhideWhenUsed/>
    <w:qFormat/>
    <w:uiPriority w:val="99"/>
    <w:pPr>
      <w:widowControl w:val="0"/>
      <w:spacing w:line="440" w:lineRule="exact"/>
      <w:ind w:left="200" w:leftChars="200" w:hanging="200" w:hangingChars="200"/>
      <w:jc w:val="both"/>
    </w:pPr>
    <w:rPr>
      <w:rFonts w:ascii="Times New Roman" w:hAnsi="Times New Roman" w:eastAsia="宋体" w:cs="Times New Roman"/>
      <w:kern w:val="2"/>
      <w:sz w:val="24"/>
      <w:lang w:val="en-US" w:eastAsia="zh-CN" w:bidi="ar-SA"/>
    </w:rPr>
  </w:style>
  <w:style w:type="paragraph" w:styleId="65">
    <w:name w:val="toc 2"/>
    <w:basedOn w:val="1"/>
    <w:next w:val="1"/>
    <w:qFormat/>
    <w:locked/>
    <w:uiPriority w:val="39"/>
    <w:pPr>
      <w:spacing w:line="440" w:lineRule="exact"/>
      <w:ind w:firstLine="200" w:firstLineChars="200"/>
    </w:pPr>
    <w:rPr>
      <w:szCs w:val="20"/>
    </w:rPr>
  </w:style>
  <w:style w:type="paragraph" w:styleId="66">
    <w:name w:val="toc 9"/>
    <w:basedOn w:val="1"/>
    <w:next w:val="1"/>
    <w:qFormat/>
    <w:locked/>
    <w:uiPriority w:val="39"/>
    <w:pPr>
      <w:ind w:left="1680"/>
      <w:jc w:val="left"/>
    </w:pPr>
    <w:rPr>
      <w:sz w:val="18"/>
      <w:szCs w:val="20"/>
    </w:rPr>
  </w:style>
  <w:style w:type="paragraph" w:styleId="67">
    <w:name w:val="Body Text 2"/>
    <w:basedOn w:val="1"/>
    <w:link w:val="121"/>
    <w:qFormat/>
    <w:uiPriority w:val="99"/>
    <w:pPr>
      <w:spacing w:after="120" w:line="480" w:lineRule="auto"/>
    </w:pPr>
    <w:rPr>
      <w:rFonts w:eastAsia="ˎ̥"/>
      <w:szCs w:val="20"/>
    </w:rPr>
  </w:style>
  <w:style w:type="paragraph" w:styleId="68">
    <w:name w:val="List 4"/>
    <w:unhideWhenUsed/>
    <w:qFormat/>
    <w:uiPriority w:val="99"/>
    <w:pPr>
      <w:widowControl w:val="0"/>
      <w:spacing w:line="360" w:lineRule="auto"/>
      <w:ind w:left="100" w:leftChars="600" w:hanging="200" w:hangingChars="200"/>
      <w:jc w:val="both"/>
    </w:pPr>
    <w:rPr>
      <w:rFonts w:ascii="Times New Roman" w:hAnsi="Times New Roman" w:eastAsia="宋体" w:cs="Times New Roman"/>
      <w:kern w:val="2"/>
      <w:sz w:val="24"/>
      <w:szCs w:val="24"/>
      <w:lang w:val="en-US" w:eastAsia="zh-CN" w:bidi="ar-SA"/>
    </w:rPr>
  </w:style>
  <w:style w:type="paragraph" w:styleId="69">
    <w:name w:val="List Continue 2"/>
    <w:basedOn w:val="1"/>
    <w:qFormat/>
    <w:uiPriority w:val="99"/>
    <w:pPr>
      <w:spacing w:after="120" w:line="480" w:lineRule="exact"/>
      <w:ind w:left="840" w:leftChars="400" w:firstLine="200" w:firstLineChars="200"/>
    </w:pPr>
    <w:rPr>
      <w:sz w:val="24"/>
      <w:szCs w:val="20"/>
    </w:rPr>
  </w:style>
  <w:style w:type="paragraph" w:styleId="70">
    <w:name w:val="Message Header"/>
    <w:link w:val="122"/>
    <w:unhideWhenUsed/>
    <w:qFormat/>
    <w:uiPriority w:val="0"/>
    <w:pPr>
      <w:widowControl w:val="0"/>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jc w:val="both"/>
    </w:pPr>
    <w:rPr>
      <w:rFonts w:ascii="Cambria" w:hAnsi="Cambria" w:eastAsia="宋体" w:cs="Times New Roman"/>
      <w:kern w:val="2"/>
      <w:sz w:val="24"/>
      <w:szCs w:val="24"/>
      <w:lang w:val="en-US" w:eastAsia="zh-CN" w:bidi="ar-SA"/>
    </w:rPr>
  </w:style>
  <w:style w:type="paragraph" w:styleId="71">
    <w:name w:val="HTML Preformatted"/>
    <w:basedOn w:val="1"/>
    <w:link w:val="12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ˎ̥" w:hAnsi="ˎ̥" w:eastAsia="ˎ̥"/>
      <w:kern w:val="0"/>
      <w:sz w:val="20"/>
      <w:szCs w:val="20"/>
    </w:rPr>
  </w:style>
  <w:style w:type="paragraph" w:styleId="72">
    <w:name w:val="Normal (Web)"/>
    <w:basedOn w:val="1"/>
    <w:link w:val="124"/>
    <w:qFormat/>
    <w:uiPriority w:val="0"/>
    <w:pPr>
      <w:widowControl/>
      <w:spacing w:before="100" w:beforeAutospacing="1" w:after="100" w:afterAutospacing="1"/>
      <w:jc w:val="left"/>
    </w:pPr>
    <w:rPr>
      <w:rFonts w:ascii="宋体" w:hAnsi="宋体"/>
      <w:kern w:val="0"/>
      <w:sz w:val="24"/>
      <w:szCs w:val="20"/>
    </w:rPr>
  </w:style>
  <w:style w:type="paragraph" w:styleId="73">
    <w:name w:val="List Continue 3"/>
    <w:unhideWhenUsed/>
    <w:qFormat/>
    <w:uiPriority w:val="99"/>
    <w:pPr>
      <w:widowControl w:val="0"/>
      <w:spacing w:after="120" w:line="360" w:lineRule="auto"/>
      <w:ind w:left="1260" w:leftChars="600" w:firstLine="200" w:firstLineChars="200"/>
      <w:jc w:val="both"/>
    </w:pPr>
    <w:rPr>
      <w:rFonts w:ascii="Times New Roman" w:hAnsi="Times New Roman" w:eastAsia="宋体" w:cs="Times New Roman"/>
      <w:kern w:val="2"/>
      <w:sz w:val="24"/>
      <w:szCs w:val="24"/>
      <w:lang w:val="en-US" w:eastAsia="zh-CN" w:bidi="ar-SA"/>
    </w:rPr>
  </w:style>
  <w:style w:type="paragraph" w:styleId="74">
    <w:name w:val="Title"/>
    <w:basedOn w:val="1"/>
    <w:link w:val="125"/>
    <w:qFormat/>
    <w:locked/>
    <w:uiPriority w:val="99"/>
    <w:pPr>
      <w:spacing w:before="240" w:after="60"/>
      <w:jc w:val="center"/>
      <w:outlineLvl w:val="0"/>
    </w:pPr>
    <w:rPr>
      <w:rFonts w:ascii="ˎ̥" w:hAnsi="ˎ̥"/>
      <w:b/>
      <w:bCs/>
      <w:sz w:val="32"/>
      <w:szCs w:val="32"/>
    </w:rPr>
  </w:style>
  <w:style w:type="paragraph" w:styleId="75">
    <w:name w:val="annotation subject"/>
    <w:basedOn w:val="24"/>
    <w:next w:val="24"/>
    <w:link w:val="126"/>
    <w:qFormat/>
    <w:uiPriority w:val="0"/>
    <w:rPr>
      <w:b/>
      <w:bCs/>
      <w:kern w:val="2"/>
      <w:szCs w:val="24"/>
    </w:rPr>
  </w:style>
  <w:style w:type="paragraph" w:styleId="76">
    <w:name w:val="Body Text First Indent"/>
    <w:basedOn w:val="30"/>
    <w:next w:val="1"/>
    <w:link w:val="127"/>
    <w:qFormat/>
    <w:uiPriority w:val="99"/>
    <w:pPr>
      <w:snapToGrid/>
      <w:spacing w:before="0" w:after="0" w:line="240" w:lineRule="auto"/>
      <w:ind w:right="0" w:firstLine="567"/>
    </w:pPr>
    <w:rPr>
      <w:kern w:val="28"/>
      <w:sz w:val="28"/>
    </w:rPr>
  </w:style>
  <w:style w:type="paragraph" w:styleId="77">
    <w:name w:val="Body Text First Indent 2"/>
    <w:basedOn w:val="31"/>
    <w:link w:val="128"/>
    <w:qFormat/>
    <w:uiPriority w:val="99"/>
    <w:pPr>
      <w:spacing w:line="360" w:lineRule="auto"/>
      <w:ind w:firstLine="420" w:firstLineChars="200"/>
    </w:pPr>
    <w:rPr>
      <w:kern w:val="2"/>
    </w:rPr>
  </w:style>
  <w:style w:type="table" w:styleId="79">
    <w:name w:val="Table Grid"/>
    <w:basedOn w:val="7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1">
    <w:name w:val="Strong"/>
    <w:qFormat/>
    <w:locked/>
    <w:uiPriority w:val="0"/>
    <w:rPr>
      <w:b/>
      <w:bCs/>
    </w:rPr>
  </w:style>
  <w:style w:type="character" w:styleId="82">
    <w:name w:val="endnote reference"/>
    <w:qFormat/>
    <w:uiPriority w:val="0"/>
    <w:rPr>
      <w:vertAlign w:val="superscript"/>
    </w:rPr>
  </w:style>
  <w:style w:type="character" w:styleId="83">
    <w:name w:val="page number"/>
    <w:qFormat/>
    <w:uiPriority w:val="0"/>
  </w:style>
  <w:style w:type="character" w:styleId="84">
    <w:name w:val="FollowedHyperlink"/>
    <w:qFormat/>
    <w:uiPriority w:val="99"/>
    <w:rPr>
      <w:color w:val="800080"/>
      <w:u w:val="single"/>
    </w:rPr>
  </w:style>
  <w:style w:type="character" w:styleId="85">
    <w:name w:val="Emphasis"/>
    <w:basedOn w:val="80"/>
    <w:qFormat/>
    <w:locked/>
    <w:uiPriority w:val="0"/>
    <w:rPr>
      <w:i/>
    </w:rPr>
  </w:style>
  <w:style w:type="character" w:styleId="86">
    <w:name w:val="HTML Typewriter"/>
    <w:unhideWhenUsed/>
    <w:qFormat/>
    <w:uiPriority w:val="0"/>
    <w:rPr>
      <w:rFonts w:hint="default" w:ascii="Courier New" w:hAnsi="Courier New" w:eastAsia="Times New Roman" w:cs="Courier New"/>
      <w:sz w:val="24"/>
      <w:szCs w:val="24"/>
    </w:rPr>
  </w:style>
  <w:style w:type="character" w:styleId="87">
    <w:name w:val="Hyperlink"/>
    <w:qFormat/>
    <w:uiPriority w:val="0"/>
    <w:rPr>
      <w:color w:val="0000FF"/>
      <w:u w:val="single"/>
    </w:rPr>
  </w:style>
  <w:style w:type="character" w:styleId="88">
    <w:name w:val="HTML Code"/>
    <w:unhideWhenUsed/>
    <w:qFormat/>
    <w:uiPriority w:val="0"/>
    <w:rPr>
      <w:rFonts w:hint="default" w:ascii="Courier New" w:hAnsi="Courier New" w:eastAsia="Times New Roman" w:cs="Courier New"/>
      <w:sz w:val="24"/>
      <w:szCs w:val="24"/>
    </w:rPr>
  </w:style>
  <w:style w:type="character" w:styleId="89">
    <w:name w:val="annotation reference"/>
    <w:qFormat/>
    <w:uiPriority w:val="0"/>
    <w:rPr>
      <w:sz w:val="21"/>
    </w:rPr>
  </w:style>
  <w:style w:type="character" w:styleId="90">
    <w:name w:val="HTML Keyboard"/>
    <w:unhideWhenUsed/>
    <w:qFormat/>
    <w:uiPriority w:val="0"/>
    <w:rPr>
      <w:rFonts w:hint="default" w:ascii="Courier New" w:hAnsi="Courier New" w:eastAsia="Times New Roman" w:cs="Courier New"/>
      <w:sz w:val="24"/>
      <w:szCs w:val="24"/>
    </w:rPr>
  </w:style>
  <w:style w:type="character" w:styleId="91">
    <w:name w:val="HTML Sample"/>
    <w:unhideWhenUsed/>
    <w:qFormat/>
    <w:uiPriority w:val="0"/>
    <w:rPr>
      <w:rFonts w:hint="default" w:ascii="Courier New" w:hAnsi="Courier New" w:eastAsia="Times New Roman" w:cs="Courier New"/>
    </w:rPr>
  </w:style>
  <w:style w:type="character" w:customStyle="1" w:styleId="92">
    <w:name w:val="标题 1 字符"/>
    <w:link w:val="2"/>
    <w:qFormat/>
    <w:uiPriority w:val="0"/>
    <w:rPr>
      <w:rFonts w:eastAsia="黑体"/>
      <w:b/>
      <w:bCs/>
      <w:color w:val="000000"/>
      <w:kern w:val="44"/>
      <w:sz w:val="30"/>
      <w:szCs w:val="30"/>
    </w:rPr>
  </w:style>
  <w:style w:type="character" w:customStyle="1" w:styleId="93">
    <w:name w:val="标题 2 字符"/>
    <w:link w:val="3"/>
    <w:qFormat/>
    <w:uiPriority w:val="0"/>
    <w:rPr>
      <w:kern w:val="2"/>
      <w:sz w:val="28"/>
    </w:rPr>
  </w:style>
  <w:style w:type="character" w:customStyle="1" w:styleId="94">
    <w:name w:val="标题 3 字符"/>
    <w:link w:val="4"/>
    <w:qFormat/>
    <w:uiPriority w:val="9"/>
    <w:rPr>
      <w:rFonts w:eastAsia="ˎ̥"/>
      <w:kern w:val="2"/>
      <w:sz w:val="24"/>
    </w:rPr>
  </w:style>
  <w:style w:type="character" w:customStyle="1" w:styleId="95">
    <w:name w:val="标题 4 字符"/>
    <w:link w:val="5"/>
    <w:qFormat/>
    <w:uiPriority w:val="0"/>
    <w:rPr>
      <w:rFonts w:ascii="ˎ̥" w:hAnsi="ˎ̥" w:eastAsia="ˎ̥"/>
      <w:b/>
      <w:bCs/>
      <w:kern w:val="2"/>
      <w:sz w:val="28"/>
      <w:szCs w:val="28"/>
    </w:rPr>
  </w:style>
  <w:style w:type="character" w:customStyle="1" w:styleId="96">
    <w:name w:val="标题 5 字符"/>
    <w:link w:val="6"/>
    <w:qFormat/>
    <w:uiPriority w:val="0"/>
    <w:rPr>
      <w:b/>
      <w:kern w:val="2"/>
      <w:sz w:val="28"/>
    </w:rPr>
  </w:style>
  <w:style w:type="character" w:customStyle="1" w:styleId="97">
    <w:name w:val="标题 6 字符"/>
    <w:link w:val="7"/>
    <w:qFormat/>
    <w:uiPriority w:val="0"/>
    <w:rPr>
      <w:rFonts w:ascii="ˎ̥" w:hAnsi="ˎ̥" w:eastAsia="ˎ̥"/>
      <w:b/>
      <w:bCs/>
      <w:kern w:val="2"/>
      <w:sz w:val="24"/>
      <w:szCs w:val="24"/>
    </w:rPr>
  </w:style>
  <w:style w:type="character" w:customStyle="1" w:styleId="98">
    <w:name w:val="标题 7 字符"/>
    <w:link w:val="8"/>
    <w:qFormat/>
    <w:uiPriority w:val="99"/>
    <w:rPr>
      <w:b/>
      <w:kern w:val="2"/>
      <w:sz w:val="24"/>
    </w:rPr>
  </w:style>
  <w:style w:type="character" w:customStyle="1" w:styleId="99">
    <w:name w:val="标题 8 字符"/>
    <w:link w:val="9"/>
    <w:qFormat/>
    <w:uiPriority w:val="99"/>
    <w:rPr>
      <w:rFonts w:ascii="ˎ̥" w:hAnsi="ˎ̥" w:eastAsia="ˎ̥"/>
      <w:kern w:val="2"/>
      <w:sz w:val="24"/>
    </w:rPr>
  </w:style>
  <w:style w:type="character" w:customStyle="1" w:styleId="100">
    <w:name w:val="标题 9 字符"/>
    <w:link w:val="10"/>
    <w:qFormat/>
    <w:uiPriority w:val="99"/>
    <w:rPr>
      <w:rFonts w:ascii="ˎ̥" w:hAnsi="ˎ̥" w:eastAsia="ˎ̥"/>
      <w:kern w:val="2"/>
      <w:sz w:val="21"/>
    </w:rPr>
  </w:style>
  <w:style w:type="character" w:customStyle="1" w:styleId="101">
    <w:name w:val="注释标题 字符"/>
    <w:link w:val="14"/>
    <w:qFormat/>
    <w:uiPriority w:val="99"/>
    <w:rPr>
      <w:rFonts w:ascii="ˎ̥"/>
      <w:kern w:val="2"/>
      <w:sz w:val="24"/>
    </w:rPr>
  </w:style>
  <w:style w:type="character" w:customStyle="1" w:styleId="102">
    <w:name w:val="电子邮件签名 字符"/>
    <w:link w:val="16"/>
    <w:qFormat/>
    <w:locked/>
    <w:uiPriority w:val="0"/>
    <w:rPr>
      <w:kern w:val="2"/>
      <w:sz w:val="21"/>
      <w:lang w:bidi="ar-SA"/>
    </w:rPr>
  </w:style>
  <w:style w:type="character" w:customStyle="1" w:styleId="103">
    <w:name w:val="文档结构图 字符"/>
    <w:link w:val="22"/>
    <w:qFormat/>
    <w:uiPriority w:val="99"/>
    <w:rPr>
      <w:kern w:val="2"/>
      <w:sz w:val="21"/>
      <w:shd w:val="clear" w:color="auto" w:fill="000080"/>
    </w:rPr>
  </w:style>
  <w:style w:type="character" w:customStyle="1" w:styleId="104">
    <w:name w:val="批注文字 字符"/>
    <w:link w:val="24"/>
    <w:qFormat/>
    <w:locked/>
    <w:uiPriority w:val="0"/>
    <w:rPr>
      <w:rFonts w:ascii="Times New Roman" w:hAnsi="Times New Roman" w:eastAsia="宋体"/>
      <w:sz w:val="24"/>
    </w:rPr>
  </w:style>
  <w:style w:type="character" w:customStyle="1" w:styleId="105">
    <w:name w:val="称呼 字符"/>
    <w:link w:val="26"/>
    <w:qFormat/>
    <w:uiPriority w:val="99"/>
    <w:rPr>
      <w:kern w:val="2"/>
      <w:sz w:val="28"/>
    </w:rPr>
  </w:style>
  <w:style w:type="character" w:customStyle="1" w:styleId="106">
    <w:name w:val="正文文本 3 字符"/>
    <w:link w:val="27"/>
    <w:qFormat/>
    <w:uiPriority w:val="0"/>
    <w:rPr>
      <w:rFonts w:eastAsia="ˎ̥"/>
      <w:kern w:val="2"/>
      <w:sz w:val="24"/>
    </w:rPr>
  </w:style>
  <w:style w:type="character" w:customStyle="1" w:styleId="107">
    <w:name w:val="结束语 字符"/>
    <w:link w:val="28"/>
    <w:qFormat/>
    <w:locked/>
    <w:uiPriority w:val="0"/>
    <w:rPr>
      <w:kern w:val="2"/>
      <w:sz w:val="21"/>
      <w:lang w:bidi="ar-SA"/>
    </w:rPr>
  </w:style>
  <w:style w:type="character" w:customStyle="1" w:styleId="108">
    <w:name w:val="正文文本 字符"/>
    <w:link w:val="30"/>
    <w:qFormat/>
    <w:locked/>
    <w:uiPriority w:val="99"/>
    <w:rPr>
      <w:sz w:val="18"/>
    </w:rPr>
  </w:style>
  <w:style w:type="character" w:customStyle="1" w:styleId="109">
    <w:name w:val="正文文本缩进 字符"/>
    <w:link w:val="31"/>
    <w:qFormat/>
    <w:locked/>
    <w:uiPriority w:val="99"/>
    <w:rPr>
      <w:rFonts w:ascii="Times New Roman" w:hAnsi="Times New Roman" w:eastAsia="宋体" w:cs="Times New Roman"/>
      <w:sz w:val="24"/>
      <w:szCs w:val="24"/>
    </w:rPr>
  </w:style>
  <w:style w:type="character" w:customStyle="1" w:styleId="110">
    <w:name w:val="HTML 地址 字符"/>
    <w:link w:val="37"/>
    <w:qFormat/>
    <w:locked/>
    <w:uiPriority w:val="0"/>
    <w:rPr>
      <w:i/>
      <w:iCs/>
      <w:kern w:val="2"/>
      <w:sz w:val="24"/>
      <w:szCs w:val="24"/>
    </w:rPr>
  </w:style>
  <w:style w:type="character" w:customStyle="1" w:styleId="111">
    <w:name w:val="纯文本 字符"/>
    <w:link w:val="40"/>
    <w:qFormat/>
    <w:uiPriority w:val="99"/>
    <w:rPr>
      <w:rFonts w:ascii="ˎ̥" w:hAnsi="ˎ̥" w:eastAsia="ˎ̥"/>
      <w:kern w:val="2"/>
      <w:sz w:val="21"/>
    </w:rPr>
  </w:style>
  <w:style w:type="character" w:customStyle="1" w:styleId="112">
    <w:name w:val="日期 字符1"/>
    <w:link w:val="44"/>
    <w:qFormat/>
    <w:locked/>
    <w:uiPriority w:val="0"/>
    <w:rPr>
      <w:rFonts w:ascii="Times New Roman" w:hAnsi="Times New Roman" w:eastAsia="宋体"/>
      <w:sz w:val="24"/>
    </w:rPr>
  </w:style>
  <w:style w:type="character" w:customStyle="1" w:styleId="113">
    <w:name w:val="正文文本缩进 2 字符"/>
    <w:link w:val="45"/>
    <w:qFormat/>
    <w:uiPriority w:val="0"/>
    <w:rPr>
      <w:rFonts w:hAnsi="ˎ̥"/>
      <w:kern w:val="2"/>
      <w:sz w:val="24"/>
    </w:rPr>
  </w:style>
  <w:style w:type="character" w:customStyle="1" w:styleId="114">
    <w:name w:val="尾注文本 字符"/>
    <w:link w:val="46"/>
    <w:qFormat/>
    <w:uiPriority w:val="0"/>
    <w:rPr>
      <w:rFonts w:eastAsia="ˎ̥"/>
      <w:kern w:val="2"/>
      <w:sz w:val="21"/>
    </w:rPr>
  </w:style>
  <w:style w:type="character" w:customStyle="1" w:styleId="115">
    <w:name w:val="批注框文本 字符"/>
    <w:link w:val="48"/>
    <w:qFormat/>
    <w:locked/>
    <w:uiPriority w:val="99"/>
    <w:rPr>
      <w:rFonts w:ascii="Times New Roman" w:hAnsi="Times New Roman" w:eastAsia="宋体" w:cs="Times New Roman"/>
      <w:sz w:val="18"/>
      <w:szCs w:val="18"/>
    </w:rPr>
  </w:style>
  <w:style w:type="character" w:customStyle="1" w:styleId="116">
    <w:name w:val="页脚 字符"/>
    <w:link w:val="49"/>
    <w:qFormat/>
    <w:locked/>
    <w:uiPriority w:val="99"/>
    <w:rPr>
      <w:rFonts w:cs="Times New Roman"/>
      <w:sz w:val="18"/>
      <w:szCs w:val="18"/>
    </w:rPr>
  </w:style>
  <w:style w:type="character" w:customStyle="1" w:styleId="117">
    <w:name w:val="页眉 字符"/>
    <w:link w:val="51"/>
    <w:qFormat/>
    <w:locked/>
    <w:uiPriority w:val="0"/>
    <w:rPr>
      <w:rFonts w:cs="Times New Roman"/>
      <w:sz w:val="18"/>
      <w:szCs w:val="18"/>
    </w:rPr>
  </w:style>
  <w:style w:type="character" w:customStyle="1" w:styleId="118">
    <w:name w:val="签名 字符"/>
    <w:link w:val="52"/>
    <w:qFormat/>
    <w:uiPriority w:val="0"/>
    <w:rPr>
      <w:kern w:val="2"/>
      <w:sz w:val="24"/>
      <w:lang w:bidi="ar-SA"/>
    </w:rPr>
  </w:style>
  <w:style w:type="character" w:customStyle="1" w:styleId="119">
    <w:name w:val="副标题 字符"/>
    <w:link w:val="58"/>
    <w:qFormat/>
    <w:locked/>
    <w:uiPriority w:val="0"/>
    <w:rPr>
      <w:rFonts w:ascii="Cambria" w:hAnsi="Cambria"/>
      <w:b/>
      <w:bCs/>
      <w:kern w:val="28"/>
      <w:sz w:val="32"/>
      <w:szCs w:val="32"/>
      <w:lang w:bidi="ar-SA"/>
    </w:rPr>
  </w:style>
  <w:style w:type="character" w:customStyle="1" w:styleId="120">
    <w:name w:val="正文文本缩进 3 字符"/>
    <w:link w:val="63"/>
    <w:qFormat/>
    <w:uiPriority w:val="0"/>
    <w:rPr>
      <w:rFonts w:eastAsia="ˎ̥"/>
      <w:kern w:val="2"/>
      <w:sz w:val="16"/>
    </w:rPr>
  </w:style>
  <w:style w:type="character" w:customStyle="1" w:styleId="121">
    <w:name w:val="正文文本 2 字符"/>
    <w:link w:val="67"/>
    <w:qFormat/>
    <w:uiPriority w:val="99"/>
    <w:rPr>
      <w:rFonts w:eastAsia="ˎ̥"/>
      <w:kern w:val="2"/>
      <w:sz w:val="21"/>
    </w:rPr>
  </w:style>
  <w:style w:type="character" w:customStyle="1" w:styleId="122">
    <w:name w:val="信息标题 字符"/>
    <w:link w:val="70"/>
    <w:qFormat/>
    <w:locked/>
    <w:uiPriority w:val="0"/>
    <w:rPr>
      <w:rFonts w:ascii="Cambria" w:hAnsi="Cambria"/>
      <w:kern w:val="2"/>
      <w:sz w:val="24"/>
      <w:szCs w:val="24"/>
      <w:shd w:val="pct20" w:color="auto" w:fill="auto"/>
      <w:lang w:bidi="ar-SA"/>
    </w:rPr>
  </w:style>
  <w:style w:type="character" w:customStyle="1" w:styleId="123">
    <w:name w:val="HTML 预设格式 字符"/>
    <w:link w:val="71"/>
    <w:qFormat/>
    <w:uiPriority w:val="0"/>
    <w:rPr>
      <w:rFonts w:ascii="ˎ̥" w:hAnsi="ˎ̥" w:eastAsia="ˎ̥"/>
    </w:rPr>
  </w:style>
  <w:style w:type="character" w:customStyle="1" w:styleId="124">
    <w:name w:val="普通(网站) 字符"/>
    <w:link w:val="72"/>
    <w:qFormat/>
    <w:locked/>
    <w:uiPriority w:val="0"/>
    <w:rPr>
      <w:rFonts w:ascii="宋体" w:hAnsi="宋体" w:eastAsia="宋体"/>
      <w:sz w:val="24"/>
    </w:rPr>
  </w:style>
  <w:style w:type="character" w:customStyle="1" w:styleId="125">
    <w:name w:val="标题 字符"/>
    <w:link w:val="74"/>
    <w:qFormat/>
    <w:uiPriority w:val="99"/>
    <w:rPr>
      <w:rFonts w:ascii="ˎ̥" w:hAnsi="ˎ̥" w:cs="ˎ̥"/>
      <w:b/>
      <w:bCs/>
      <w:kern w:val="2"/>
      <w:sz w:val="32"/>
      <w:szCs w:val="32"/>
    </w:rPr>
  </w:style>
  <w:style w:type="character" w:customStyle="1" w:styleId="126">
    <w:name w:val="批注主题 字符"/>
    <w:link w:val="75"/>
    <w:qFormat/>
    <w:locked/>
    <w:uiPriority w:val="0"/>
    <w:rPr>
      <w:rFonts w:ascii="Times New Roman" w:hAnsi="Times New Roman" w:eastAsia="宋体" w:cs="Times New Roman"/>
      <w:b/>
      <w:bCs/>
      <w:kern w:val="2"/>
      <w:sz w:val="24"/>
      <w:szCs w:val="24"/>
    </w:rPr>
  </w:style>
  <w:style w:type="character" w:customStyle="1" w:styleId="127">
    <w:name w:val="正文文本首行缩进 字符"/>
    <w:link w:val="76"/>
    <w:qFormat/>
    <w:uiPriority w:val="99"/>
    <w:rPr>
      <w:kern w:val="28"/>
      <w:sz w:val="28"/>
    </w:rPr>
  </w:style>
  <w:style w:type="character" w:customStyle="1" w:styleId="128">
    <w:name w:val="正文文本首行缩进 2 字符"/>
    <w:link w:val="77"/>
    <w:qFormat/>
    <w:uiPriority w:val="99"/>
    <w:rPr>
      <w:rFonts w:ascii="Times New Roman" w:hAnsi="Times New Roman" w:eastAsia="宋体" w:cs="Times New Roman"/>
      <w:kern w:val="2"/>
      <w:sz w:val="24"/>
      <w:szCs w:val="24"/>
    </w:rPr>
  </w:style>
  <w:style w:type="character" w:customStyle="1" w:styleId="129">
    <w:name w:val="正文文字缩进 2 Char1"/>
    <w:qFormat/>
    <w:uiPriority w:val="0"/>
    <w:rPr>
      <w:rFonts w:ascii="ˎ̥" w:hAnsi="ˎ̥" w:eastAsia="ˎ̥"/>
      <w:sz w:val="28"/>
      <w:lang w:val="en-US" w:eastAsia="zh-CN"/>
    </w:rPr>
  </w:style>
  <w:style w:type="character" w:customStyle="1" w:styleId="130">
    <w:name w:val="t_tag"/>
    <w:qFormat/>
    <w:uiPriority w:val="0"/>
  </w:style>
  <w:style w:type="character" w:customStyle="1" w:styleId="131">
    <w:name w:val="d1"/>
    <w:qFormat/>
    <w:uiPriority w:val="0"/>
    <w:rPr>
      <w:rFonts w:hint="eastAsia" w:ascii="黑体" w:hAnsi="黑体" w:eastAsia="黑体"/>
      <w:snapToGrid w:val="0"/>
      <w:kern w:val="2"/>
      <w:sz w:val="21"/>
      <w:szCs w:val="21"/>
      <w:lang w:val="en-US" w:eastAsia="zh-CN" w:bidi="ar-SA"/>
    </w:rPr>
  </w:style>
  <w:style w:type="character" w:customStyle="1" w:styleId="132">
    <w:name w:val="样式11"/>
    <w:qFormat/>
    <w:uiPriority w:val="0"/>
    <w:rPr>
      <w:rFonts w:hint="default" w:ascii="ˎ̥" w:hAnsi="ˎ̥"/>
      <w:sz w:val="21"/>
    </w:rPr>
  </w:style>
  <w:style w:type="character" w:customStyle="1" w:styleId="133">
    <w:name w:val="不明显强调1"/>
    <w:qFormat/>
    <w:uiPriority w:val="0"/>
    <w:rPr>
      <w:i/>
      <w:iCs/>
      <w:color w:val="808080"/>
    </w:rPr>
  </w:style>
  <w:style w:type="character" w:customStyle="1" w:styleId="134">
    <w:name w:val="表头1 Char"/>
    <w:link w:val="135"/>
    <w:qFormat/>
    <w:uiPriority w:val="0"/>
    <w:rPr>
      <w:rFonts w:eastAsia="ˎ̥"/>
      <w:sz w:val="21"/>
    </w:rPr>
  </w:style>
  <w:style w:type="paragraph" w:customStyle="1" w:styleId="135">
    <w:name w:val="表头1"/>
    <w:basedOn w:val="1"/>
    <w:next w:val="1"/>
    <w:link w:val="134"/>
    <w:qFormat/>
    <w:uiPriority w:val="0"/>
    <w:pPr>
      <w:tabs>
        <w:tab w:val="left" w:pos="605"/>
      </w:tabs>
      <w:adjustRightInd w:val="0"/>
      <w:snapToGrid w:val="0"/>
      <w:jc w:val="center"/>
    </w:pPr>
    <w:rPr>
      <w:rFonts w:eastAsia="ˎ̥"/>
      <w:kern w:val="0"/>
      <w:szCs w:val="20"/>
    </w:rPr>
  </w:style>
  <w:style w:type="character" w:customStyle="1" w:styleId="136">
    <w:name w:val="样式 热电厂正文 + 首行缩进:  2 字符 Char Char"/>
    <w:qFormat/>
    <w:uiPriority w:val="0"/>
    <w:rPr>
      <w:rFonts w:eastAsia="ˎ̥"/>
      <w:kern w:val="2"/>
      <w:sz w:val="24"/>
      <w:lang w:val="en-US" w:eastAsia="zh-CN"/>
    </w:rPr>
  </w:style>
  <w:style w:type="character" w:customStyle="1" w:styleId="137">
    <w:name w:val="正文文字 Char Char"/>
    <w:link w:val="138"/>
    <w:qFormat/>
    <w:uiPriority w:val="0"/>
    <w:rPr>
      <w:rFonts w:eastAsia="ˎ̥"/>
      <w:kern w:val="2"/>
      <w:sz w:val="24"/>
      <w:lang w:val="en-US" w:eastAsia="zh-CN" w:bidi="ar-SA"/>
    </w:rPr>
  </w:style>
  <w:style w:type="paragraph" w:customStyle="1" w:styleId="138">
    <w:name w:val="正文文字"/>
    <w:next w:val="1"/>
    <w:link w:val="137"/>
    <w:qFormat/>
    <w:uiPriority w:val="0"/>
    <w:pPr>
      <w:widowControl w:val="0"/>
      <w:spacing w:line="360" w:lineRule="auto"/>
      <w:ind w:firstLine="520" w:firstLineChars="200"/>
      <w:jc w:val="both"/>
    </w:pPr>
    <w:rPr>
      <w:rFonts w:ascii="Times New Roman" w:hAnsi="Times New Roman" w:eastAsia="ˎ̥" w:cs="Times New Roman"/>
      <w:kern w:val="2"/>
      <w:sz w:val="24"/>
      <w:lang w:val="en-US" w:eastAsia="zh-CN" w:bidi="ar-SA"/>
    </w:rPr>
  </w:style>
  <w:style w:type="character" w:customStyle="1" w:styleId="139">
    <w:name w:val="普通文字 Char2"/>
    <w:qFormat/>
    <w:uiPriority w:val="0"/>
    <w:rPr>
      <w:rFonts w:eastAsia="ˎ̥"/>
      <w:spacing w:val="8"/>
      <w:kern w:val="2"/>
      <w:sz w:val="24"/>
      <w:lang w:val="en-US" w:eastAsia="zh-CN" w:bidi="ar-SA"/>
    </w:rPr>
  </w:style>
  <w:style w:type="character" w:customStyle="1" w:styleId="140">
    <w:name w:val="环小四表尾 Char"/>
    <w:link w:val="141"/>
    <w:qFormat/>
    <w:locked/>
    <w:uiPriority w:val="0"/>
    <w:rPr>
      <w:rFonts w:ascii="宋体" w:hAnsi="宋体"/>
      <w:b/>
      <w:bCs/>
      <w:sz w:val="21"/>
      <w:szCs w:val="21"/>
      <w:lang w:val="en-US" w:eastAsia="zh-CN" w:bidi="ar-SA"/>
    </w:rPr>
  </w:style>
  <w:style w:type="paragraph" w:customStyle="1" w:styleId="141">
    <w:name w:val="环小四表尾"/>
    <w:link w:val="140"/>
    <w:qFormat/>
    <w:uiPriority w:val="0"/>
    <w:pPr>
      <w:spacing w:line="560" w:lineRule="exact"/>
      <w:jc w:val="right"/>
    </w:pPr>
    <w:rPr>
      <w:rFonts w:ascii="宋体" w:hAnsi="宋体" w:eastAsia="宋体" w:cs="Times New Roman"/>
      <w:b/>
      <w:bCs/>
      <w:sz w:val="21"/>
      <w:szCs w:val="21"/>
      <w:lang w:val="en-US" w:eastAsia="zh-CN" w:bidi="ar-SA"/>
    </w:rPr>
  </w:style>
  <w:style w:type="character" w:customStyle="1" w:styleId="142">
    <w:name w:val="正文（首行缩进两字） Char Char1 Char"/>
    <w:link w:val="143"/>
    <w:qFormat/>
    <w:uiPriority w:val="0"/>
    <w:rPr>
      <w:rFonts w:ascii="ˎ̥" w:hAnsi="ˎ̥" w:eastAsia="ˎ̥"/>
      <w:color w:val="000000"/>
      <w:kern w:val="2"/>
      <w:sz w:val="24"/>
    </w:rPr>
  </w:style>
  <w:style w:type="paragraph" w:customStyle="1" w:styleId="143">
    <w:name w:val="正文（首行缩进两字） Char Char Char2"/>
    <w:basedOn w:val="1"/>
    <w:next w:val="1"/>
    <w:link w:val="142"/>
    <w:qFormat/>
    <w:uiPriority w:val="0"/>
    <w:pPr>
      <w:spacing w:line="440" w:lineRule="exact"/>
      <w:ind w:firstLine="200" w:firstLineChars="200"/>
    </w:pPr>
    <w:rPr>
      <w:rFonts w:ascii="ˎ̥" w:hAnsi="ˎ̥" w:eastAsia="ˎ̥"/>
      <w:color w:val="000000"/>
      <w:sz w:val="24"/>
      <w:szCs w:val="20"/>
    </w:rPr>
  </w:style>
  <w:style w:type="character" w:customStyle="1" w:styleId="144">
    <w:name w:val="环小四文中说明 Char"/>
    <w:link w:val="145"/>
    <w:qFormat/>
    <w:locked/>
    <w:uiPriority w:val="0"/>
    <w:rPr>
      <w:rFonts w:ascii="宋体" w:hAnsi="宋体"/>
      <w:kern w:val="2"/>
      <w:sz w:val="24"/>
      <w:szCs w:val="24"/>
      <w:lang w:val="en-US" w:eastAsia="zh-CN" w:bidi="ar-SA"/>
    </w:rPr>
  </w:style>
  <w:style w:type="paragraph" w:customStyle="1" w:styleId="145">
    <w:name w:val="环小四文中说明"/>
    <w:link w:val="144"/>
    <w:qFormat/>
    <w:uiPriority w:val="0"/>
    <w:pPr>
      <w:widowControl w:val="0"/>
      <w:ind w:firstLine="200" w:firstLineChars="200"/>
      <w:jc w:val="both"/>
    </w:pPr>
    <w:rPr>
      <w:rFonts w:ascii="宋体" w:hAnsi="宋体" w:eastAsia="宋体" w:cs="Times New Roman"/>
      <w:kern w:val="2"/>
      <w:sz w:val="24"/>
      <w:szCs w:val="24"/>
      <w:lang w:val="en-US" w:eastAsia="zh-CN" w:bidi="ar-SA"/>
    </w:rPr>
  </w:style>
  <w:style w:type="character" w:customStyle="1" w:styleId="146">
    <w:name w:val="样式 首行缩进:  2.25 字符1 Char Char"/>
    <w:link w:val="147"/>
    <w:qFormat/>
    <w:locked/>
    <w:uiPriority w:val="0"/>
    <w:rPr>
      <w:kern w:val="2"/>
      <w:sz w:val="24"/>
      <w:lang w:val="en-US" w:eastAsia="zh-CN" w:bidi="ar-SA"/>
    </w:rPr>
  </w:style>
  <w:style w:type="paragraph" w:customStyle="1" w:styleId="147">
    <w:name w:val="样式 首行缩进:  2.25 字符1"/>
    <w:link w:val="146"/>
    <w:qFormat/>
    <w:uiPriority w:val="0"/>
    <w:pPr>
      <w:widowControl w:val="0"/>
      <w:spacing w:line="360" w:lineRule="auto"/>
      <w:ind w:firstLine="540" w:firstLineChars="225"/>
    </w:pPr>
    <w:rPr>
      <w:rFonts w:ascii="Times New Roman" w:hAnsi="Times New Roman" w:eastAsia="宋体" w:cs="Times New Roman"/>
      <w:kern w:val="2"/>
      <w:sz w:val="24"/>
      <w:lang w:val="en-US" w:eastAsia="zh-CN" w:bidi="ar-SA"/>
    </w:rPr>
  </w:style>
  <w:style w:type="character" w:customStyle="1" w:styleId="148">
    <w:name w:val="表格头 Char Char"/>
    <w:link w:val="149"/>
    <w:qFormat/>
    <w:uiPriority w:val="0"/>
    <w:rPr>
      <w:rFonts w:eastAsia="ˎ̥"/>
      <w:kern w:val="2"/>
      <w:sz w:val="24"/>
      <w:lang w:val="en-US" w:eastAsia="zh-CN" w:bidi="ar-SA"/>
    </w:rPr>
  </w:style>
  <w:style w:type="paragraph" w:customStyle="1" w:styleId="149">
    <w:name w:val="表格头"/>
    <w:next w:val="1"/>
    <w:link w:val="148"/>
    <w:qFormat/>
    <w:uiPriority w:val="0"/>
    <w:pPr>
      <w:keepNext/>
      <w:tabs>
        <w:tab w:val="center" w:pos="4620"/>
      </w:tabs>
    </w:pPr>
    <w:rPr>
      <w:rFonts w:ascii="Times New Roman" w:hAnsi="Times New Roman" w:eastAsia="ˎ̥" w:cs="Times New Roman"/>
      <w:kern w:val="2"/>
      <w:sz w:val="24"/>
      <w:lang w:val="en-US" w:eastAsia="zh-CN" w:bidi="ar-SA"/>
    </w:rPr>
  </w:style>
  <w:style w:type="character" w:customStyle="1" w:styleId="150">
    <w:name w:val="标题 3 Char1 Char Char1"/>
    <w:qFormat/>
    <w:uiPriority w:val="0"/>
    <w:rPr>
      <w:rFonts w:eastAsia="ˎ̥"/>
      <w:b/>
      <w:kern w:val="2"/>
      <w:sz w:val="32"/>
      <w:lang w:val="en-US" w:eastAsia="zh-CN"/>
    </w:rPr>
  </w:style>
  <w:style w:type="character" w:customStyle="1" w:styleId="151">
    <w:name w:val="岳长样式 Char Char"/>
    <w:link w:val="152"/>
    <w:qFormat/>
    <w:locked/>
    <w:uiPriority w:val="0"/>
    <w:rPr>
      <w:rFonts w:ascii="仿宋_GB2312" w:eastAsia="仿宋_GB2312"/>
      <w:w w:val="90"/>
      <w:kern w:val="2"/>
      <w:sz w:val="24"/>
      <w:szCs w:val="28"/>
    </w:rPr>
  </w:style>
  <w:style w:type="paragraph" w:customStyle="1" w:styleId="152">
    <w:name w:val="岳长样式"/>
    <w:basedOn w:val="31"/>
    <w:link w:val="151"/>
    <w:qFormat/>
    <w:uiPriority w:val="0"/>
    <w:pPr>
      <w:spacing w:after="0" w:line="288" w:lineRule="auto"/>
      <w:ind w:left="0" w:leftChars="0" w:firstLine="431" w:firstLineChars="200"/>
    </w:pPr>
    <w:rPr>
      <w:rFonts w:ascii="仿宋_GB2312" w:eastAsia="仿宋_GB2312"/>
      <w:w w:val="90"/>
      <w:kern w:val="2"/>
      <w:szCs w:val="28"/>
    </w:rPr>
  </w:style>
  <w:style w:type="character" w:customStyle="1" w:styleId="153">
    <w:name w:val="Char Char13"/>
    <w:qFormat/>
    <w:uiPriority w:val="0"/>
    <w:rPr>
      <w:rFonts w:eastAsia="ˎ̥"/>
      <w:sz w:val="24"/>
      <w:lang w:val="en-US" w:eastAsia="zh-CN"/>
    </w:rPr>
  </w:style>
  <w:style w:type="character" w:customStyle="1" w:styleId="154">
    <w:name w:val="-表格标题 Char1"/>
    <w:link w:val="155"/>
    <w:qFormat/>
    <w:locked/>
    <w:uiPriority w:val="0"/>
    <w:rPr>
      <w:b/>
      <w:kern w:val="2"/>
      <w:sz w:val="24"/>
      <w:szCs w:val="24"/>
    </w:rPr>
  </w:style>
  <w:style w:type="paragraph" w:customStyle="1" w:styleId="155">
    <w:name w:val="-表格标题"/>
    <w:basedOn w:val="1"/>
    <w:link w:val="154"/>
    <w:qFormat/>
    <w:uiPriority w:val="0"/>
    <w:pPr>
      <w:jc w:val="center"/>
    </w:pPr>
    <w:rPr>
      <w:b/>
      <w:sz w:val="24"/>
    </w:rPr>
  </w:style>
  <w:style w:type="character" w:customStyle="1" w:styleId="156">
    <w:name w:val="题注 Char1 Char"/>
    <w:qFormat/>
    <w:uiPriority w:val="0"/>
    <w:rPr>
      <w:rFonts w:ascii="ˎ̥" w:hAnsi="ˎ̥" w:eastAsia="ˎ̥"/>
      <w:kern w:val="2"/>
      <w:lang w:val="en-US" w:eastAsia="zh-CN"/>
    </w:rPr>
  </w:style>
  <w:style w:type="character" w:customStyle="1" w:styleId="157">
    <w:name w:val="unnamed31"/>
    <w:qFormat/>
    <w:uiPriority w:val="0"/>
    <w:rPr>
      <w:sz w:val="21"/>
    </w:rPr>
  </w:style>
  <w:style w:type="character" w:customStyle="1" w:styleId="158">
    <w:name w:val="正文1 Char"/>
    <w:link w:val="159"/>
    <w:qFormat/>
    <w:uiPriority w:val="0"/>
    <w:rPr>
      <w:rFonts w:eastAsia="ˎ̥"/>
      <w:snapToGrid/>
      <w:sz w:val="24"/>
    </w:rPr>
  </w:style>
  <w:style w:type="paragraph" w:customStyle="1" w:styleId="159">
    <w:name w:val="正文1"/>
    <w:basedOn w:val="1"/>
    <w:link w:val="158"/>
    <w:qFormat/>
    <w:uiPriority w:val="0"/>
    <w:pPr>
      <w:adjustRightInd w:val="0"/>
      <w:snapToGrid w:val="0"/>
      <w:spacing w:line="480" w:lineRule="exact"/>
      <w:ind w:firstLine="200" w:firstLineChars="200"/>
    </w:pPr>
    <w:rPr>
      <w:rFonts w:eastAsia="ˎ̥"/>
      <w:kern w:val="0"/>
      <w:sz w:val="24"/>
      <w:szCs w:val="20"/>
    </w:rPr>
  </w:style>
  <w:style w:type="character" w:customStyle="1" w:styleId="160">
    <w:name w:val="样式2 Char"/>
    <w:link w:val="161"/>
    <w:qFormat/>
    <w:uiPriority w:val="0"/>
    <w:rPr>
      <w:rFonts w:ascii="ˎ̥" w:hAnsi="ˎ̥" w:eastAsia="ˎ̥"/>
      <w:snapToGrid/>
      <w:kern w:val="2"/>
      <w:sz w:val="24"/>
    </w:rPr>
  </w:style>
  <w:style w:type="paragraph" w:customStyle="1" w:styleId="161">
    <w:name w:val="样式2"/>
    <w:basedOn w:val="1"/>
    <w:link w:val="160"/>
    <w:qFormat/>
    <w:uiPriority w:val="0"/>
    <w:pPr>
      <w:widowControl/>
      <w:snapToGrid w:val="0"/>
      <w:spacing w:line="440" w:lineRule="exact"/>
      <w:ind w:firstLine="200" w:firstLineChars="200"/>
      <w:jc w:val="left"/>
    </w:pPr>
    <w:rPr>
      <w:rFonts w:ascii="ˎ̥" w:hAnsi="ˎ̥" w:eastAsia="ˎ̥"/>
      <w:sz w:val="24"/>
      <w:szCs w:val="20"/>
    </w:rPr>
  </w:style>
  <w:style w:type="character" w:customStyle="1" w:styleId="162">
    <w:name w:val="16"/>
    <w:qFormat/>
    <w:uiPriority w:val="0"/>
    <w:rPr>
      <w:rFonts w:hint="default" w:ascii="Times New Roman" w:hAnsi="Times New Roman" w:cs="Times New Roman"/>
      <w:color w:val="0000FF"/>
      <w:u w:val="single"/>
    </w:rPr>
  </w:style>
  <w:style w:type="character" w:customStyle="1" w:styleId="163">
    <w:name w:val="标题1"/>
    <w:qFormat/>
    <w:uiPriority w:val="0"/>
  </w:style>
  <w:style w:type="character" w:customStyle="1" w:styleId="164">
    <w:name w:val="批注文字 字符1"/>
    <w:semiHidden/>
    <w:qFormat/>
    <w:uiPriority w:val="0"/>
    <w:rPr>
      <w:rFonts w:ascii="Times New Roman" w:hAnsi="Times New Roman" w:eastAsia="宋体" w:cs="Times New Roman"/>
      <w:sz w:val="24"/>
      <w:szCs w:val="24"/>
    </w:rPr>
  </w:style>
  <w:style w:type="character" w:customStyle="1" w:styleId="165">
    <w:name w:val="注释标题 Char1"/>
    <w:semiHidden/>
    <w:qFormat/>
    <w:locked/>
    <w:uiPriority w:val="99"/>
    <w:rPr>
      <w:kern w:val="2"/>
      <w:sz w:val="24"/>
      <w:szCs w:val="24"/>
    </w:rPr>
  </w:style>
  <w:style w:type="character" w:customStyle="1" w:styleId="166">
    <w:name w:val="报告正文 字符"/>
    <w:qFormat/>
    <w:locked/>
    <w:uiPriority w:val="0"/>
    <w:rPr>
      <w:color w:val="000000"/>
      <w:kern w:val="2"/>
      <w:sz w:val="24"/>
      <w:szCs w:val="24"/>
    </w:rPr>
  </w:style>
  <w:style w:type="character" w:customStyle="1" w:styleId="167">
    <w:name w:val="尾注文本 Char1"/>
    <w:qFormat/>
    <w:uiPriority w:val="0"/>
    <w:rPr>
      <w:kern w:val="2"/>
      <w:sz w:val="21"/>
      <w:szCs w:val="24"/>
    </w:rPr>
  </w:style>
  <w:style w:type="character" w:customStyle="1" w:styleId="168">
    <w:name w:val="14"/>
    <w:qFormat/>
    <w:uiPriority w:val="0"/>
  </w:style>
  <w:style w:type="character" w:customStyle="1" w:styleId="169">
    <w:name w:val="页眉 Char1"/>
    <w:semiHidden/>
    <w:qFormat/>
    <w:uiPriority w:val="99"/>
    <w:rPr>
      <w:kern w:val="2"/>
      <w:sz w:val="18"/>
      <w:szCs w:val="18"/>
    </w:rPr>
  </w:style>
  <w:style w:type="character" w:customStyle="1" w:styleId="170">
    <w:name w:val="普通文字 Char1"/>
    <w:qFormat/>
    <w:uiPriority w:val="0"/>
    <w:rPr>
      <w:rFonts w:ascii="ˎ̥" w:hAnsi="ˎ̥" w:eastAsia="ˎ̥"/>
      <w:kern w:val="2"/>
      <w:sz w:val="21"/>
      <w:lang w:val="en-US" w:eastAsia="zh-CN"/>
    </w:rPr>
  </w:style>
  <w:style w:type="character" w:customStyle="1" w:styleId="171">
    <w:name w:val="纯文本 Char"/>
    <w:qFormat/>
    <w:uiPriority w:val="0"/>
    <w:rPr>
      <w:rFonts w:ascii="宋体" w:hAnsi="Courier New" w:cs="Courier New"/>
      <w:kern w:val="2"/>
      <w:sz w:val="21"/>
      <w:szCs w:val="21"/>
    </w:rPr>
  </w:style>
  <w:style w:type="character" w:customStyle="1" w:styleId="172">
    <w:name w:val="样式 标题 3 + 宋体 四号 Char Char"/>
    <w:link w:val="173"/>
    <w:qFormat/>
    <w:uiPriority w:val="0"/>
    <w:rPr>
      <w:rFonts w:ascii="ˎ̥" w:hAnsi="ˎ̥" w:eastAsia="ˎ̥"/>
      <w:b/>
      <w:kern w:val="2"/>
      <w:sz w:val="28"/>
    </w:rPr>
  </w:style>
  <w:style w:type="paragraph" w:customStyle="1" w:styleId="173">
    <w:name w:val="样式 标题 3 + 宋体 四号 Char"/>
    <w:basedOn w:val="4"/>
    <w:link w:val="172"/>
    <w:qFormat/>
    <w:uiPriority w:val="0"/>
    <w:pPr>
      <w:widowControl w:val="0"/>
      <w:spacing w:before="249" w:beforeLines="80" w:after="124" w:afterLines="40" w:line="360" w:lineRule="auto"/>
      <w:ind w:left="200" w:leftChars="200"/>
    </w:pPr>
    <w:rPr>
      <w:rFonts w:ascii="ˎ̥" w:hAnsi="ˎ̥"/>
      <w:b/>
      <w:sz w:val="28"/>
    </w:rPr>
  </w:style>
  <w:style w:type="character" w:customStyle="1" w:styleId="174">
    <w:name w:val="dan7-1 Char"/>
    <w:link w:val="175"/>
    <w:qFormat/>
    <w:uiPriority w:val="0"/>
    <w:rPr>
      <w:rFonts w:eastAsia="ˎ̥"/>
      <w:kern w:val="2"/>
      <w:sz w:val="24"/>
    </w:rPr>
  </w:style>
  <w:style w:type="paragraph" w:customStyle="1" w:styleId="175">
    <w:name w:val="dan7-1"/>
    <w:basedOn w:val="1"/>
    <w:link w:val="174"/>
    <w:qFormat/>
    <w:uiPriority w:val="0"/>
    <w:pPr>
      <w:spacing w:before="40" w:after="40" w:line="360" w:lineRule="auto"/>
      <w:ind w:firstLine="200" w:firstLineChars="200"/>
    </w:pPr>
    <w:rPr>
      <w:rFonts w:eastAsia="ˎ̥"/>
      <w:sz w:val="24"/>
      <w:szCs w:val="20"/>
    </w:rPr>
  </w:style>
  <w:style w:type="character" w:customStyle="1" w:styleId="176">
    <w:name w:val="kait"/>
    <w:qFormat/>
    <w:uiPriority w:val="0"/>
  </w:style>
  <w:style w:type="character" w:customStyle="1" w:styleId="177">
    <w:name w:val="正文(首行缩进) Char Char"/>
    <w:qFormat/>
    <w:locked/>
    <w:uiPriority w:val="0"/>
    <w:rPr>
      <w:kern w:val="2"/>
      <w:sz w:val="24"/>
      <w:szCs w:val="24"/>
    </w:rPr>
  </w:style>
  <w:style w:type="character" w:customStyle="1" w:styleId="178">
    <w:name w:val="hei141"/>
    <w:qFormat/>
    <w:uiPriority w:val="0"/>
    <w:rPr>
      <w:rFonts w:hint="eastAsia" w:ascii="华文新魏" w:hAnsi="华文新魏" w:eastAsia="华文新魏"/>
      <w:color w:val="000000"/>
      <w:sz w:val="21"/>
      <w:szCs w:val="21"/>
      <w:u w:val="none"/>
    </w:rPr>
  </w:style>
  <w:style w:type="character" w:customStyle="1" w:styleId="179">
    <w:name w:val="标题 2 Char Char Char"/>
    <w:qFormat/>
    <w:uiPriority w:val="0"/>
    <w:rPr>
      <w:rFonts w:ascii="ˎ̥" w:hAnsi="ˎ̥" w:eastAsia="ˎ̥"/>
      <w:sz w:val="28"/>
      <w:lang w:val="en-US" w:eastAsia="zh-CN"/>
    </w:rPr>
  </w:style>
  <w:style w:type="character" w:customStyle="1" w:styleId="180">
    <w:name w:val="Default Char"/>
    <w:link w:val="181"/>
    <w:qFormat/>
    <w:locked/>
    <w:uiPriority w:val="0"/>
    <w:rPr>
      <w:rFonts w:ascii="ˎ̥" w:eastAsia="ˎ̥"/>
      <w:color w:val="000000"/>
      <w:sz w:val="24"/>
      <w:lang w:val="en-US" w:eastAsia="zh-CN" w:bidi="ar-SA"/>
    </w:rPr>
  </w:style>
  <w:style w:type="paragraph" w:customStyle="1" w:styleId="181">
    <w:name w:val="Default"/>
    <w:basedOn w:val="182"/>
    <w:next w:val="1"/>
    <w:link w:val="180"/>
    <w:qFormat/>
    <w:uiPriority w:val="0"/>
    <w:pPr>
      <w:autoSpaceDE w:val="0"/>
      <w:autoSpaceDN w:val="0"/>
    </w:pPr>
    <w:rPr>
      <w:rFonts w:ascii="ˎ̥" w:eastAsia="ˎ̥"/>
      <w:color w:val="000000"/>
      <w:sz w:val="24"/>
    </w:rPr>
  </w:style>
  <w:style w:type="paragraph" w:customStyle="1" w:styleId="182">
    <w:name w:val="纯文本1"/>
    <w:basedOn w:val="1"/>
    <w:qFormat/>
    <w:uiPriority w:val="0"/>
    <w:pPr>
      <w:adjustRightInd w:val="0"/>
      <w:textAlignment w:val="baseline"/>
    </w:pPr>
    <w:rPr>
      <w:rFonts w:ascii="宋体" w:hAnsi="Courier New"/>
      <w:szCs w:val="20"/>
    </w:rPr>
  </w:style>
  <w:style w:type="character" w:customStyle="1" w:styleId="183">
    <w:name w:val="正文的文字 Char Char"/>
    <w:link w:val="184"/>
    <w:qFormat/>
    <w:locked/>
    <w:uiPriority w:val="0"/>
    <w:rPr>
      <w:rFonts w:ascii="Calibri" w:hAnsi="Calibri"/>
      <w:kern w:val="2"/>
      <w:sz w:val="26"/>
      <w:lang w:val="en-US" w:eastAsia="zh-CN" w:bidi="ar-SA"/>
    </w:rPr>
  </w:style>
  <w:style w:type="paragraph" w:customStyle="1" w:styleId="184">
    <w:name w:val="正文的文字"/>
    <w:link w:val="183"/>
    <w:qFormat/>
    <w:uiPriority w:val="0"/>
    <w:pPr>
      <w:widowControl w:val="0"/>
      <w:spacing w:line="360" w:lineRule="auto"/>
      <w:ind w:firstLine="200" w:firstLineChars="200"/>
      <w:jc w:val="both"/>
    </w:pPr>
    <w:rPr>
      <w:rFonts w:ascii="Calibri" w:hAnsi="Calibri" w:eastAsia="宋体" w:cs="Times New Roman"/>
      <w:kern w:val="2"/>
      <w:sz w:val="26"/>
      <w:lang w:val="en-US" w:eastAsia="zh-CN" w:bidi="ar-SA"/>
    </w:rPr>
  </w:style>
  <w:style w:type="character" w:customStyle="1" w:styleId="185">
    <w:name w:val="Char Char8"/>
    <w:qFormat/>
    <w:uiPriority w:val="0"/>
    <w:rPr>
      <w:rFonts w:ascii="ˎ̥" w:hAnsi="ˎ̥" w:eastAsia="ˎ̥"/>
      <w:kern w:val="2"/>
      <w:sz w:val="21"/>
      <w:lang w:val="en-US" w:eastAsia="zh-CN" w:bidi="ar-SA"/>
    </w:rPr>
  </w:style>
  <w:style w:type="character" w:customStyle="1" w:styleId="186">
    <w:name w:val="未命名51"/>
    <w:qFormat/>
    <w:uiPriority w:val="0"/>
    <w:rPr>
      <w:sz w:val="23"/>
    </w:rPr>
  </w:style>
  <w:style w:type="character" w:customStyle="1" w:styleId="187">
    <w:name w:val="项目表头 Char Char"/>
    <w:link w:val="188"/>
    <w:qFormat/>
    <w:locked/>
    <w:uiPriority w:val="0"/>
    <w:rPr>
      <w:rFonts w:ascii="Calibri" w:hAnsi="Calibri"/>
      <w:kern w:val="2"/>
      <w:sz w:val="21"/>
      <w:szCs w:val="26"/>
      <w:lang w:val="en-US" w:eastAsia="zh-CN" w:bidi="ar-SA"/>
    </w:rPr>
  </w:style>
  <w:style w:type="paragraph" w:customStyle="1" w:styleId="188">
    <w:name w:val="项目表头"/>
    <w:link w:val="187"/>
    <w:qFormat/>
    <w:uiPriority w:val="0"/>
    <w:pPr>
      <w:widowControl w:val="0"/>
    </w:pPr>
    <w:rPr>
      <w:rFonts w:ascii="Calibri" w:hAnsi="Calibri" w:eastAsia="宋体" w:cs="Times New Roman"/>
      <w:kern w:val="2"/>
      <w:sz w:val="21"/>
      <w:szCs w:val="26"/>
      <w:lang w:val="en-US" w:eastAsia="zh-CN" w:bidi="ar-SA"/>
    </w:rPr>
  </w:style>
  <w:style w:type="character" w:customStyle="1" w:styleId="189">
    <w:name w:val="正文1 Char Char"/>
    <w:qFormat/>
    <w:locked/>
    <w:uiPriority w:val="0"/>
    <w:rPr>
      <w:kern w:val="2"/>
      <w:sz w:val="28"/>
    </w:rPr>
  </w:style>
  <w:style w:type="character" w:customStyle="1" w:styleId="190">
    <w:name w:val="正文格式 Char"/>
    <w:link w:val="191"/>
    <w:qFormat/>
    <w:uiPriority w:val="0"/>
    <w:rPr>
      <w:rFonts w:eastAsia="ˎ̥" w:cs="ˎ̥"/>
      <w:kern w:val="2"/>
      <w:sz w:val="24"/>
      <w:szCs w:val="24"/>
    </w:rPr>
  </w:style>
  <w:style w:type="paragraph" w:customStyle="1" w:styleId="191">
    <w:name w:val="正文格式"/>
    <w:basedOn w:val="1"/>
    <w:link w:val="190"/>
    <w:qFormat/>
    <w:uiPriority w:val="0"/>
    <w:pPr>
      <w:spacing w:line="360" w:lineRule="auto"/>
      <w:ind w:firstLine="544" w:firstLineChars="200"/>
    </w:pPr>
    <w:rPr>
      <w:rFonts w:eastAsia="ˎ̥"/>
      <w:sz w:val="24"/>
    </w:rPr>
  </w:style>
  <w:style w:type="character" w:customStyle="1" w:styleId="192">
    <w:name w:val="正文（首行缩进） Char1"/>
    <w:link w:val="193"/>
    <w:qFormat/>
    <w:locked/>
    <w:uiPriority w:val="0"/>
    <w:rPr>
      <w:bCs/>
      <w:sz w:val="24"/>
      <w:szCs w:val="24"/>
      <w:lang w:val="en-US" w:eastAsia="zh-CN" w:bidi="ar-SA"/>
    </w:rPr>
  </w:style>
  <w:style w:type="paragraph" w:customStyle="1" w:styleId="193">
    <w:name w:val="正文（首行缩进）"/>
    <w:link w:val="192"/>
    <w:qFormat/>
    <w:uiPriority w:val="0"/>
    <w:pPr>
      <w:overflowPunct w:val="0"/>
      <w:topLinePunct/>
      <w:autoSpaceDE w:val="0"/>
      <w:autoSpaceDN w:val="0"/>
      <w:adjustRightInd w:val="0"/>
      <w:snapToGrid w:val="0"/>
      <w:spacing w:line="360" w:lineRule="auto"/>
      <w:ind w:firstLine="200" w:firstLineChars="200"/>
      <w:jc w:val="both"/>
    </w:pPr>
    <w:rPr>
      <w:rFonts w:ascii="Times New Roman" w:hAnsi="Times New Roman" w:eastAsia="宋体" w:cs="Times New Roman"/>
      <w:bCs/>
      <w:sz w:val="24"/>
      <w:szCs w:val="24"/>
      <w:lang w:val="en-US" w:eastAsia="zh-CN" w:bidi="ar-SA"/>
    </w:rPr>
  </w:style>
  <w:style w:type="character" w:customStyle="1" w:styleId="194">
    <w:name w:val="普通文字 Char Char Char Char"/>
    <w:qFormat/>
    <w:uiPriority w:val="0"/>
    <w:rPr>
      <w:rFonts w:ascii="ˎ̥" w:hAnsi="ˎ̥" w:eastAsia="ˎ̥"/>
      <w:kern w:val="2"/>
      <w:sz w:val="24"/>
      <w:lang w:val="en-US" w:eastAsia="zh-CN"/>
    </w:rPr>
  </w:style>
  <w:style w:type="character" w:customStyle="1" w:styleId="195">
    <w:name w:val="引用文章 Char"/>
    <w:link w:val="196"/>
    <w:qFormat/>
    <w:uiPriority w:val="0"/>
    <w:rPr>
      <w:rFonts w:eastAsia="ˎ̥"/>
      <w:kern w:val="2"/>
      <w:sz w:val="24"/>
    </w:rPr>
  </w:style>
  <w:style w:type="paragraph" w:customStyle="1" w:styleId="196">
    <w:name w:val="引用文章"/>
    <w:basedOn w:val="1"/>
    <w:link w:val="195"/>
    <w:qFormat/>
    <w:uiPriority w:val="0"/>
    <w:pPr>
      <w:spacing w:line="360" w:lineRule="auto"/>
      <w:ind w:firstLine="420" w:firstLineChars="200"/>
    </w:pPr>
    <w:rPr>
      <w:rFonts w:eastAsia="ˎ̥"/>
      <w:sz w:val="24"/>
      <w:szCs w:val="20"/>
    </w:rPr>
  </w:style>
  <w:style w:type="character" w:customStyle="1" w:styleId="197">
    <w:name w:val="表标题 Char Char"/>
    <w:link w:val="198"/>
    <w:qFormat/>
    <w:locked/>
    <w:uiPriority w:val="0"/>
    <w:rPr>
      <w:rFonts w:ascii="ˎ̥" w:hAnsi="ˎ̥"/>
      <w:kern w:val="1"/>
      <w:sz w:val="24"/>
    </w:rPr>
  </w:style>
  <w:style w:type="paragraph" w:customStyle="1" w:styleId="198">
    <w:name w:val="表标题"/>
    <w:basedOn w:val="1"/>
    <w:link w:val="197"/>
    <w:qFormat/>
    <w:uiPriority w:val="0"/>
    <w:pPr>
      <w:suppressAutoHyphens/>
      <w:spacing w:before="200" w:line="394" w:lineRule="atLeast"/>
      <w:ind w:firstLine="480" w:firstLineChars="200"/>
      <w:textAlignment w:val="baseline"/>
    </w:pPr>
    <w:rPr>
      <w:rFonts w:ascii="ˎ̥" w:hAnsi="ˎ̥"/>
      <w:kern w:val="1"/>
      <w:sz w:val="24"/>
      <w:szCs w:val="20"/>
    </w:rPr>
  </w:style>
  <w:style w:type="character" w:customStyle="1" w:styleId="199">
    <w:name w:val="14bv11"/>
    <w:qFormat/>
    <w:uiPriority w:val="0"/>
    <w:rPr>
      <w:b/>
      <w:color w:val="6595D6"/>
      <w:sz w:val="21"/>
      <w:u w:val="none"/>
    </w:rPr>
  </w:style>
  <w:style w:type="character" w:customStyle="1" w:styleId="200">
    <w:name w:val="表内容 Char"/>
    <w:link w:val="201"/>
    <w:qFormat/>
    <w:locked/>
    <w:uiPriority w:val="0"/>
    <w:rPr>
      <w:szCs w:val="28"/>
    </w:rPr>
  </w:style>
  <w:style w:type="paragraph" w:customStyle="1" w:styleId="201">
    <w:name w:val="表内容"/>
    <w:basedOn w:val="1"/>
    <w:link w:val="200"/>
    <w:qFormat/>
    <w:uiPriority w:val="0"/>
    <w:rPr>
      <w:kern w:val="0"/>
      <w:sz w:val="20"/>
      <w:szCs w:val="28"/>
    </w:rPr>
  </w:style>
  <w:style w:type="character" w:customStyle="1" w:styleId="202">
    <w:name w:val="heading1"/>
    <w:qFormat/>
    <w:uiPriority w:val="0"/>
    <w:rPr>
      <w:rFonts w:hint="default" w:ascii="ˎ̥" w:hAnsi="ˎ̥"/>
      <w:b/>
      <w:i/>
      <w:color w:val="000000"/>
      <w:sz w:val="32"/>
    </w:rPr>
  </w:style>
  <w:style w:type="character" w:customStyle="1" w:styleId="203">
    <w:name w:val="信息标题 Char"/>
    <w:qFormat/>
    <w:uiPriority w:val="0"/>
    <w:rPr>
      <w:rFonts w:ascii="Cambria" w:hAnsi="Cambria" w:eastAsia="宋体" w:cs="Times New Roman"/>
      <w:kern w:val="2"/>
      <w:sz w:val="24"/>
      <w:szCs w:val="24"/>
      <w:shd w:val="pct20" w:color="auto" w:fill="auto"/>
    </w:rPr>
  </w:style>
  <w:style w:type="character" w:customStyle="1" w:styleId="204">
    <w:name w:val="表格中的文字 Char Char"/>
    <w:link w:val="205"/>
    <w:qFormat/>
    <w:locked/>
    <w:uiPriority w:val="0"/>
    <w:rPr>
      <w:rFonts w:ascii="Calibri" w:hAnsi="Calibri" w:cs="宋体"/>
      <w:lang w:val="en-US" w:eastAsia="zh-CN" w:bidi="ar-SA"/>
    </w:rPr>
  </w:style>
  <w:style w:type="paragraph" w:customStyle="1" w:styleId="205">
    <w:name w:val="表格中的文字"/>
    <w:link w:val="204"/>
    <w:qFormat/>
    <w:uiPriority w:val="0"/>
    <w:pPr>
      <w:widowControl w:val="0"/>
      <w:jc w:val="center"/>
    </w:pPr>
    <w:rPr>
      <w:rFonts w:ascii="Calibri" w:hAnsi="Calibri" w:eastAsia="宋体" w:cs="宋体"/>
      <w:lang w:val="en-US" w:eastAsia="zh-CN" w:bidi="ar-SA"/>
    </w:rPr>
  </w:style>
  <w:style w:type="character" w:customStyle="1" w:styleId="206">
    <w:name w:val="标题 3 Char Char2"/>
    <w:qFormat/>
    <w:uiPriority w:val="0"/>
    <w:rPr>
      <w:rFonts w:eastAsia="ˎ̥"/>
      <w:b/>
      <w:bCs/>
      <w:kern w:val="2"/>
      <w:sz w:val="32"/>
      <w:szCs w:val="32"/>
      <w:lang w:val="en-US" w:eastAsia="zh-CN" w:bidi="ar-SA"/>
    </w:rPr>
  </w:style>
  <w:style w:type="character" w:customStyle="1" w:styleId="207">
    <w:name w:val="Char Char Char"/>
    <w:qFormat/>
    <w:uiPriority w:val="0"/>
    <w:rPr>
      <w:rFonts w:ascii="ˎ̥" w:hAnsi="ˎ̥" w:eastAsia="ˎ̥"/>
      <w:b/>
      <w:kern w:val="44"/>
      <w:sz w:val="30"/>
      <w:lang w:val="en-US" w:eastAsia="zh-CN"/>
    </w:rPr>
  </w:style>
  <w:style w:type="character" w:customStyle="1" w:styleId="208">
    <w:name w:val="样式 宋体 小四 行距: 固定值 25 磅 Char Char Char Char Char"/>
    <w:link w:val="209"/>
    <w:qFormat/>
    <w:locked/>
    <w:uiPriority w:val="0"/>
    <w:rPr>
      <w:rFonts w:ascii="宋体" w:hAnsi="宋体" w:cs="宋体"/>
      <w:kern w:val="2"/>
      <w:sz w:val="24"/>
      <w:szCs w:val="24"/>
      <w:lang w:val="en-US" w:eastAsia="zh-CN" w:bidi="ar-SA"/>
    </w:rPr>
  </w:style>
  <w:style w:type="paragraph" w:customStyle="1" w:styleId="209">
    <w:name w:val="样式 宋体 小四 行距: 固定值 25 磅 Char Char Char"/>
    <w:link w:val="208"/>
    <w:qFormat/>
    <w:uiPriority w:val="0"/>
    <w:pPr>
      <w:widowControl w:val="0"/>
      <w:spacing w:line="360" w:lineRule="auto"/>
      <w:ind w:firstLine="540" w:firstLineChars="225"/>
      <w:jc w:val="both"/>
    </w:pPr>
    <w:rPr>
      <w:rFonts w:ascii="宋体" w:hAnsi="宋体" w:eastAsia="宋体" w:cs="宋体"/>
      <w:kern w:val="2"/>
      <w:sz w:val="24"/>
      <w:szCs w:val="24"/>
      <w:lang w:val="en-US" w:eastAsia="zh-CN" w:bidi="ar-SA"/>
    </w:rPr>
  </w:style>
  <w:style w:type="character" w:customStyle="1" w:styleId="210">
    <w:name w:val="无间隔 字符"/>
    <w:link w:val="211"/>
    <w:qFormat/>
    <w:uiPriority w:val="0"/>
    <w:rPr>
      <w:kern w:val="2"/>
      <w:sz w:val="22"/>
      <w:lang w:val="en-US" w:eastAsia="zh-CN" w:bidi="ar-SA"/>
    </w:rPr>
  </w:style>
  <w:style w:type="paragraph" w:styleId="211">
    <w:name w:val="No Spacing"/>
    <w:link w:val="210"/>
    <w:qFormat/>
    <w:uiPriority w:val="0"/>
    <w:rPr>
      <w:rFonts w:ascii="Times New Roman" w:hAnsi="Times New Roman" w:eastAsia="宋体" w:cs="Times New Roman"/>
      <w:kern w:val="2"/>
      <w:sz w:val="22"/>
      <w:lang w:val="en-US" w:eastAsia="zh-CN" w:bidi="ar-SA"/>
    </w:rPr>
  </w:style>
  <w:style w:type="character" w:customStyle="1" w:styleId="212">
    <w:name w:val="样式 行距: 固定值 23 磅 首行缩进:  2.25 字符 Char Char"/>
    <w:link w:val="213"/>
    <w:qFormat/>
    <w:locked/>
    <w:uiPriority w:val="0"/>
    <w:rPr>
      <w:rFonts w:ascii="宋体" w:hAnsi="宋体" w:cs="宋体"/>
      <w:kern w:val="2"/>
      <w:sz w:val="24"/>
      <w:szCs w:val="24"/>
      <w:lang w:val="en-US" w:eastAsia="zh-CN" w:bidi="ar-SA"/>
    </w:rPr>
  </w:style>
  <w:style w:type="paragraph" w:customStyle="1" w:styleId="213">
    <w:name w:val="样式 行距: 固定值 23 磅 首行缩进:  2.25 字符"/>
    <w:link w:val="212"/>
    <w:qFormat/>
    <w:uiPriority w:val="0"/>
    <w:pPr>
      <w:widowControl w:val="0"/>
      <w:spacing w:line="360" w:lineRule="auto"/>
      <w:ind w:firstLine="225" w:firstLineChars="225"/>
    </w:pPr>
    <w:rPr>
      <w:rFonts w:ascii="宋体" w:hAnsi="宋体" w:eastAsia="宋体" w:cs="宋体"/>
      <w:kern w:val="2"/>
      <w:sz w:val="24"/>
      <w:szCs w:val="24"/>
      <w:lang w:val="en-US" w:eastAsia="zh-CN" w:bidi="ar-SA"/>
    </w:rPr>
  </w:style>
  <w:style w:type="character" w:customStyle="1" w:styleId="214">
    <w:name w:val="标题 1 Char Char Char1"/>
    <w:qFormat/>
    <w:uiPriority w:val="0"/>
    <w:rPr>
      <w:rFonts w:ascii="ˎ̥" w:hAnsi="ˎ̥" w:eastAsia="ˎ̥"/>
      <w:sz w:val="24"/>
      <w:lang w:val="en-US" w:eastAsia="zh-CN"/>
    </w:rPr>
  </w:style>
  <w:style w:type="character" w:customStyle="1" w:styleId="215">
    <w:name w:val="样式1 Char"/>
    <w:link w:val="216"/>
    <w:qFormat/>
    <w:uiPriority w:val="0"/>
    <w:rPr>
      <w:rFonts w:eastAsia="ˎ̥"/>
      <w:kern w:val="2"/>
      <w:sz w:val="24"/>
    </w:rPr>
  </w:style>
  <w:style w:type="paragraph" w:customStyle="1" w:styleId="216">
    <w:name w:val="样式1"/>
    <w:basedOn w:val="5"/>
    <w:link w:val="215"/>
    <w:qFormat/>
    <w:uiPriority w:val="0"/>
    <w:pPr>
      <w:widowControl/>
      <w:snapToGrid w:val="0"/>
      <w:spacing w:before="0" w:after="0" w:line="480" w:lineRule="atLeast"/>
      <w:ind w:firstLine="454"/>
    </w:pPr>
    <w:rPr>
      <w:rFonts w:ascii="Times New Roman" w:hAnsi="Times New Roman"/>
      <w:b w:val="0"/>
      <w:bCs w:val="0"/>
      <w:sz w:val="24"/>
      <w:szCs w:val="20"/>
    </w:rPr>
  </w:style>
  <w:style w:type="character" w:customStyle="1" w:styleId="217">
    <w:name w:val="0031"/>
    <w:qFormat/>
    <w:uiPriority w:val="0"/>
    <w:rPr>
      <w:sz w:val="21"/>
    </w:rPr>
  </w:style>
  <w:style w:type="character" w:customStyle="1" w:styleId="218">
    <w:name w:val="热电厂正文 Char"/>
    <w:link w:val="219"/>
    <w:qFormat/>
    <w:uiPriority w:val="0"/>
    <w:rPr>
      <w:rFonts w:eastAsia="ˎ̥"/>
      <w:kern w:val="2"/>
      <w:sz w:val="24"/>
    </w:rPr>
  </w:style>
  <w:style w:type="paragraph" w:customStyle="1" w:styleId="219">
    <w:name w:val="热电厂正文"/>
    <w:basedOn w:val="1"/>
    <w:link w:val="218"/>
    <w:qFormat/>
    <w:uiPriority w:val="0"/>
    <w:pPr>
      <w:spacing w:line="440" w:lineRule="exact"/>
      <w:ind w:firstLine="480" w:firstLineChars="200"/>
    </w:pPr>
    <w:rPr>
      <w:rFonts w:eastAsia="ˎ̥"/>
      <w:sz w:val="24"/>
      <w:szCs w:val="20"/>
    </w:rPr>
  </w:style>
  <w:style w:type="character" w:customStyle="1" w:styleId="220">
    <w:name w:val="正文文本缩进 Char Char"/>
    <w:qFormat/>
    <w:uiPriority w:val="0"/>
    <w:rPr>
      <w:rFonts w:ascii="ˎ̥" w:hAnsi="ˎ̥" w:eastAsia="ˎ̥"/>
      <w:color w:val="000000"/>
      <w:kern w:val="2"/>
      <w:sz w:val="21"/>
      <w:lang w:val="zh-CN" w:eastAsia="zh-CN"/>
    </w:rPr>
  </w:style>
  <w:style w:type="character" w:customStyle="1" w:styleId="221">
    <w:name w:val="环小四表题 Char"/>
    <w:link w:val="222"/>
    <w:qFormat/>
    <w:locked/>
    <w:uiPriority w:val="0"/>
    <w:rPr>
      <w:rFonts w:ascii="宋体" w:hAnsi="宋体"/>
      <w:b/>
      <w:kern w:val="2"/>
      <w:sz w:val="24"/>
      <w:szCs w:val="24"/>
      <w:lang w:val="en-US" w:eastAsia="zh-CN" w:bidi="ar-SA"/>
    </w:rPr>
  </w:style>
  <w:style w:type="paragraph" w:customStyle="1" w:styleId="222">
    <w:name w:val="环小四表题"/>
    <w:link w:val="221"/>
    <w:qFormat/>
    <w:uiPriority w:val="0"/>
    <w:pPr>
      <w:widowControl w:val="0"/>
      <w:wordWrap w:val="0"/>
      <w:spacing w:line="400" w:lineRule="exact"/>
      <w:jc w:val="center"/>
    </w:pPr>
    <w:rPr>
      <w:rFonts w:ascii="宋体" w:hAnsi="宋体" w:eastAsia="宋体" w:cs="Times New Roman"/>
      <w:b/>
      <w:kern w:val="2"/>
      <w:sz w:val="24"/>
      <w:szCs w:val="24"/>
      <w:lang w:val="en-US" w:eastAsia="zh-CN" w:bidi="ar-SA"/>
    </w:rPr>
  </w:style>
  <w:style w:type="character" w:customStyle="1" w:styleId="223">
    <w:name w:val="副标题 Char"/>
    <w:qFormat/>
    <w:uiPriority w:val="0"/>
    <w:rPr>
      <w:rFonts w:ascii="Cambria" w:hAnsi="Cambria" w:cs="Times New Roman"/>
      <w:b/>
      <w:bCs/>
      <w:kern w:val="28"/>
      <w:sz w:val="32"/>
      <w:szCs w:val="32"/>
    </w:rPr>
  </w:style>
  <w:style w:type="character" w:customStyle="1" w:styleId="224">
    <w:name w:val="text_l1"/>
    <w:qFormat/>
    <w:uiPriority w:val="0"/>
    <w:rPr>
      <w:color w:val="000066"/>
      <w:sz w:val="18"/>
    </w:rPr>
  </w:style>
  <w:style w:type="character" w:customStyle="1" w:styleId="225">
    <w:name w:val="char"/>
    <w:qFormat/>
    <w:uiPriority w:val="0"/>
  </w:style>
  <w:style w:type="character" w:customStyle="1" w:styleId="226">
    <w:name w:val="样式 样式 首行缩进:  2 字符 行距: 最小值 24 磅 + 首行缩进:  2 字符 Char Char"/>
    <w:link w:val="227"/>
    <w:qFormat/>
    <w:uiPriority w:val="0"/>
    <w:rPr>
      <w:rFonts w:eastAsia="ˎ̥"/>
      <w:kern w:val="2"/>
      <w:sz w:val="24"/>
    </w:rPr>
  </w:style>
  <w:style w:type="paragraph" w:customStyle="1" w:styleId="227">
    <w:name w:val="样式 样式 首行缩进:  2 字符 行距: 最小值 24 磅 + 首行缩进:  2 字符 Char"/>
    <w:basedOn w:val="1"/>
    <w:link w:val="226"/>
    <w:qFormat/>
    <w:uiPriority w:val="0"/>
    <w:pPr>
      <w:spacing w:line="480" w:lineRule="atLeast"/>
      <w:ind w:firstLine="480" w:firstLineChars="200"/>
    </w:pPr>
    <w:rPr>
      <w:rFonts w:eastAsia="ˎ̥"/>
      <w:sz w:val="24"/>
      <w:szCs w:val="20"/>
    </w:rPr>
  </w:style>
  <w:style w:type="character" w:customStyle="1" w:styleId="228">
    <w:name w:val="正文文字 Char1"/>
    <w:qFormat/>
    <w:uiPriority w:val="0"/>
    <w:rPr>
      <w:rFonts w:ascii="ˎ̥" w:hAnsi="ˎ̥" w:eastAsia="ˎ̥"/>
      <w:kern w:val="2"/>
      <w:sz w:val="24"/>
      <w:lang w:val="en-US" w:eastAsia="zh-CN"/>
    </w:rPr>
  </w:style>
  <w:style w:type="character" w:customStyle="1" w:styleId="229">
    <w:name w:val="标题 5 Char"/>
    <w:qFormat/>
    <w:uiPriority w:val="0"/>
    <w:rPr>
      <w:b/>
      <w:bCs/>
      <w:kern w:val="2"/>
      <w:sz w:val="28"/>
      <w:szCs w:val="28"/>
    </w:rPr>
  </w:style>
  <w:style w:type="character" w:customStyle="1" w:styleId="230">
    <w:name w:val="正文(首行缩进) Char"/>
    <w:link w:val="231"/>
    <w:qFormat/>
    <w:uiPriority w:val="0"/>
    <w:rPr>
      <w:rFonts w:eastAsia="ˎ̥"/>
      <w:snapToGrid/>
      <w:sz w:val="24"/>
    </w:rPr>
  </w:style>
  <w:style w:type="paragraph" w:customStyle="1" w:styleId="231">
    <w:name w:val="正文(首行缩进)"/>
    <w:basedOn w:val="1"/>
    <w:link w:val="230"/>
    <w:qFormat/>
    <w:uiPriority w:val="0"/>
    <w:pPr>
      <w:adjustRightInd w:val="0"/>
      <w:snapToGrid w:val="0"/>
      <w:spacing w:line="360" w:lineRule="auto"/>
      <w:ind w:firstLine="200" w:firstLineChars="200"/>
    </w:pPr>
    <w:rPr>
      <w:rFonts w:eastAsia="ˎ̥"/>
      <w:kern w:val="0"/>
      <w:sz w:val="24"/>
      <w:szCs w:val="20"/>
    </w:rPr>
  </w:style>
  <w:style w:type="character" w:customStyle="1" w:styleId="232">
    <w:name w:val="tit02"/>
    <w:qFormat/>
    <w:uiPriority w:val="0"/>
  </w:style>
  <w:style w:type="character" w:customStyle="1" w:styleId="233">
    <w:name w:val="表格 Char Char Char"/>
    <w:qFormat/>
    <w:uiPriority w:val="0"/>
    <w:rPr>
      <w:rFonts w:hint="eastAsia" w:ascii="宋体" w:hAnsi="宋体" w:eastAsia="宋体"/>
      <w:kern w:val="2"/>
      <w:sz w:val="21"/>
      <w:szCs w:val="21"/>
      <w:lang w:val="en-US" w:eastAsia="zh-CN" w:bidi="ar-SA"/>
    </w:rPr>
  </w:style>
  <w:style w:type="character" w:customStyle="1" w:styleId="234">
    <w:name w:val="正文文本 3 Char1"/>
    <w:qFormat/>
    <w:uiPriority w:val="99"/>
    <w:rPr>
      <w:kern w:val="2"/>
      <w:sz w:val="16"/>
      <w:szCs w:val="16"/>
    </w:rPr>
  </w:style>
  <w:style w:type="character" w:customStyle="1" w:styleId="235">
    <w:name w:val="Char Char1"/>
    <w:qFormat/>
    <w:uiPriority w:val="0"/>
    <w:rPr>
      <w:rFonts w:eastAsia="ˎ̥"/>
      <w:kern w:val="2"/>
      <w:sz w:val="21"/>
      <w:lang w:val="en-US" w:eastAsia="zh-CN"/>
    </w:rPr>
  </w:style>
  <w:style w:type="character" w:customStyle="1" w:styleId="236">
    <w:name w:val="正文文本 2 Char1"/>
    <w:qFormat/>
    <w:uiPriority w:val="0"/>
    <w:rPr>
      <w:kern w:val="2"/>
      <w:sz w:val="21"/>
      <w:szCs w:val="24"/>
    </w:rPr>
  </w:style>
  <w:style w:type="character" w:customStyle="1" w:styleId="237">
    <w:name w:val="headline-content"/>
    <w:qFormat/>
    <w:uiPriority w:val="0"/>
  </w:style>
  <w:style w:type="character" w:customStyle="1" w:styleId="238">
    <w:name w:val="标题 1 Char Char1"/>
    <w:qFormat/>
    <w:uiPriority w:val="0"/>
    <w:rPr>
      <w:rFonts w:ascii="ˎ̥" w:hAnsi="ˎ̥" w:eastAsia="ˎ̥"/>
      <w:sz w:val="24"/>
      <w:lang w:val="en-US" w:eastAsia="zh-CN"/>
    </w:rPr>
  </w:style>
  <w:style w:type="character" w:customStyle="1" w:styleId="239">
    <w:name w:val="正文首行缩进 Char1"/>
    <w:semiHidden/>
    <w:qFormat/>
    <w:locked/>
    <w:uiPriority w:val="99"/>
  </w:style>
  <w:style w:type="character" w:customStyle="1" w:styleId="240">
    <w:name w:val="正文文本 Char1"/>
    <w:semiHidden/>
    <w:qFormat/>
    <w:locked/>
    <w:uiPriority w:val="99"/>
    <w:rPr>
      <w:kern w:val="2"/>
      <w:sz w:val="24"/>
    </w:rPr>
  </w:style>
  <w:style w:type="character" w:customStyle="1" w:styleId="241">
    <w:name w:val="style151"/>
    <w:qFormat/>
    <w:uiPriority w:val="0"/>
    <w:rPr>
      <w:rFonts w:hint="eastAsia" w:ascii="黑体" w:hAnsi="黑体" w:eastAsia="黑体"/>
      <w:snapToGrid w:val="0"/>
      <w:color w:val="000000"/>
      <w:kern w:val="2"/>
      <w:sz w:val="24"/>
      <w:szCs w:val="24"/>
      <w:lang w:val="en-US" w:eastAsia="zh-CN" w:bidi="ar-SA"/>
    </w:rPr>
  </w:style>
  <w:style w:type="character" w:customStyle="1" w:styleId="242">
    <w:name w:val="正文文本缩进 3 Char Char Char"/>
    <w:qFormat/>
    <w:uiPriority w:val="0"/>
    <w:rPr>
      <w:rFonts w:eastAsia="ˎ̥"/>
      <w:kern w:val="2"/>
      <w:sz w:val="16"/>
      <w:lang w:val="en-US" w:eastAsia="zh-CN"/>
    </w:rPr>
  </w:style>
  <w:style w:type="character" w:customStyle="1" w:styleId="243">
    <w:name w:val="新正文样式 Char"/>
    <w:link w:val="244"/>
    <w:qFormat/>
    <w:uiPriority w:val="0"/>
    <w:rPr>
      <w:rFonts w:eastAsia="ˎ̥"/>
      <w:spacing w:val="20"/>
      <w:kern w:val="2"/>
      <w:sz w:val="24"/>
    </w:rPr>
  </w:style>
  <w:style w:type="paragraph" w:customStyle="1" w:styleId="244">
    <w:name w:val="新正文样式"/>
    <w:basedOn w:val="1"/>
    <w:link w:val="243"/>
    <w:qFormat/>
    <w:uiPriority w:val="0"/>
    <w:pPr>
      <w:tabs>
        <w:tab w:val="left" w:pos="567"/>
      </w:tabs>
      <w:spacing w:line="360" w:lineRule="auto"/>
      <w:ind w:firstLine="567"/>
    </w:pPr>
    <w:rPr>
      <w:rFonts w:eastAsia="ˎ̥"/>
      <w:spacing w:val="20"/>
      <w:sz w:val="24"/>
      <w:szCs w:val="20"/>
    </w:rPr>
  </w:style>
  <w:style w:type="character" w:customStyle="1" w:styleId="245">
    <w:name w:val="纯文本 Char Char"/>
    <w:qFormat/>
    <w:uiPriority w:val="0"/>
    <w:rPr>
      <w:rFonts w:hint="eastAsia" w:ascii="宋体" w:hAnsi="Courier New" w:eastAsia="宋体"/>
      <w:spacing w:val="5"/>
      <w:kern w:val="2"/>
      <w:sz w:val="25"/>
      <w:szCs w:val="25"/>
      <w:lang w:val="en-US" w:eastAsia="zh-CN" w:bidi="ar-SA"/>
    </w:rPr>
  </w:style>
  <w:style w:type="character" w:customStyle="1" w:styleId="246">
    <w:name w:val="unnamed11"/>
    <w:qFormat/>
    <w:uiPriority w:val="0"/>
    <w:rPr>
      <w:rFonts w:hint="eastAsia" w:ascii="ˎ̥" w:hAnsi="ˎ̥" w:eastAsia="ˎ̥"/>
      <w:sz w:val="18"/>
    </w:rPr>
  </w:style>
  <w:style w:type="character" w:customStyle="1" w:styleId="247">
    <w:name w:val="首行缩进"/>
    <w:qFormat/>
    <w:uiPriority w:val="0"/>
    <w:rPr>
      <w:rFonts w:ascii="ˎ̥" w:hAnsi="ˎ̥" w:eastAsia="ˎ̥"/>
      <w:kern w:val="2"/>
      <w:sz w:val="24"/>
      <w:lang w:val="en-US" w:eastAsia="zh-CN"/>
    </w:rPr>
  </w:style>
  <w:style w:type="character" w:customStyle="1" w:styleId="248">
    <w:name w:val="正文首行缩进 Char Char"/>
    <w:qFormat/>
    <w:uiPriority w:val="0"/>
  </w:style>
  <w:style w:type="character" w:customStyle="1" w:styleId="249">
    <w:name w:val="样式 首行缩进:  2 字符 Char1"/>
    <w:qFormat/>
    <w:locked/>
    <w:uiPriority w:val="0"/>
    <w:rPr>
      <w:rFonts w:ascii="宋体" w:hAnsi="宋体" w:cs="宋体"/>
      <w:kern w:val="2"/>
      <w:sz w:val="24"/>
    </w:rPr>
  </w:style>
  <w:style w:type="character" w:customStyle="1" w:styleId="250">
    <w:name w:val="正文缩进4 Char1"/>
    <w:qFormat/>
    <w:uiPriority w:val="0"/>
    <w:rPr>
      <w:rFonts w:eastAsia="ˎ̥"/>
      <w:kern w:val="2"/>
      <w:sz w:val="28"/>
      <w:lang w:val="en-US" w:eastAsia="zh-CN"/>
    </w:rPr>
  </w:style>
  <w:style w:type="character" w:customStyle="1" w:styleId="251">
    <w:name w:val="我的正文 Char Char"/>
    <w:link w:val="252"/>
    <w:qFormat/>
    <w:locked/>
    <w:uiPriority w:val="0"/>
    <w:rPr>
      <w:rFonts w:ascii="宋体" w:hAnsi="宋体" w:cs="宋体"/>
      <w:kern w:val="2"/>
      <w:sz w:val="24"/>
      <w:lang w:val="en-US" w:eastAsia="zh-CN" w:bidi="ar-SA"/>
    </w:rPr>
  </w:style>
  <w:style w:type="paragraph" w:customStyle="1" w:styleId="252">
    <w:name w:val="我的正文"/>
    <w:link w:val="251"/>
    <w:qFormat/>
    <w:uiPriority w:val="0"/>
    <w:pPr>
      <w:widowControl w:val="0"/>
      <w:spacing w:line="360" w:lineRule="auto"/>
      <w:ind w:firstLine="480" w:firstLineChars="200"/>
      <w:jc w:val="both"/>
    </w:pPr>
    <w:rPr>
      <w:rFonts w:ascii="宋体" w:hAnsi="宋体" w:eastAsia="宋体" w:cs="宋体"/>
      <w:kern w:val="2"/>
      <w:sz w:val="24"/>
      <w:lang w:val="en-US" w:eastAsia="zh-CN" w:bidi="ar-SA"/>
    </w:rPr>
  </w:style>
  <w:style w:type="character" w:customStyle="1" w:styleId="253">
    <w:name w:val="正文缩进 Char"/>
    <w:qFormat/>
    <w:uiPriority w:val="0"/>
    <w:rPr>
      <w:rFonts w:eastAsia="ˎ̥"/>
      <w:kern w:val="2"/>
      <w:sz w:val="24"/>
      <w:lang w:val="en-US" w:eastAsia="zh-CN"/>
    </w:rPr>
  </w:style>
  <w:style w:type="character" w:customStyle="1" w:styleId="254">
    <w:name w:val="样式 首行缩进:  2 字符 Char"/>
    <w:link w:val="255"/>
    <w:qFormat/>
    <w:uiPriority w:val="0"/>
    <w:rPr>
      <w:rFonts w:eastAsia="ˎ̥"/>
      <w:kern w:val="2"/>
      <w:sz w:val="24"/>
    </w:rPr>
  </w:style>
  <w:style w:type="paragraph" w:customStyle="1" w:styleId="255">
    <w:name w:val="样式 首行缩进:  2 字符"/>
    <w:basedOn w:val="1"/>
    <w:link w:val="254"/>
    <w:qFormat/>
    <w:uiPriority w:val="0"/>
    <w:pPr>
      <w:spacing w:line="460" w:lineRule="exact"/>
      <w:ind w:firstLine="471"/>
    </w:pPr>
    <w:rPr>
      <w:rFonts w:eastAsia="ˎ̥"/>
      <w:sz w:val="24"/>
      <w:szCs w:val="20"/>
    </w:rPr>
  </w:style>
  <w:style w:type="character" w:customStyle="1" w:styleId="256">
    <w:name w:val="Body Text Indent 3 Char Char"/>
    <w:qFormat/>
    <w:uiPriority w:val="0"/>
    <w:rPr>
      <w:rFonts w:eastAsia="ˎ̥"/>
      <w:kern w:val="2"/>
      <w:sz w:val="16"/>
      <w:lang w:val="en-US" w:eastAsia="zh-CN"/>
    </w:rPr>
  </w:style>
  <w:style w:type="character" w:customStyle="1" w:styleId="257">
    <w:name w:val="b1"/>
    <w:qFormat/>
    <w:uiPriority w:val="0"/>
    <w:rPr>
      <w:rFonts w:hint="eastAsia" w:ascii="黑体" w:hAnsi="黑体" w:eastAsia="黑体"/>
      <w:snapToGrid w:val="0"/>
      <w:kern w:val="2"/>
      <w:sz w:val="24"/>
      <w:szCs w:val="24"/>
      <w:lang w:val="en-US" w:eastAsia="zh-CN" w:bidi="ar-SA"/>
    </w:rPr>
  </w:style>
  <w:style w:type="character" w:customStyle="1" w:styleId="258">
    <w:name w:val="ourfont2"/>
    <w:qFormat/>
    <w:uiPriority w:val="0"/>
    <w:rPr>
      <w:rFonts w:hint="eastAsia" w:ascii="黑体" w:hAnsi="黑体" w:eastAsia="黑体"/>
      <w:snapToGrid w:val="0"/>
      <w:kern w:val="2"/>
      <w:sz w:val="24"/>
      <w:szCs w:val="24"/>
      <w:lang w:val="en-US" w:eastAsia="zh-CN" w:bidi="ar-SA"/>
    </w:rPr>
  </w:style>
  <w:style w:type="character" w:customStyle="1" w:styleId="259">
    <w:name w:val="标题 3 Char1"/>
    <w:qFormat/>
    <w:uiPriority w:val="0"/>
    <w:rPr>
      <w:rFonts w:eastAsia="ˎ̥"/>
      <w:sz w:val="28"/>
      <w:lang w:val="en-US" w:eastAsia="zh-CN"/>
    </w:rPr>
  </w:style>
  <w:style w:type="character" w:customStyle="1" w:styleId="260">
    <w:name w:val="普通(网站) Char"/>
    <w:qFormat/>
    <w:locked/>
    <w:uiPriority w:val="0"/>
    <w:rPr>
      <w:rFonts w:ascii="宋体" w:hAnsi="宋体" w:eastAsia="宋体"/>
      <w:sz w:val="24"/>
    </w:rPr>
  </w:style>
  <w:style w:type="character" w:customStyle="1" w:styleId="261">
    <w:name w:val="Char Char15"/>
    <w:qFormat/>
    <w:uiPriority w:val="0"/>
    <w:rPr>
      <w:kern w:val="2"/>
      <w:sz w:val="24"/>
    </w:rPr>
  </w:style>
  <w:style w:type="character" w:customStyle="1" w:styleId="262">
    <w:name w:val="样式 报告正文 + 首行缩进:  2 字符 Char"/>
    <w:link w:val="263"/>
    <w:qFormat/>
    <w:uiPriority w:val="0"/>
    <w:rPr>
      <w:rFonts w:eastAsia="ˎ̥"/>
      <w:kern w:val="2"/>
      <w:sz w:val="24"/>
    </w:rPr>
  </w:style>
  <w:style w:type="paragraph" w:customStyle="1" w:styleId="263">
    <w:name w:val="样式 报告正文 + 首行缩进:  2 字符"/>
    <w:basedOn w:val="1"/>
    <w:link w:val="262"/>
    <w:qFormat/>
    <w:uiPriority w:val="0"/>
    <w:pPr>
      <w:autoSpaceDE w:val="0"/>
      <w:autoSpaceDN w:val="0"/>
      <w:spacing w:line="360" w:lineRule="auto"/>
      <w:ind w:firstLine="200" w:firstLineChars="200"/>
    </w:pPr>
    <w:rPr>
      <w:rFonts w:eastAsia="ˎ̥"/>
      <w:sz w:val="24"/>
      <w:szCs w:val="20"/>
    </w:rPr>
  </w:style>
  <w:style w:type="character" w:customStyle="1" w:styleId="264">
    <w:name w:val="报告正文 Char1"/>
    <w:link w:val="265"/>
    <w:qFormat/>
    <w:uiPriority w:val="0"/>
    <w:rPr>
      <w:rFonts w:eastAsia="ˎ̥"/>
      <w:kern w:val="2"/>
      <w:sz w:val="24"/>
    </w:rPr>
  </w:style>
  <w:style w:type="paragraph" w:customStyle="1" w:styleId="265">
    <w:name w:val="报告正文"/>
    <w:basedOn w:val="1"/>
    <w:link w:val="264"/>
    <w:qFormat/>
    <w:uiPriority w:val="0"/>
    <w:pPr>
      <w:spacing w:line="360" w:lineRule="auto"/>
    </w:pPr>
    <w:rPr>
      <w:rFonts w:eastAsia="ˎ̥"/>
      <w:sz w:val="24"/>
      <w:szCs w:val="20"/>
    </w:rPr>
  </w:style>
  <w:style w:type="character" w:customStyle="1" w:styleId="266">
    <w:name w:val="页脚 Char1"/>
    <w:semiHidden/>
    <w:qFormat/>
    <w:uiPriority w:val="0"/>
    <w:rPr>
      <w:kern w:val="2"/>
      <w:sz w:val="18"/>
      <w:szCs w:val="18"/>
    </w:rPr>
  </w:style>
  <w:style w:type="character" w:customStyle="1" w:styleId="267">
    <w:name w:val="Char Char9"/>
    <w:qFormat/>
    <w:uiPriority w:val="0"/>
    <w:rPr>
      <w:rFonts w:ascii="ˎ̥" w:hAnsi="Times New Roman" w:eastAsia="ˎ̥"/>
      <w:sz w:val="18"/>
    </w:rPr>
  </w:style>
  <w:style w:type="character" w:customStyle="1" w:styleId="268">
    <w:name w:val="HTML 地址 Char"/>
    <w:qFormat/>
    <w:uiPriority w:val="0"/>
    <w:rPr>
      <w:i/>
      <w:iCs/>
      <w:kern w:val="2"/>
      <w:sz w:val="21"/>
      <w:szCs w:val="24"/>
    </w:rPr>
  </w:style>
  <w:style w:type="character" w:customStyle="1" w:styleId="269">
    <w:name w:val="Char Char"/>
    <w:link w:val="270"/>
    <w:qFormat/>
    <w:uiPriority w:val="0"/>
    <w:rPr>
      <w:rFonts w:ascii="ˎ̥" w:hAnsi="ˎ̥" w:eastAsia="ˎ̥"/>
      <w:sz w:val="28"/>
    </w:rPr>
  </w:style>
  <w:style w:type="paragraph" w:customStyle="1" w:styleId="270">
    <w:name w:val="Char2"/>
    <w:basedOn w:val="1"/>
    <w:link w:val="269"/>
    <w:qFormat/>
    <w:uiPriority w:val="0"/>
    <w:pPr>
      <w:snapToGrid w:val="0"/>
      <w:spacing w:line="360" w:lineRule="auto"/>
      <w:ind w:firstLine="529" w:firstLineChars="200"/>
    </w:pPr>
    <w:rPr>
      <w:rFonts w:ascii="ˎ̥" w:hAnsi="ˎ̥" w:eastAsia="ˎ̥"/>
      <w:kern w:val="0"/>
      <w:sz w:val="28"/>
      <w:szCs w:val="20"/>
    </w:rPr>
  </w:style>
  <w:style w:type="character" w:customStyle="1" w:styleId="271">
    <w:name w:val="电子邮件签名 Char"/>
    <w:qFormat/>
    <w:uiPriority w:val="0"/>
    <w:rPr>
      <w:kern w:val="2"/>
      <w:sz w:val="21"/>
      <w:szCs w:val="24"/>
    </w:rPr>
  </w:style>
  <w:style w:type="character" w:customStyle="1" w:styleId="272">
    <w:name w:val="表文字 Char1"/>
    <w:link w:val="273"/>
    <w:qFormat/>
    <w:locked/>
    <w:uiPriority w:val="0"/>
    <w:rPr>
      <w:sz w:val="21"/>
      <w:lang w:val="en-US" w:eastAsia="zh-CN" w:bidi="ar-SA"/>
    </w:rPr>
  </w:style>
  <w:style w:type="paragraph" w:customStyle="1" w:styleId="273">
    <w:name w:val="表文字"/>
    <w:link w:val="272"/>
    <w:qFormat/>
    <w:uiPriority w:val="0"/>
    <w:rPr>
      <w:rFonts w:ascii="Times New Roman" w:hAnsi="Times New Roman" w:eastAsia="宋体" w:cs="Times New Roman"/>
      <w:sz w:val="21"/>
      <w:lang w:val="en-US" w:eastAsia="zh-CN" w:bidi="ar-SA"/>
    </w:rPr>
  </w:style>
  <w:style w:type="character" w:customStyle="1" w:styleId="274">
    <w:name w:val="HZZH正文 Char Char"/>
    <w:link w:val="275"/>
    <w:qFormat/>
    <w:locked/>
    <w:uiPriority w:val="0"/>
    <w:rPr>
      <w:rFonts w:ascii="宋体" w:hAnsi="宋体" w:cs="宋体"/>
      <w:sz w:val="24"/>
      <w:szCs w:val="24"/>
      <w:lang w:val="en-US" w:eastAsia="zh-CN" w:bidi="ar-SA"/>
    </w:rPr>
  </w:style>
  <w:style w:type="paragraph" w:customStyle="1" w:styleId="275">
    <w:name w:val="HZZH正文"/>
    <w:link w:val="274"/>
    <w:qFormat/>
    <w:uiPriority w:val="0"/>
    <w:pPr>
      <w:widowControl w:val="0"/>
      <w:overflowPunct w:val="0"/>
      <w:spacing w:line="360" w:lineRule="auto"/>
      <w:ind w:firstLine="480" w:firstLineChars="200"/>
      <w:jc w:val="both"/>
    </w:pPr>
    <w:rPr>
      <w:rFonts w:ascii="宋体" w:hAnsi="宋体" w:eastAsia="宋体" w:cs="宋体"/>
      <w:sz w:val="24"/>
      <w:szCs w:val="24"/>
      <w:lang w:val="en-US" w:eastAsia="zh-CN" w:bidi="ar-SA"/>
    </w:rPr>
  </w:style>
  <w:style w:type="character" w:customStyle="1" w:styleId="276">
    <w:name w:val="表格 Char Char"/>
    <w:qFormat/>
    <w:uiPriority w:val="0"/>
    <w:rPr>
      <w:rFonts w:hint="eastAsia" w:ascii="宋体" w:hAnsi="宋体" w:eastAsia="宋体"/>
      <w:kern w:val="2"/>
      <w:sz w:val="21"/>
      <w:lang w:val="en-US" w:eastAsia="zh-CN" w:bidi="ar-SA"/>
    </w:rPr>
  </w:style>
  <w:style w:type="character" w:customStyle="1" w:styleId="277">
    <w:name w:val="报告正文 Char Char"/>
    <w:qFormat/>
    <w:uiPriority w:val="0"/>
    <w:rPr>
      <w:rFonts w:ascii="ˎ̥" w:eastAsia="ˎ̥"/>
      <w:kern w:val="2"/>
      <w:sz w:val="24"/>
      <w:lang w:val="en-US" w:eastAsia="zh-CN" w:bidi="ar-SA"/>
    </w:rPr>
  </w:style>
  <w:style w:type="character" w:customStyle="1" w:styleId="278">
    <w:name w:val="节正文 Char"/>
    <w:link w:val="279"/>
    <w:qFormat/>
    <w:uiPriority w:val="0"/>
    <w:rPr>
      <w:rFonts w:ascii="ˎ̥" w:eastAsia="ˎ̥"/>
      <w:kern w:val="2"/>
      <w:sz w:val="24"/>
    </w:rPr>
  </w:style>
  <w:style w:type="paragraph" w:customStyle="1" w:styleId="279">
    <w:name w:val="节正文"/>
    <w:basedOn w:val="1"/>
    <w:link w:val="278"/>
    <w:qFormat/>
    <w:uiPriority w:val="0"/>
    <w:pPr>
      <w:autoSpaceDE w:val="0"/>
      <w:autoSpaceDN w:val="0"/>
      <w:adjustRightInd w:val="0"/>
      <w:spacing w:line="480" w:lineRule="exact"/>
      <w:ind w:firstLine="200" w:firstLineChars="200"/>
    </w:pPr>
    <w:rPr>
      <w:rFonts w:ascii="ˎ̥" w:eastAsia="ˎ̥"/>
      <w:sz w:val="24"/>
      <w:szCs w:val="20"/>
    </w:rPr>
  </w:style>
  <w:style w:type="character" w:customStyle="1" w:styleId="280">
    <w:name w:val="HTML 预设格式 Char1"/>
    <w:semiHidden/>
    <w:qFormat/>
    <w:locked/>
    <w:uiPriority w:val="0"/>
    <w:rPr>
      <w:rFonts w:ascii="Courier New" w:hAnsi="Courier New" w:cs="Courier New"/>
      <w:kern w:val="2"/>
    </w:rPr>
  </w:style>
  <w:style w:type="character" w:customStyle="1" w:styleId="281">
    <w:name w:val="报告书正文 Char"/>
    <w:qFormat/>
    <w:uiPriority w:val="0"/>
    <w:rPr>
      <w:rFonts w:hint="eastAsia" w:ascii="宋体" w:hAnsi="宋体" w:eastAsia="宋体"/>
      <w:kern w:val="2"/>
      <w:sz w:val="24"/>
      <w:lang w:val="en-US" w:eastAsia="zh-CN" w:bidi="ar-SA"/>
    </w:rPr>
  </w:style>
  <w:style w:type="character" w:customStyle="1" w:styleId="282">
    <w:name w:val="main1"/>
    <w:qFormat/>
    <w:uiPriority w:val="0"/>
    <w:rPr>
      <w:rFonts w:hint="default"/>
      <w:color w:val="0033CC"/>
      <w:sz w:val="18"/>
    </w:rPr>
  </w:style>
  <w:style w:type="character" w:customStyle="1" w:styleId="283">
    <w:name w:val="Char Char151"/>
    <w:qFormat/>
    <w:uiPriority w:val="0"/>
    <w:rPr>
      <w:rFonts w:ascii="ˎ̥" w:hAnsi="ˎ̥" w:eastAsia="ˎ̥"/>
      <w:kern w:val="24"/>
      <w:sz w:val="24"/>
    </w:rPr>
  </w:style>
  <w:style w:type="character" w:customStyle="1" w:styleId="284">
    <w:name w:val="正文文本 (2) + 10 pt8"/>
    <w:qFormat/>
    <w:uiPriority w:val="99"/>
    <w:rPr>
      <w:rFonts w:hint="eastAsia" w:ascii="宋体" w:hAnsi="MingLiU" w:eastAsia="宋体" w:cs="宋体"/>
      <w:sz w:val="20"/>
      <w:szCs w:val="20"/>
      <w:u w:val="none"/>
      <w:shd w:val="clear" w:color="auto" w:fill="FFFFFF"/>
    </w:rPr>
  </w:style>
  <w:style w:type="character" w:customStyle="1" w:styleId="285">
    <w:name w:val="apple-style-span"/>
    <w:qFormat/>
    <w:uiPriority w:val="0"/>
  </w:style>
  <w:style w:type="character" w:customStyle="1" w:styleId="286">
    <w:name w:val="表格1 Char"/>
    <w:link w:val="287"/>
    <w:qFormat/>
    <w:uiPriority w:val="0"/>
    <w:rPr>
      <w:rFonts w:eastAsia="ˎ̥"/>
      <w:kern w:val="2"/>
      <w:sz w:val="21"/>
    </w:rPr>
  </w:style>
  <w:style w:type="paragraph" w:customStyle="1" w:styleId="287">
    <w:name w:val="表格1"/>
    <w:basedOn w:val="1"/>
    <w:link w:val="286"/>
    <w:qFormat/>
    <w:uiPriority w:val="0"/>
    <w:pPr>
      <w:spacing w:line="400" w:lineRule="atLeast"/>
      <w:jc w:val="center"/>
    </w:pPr>
    <w:rPr>
      <w:rFonts w:eastAsia="ˎ̥"/>
      <w:szCs w:val="20"/>
    </w:rPr>
  </w:style>
  <w:style w:type="character" w:customStyle="1" w:styleId="288">
    <w:name w:val="表1 Char"/>
    <w:link w:val="289"/>
    <w:qFormat/>
    <w:uiPriority w:val="99"/>
    <w:rPr>
      <w:sz w:val="21"/>
      <w:lang w:val="en-US" w:eastAsia="zh-CN" w:bidi="ar-SA"/>
    </w:rPr>
  </w:style>
  <w:style w:type="paragraph" w:customStyle="1" w:styleId="289">
    <w:name w:val="表1"/>
    <w:next w:val="1"/>
    <w:link w:val="288"/>
    <w:qFormat/>
    <w:uiPriority w:val="99"/>
    <w:pPr>
      <w:adjustRightInd w:val="0"/>
      <w:snapToGrid w:val="0"/>
      <w:jc w:val="center"/>
    </w:pPr>
    <w:rPr>
      <w:rFonts w:ascii="Times New Roman" w:hAnsi="Times New Roman" w:eastAsia="宋体" w:cs="Times New Roman"/>
      <w:sz w:val="21"/>
      <w:lang w:val="en-US" w:eastAsia="zh-CN" w:bidi="ar-SA"/>
    </w:rPr>
  </w:style>
  <w:style w:type="character" w:customStyle="1" w:styleId="290">
    <w:name w:val="表格正文 Char"/>
    <w:link w:val="291"/>
    <w:qFormat/>
    <w:uiPriority w:val="0"/>
    <w:rPr>
      <w:rFonts w:eastAsia="ˎ̥"/>
      <w:kern w:val="2"/>
      <w:sz w:val="24"/>
    </w:rPr>
  </w:style>
  <w:style w:type="paragraph" w:customStyle="1" w:styleId="291">
    <w:name w:val="表格正文"/>
    <w:basedOn w:val="1"/>
    <w:link w:val="290"/>
    <w:qFormat/>
    <w:uiPriority w:val="0"/>
    <w:pPr>
      <w:jc w:val="center"/>
    </w:pPr>
    <w:rPr>
      <w:rFonts w:eastAsia="ˎ̥"/>
      <w:sz w:val="24"/>
      <w:szCs w:val="20"/>
    </w:rPr>
  </w:style>
  <w:style w:type="character" w:customStyle="1" w:styleId="292">
    <w:name w:val="表格内容 Char"/>
    <w:link w:val="293"/>
    <w:qFormat/>
    <w:uiPriority w:val="0"/>
    <w:rPr>
      <w:rFonts w:ascii="ˎ̥" w:hAnsi="ˎ̥" w:eastAsia="ˎ̥"/>
      <w:sz w:val="24"/>
    </w:rPr>
  </w:style>
  <w:style w:type="paragraph" w:customStyle="1" w:styleId="293">
    <w:name w:val="表格内容"/>
    <w:basedOn w:val="1"/>
    <w:link w:val="292"/>
    <w:qFormat/>
    <w:uiPriority w:val="0"/>
    <w:pPr>
      <w:overflowPunct w:val="0"/>
      <w:adjustRightInd w:val="0"/>
      <w:spacing w:before="40" w:after="60" w:line="200" w:lineRule="atLeast"/>
      <w:textAlignment w:val="baseline"/>
    </w:pPr>
    <w:rPr>
      <w:rFonts w:ascii="ˎ̥" w:hAnsi="ˎ̥" w:eastAsia="ˎ̥"/>
      <w:kern w:val="0"/>
      <w:sz w:val="24"/>
      <w:szCs w:val="20"/>
    </w:rPr>
  </w:style>
  <w:style w:type="character" w:customStyle="1" w:styleId="294">
    <w:name w:val="content1"/>
    <w:qFormat/>
    <w:uiPriority w:val="0"/>
    <w:rPr>
      <w:rFonts w:hint="eastAsia" w:ascii="ˎ̥" w:hAnsi="ˎ̥" w:eastAsia="ˎ̥"/>
      <w:color w:val="333333"/>
      <w:sz w:val="21"/>
    </w:rPr>
  </w:style>
  <w:style w:type="character" w:customStyle="1" w:styleId="295">
    <w:name w:val="表格 Char"/>
    <w:link w:val="296"/>
    <w:qFormat/>
    <w:locked/>
    <w:uiPriority w:val="0"/>
    <w:rPr>
      <w:rFonts w:ascii="宋体"/>
      <w:sz w:val="21"/>
    </w:rPr>
  </w:style>
  <w:style w:type="paragraph" w:customStyle="1" w:styleId="296">
    <w:name w:val="表格"/>
    <w:basedOn w:val="1"/>
    <w:next w:val="1"/>
    <w:link w:val="295"/>
    <w:qFormat/>
    <w:uiPriority w:val="0"/>
    <w:pPr>
      <w:adjustRightInd w:val="0"/>
      <w:snapToGrid w:val="0"/>
      <w:spacing w:beforeLines="10" w:afterLines="10" w:line="259" w:lineRule="auto"/>
      <w:jc w:val="center"/>
    </w:pPr>
    <w:rPr>
      <w:rFonts w:ascii="宋体"/>
      <w:kern w:val="0"/>
      <w:szCs w:val="20"/>
    </w:rPr>
  </w:style>
  <w:style w:type="character" w:customStyle="1" w:styleId="297">
    <w:name w:val="日期 字符"/>
    <w:semiHidden/>
    <w:qFormat/>
    <w:uiPriority w:val="0"/>
    <w:rPr>
      <w:rFonts w:ascii="Times New Roman" w:hAnsi="Times New Roman" w:eastAsia="宋体" w:cs="Times New Roman"/>
      <w:sz w:val="24"/>
      <w:szCs w:val="24"/>
    </w:rPr>
  </w:style>
  <w:style w:type="character" w:customStyle="1" w:styleId="298">
    <w:name w:val="正文文本 字符1"/>
    <w:semiHidden/>
    <w:qFormat/>
    <w:uiPriority w:val="0"/>
    <w:rPr>
      <w:rFonts w:ascii="Times New Roman" w:hAnsi="Times New Roman" w:eastAsia="宋体" w:cs="Times New Roman"/>
      <w:sz w:val="24"/>
      <w:szCs w:val="24"/>
    </w:rPr>
  </w:style>
  <w:style w:type="character" w:customStyle="1" w:styleId="299">
    <w:name w:val="text_edit editable-title"/>
    <w:qFormat/>
    <w:uiPriority w:val="0"/>
  </w:style>
  <w:style w:type="character" w:customStyle="1" w:styleId="300">
    <w:name w:val="表格标题 Char"/>
    <w:link w:val="301"/>
    <w:qFormat/>
    <w:uiPriority w:val="0"/>
    <w:rPr>
      <w:rFonts w:ascii="ˎ̥" w:hAnsi="ˎ̥" w:eastAsia="ˎ̥"/>
      <w:b/>
      <w:sz w:val="24"/>
    </w:rPr>
  </w:style>
  <w:style w:type="paragraph" w:customStyle="1" w:styleId="301">
    <w:name w:val="表格标题"/>
    <w:basedOn w:val="1"/>
    <w:next w:val="1"/>
    <w:link w:val="300"/>
    <w:qFormat/>
    <w:uiPriority w:val="0"/>
    <w:pPr>
      <w:keepNext/>
      <w:widowControl/>
      <w:overflowPunct w:val="0"/>
      <w:adjustRightInd w:val="0"/>
      <w:snapToGrid w:val="0"/>
      <w:spacing w:before="120" w:after="120" w:line="480" w:lineRule="exact"/>
      <w:ind w:firstLine="567"/>
      <w:jc w:val="center"/>
      <w:textAlignment w:val="baseline"/>
    </w:pPr>
    <w:rPr>
      <w:rFonts w:ascii="ˎ̥" w:hAnsi="ˎ̥" w:eastAsia="ˎ̥"/>
      <w:b/>
      <w:kern w:val="0"/>
      <w:sz w:val="24"/>
      <w:szCs w:val="20"/>
    </w:rPr>
  </w:style>
  <w:style w:type="character" w:customStyle="1" w:styleId="302">
    <w:name w:val="表头及表尾 Char"/>
    <w:link w:val="303"/>
    <w:qFormat/>
    <w:uiPriority w:val="0"/>
    <w:rPr>
      <w:b/>
      <w:snapToGrid w:val="0"/>
      <w:sz w:val="21"/>
      <w:lang w:val="en-US" w:eastAsia="zh-CN" w:bidi="ar-SA"/>
    </w:rPr>
  </w:style>
  <w:style w:type="paragraph" w:customStyle="1" w:styleId="303">
    <w:name w:val="表头及表尾"/>
    <w:link w:val="302"/>
    <w:qFormat/>
    <w:uiPriority w:val="0"/>
    <w:pPr>
      <w:tabs>
        <w:tab w:val="center" w:pos="4200"/>
        <w:tab w:val="right" w:pos="8400"/>
      </w:tabs>
      <w:adjustRightInd w:val="0"/>
      <w:snapToGrid w:val="0"/>
      <w:spacing w:line="360" w:lineRule="auto"/>
      <w:jc w:val="center"/>
    </w:pPr>
    <w:rPr>
      <w:rFonts w:ascii="Times New Roman" w:hAnsi="Times New Roman" w:eastAsia="宋体" w:cs="Times New Roman"/>
      <w:b/>
      <w:snapToGrid w:val="0"/>
      <w:sz w:val="21"/>
      <w:lang w:val="en-US" w:eastAsia="zh-CN" w:bidi="ar-SA"/>
    </w:rPr>
  </w:style>
  <w:style w:type="character" w:customStyle="1" w:styleId="304">
    <w:name w:val="表头 Char"/>
    <w:link w:val="305"/>
    <w:qFormat/>
    <w:uiPriority w:val="0"/>
    <w:rPr>
      <w:rFonts w:eastAsia="ˎ̥"/>
      <w:b/>
      <w:kern w:val="2"/>
      <w:sz w:val="24"/>
      <w:szCs w:val="24"/>
    </w:rPr>
  </w:style>
  <w:style w:type="paragraph" w:customStyle="1" w:styleId="305">
    <w:name w:val="表头"/>
    <w:basedOn w:val="159"/>
    <w:next w:val="159"/>
    <w:link w:val="304"/>
    <w:qFormat/>
    <w:uiPriority w:val="0"/>
    <w:pPr>
      <w:ind w:firstLine="0" w:firstLineChars="0"/>
      <w:jc w:val="center"/>
    </w:pPr>
    <w:rPr>
      <w:b/>
      <w:kern w:val="2"/>
      <w:szCs w:val="24"/>
    </w:rPr>
  </w:style>
  <w:style w:type="character" w:customStyle="1" w:styleId="306">
    <w:name w:val="文本条款 Char"/>
    <w:qFormat/>
    <w:uiPriority w:val="0"/>
    <w:rPr>
      <w:rFonts w:ascii="ˎ̥" w:hAnsi="ˎ̥" w:eastAsia="ˎ̥"/>
      <w:kern w:val="2"/>
      <w:sz w:val="28"/>
      <w:lang w:val="en-US" w:eastAsia="zh-CN"/>
    </w:rPr>
  </w:style>
  <w:style w:type="character" w:customStyle="1" w:styleId="307">
    <w:name w:val="Char Char12"/>
    <w:qFormat/>
    <w:uiPriority w:val="0"/>
    <w:rPr>
      <w:rFonts w:ascii="ˎ̥" w:hAnsi="ˎ̥" w:eastAsia="ˎ̥"/>
      <w:sz w:val="24"/>
      <w:lang w:val="en-US" w:eastAsia="zh-CN"/>
    </w:rPr>
  </w:style>
  <w:style w:type="character" w:customStyle="1" w:styleId="308">
    <w:name w:val="标题 2 Char Char"/>
    <w:qFormat/>
    <w:uiPriority w:val="0"/>
    <w:rPr>
      <w:rFonts w:ascii="ˎ̥" w:hAnsi="ˎ̥" w:eastAsia="ˎ̥"/>
      <w:b/>
      <w:sz w:val="32"/>
      <w:lang w:val="en-US" w:eastAsia="zh-CN"/>
    </w:rPr>
  </w:style>
  <w:style w:type="character" w:customStyle="1" w:styleId="309">
    <w:name w:val="样式 正文文本缩进 2正文文字缩进 2 + 四号 蓝色 Char Char Char"/>
    <w:link w:val="310"/>
    <w:qFormat/>
    <w:uiPriority w:val="0"/>
    <w:rPr>
      <w:rFonts w:ascii="ˎ̥" w:hAnsi="ˎ̥" w:eastAsia="ˎ̥"/>
      <w:color w:val="0000FF"/>
      <w:sz w:val="24"/>
    </w:rPr>
  </w:style>
  <w:style w:type="paragraph" w:customStyle="1" w:styleId="310">
    <w:name w:val="样式 正文文本缩进 2正文文字缩进 2 + 四号 蓝色 Char Char"/>
    <w:basedOn w:val="45"/>
    <w:link w:val="309"/>
    <w:qFormat/>
    <w:uiPriority w:val="0"/>
    <w:pPr>
      <w:adjustRightInd w:val="0"/>
      <w:spacing w:line="480" w:lineRule="exact"/>
      <w:ind w:firstLine="709" w:firstLineChars="0"/>
      <w:textAlignment w:val="baseline"/>
    </w:pPr>
    <w:rPr>
      <w:rFonts w:ascii="ˎ̥" w:eastAsia="ˎ̥"/>
      <w:color w:val="0000FF"/>
      <w:kern w:val="0"/>
    </w:rPr>
  </w:style>
  <w:style w:type="character" w:customStyle="1" w:styleId="311">
    <w:name w:val="正文文本缩进 31"/>
    <w:qFormat/>
    <w:uiPriority w:val="0"/>
    <w:rPr>
      <w:rFonts w:eastAsia="ˎ̥"/>
      <w:b/>
      <w:kern w:val="2"/>
      <w:sz w:val="24"/>
      <w:lang w:val="en-US" w:eastAsia="zh-CN"/>
    </w:rPr>
  </w:style>
  <w:style w:type="character" w:customStyle="1" w:styleId="312">
    <w:name w:val="热电厂正文 Char Char"/>
    <w:qFormat/>
    <w:uiPriority w:val="0"/>
    <w:rPr>
      <w:rFonts w:eastAsia="ˎ̥"/>
      <w:kern w:val="2"/>
      <w:sz w:val="24"/>
      <w:lang w:val="en-US" w:eastAsia="zh-CN"/>
    </w:rPr>
  </w:style>
  <w:style w:type="character" w:customStyle="1" w:styleId="313">
    <w:name w:val="sbody1"/>
    <w:qFormat/>
    <w:uiPriority w:val="0"/>
    <w:rPr>
      <w:sz w:val="14"/>
    </w:rPr>
  </w:style>
  <w:style w:type="character" w:customStyle="1" w:styleId="314">
    <w:name w:val="正文（首行缩进两字） Char Char6"/>
    <w:qFormat/>
    <w:uiPriority w:val="0"/>
    <w:rPr>
      <w:rFonts w:ascii="ˎ̥" w:eastAsia="ˎ̥"/>
      <w:kern w:val="2"/>
      <w:sz w:val="28"/>
      <w:lang w:val="en-US" w:eastAsia="zh-CN"/>
    </w:rPr>
  </w:style>
  <w:style w:type="character" w:customStyle="1" w:styleId="315">
    <w:name w:val="Char Char10"/>
    <w:qFormat/>
    <w:uiPriority w:val="0"/>
    <w:rPr>
      <w:rFonts w:eastAsia="ˎ̥"/>
      <w:kern w:val="2"/>
      <w:sz w:val="24"/>
      <w:lang w:val="en-US" w:eastAsia="zh-CN"/>
    </w:rPr>
  </w:style>
  <w:style w:type="character" w:customStyle="1" w:styleId="316">
    <w:name w:val="正文缩进4 Char"/>
    <w:qFormat/>
    <w:uiPriority w:val="0"/>
    <w:rPr>
      <w:rFonts w:eastAsia="ˎ̥"/>
      <w:kern w:val="2"/>
      <w:sz w:val="24"/>
      <w:lang w:val="en-US" w:eastAsia="zh-CN"/>
    </w:rPr>
  </w:style>
  <w:style w:type="character" w:customStyle="1" w:styleId="317">
    <w:name w:val="nr1"/>
    <w:qFormat/>
    <w:uiPriority w:val="0"/>
    <w:rPr>
      <w:sz w:val="18"/>
    </w:rPr>
  </w:style>
  <w:style w:type="character" w:customStyle="1" w:styleId="318">
    <w:name w:val="标题 41"/>
    <w:qFormat/>
    <w:uiPriority w:val="0"/>
    <w:rPr>
      <w:rFonts w:ascii="ˎ̥" w:hAnsi="ˎ̥" w:eastAsia="ˎ̥"/>
      <w:b/>
      <w:kern w:val="2"/>
      <w:sz w:val="28"/>
      <w:lang w:val="en-US" w:eastAsia="zh-CN"/>
    </w:rPr>
  </w:style>
  <w:style w:type="character" w:customStyle="1" w:styleId="319">
    <w:name w:val="样式 首行缩进:  2 字符 行距: 最小值 24 磅 Char Char"/>
    <w:link w:val="320"/>
    <w:qFormat/>
    <w:uiPriority w:val="0"/>
    <w:rPr>
      <w:rFonts w:eastAsia="ˎ̥"/>
      <w:kern w:val="2"/>
      <w:sz w:val="24"/>
    </w:rPr>
  </w:style>
  <w:style w:type="paragraph" w:customStyle="1" w:styleId="320">
    <w:name w:val="样式 首行缩进:  2 字符 行距: 最小值 24 磅 Char"/>
    <w:basedOn w:val="1"/>
    <w:link w:val="319"/>
    <w:qFormat/>
    <w:uiPriority w:val="0"/>
    <w:pPr>
      <w:spacing w:line="480" w:lineRule="atLeast"/>
      <w:ind w:firstLine="560" w:firstLineChars="200"/>
    </w:pPr>
    <w:rPr>
      <w:rFonts w:eastAsia="ˎ̥"/>
      <w:sz w:val="24"/>
      <w:szCs w:val="20"/>
    </w:rPr>
  </w:style>
  <w:style w:type="character" w:customStyle="1" w:styleId="321">
    <w:name w:val="example2"/>
    <w:qFormat/>
    <w:uiPriority w:val="0"/>
  </w:style>
  <w:style w:type="character" w:customStyle="1" w:styleId="322">
    <w:name w:val="正文（首行缩进两字） Char2"/>
    <w:qFormat/>
    <w:uiPriority w:val="0"/>
    <w:rPr>
      <w:rFonts w:eastAsia="ˎ̥"/>
      <w:kern w:val="2"/>
      <w:sz w:val="21"/>
      <w:szCs w:val="21"/>
      <w:lang w:val="en-US" w:eastAsia="zh-CN" w:bidi="ar-SA"/>
    </w:rPr>
  </w:style>
  <w:style w:type="character" w:customStyle="1" w:styleId="323">
    <w:name w:val="Se Char"/>
    <w:qFormat/>
    <w:uiPriority w:val="0"/>
    <w:rPr>
      <w:rFonts w:ascii="ˎ̥" w:hAnsi="ˎ̥" w:eastAsia="ˎ̥"/>
      <w:b/>
      <w:sz w:val="32"/>
      <w:lang w:val="en-US" w:eastAsia="zh-CN"/>
    </w:rPr>
  </w:style>
  <w:style w:type="character" w:customStyle="1" w:styleId="324">
    <w:name w:val="正文2 Char"/>
    <w:link w:val="325"/>
    <w:qFormat/>
    <w:uiPriority w:val="0"/>
    <w:rPr>
      <w:rFonts w:ascii="ˎ̥" w:hAnsi="ˎ̥" w:eastAsia="ˎ̥"/>
      <w:kern w:val="2"/>
      <w:sz w:val="24"/>
    </w:rPr>
  </w:style>
  <w:style w:type="paragraph" w:customStyle="1" w:styleId="325">
    <w:name w:val="正文2"/>
    <w:basedOn w:val="1"/>
    <w:link w:val="324"/>
    <w:qFormat/>
    <w:uiPriority w:val="0"/>
    <w:pPr>
      <w:spacing w:line="360" w:lineRule="auto"/>
      <w:ind w:firstLine="480" w:firstLineChars="200"/>
    </w:pPr>
    <w:rPr>
      <w:rFonts w:ascii="ˎ̥" w:hAnsi="ˎ̥" w:eastAsia="ˎ̥"/>
      <w:sz w:val="24"/>
      <w:szCs w:val="20"/>
    </w:rPr>
  </w:style>
  <w:style w:type="character" w:customStyle="1" w:styleId="326">
    <w:name w:val="表头 Char Char"/>
    <w:qFormat/>
    <w:uiPriority w:val="0"/>
    <w:rPr>
      <w:rFonts w:eastAsia="ˎ̥"/>
      <w:b/>
      <w:kern w:val="2"/>
      <w:sz w:val="24"/>
      <w:lang w:val="en-US" w:eastAsia="zh-CN" w:bidi="ar-SA"/>
    </w:rPr>
  </w:style>
  <w:style w:type="character" w:customStyle="1" w:styleId="327">
    <w:name w:val="正文文本缩进 3 Char1"/>
    <w:qFormat/>
    <w:uiPriority w:val="0"/>
    <w:rPr>
      <w:kern w:val="2"/>
      <w:sz w:val="16"/>
      <w:szCs w:val="16"/>
    </w:rPr>
  </w:style>
  <w:style w:type="character" w:customStyle="1" w:styleId="328">
    <w:name w:val="1编制日期 Char"/>
    <w:link w:val="329"/>
    <w:qFormat/>
    <w:uiPriority w:val="0"/>
    <w:rPr>
      <w:b/>
      <w:sz w:val="32"/>
      <w:szCs w:val="24"/>
      <w:lang w:val="en-US" w:eastAsia="zh-CN" w:bidi="ar-SA"/>
    </w:rPr>
  </w:style>
  <w:style w:type="paragraph" w:customStyle="1" w:styleId="329">
    <w:name w:val="1编制日期"/>
    <w:next w:val="1"/>
    <w:link w:val="328"/>
    <w:qFormat/>
    <w:uiPriority w:val="0"/>
    <w:pPr>
      <w:spacing w:line="360" w:lineRule="auto"/>
      <w:jc w:val="center"/>
    </w:pPr>
    <w:rPr>
      <w:rFonts w:ascii="Times New Roman" w:hAnsi="Times New Roman" w:eastAsia="宋体" w:cs="Times New Roman"/>
      <w:b/>
      <w:sz w:val="32"/>
      <w:szCs w:val="24"/>
      <w:lang w:val="en-US" w:eastAsia="zh-CN" w:bidi="ar-SA"/>
    </w:rPr>
  </w:style>
  <w:style w:type="character" w:customStyle="1" w:styleId="330">
    <w:name w:val="正文文本1.35 Char Char"/>
    <w:link w:val="331"/>
    <w:qFormat/>
    <w:uiPriority w:val="0"/>
    <w:rPr>
      <w:rFonts w:cs="ˎ̥"/>
      <w:kern w:val="2"/>
      <w:sz w:val="24"/>
      <w:szCs w:val="24"/>
    </w:rPr>
  </w:style>
  <w:style w:type="paragraph" w:customStyle="1" w:styleId="331">
    <w:name w:val="正文文本1.35"/>
    <w:basedOn w:val="30"/>
    <w:link w:val="330"/>
    <w:qFormat/>
    <w:uiPriority w:val="0"/>
    <w:pPr>
      <w:widowControl w:val="0"/>
      <w:adjustRightInd w:val="0"/>
      <w:spacing w:before="0" w:after="0" w:line="440" w:lineRule="exact"/>
      <w:ind w:right="0" w:firstLine="480" w:firstLineChars="200"/>
    </w:pPr>
    <w:rPr>
      <w:kern w:val="2"/>
      <w:sz w:val="24"/>
      <w:szCs w:val="24"/>
    </w:rPr>
  </w:style>
  <w:style w:type="character" w:customStyle="1" w:styleId="332">
    <w:name w:val="正 文 Char"/>
    <w:link w:val="333"/>
    <w:qFormat/>
    <w:locked/>
    <w:uiPriority w:val="0"/>
    <w:rPr>
      <w:color w:val="FF0000"/>
      <w:kern w:val="2"/>
      <w:sz w:val="28"/>
      <w:szCs w:val="28"/>
    </w:rPr>
  </w:style>
  <w:style w:type="paragraph" w:customStyle="1" w:styleId="333">
    <w:name w:val="正 文"/>
    <w:basedOn w:val="1"/>
    <w:link w:val="332"/>
    <w:qFormat/>
    <w:uiPriority w:val="0"/>
    <w:pPr>
      <w:spacing w:line="600" w:lineRule="exact"/>
      <w:ind w:firstLine="200" w:firstLineChars="200"/>
      <w:contextualSpacing/>
    </w:pPr>
    <w:rPr>
      <w:color w:val="FF0000"/>
      <w:sz w:val="28"/>
      <w:szCs w:val="28"/>
    </w:rPr>
  </w:style>
  <w:style w:type="character" w:customStyle="1" w:styleId="334">
    <w:name w:val="结束语 Char"/>
    <w:qFormat/>
    <w:uiPriority w:val="0"/>
    <w:rPr>
      <w:kern w:val="2"/>
      <w:sz w:val="21"/>
      <w:szCs w:val="24"/>
    </w:rPr>
  </w:style>
  <w:style w:type="character" w:customStyle="1" w:styleId="335">
    <w:name w:val="签名 Char"/>
    <w:qFormat/>
    <w:uiPriority w:val="0"/>
    <w:rPr>
      <w:kern w:val="2"/>
      <w:sz w:val="21"/>
      <w:szCs w:val="24"/>
    </w:rPr>
  </w:style>
  <w:style w:type="character" w:customStyle="1" w:styleId="336">
    <w:name w:val="样式 样式 首行缩进:  2.25 字符1 + Arial Char Char Char Char"/>
    <w:link w:val="337"/>
    <w:qFormat/>
    <w:locked/>
    <w:uiPriority w:val="0"/>
    <w:rPr>
      <w:rFonts w:ascii="Arial" w:hAnsi="Arial" w:cs="Arial"/>
      <w:kern w:val="2"/>
      <w:sz w:val="24"/>
      <w:lang w:val="en-US" w:eastAsia="zh-CN" w:bidi="ar-SA"/>
    </w:rPr>
  </w:style>
  <w:style w:type="paragraph" w:customStyle="1" w:styleId="337">
    <w:name w:val="样式 样式 首行缩进:  2.25 字符1 + Arial Char Char"/>
    <w:link w:val="336"/>
    <w:qFormat/>
    <w:uiPriority w:val="0"/>
    <w:pPr>
      <w:widowControl w:val="0"/>
      <w:spacing w:line="360" w:lineRule="auto"/>
      <w:ind w:firstLine="480" w:firstLineChars="200"/>
    </w:pPr>
    <w:rPr>
      <w:rFonts w:ascii="Arial" w:hAnsi="Arial" w:eastAsia="宋体" w:cs="Arial"/>
      <w:kern w:val="2"/>
      <w:sz w:val="24"/>
      <w:lang w:val="en-US" w:eastAsia="zh-CN" w:bidi="ar-SA"/>
    </w:rPr>
  </w:style>
  <w:style w:type="character" w:customStyle="1" w:styleId="338">
    <w:name w:val="报告书正文 Char Char Char Char Char Char Char Char Char"/>
    <w:link w:val="339"/>
    <w:qFormat/>
    <w:locked/>
    <w:uiPriority w:val="0"/>
    <w:rPr>
      <w:color w:val="000000"/>
      <w:kern w:val="2"/>
      <w:sz w:val="24"/>
      <w:szCs w:val="24"/>
      <w:lang w:val="en-US" w:eastAsia="zh-CN" w:bidi="ar-SA"/>
    </w:rPr>
  </w:style>
  <w:style w:type="paragraph" w:customStyle="1" w:styleId="339">
    <w:name w:val="报告书正文 Char Char Char Char Char Char Char"/>
    <w:link w:val="338"/>
    <w:qFormat/>
    <w:uiPriority w:val="0"/>
    <w:pPr>
      <w:widowControl w:val="0"/>
      <w:spacing w:line="300" w:lineRule="auto"/>
      <w:ind w:firstLine="480" w:firstLineChars="200"/>
      <w:jc w:val="both"/>
    </w:pPr>
    <w:rPr>
      <w:rFonts w:ascii="Times New Roman" w:hAnsi="Times New Roman" w:eastAsia="宋体" w:cs="Times New Roman"/>
      <w:color w:val="000000"/>
      <w:kern w:val="2"/>
      <w:sz w:val="24"/>
      <w:szCs w:val="24"/>
      <w:lang w:val="en-US" w:eastAsia="zh-CN" w:bidi="ar-SA"/>
    </w:rPr>
  </w:style>
  <w:style w:type="character" w:customStyle="1" w:styleId="340">
    <w:name w:val="四号 段前: 7.8 磅 行距: 多倍行距 1.3 字行 Char Char"/>
    <w:link w:val="341"/>
    <w:qFormat/>
    <w:locked/>
    <w:uiPriority w:val="0"/>
    <w:rPr>
      <w:rFonts w:ascii="宋体" w:hAnsi="宋体" w:cs="宋体"/>
      <w:kern w:val="2"/>
      <w:sz w:val="28"/>
      <w:szCs w:val="28"/>
      <w:lang w:val="en-US" w:eastAsia="zh-CN" w:bidi="ar-SA"/>
    </w:rPr>
  </w:style>
  <w:style w:type="paragraph" w:customStyle="1" w:styleId="341">
    <w:name w:val="四号 段前: 7.8 磅 行距: 多倍行距 1.3 字行"/>
    <w:link w:val="340"/>
    <w:qFormat/>
    <w:uiPriority w:val="0"/>
    <w:pPr>
      <w:widowControl w:val="0"/>
      <w:spacing w:line="312" w:lineRule="auto"/>
      <w:ind w:firstLine="560" w:firstLineChars="200"/>
    </w:pPr>
    <w:rPr>
      <w:rFonts w:ascii="宋体" w:hAnsi="宋体" w:eastAsia="宋体" w:cs="宋体"/>
      <w:kern w:val="2"/>
      <w:sz w:val="28"/>
      <w:szCs w:val="28"/>
      <w:lang w:val="en-US" w:eastAsia="zh-CN" w:bidi="ar-SA"/>
    </w:rPr>
  </w:style>
  <w:style w:type="character" w:customStyle="1" w:styleId="342">
    <w:name w:val="报告书正文 Char Char Char Char Char Char"/>
    <w:link w:val="343"/>
    <w:qFormat/>
    <w:locked/>
    <w:uiPriority w:val="0"/>
    <w:rPr>
      <w:kern w:val="2"/>
      <w:sz w:val="24"/>
      <w:lang w:val="en-US" w:eastAsia="zh-CN" w:bidi="ar-SA"/>
    </w:rPr>
  </w:style>
  <w:style w:type="paragraph" w:customStyle="1" w:styleId="343">
    <w:name w:val="报告书正文"/>
    <w:link w:val="342"/>
    <w:qFormat/>
    <w:uiPriority w:val="0"/>
    <w:pPr>
      <w:widowControl w:val="0"/>
      <w:spacing w:line="300" w:lineRule="auto"/>
      <w:ind w:firstLine="200" w:firstLineChars="200"/>
      <w:jc w:val="both"/>
    </w:pPr>
    <w:rPr>
      <w:rFonts w:ascii="Times New Roman" w:hAnsi="Times New Roman" w:eastAsia="宋体" w:cs="Times New Roman"/>
      <w:kern w:val="2"/>
      <w:sz w:val="24"/>
      <w:lang w:val="en-US" w:eastAsia="zh-CN" w:bidi="ar-SA"/>
    </w:rPr>
  </w:style>
  <w:style w:type="character" w:customStyle="1" w:styleId="344">
    <w:name w:val="项目正文 Char Char"/>
    <w:link w:val="345"/>
    <w:qFormat/>
    <w:locked/>
    <w:uiPriority w:val="0"/>
    <w:rPr>
      <w:rFonts w:ascii="Calibri" w:hAnsi="Calibri"/>
      <w:kern w:val="2"/>
      <w:sz w:val="26"/>
      <w:szCs w:val="26"/>
      <w:lang w:val="en-US" w:eastAsia="zh-CN" w:bidi="ar-SA"/>
    </w:rPr>
  </w:style>
  <w:style w:type="paragraph" w:customStyle="1" w:styleId="345">
    <w:name w:val="项目正文"/>
    <w:link w:val="344"/>
    <w:qFormat/>
    <w:uiPriority w:val="0"/>
    <w:pPr>
      <w:widowControl w:val="0"/>
      <w:spacing w:line="360" w:lineRule="auto"/>
      <w:ind w:firstLine="200" w:firstLineChars="200"/>
      <w:jc w:val="both"/>
    </w:pPr>
    <w:rPr>
      <w:rFonts w:ascii="Calibri" w:hAnsi="Calibri" w:eastAsia="宋体" w:cs="Times New Roman"/>
      <w:kern w:val="2"/>
      <w:sz w:val="26"/>
      <w:szCs w:val="26"/>
      <w:lang w:val="en-US" w:eastAsia="zh-CN" w:bidi="ar-SA"/>
    </w:rPr>
  </w:style>
  <w:style w:type="character" w:customStyle="1" w:styleId="346">
    <w:name w:val="样式 小四 首行缩进:  0.85 厘米 行距: 1.5 倍行距 Char Char"/>
    <w:link w:val="347"/>
    <w:qFormat/>
    <w:locked/>
    <w:uiPriority w:val="0"/>
    <w:rPr>
      <w:rFonts w:ascii="宋体" w:hAnsi="宋体" w:cs="宋体"/>
      <w:kern w:val="2"/>
      <w:sz w:val="24"/>
      <w:lang w:val="en-US" w:eastAsia="zh-CN" w:bidi="ar-SA"/>
    </w:rPr>
  </w:style>
  <w:style w:type="paragraph" w:customStyle="1" w:styleId="347">
    <w:name w:val="样式 小四 首行缩进:  0.85 厘米 行距: 1.5 倍行距"/>
    <w:link w:val="346"/>
    <w:qFormat/>
    <w:uiPriority w:val="0"/>
    <w:pPr>
      <w:widowControl w:val="0"/>
      <w:spacing w:line="360" w:lineRule="auto"/>
      <w:ind w:firstLine="482"/>
      <w:jc w:val="both"/>
    </w:pPr>
    <w:rPr>
      <w:rFonts w:ascii="宋体" w:hAnsi="宋体" w:eastAsia="宋体" w:cs="宋体"/>
      <w:kern w:val="2"/>
      <w:sz w:val="24"/>
      <w:lang w:val="en-US" w:eastAsia="zh-CN" w:bidi="ar-SA"/>
    </w:rPr>
  </w:style>
  <w:style w:type="character" w:customStyle="1" w:styleId="348">
    <w:name w:val="正文文 Char Char"/>
    <w:link w:val="349"/>
    <w:qFormat/>
    <w:locked/>
    <w:uiPriority w:val="0"/>
    <w:rPr>
      <w:rFonts w:ascii="Calibri" w:hAnsi="Calibri" w:cs="宋体"/>
      <w:kern w:val="2"/>
      <w:sz w:val="26"/>
      <w:lang w:val="en-US" w:eastAsia="zh-CN" w:bidi="ar-SA"/>
    </w:rPr>
  </w:style>
  <w:style w:type="paragraph" w:customStyle="1" w:styleId="349">
    <w:name w:val="正文文"/>
    <w:next w:val="1"/>
    <w:link w:val="348"/>
    <w:qFormat/>
    <w:uiPriority w:val="0"/>
    <w:pPr>
      <w:widowControl w:val="0"/>
      <w:spacing w:line="360" w:lineRule="auto"/>
      <w:ind w:firstLine="520" w:firstLineChars="200"/>
      <w:jc w:val="both"/>
    </w:pPr>
    <w:rPr>
      <w:rFonts w:ascii="Calibri" w:hAnsi="Calibri" w:eastAsia="宋体" w:cs="宋体"/>
      <w:kern w:val="2"/>
      <w:sz w:val="26"/>
      <w:lang w:val="en-US" w:eastAsia="zh-CN" w:bidi="ar-SA"/>
    </w:rPr>
  </w:style>
  <w:style w:type="character" w:customStyle="1" w:styleId="350">
    <w:name w:val="环小四表内容 Char"/>
    <w:link w:val="351"/>
    <w:qFormat/>
    <w:locked/>
    <w:uiPriority w:val="0"/>
    <w:rPr>
      <w:rFonts w:ascii="宋体" w:hAnsi="宋体"/>
      <w:kern w:val="2"/>
      <w:sz w:val="18"/>
      <w:szCs w:val="21"/>
      <w:lang w:val="en-US" w:eastAsia="zh-CN" w:bidi="ar-SA"/>
    </w:rPr>
  </w:style>
  <w:style w:type="paragraph" w:customStyle="1" w:styleId="351">
    <w:name w:val="环小四表内容"/>
    <w:link w:val="350"/>
    <w:qFormat/>
    <w:uiPriority w:val="0"/>
    <w:pPr>
      <w:widowControl w:val="0"/>
      <w:wordWrap w:val="0"/>
      <w:spacing w:line="240" w:lineRule="exact"/>
      <w:jc w:val="center"/>
    </w:pPr>
    <w:rPr>
      <w:rFonts w:ascii="宋体" w:hAnsi="宋体" w:eastAsia="宋体" w:cs="Times New Roman"/>
      <w:kern w:val="2"/>
      <w:sz w:val="18"/>
      <w:szCs w:val="21"/>
      <w:lang w:val="en-US" w:eastAsia="zh-CN" w:bidi="ar-SA"/>
    </w:rPr>
  </w:style>
  <w:style w:type="character" w:customStyle="1" w:styleId="352">
    <w:name w:val="正文(首行缩进) Char Char Char"/>
    <w:qFormat/>
    <w:uiPriority w:val="0"/>
    <w:rPr>
      <w:snapToGrid/>
      <w:kern w:val="2"/>
      <w:sz w:val="24"/>
      <w:szCs w:val="24"/>
    </w:rPr>
  </w:style>
  <w:style w:type="character" w:customStyle="1" w:styleId="353">
    <w:name w:val="middle"/>
    <w:qFormat/>
    <w:uiPriority w:val="0"/>
  </w:style>
  <w:style w:type="character" w:customStyle="1" w:styleId="354">
    <w:name w:val="表格 Char Char Char Char"/>
    <w:qFormat/>
    <w:uiPriority w:val="0"/>
    <w:rPr>
      <w:rFonts w:hint="eastAsia" w:ascii="宋体" w:hAnsi="宋体" w:eastAsia="宋体"/>
      <w:kern w:val="2"/>
      <w:sz w:val="21"/>
      <w:szCs w:val="21"/>
      <w:lang w:val="en-US" w:eastAsia="zh-CN" w:bidi="ar-SA"/>
    </w:rPr>
  </w:style>
  <w:style w:type="character" w:customStyle="1" w:styleId="355">
    <w:name w:val="Char Char25"/>
    <w:qFormat/>
    <w:uiPriority w:val="0"/>
    <w:rPr>
      <w:rFonts w:hint="default" w:ascii="Arial" w:hAnsi="Arial" w:eastAsia="黑体" w:cs="Arial"/>
      <w:b/>
      <w:bCs/>
      <w:kern w:val="2"/>
      <w:sz w:val="32"/>
      <w:szCs w:val="32"/>
      <w:lang w:val="en-US" w:eastAsia="zh-CN" w:bidi="ar-SA"/>
    </w:rPr>
  </w:style>
  <w:style w:type="character" w:customStyle="1" w:styleId="356">
    <w:name w:val="样式 宋体 小四 行距: 固定值 25 磅 Char Char Char Char Char Char Char"/>
    <w:qFormat/>
    <w:uiPriority w:val="0"/>
    <w:rPr>
      <w:rFonts w:hint="eastAsia" w:ascii="宋体" w:hAnsi="宋体" w:eastAsia="宋体" w:cs="宋体"/>
      <w:kern w:val="2"/>
      <w:sz w:val="24"/>
      <w:szCs w:val="24"/>
    </w:rPr>
  </w:style>
  <w:style w:type="character" w:customStyle="1" w:styleId="357">
    <w:name w:val="style2"/>
    <w:qFormat/>
    <w:uiPriority w:val="0"/>
    <w:rPr>
      <w:rFonts w:hint="eastAsia" w:ascii="黑体" w:hAnsi="黑体" w:eastAsia="黑体"/>
      <w:snapToGrid w:val="0"/>
      <w:kern w:val="2"/>
      <w:sz w:val="24"/>
      <w:szCs w:val="24"/>
      <w:lang w:val="en-US" w:eastAsia="zh-CN" w:bidi="ar-SA"/>
    </w:rPr>
  </w:style>
  <w:style w:type="character" w:customStyle="1" w:styleId="358">
    <w:name w:val="项目正文 Char Char Char"/>
    <w:qFormat/>
    <w:uiPriority w:val="0"/>
    <w:rPr>
      <w:rFonts w:hint="default" w:ascii="Calibri" w:hAnsi="Calibri"/>
      <w:kern w:val="2"/>
      <w:sz w:val="26"/>
      <w:szCs w:val="26"/>
    </w:rPr>
  </w:style>
  <w:style w:type="character" w:customStyle="1" w:styleId="359">
    <w:name w:val="样式 宋体 小四 行距: 固定值 25 磅 Char Char Char Char Char Char"/>
    <w:qFormat/>
    <w:uiPriority w:val="0"/>
    <w:rPr>
      <w:rFonts w:hint="eastAsia" w:ascii="宋体" w:hAnsi="宋体" w:eastAsia="宋体"/>
      <w:kern w:val="2"/>
      <w:sz w:val="24"/>
    </w:rPr>
  </w:style>
  <w:style w:type="character" w:customStyle="1" w:styleId="360">
    <w:name w:val="正文文本缩进 Char1"/>
    <w:semiHidden/>
    <w:qFormat/>
    <w:locked/>
    <w:uiPriority w:val="99"/>
    <w:rPr>
      <w:kern w:val="2"/>
      <w:sz w:val="24"/>
    </w:rPr>
  </w:style>
  <w:style w:type="character" w:customStyle="1" w:styleId="361">
    <w:name w:val="日期 Char1"/>
    <w:semiHidden/>
    <w:qFormat/>
    <w:locked/>
    <w:uiPriority w:val="99"/>
    <w:rPr>
      <w:rFonts w:ascii="方正舒体" w:eastAsia="方正舒体"/>
      <w:b/>
      <w:kern w:val="2"/>
      <w:sz w:val="28"/>
    </w:rPr>
  </w:style>
  <w:style w:type="character" w:customStyle="1" w:styleId="362">
    <w:name w:val="标题 Char1"/>
    <w:qFormat/>
    <w:locked/>
    <w:uiPriority w:val="99"/>
    <w:rPr>
      <w:rFonts w:ascii="Arial" w:hAnsi="Arial" w:cs="Arial"/>
      <w:b/>
      <w:bCs/>
      <w:kern w:val="2"/>
      <w:sz w:val="32"/>
      <w:szCs w:val="32"/>
    </w:rPr>
  </w:style>
  <w:style w:type="character" w:customStyle="1" w:styleId="363">
    <w:name w:val="称呼 Char1"/>
    <w:semiHidden/>
    <w:qFormat/>
    <w:locked/>
    <w:uiPriority w:val="99"/>
    <w:rPr>
      <w:kern w:val="2"/>
      <w:sz w:val="24"/>
      <w:szCs w:val="24"/>
    </w:rPr>
  </w:style>
  <w:style w:type="character" w:customStyle="1" w:styleId="364">
    <w:name w:val="style150"/>
    <w:qFormat/>
    <w:uiPriority w:val="0"/>
  </w:style>
  <w:style w:type="character" w:customStyle="1" w:styleId="365">
    <w:name w:val="15"/>
    <w:qFormat/>
    <w:uiPriority w:val="0"/>
    <w:rPr>
      <w:rFonts w:hint="default" w:ascii="Times New Roman" w:hAnsi="Times New Roman" w:cs="Times New Roman"/>
      <w:color w:val="0000FF"/>
      <w:u w:val="single"/>
    </w:rPr>
  </w:style>
  <w:style w:type="character" w:customStyle="1" w:styleId="366">
    <w:name w:val="报告书正文 Char2"/>
    <w:qFormat/>
    <w:uiPriority w:val="0"/>
    <w:rPr>
      <w:rFonts w:hint="eastAsia" w:ascii="宋体" w:hAnsi="宋体" w:eastAsia="宋体"/>
      <w:sz w:val="24"/>
    </w:rPr>
  </w:style>
  <w:style w:type="character" w:customStyle="1" w:styleId="367">
    <w:name w:val="-表格文字 Char"/>
    <w:link w:val="368"/>
    <w:qFormat/>
    <w:locked/>
    <w:uiPriority w:val="0"/>
    <w:rPr>
      <w:b/>
      <w:kern w:val="2"/>
      <w:sz w:val="21"/>
      <w:szCs w:val="24"/>
    </w:rPr>
  </w:style>
  <w:style w:type="paragraph" w:customStyle="1" w:styleId="368">
    <w:name w:val="表格文字-"/>
    <w:basedOn w:val="1"/>
    <w:link w:val="367"/>
    <w:qFormat/>
    <w:uiPriority w:val="0"/>
    <w:pPr>
      <w:snapToGrid w:val="0"/>
      <w:contextualSpacing/>
      <w:jc w:val="center"/>
    </w:pPr>
    <w:rPr>
      <w:b/>
    </w:rPr>
  </w:style>
  <w:style w:type="paragraph" w:customStyle="1" w:styleId="369">
    <w:name w:val="Char1 Char Char Char Char Char Char Char Char Char"/>
    <w:qFormat/>
    <w:uiPriority w:val="99"/>
    <w:pPr>
      <w:widowControl w:val="0"/>
      <w:adjustRightInd w:val="0"/>
      <w:spacing w:line="360" w:lineRule="auto"/>
      <w:jc w:val="both"/>
    </w:pPr>
    <w:rPr>
      <w:rFonts w:ascii="Times New Roman" w:hAnsi="Times New Roman" w:eastAsia="宋体" w:cs="Times New Roman"/>
      <w:sz w:val="24"/>
      <w:lang w:val="en-US" w:eastAsia="zh-CN" w:bidi="ar-SA"/>
    </w:rPr>
  </w:style>
  <w:style w:type="paragraph" w:customStyle="1" w:styleId="370">
    <w:name w:val="xl35"/>
    <w:basedOn w:val="1"/>
    <w:qFormat/>
    <w:uiPriority w:val="99"/>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ascii="ˎ̥" w:hAnsi="ˎ̥" w:eastAsia="ˎ̥"/>
      <w:kern w:val="0"/>
      <w:sz w:val="20"/>
      <w:szCs w:val="20"/>
    </w:rPr>
  </w:style>
  <w:style w:type="paragraph" w:customStyle="1" w:styleId="371">
    <w:name w:val="样式 红色 首行缩进:  2 字符"/>
    <w:basedOn w:val="1"/>
    <w:qFormat/>
    <w:uiPriority w:val="0"/>
    <w:pPr>
      <w:spacing w:line="480" w:lineRule="exact"/>
      <w:ind w:firstLine="480" w:firstLineChars="200"/>
    </w:pPr>
    <w:rPr>
      <w:color w:val="FF0000"/>
      <w:sz w:val="24"/>
      <w:szCs w:val="20"/>
    </w:rPr>
  </w:style>
  <w:style w:type="paragraph" w:customStyle="1" w:styleId="372">
    <w:name w:val="样式5"/>
    <w:basedOn w:val="1"/>
    <w:qFormat/>
    <w:uiPriority w:val="0"/>
    <w:pPr>
      <w:snapToGrid w:val="0"/>
      <w:spacing w:line="360" w:lineRule="auto"/>
      <w:ind w:firstLine="510"/>
    </w:pPr>
    <w:rPr>
      <w:sz w:val="24"/>
    </w:rPr>
  </w:style>
  <w:style w:type="paragraph" w:customStyle="1" w:styleId="373">
    <w:name w:val="样式 标题 2标题2Se节标题 1.11.1标题2条标题h2l22nd levelTitre22Heade..."/>
    <w:basedOn w:val="3"/>
    <w:qFormat/>
    <w:uiPriority w:val="0"/>
    <w:pPr>
      <w:keepLines/>
      <w:spacing w:before="240" w:after="120" w:line="413" w:lineRule="auto"/>
    </w:pPr>
    <w:rPr>
      <w:rFonts w:ascii="ˎ̥" w:hAnsi="ˎ̥" w:eastAsia="ˎ̥"/>
      <w:b/>
    </w:rPr>
  </w:style>
  <w:style w:type="paragraph" w:customStyle="1" w:styleId="374">
    <w:name w:val="Char Char Char Char Char Char1 Char Char Char Char Char Char Char"/>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375">
    <w:name w:val="表格字体"/>
    <w:qFormat/>
    <w:uiPriority w:val="0"/>
    <w:pPr>
      <w:spacing w:line="320" w:lineRule="exact"/>
      <w:jc w:val="center"/>
    </w:pPr>
    <w:rPr>
      <w:rFonts w:ascii="Times New Roman" w:hAnsi="Times New Roman" w:eastAsia="ˎ̥" w:cs="Times New Roman"/>
      <w:kern w:val="2"/>
      <w:sz w:val="21"/>
      <w:lang w:val="en-US" w:eastAsia="zh-CN" w:bidi="ar-SA"/>
    </w:rPr>
  </w:style>
  <w:style w:type="paragraph" w:customStyle="1" w:styleId="376">
    <w:name w:val="节标题"/>
    <w:next w:val="1"/>
    <w:qFormat/>
    <w:uiPriority w:val="99"/>
    <w:pPr>
      <w:keepNext/>
      <w:keepLines/>
      <w:widowControl w:val="0"/>
      <w:spacing w:before="260" w:afterLines="50" w:line="360" w:lineRule="auto"/>
      <w:ind w:firstLine="482" w:firstLineChars="200"/>
      <w:outlineLvl w:val="1"/>
    </w:pPr>
    <w:rPr>
      <w:rFonts w:ascii="黑体" w:hAnsi="Times New Roman" w:eastAsia="黑体" w:cs="Times New Roman"/>
      <w:b/>
      <w:kern w:val="2"/>
      <w:sz w:val="24"/>
      <w:szCs w:val="32"/>
      <w:lang w:val="en-US" w:eastAsia="zh-CN" w:bidi="ar-SA"/>
    </w:rPr>
  </w:style>
  <w:style w:type="paragraph" w:customStyle="1" w:styleId="377">
    <w:name w:val="表内"/>
    <w:basedOn w:val="1"/>
    <w:qFormat/>
    <w:uiPriority w:val="99"/>
    <w:pPr>
      <w:jc w:val="center"/>
    </w:pPr>
    <w:rPr>
      <w:szCs w:val="20"/>
    </w:rPr>
  </w:style>
  <w:style w:type="paragraph" w:customStyle="1" w:styleId="378">
    <w:name w:val="4标题(治)"/>
    <w:basedOn w:val="1"/>
    <w:next w:val="1"/>
    <w:qFormat/>
    <w:uiPriority w:val="0"/>
    <w:pPr>
      <w:adjustRightInd w:val="0"/>
      <w:snapToGrid w:val="0"/>
      <w:spacing w:line="360" w:lineRule="auto"/>
      <w:textAlignment w:val="baseline"/>
      <w:outlineLvl w:val="3"/>
    </w:pPr>
    <w:rPr>
      <w:rFonts w:eastAsia="ˎ̥"/>
      <w:b/>
      <w:kern w:val="0"/>
      <w:sz w:val="28"/>
      <w:szCs w:val="20"/>
    </w:rPr>
  </w:style>
  <w:style w:type="paragraph" w:customStyle="1" w:styleId="37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ˎ̥" w:hAnsi="ˎ̥" w:eastAsia="ˎ̥"/>
      <w:kern w:val="0"/>
      <w:sz w:val="20"/>
      <w:szCs w:val="20"/>
    </w:rPr>
  </w:style>
  <w:style w:type="paragraph" w:customStyle="1" w:styleId="380">
    <w:name w:val="样式 标题 2 +"/>
    <w:basedOn w:val="3"/>
    <w:qFormat/>
    <w:uiPriority w:val="0"/>
    <w:pPr>
      <w:keepLines/>
      <w:tabs>
        <w:tab w:val="left" w:pos="360"/>
      </w:tabs>
      <w:spacing w:before="60" w:after="60" w:line="480" w:lineRule="exact"/>
      <w:ind w:left="-567" w:firstLine="567"/>
    </w:pPr>
    <w:rPr>
      <w:kern w:val="0"/>
      <w:sz w:val="32"/>
    </w:rPr>
  </w:style>
  <w:style w:type="paragraph" w:customStyle="1" w:styleId="381">
    <w:name w:val="样式3"/>
    <w:basedOn w:val="30"/>
    <w:qFormat/>
    <w:uiPriority w:val="99"/>
    <w:pPr>
      <w:widowControl w:val="0"/>
      <w:adjustRightInd w:val="0"/>
      <w:snapToGrid/>
      <w:spacing w:before="120" w:after="0" w:line="480" w:lineRule="exact"/>
      <w:ind w:right="0"/>
      <w:jc w:val="center"/>
      <w:textAlignment w:val="baseline"/>
    </w:pPr>
    <w:rPr>
      <w:rFonts w:eastAsia="ˎ̥"/>
      <w:kern w:val="2"/>
      <w:sz w:val="28"/>
    </w:rPr>
  </w:style>
  <w:style w:type="paragraph" w:customStyle="1" w:styleId="382">
    <w:name w:val="WW-正文缩进"/>
    <w:basedOn w:val="1"/>
    <w:qFormat/>
    <w:uiPriority w:val="0"/>
    <w:pPr>
      <w:suppressAutoHyphens/>
      <w:spacing w:line="480" w:lineRule="exact"/>
      <w:ind w:firstLine="595"/>
      <w:textAlignment w:val="baseline"/>
    </w:pPr>
    <w:rPr>
      <w:kern w:val="1"/>
      <w:sz w:val="24"/>
      <w:szCs w:val="20"/>
      <w:lang w:eastAsia="ar-SA"/>
    </w:rPr>
  </w:style>
  <w:style w:type="paragraph" w:customStyle="1" w:styleId="383">
    <w:name w:val="样式6"/>
    <w:basedOn w:val="5"/>
    <w:qFormat/>
    <w:uiPriority w:val="0"/>
    <w:pPr>
      <w:tabs>
        <w:tab w:val="left" w:pos="720"/>
      </w:tabs>
      <w:spacing w:before="0" w:after="0" w:line="480" w:lineRule="exact"/>
      <w:ind w:firstLine="567"/>
    </w:pPr>
    <w:rPr>
      <w:rFonts w:ascii="Times New Roman" w:hAnsi="Times New Roman"/>
      <w:bCs w:val="0"/>
      <w:szCs w:val="20"/>
    </w:rPr>
  </w:style>
  <w:style w:type="paragraph" w:customStyle="1" w:styleId="384">
    <w:name w:val="xl46"/>
    <w:qFormat/>
    <w:uiPriority w:val="99"/>
    <w:pPr>
      <w:spacing w:before="100" w:beforeAutospacing="1" w:after="100" w:afterAutospacing="1"/>
      <w:jc w:val="center"/>
    </w:pPr>
    <w:rPr>
      <w:rFonts w:ascii="方正超粗黑简体" w:hAnsi="宋体" w:eastAsia="方正超粗黑简体" w:cs="宋体"/>
      <w:sz w:val="52"/>
      <w:szCs w:val="52"/>
      <w:lang w:val="en-US" w:eastAsia="zh-CN" w:bidi="ar-SA"/>
    </w:rPr>
  </w:style>
  <w:style w:type="paragraph" w:customStyle="1" w:styleId="385">
    <w:name w:val="样式 样式 标题 4 + 首行缩进:  2 字符1 + 首行缩进:  2 字符"/>
    <w:basedOn w:val="386"/>
    <w:qFormat/>
    <w:uiPriority w:val="0"/>
    <w:pPr>
      <w:ind w:firstLine="482"/>
    </w:pPr>
    <w:rPr>
      <w:rFonts w:ascii="Times New Roman" w:hAnsi="Times New Roman"/>
    </w:rPr>
  </w:style>
  <w:style w:type="paragraph" w:customStyle="1" w:styleId="386">
    <w:name w:val="样式 标题 4 + 首行缩进:  2 字符1"/>
    <w:basedOn w:val="5"/>
    <w:qFormat/>
    <w:uiPriority w:val="0"/>
    <w:pPr>
      <w:adjustRightInd w:val="0"/>
      <w:snapToGrid w:val="0"/>
      <w:spacing w:before="0" w:after="0" w:line="480" w:lineRule="atLeast"/>
      <w:ind w:firstLine="480" w:firstLineChars="200"/>
    </w:pPr>
    <w:rPr>
      <w:bCs w:val="0"/>
      <w:sz w:val="24"/>
      <w:szCs w:val="20"/>
    </w:rPr>
  </w:style>
  <w:style w:type="paragraph" w:customStyle="1" w:styleId="387">
    <w:name w:val="正文格式111"/>
    <w:qFormat/>
    <w:uiPriority w:val="99"/>
    <w:pPr>
      <w:widowControl w:val="0"/>
      <w:snapToGrid w:val="0"/>
      <w:spacing w:line="300" w:lineRule="auto"/>
      <w:ind w:firstLine="480" w:firstLineChars="200"/>
      <w:jc w:val="both"/>
    </w:pPr>
    <w:rPr>
      <w:rFonts w:ascii="宋体" w:hAnsi="宋体" w:eastAsia="宋体" w:cs="Times New Roman"/>
      <w:kern w:val="2"/>
      <w:sz w:val="24"/>
      <w:szCs w:val="24"/>
      <w:lang w:val="en-US" w:eastAsia="zh-CN" w:bidi="ar-SA"/>
    </w:rPr>
  </w:style>
  <w:style w:type="paragraph" w:customStyle="1" w:styleId="388">
    <w:name w:val="样式 正文文字 + 两端对齐 首行缩进:  0.92 厘米 行距: 单倍行距"/>
    <w:basedOn w:val="30"/>
    <w:qFormat/>
    <w:uiPriority w:val="0"/>
    <w:pPr>
      <w:widowControl w:val="0"/>
      <w:snapToGrid/>
      <w:spacing w:before="0" w:after="0" w:line="240" w:lineRule="auto"/>
      <w:ind w:right="0" w:firstLine="522"/>
    </w:pPr>
    <w:rPr>
      <w:rFonts w:ascii="ˎ̥" w:hAnsi="ˎ̥"/>
      <w:kern w:val="2"/>
      <w:sz w:val="28"/>
    </w:rPr>
  </w:style>
  <w:style w:type="paragraph" w:customStyle="1" w:styleId="389">
    <w:name w:val="样式 样式 首行缩进:  2 字符19 + 首行缩进:  2 字符"/>
    <w:basedOn w:val="1"/>
    <w:qFormat/>
    <w:uiPriority w:val="0"/>
    <w:pPr>
      <w:spacing w:line="520" w:lineRule="exact"/>
      <w:ind w:firstLine="480" w:firstLineChars="200"/>
    </w:pPr>
    <w:rPr>
      <w:sz w:val="24"/>
      <w:szCs w:val="20"/>
    </w:rPr>
  </w:style>
  <w:style w:type="paragraph" w:customStyle="1" w:styleId="390">
    <w:name w:val="Char Char Char2 Char"/>
    <w:basedOn w:val="1"/>
    <w:qFormat/>
    <w:uiPriority w:val="0"/>
    <w:pPr>
      <w:spacing w:line="360" w:lineRule="auto"/>
      <w:ind w:firstLine="200" w:firstLineChars="200"/>
    </w:pPr>
    <w:rPr>
      <w:rFonts w:ascii="ˎ̥" w:hAnsi="ˎ̥"/>
      <w:sz w:val="24"/>
      <w:szCs w:val="20"/>
    </w:rPr>
  </w:style>
  <w:style w:type="paragraph" w:customStyle="1" w:styleId="391">
    <w:name w:val="Char11"/>
    <w:basedOn w:val="1"/>
    <w:qFormat/>
    <w:uiPriority w:val="0"/>
    <w:pPr>
      <w:widowControl/>
      <w:spacing w:after="160" w:line="240" w:lineRule="exact"/>
    </w:pPr>
    <w:rPr>
      <w:rFonts w:ascii="ˎ̥" w:hAnsi="ˎ̥"/>
      <w:kern w:val="0"/>
      <w:sz w:val="20"/>
      <w:szCs w:val="20"/>
      <w:lang w:eastAsia="en-US"/>
    </w:rPr>
  </w:style>
  <w:style w:type="paragraph" w:customStyle="1" w:styleId="392">
    <w:name w:val="1"/>
    <w:basedOn w:val="1"/>
    <w:next w:val="40"/>
    <w:qFormat/>
    <w:uiPriority w:val="99"/>
    <w:rPr>
      <w:rFonts w:ascii="ˎ̥" w:hAnsi="ˎ̥"/>
      <w:szCs w:val="20"/>
    </w:rPr>
  </w:style>
  <w:style w:type="paragraph" w:customStyle="1" w:styleId="393">
    <w:name w:val="表格内容居中"/>
    <w:qFormat/>
    <w:uiPriority w:val="0"/>
    <w:pPr>
      <w:adjustRightInd w:val="0"/>
      <w:snapToGrid w:val="0"/>
      <w:jc w:val="center"/>
    </w:pPr>
    <w:rPr>
      <w:rFonts w:ascii="Times New Roman" w:hAnsi="Times New Roman" w:eastAsia="宋体" w:cs="Times New Roman"/>
      <w:snapToGrid w:val="0"/>
      <w:sz w:val="21"/>
      <w:lang w:val="en-US" w:eastAsia="zh-CN" w:bidi="ar-SA"/>
    </w:rPr>
  </w:style>
  <w:style w:type="paragraph" w:customStyle="1" w:styleId="394">
    <w:name w:val="表格式"/>
    <w:basedOn w:val="60"/>
    <w:qFormat/>
    <w:uiPriority w:val="0"/>
    <w:pPr>
      <w:spacing w:line="400" w:lineRule="exact"/>
      <w:ind w:left="0" w:firstLine="0" w:firstLineChars="0"/>
      <w:jc w:val="center"/>
    </w:pPr>
    <w:rPr>
      <w:rFonts w:ascii="ˎ̥"/>
    </w:rPr>
  </w:style>
  <w:style w:type="paragraph" w:customStyle="1" w:styleId="395">
    <w:name w:val="我的样式（正文）"/>
    <w:basedOn w:val="1"/>
    <w:qFormat/>
    <w:uiPriority w:val="0"/>
    <w:pPr>
      <w:spacing w:line="440" w:lineRule="exact"/>
    </w:pPr>
    <w:rPr>
      <w:rFonts w:ascii="ˎ̥"/>
      <w:sz w:val="28"/>
      <w:szCs w:val="20"/>
    </w:rPr>
  </w:style>
  <w:style w:type="paragraph" w:customStyle="1" w:styleId="396">
    <w:name w:val="一级条标题"/>
    <w:basedOn w:val="397"/>
    <w:next w:val="1"/>
    <w:qFormat/>
    <w:uiPriority w:val="0"/>
    <w:pPr>
      <w:tabs>
        <w:tab w:val="left" w:pos="360"/>
        <w:tab w:val="left" w:pos="567"/>
        <w:tab w:val="left" w:pos="709"/>
        <w:tab w:val="left" w:pos="903"/>
        <w:tab w:val="left" w:pos="1320"/>
        <w:tab w:val="left" w:pos="1740"/>
      </w:tabs>
      <w:spacing w:before="0" w:after="0"/>
      <w:ind w:left="709" w:hanging="709"/>
      <w:outlineLvl w:val="2"/>
    </w:pPr>
  </w:style>
  <w:style w:type="paragraph" w:customStyle="1" w:styleId="397">
    <w:name w:val="章标题"/>
    <w:next w:val="1"/>
    <w:qFormat/>
    <w:uiPriority w:val="99"/>
    <w:pPr>
      <w:tabs>
        <w:tab w:val="left" w:pos="567"/>
        <w:tab w:val="left" w:pos="903"/>
        <w:tab w:val="left" w:pos="1320"/>
      </w:tabs>
      <w:spacing w:before="50" w:after="50"/>
      <w:ind w:left="903" w:hanging="315"/>
      <w:jc w:val="both"/>
      <w:outlineLvl w:val="1"/>
    </w:pPr>
    <w:rPr>
      <w:rFonts w:ascii="ˎ̥" w:hAnsi="Times New Roman" w:eastAsia="ˎ̥" w:cs="Times New Roman"/>
      <w:sz w:val="21"/>
      <w:lang w:val="en-US" w:eastAsia="zh-CN" w:bidi="ar-SA"/>
    </w:rPr>
  </w:style>
  <w:style w:type="paragraph" w:customStyle="1" w:styleId="398">
    <w:name w:val="font1"/>
    <w:qFormat/>
    <w:uiPriority w:val="99"/>
    <w:pPr>
      <w:spacing w:before="100" w:beforeAutospacing="1" w:after="100" w:afterAutospacing="1"/>
    </w:pPr>
    <w:rPr>
      <w:rFonts w:ascii="宋体" w:hAnsi="宋体" w:eastAsia="宋体" w:cs="Arial Unicode MS"/>
      <w:sz w:val="24"/>
      <w:szCs w:val="24"/>
      <w:lang w:val="en-US" w:eastAsia="zh-CN" w:bidi="ar-SA"/>
    </w:rPr>
  </w:style>
  <w:style w:type="paragraph" w:customStyle="1" w:styleId="399">
    <w:name w:val="reader-word-layer reader-word-s7-1"/>
    <w:basedOn w:val="1"/>
    <w:qFormat/>
    <w:uiPriority w:val="0"/>
    <w:pPr>
      <w:widowControl/>
      <w:spacing w:before="100" w:beforeAutospacing="1" w:after="100" w:afterAutospacing="1"/>
      <w:jc w:val="left"/>
    </w:pPr>
    <w:rPr>
      <w:rFonts w:ascii="ˎ̥" w:hAnsi="ˎ̥" w:cs="ˎ̥"/>
      <w:kern w:val="0"/>
      <w:sz w:val="24"/>
    </w:rPr>
  </w:style>
  <w:style w:type="paragraph" w:customStyle="1" w:styleId="400">
    <w:name w:val="a表格"/>
    <w:basedOn w:val="1"/>
    <w:qFormat/>
    <w:uiPriority w:val="0"/>
    <w:pPr>
      <w:snapToGrid w:val="0"/>
      <w:jc w:val="center"/>
    </w:pPr>
    <w:rPr>
      <w:szCs w:val="20"/>
    </w:rPr>
  </w:style>
  <w:style w:type="paragraph" w:customStyle="1" w:styleId="401">
    <w:name w:val="标题11"/>
    <w:basedOn w:val="1"/>
    <w:qFormat/>
    <w:uiPriority w:val="0"/>
    <w:pPr>
      <w:keepNext/>
      <w:keepLines/>
      <w:tabs>
        <w:tab w:val="left" w:pos="1134"/>
      </w:tabs>
      <w:spacing w:before="120" w:line="360" w:lineRule="auto"/>
      <w:jc w:val="left"/>
    </w:pPr>
    <w:rPr>
      <w:b/>
      <w:sz w:val="28"/>
      <w:szCs w:val="20"/>
    </w:rPr>
  </w:style>
  <w:style w:type="paragraph" w:customStyle="1" w:styleId="402">
    <w:name w:val="报告书表格5"/>
    <w:basedOn w:val="403"/>
    <w:qFormat/>
    <w:uiPriority w:val="0"/>
    <w:pPr>
      <w:ind w:left="-96" w:leftChars="-40" w:right="-46" w:rightChars="-46"/>
    </w:pPr>
  </w:style>
  <w:style w:type="paragraph" w:customStyle="1" w:styleId="403">
    <w:name w:val="报告书表格"/>
    <w:basedOn w:val="1"/>
    <w:qFormat/>
    <w:uiPriority w:val="99"/>
    <w:pPr>
      <w:adjustRightInd w:val="0"/>
      <w:spacing w:before="60" w:after="60" w:line="240" w:lineRule="atLeast"/>
      <w:jc w:val="center"/>
      <w:textAlignment w:val="baseline"/>
    </w:pPr>
    <w:rPr>
      <w:kern w:val="0"/>
      <w:szCs w:val="20"/>
    </w:rPr>
  </w:style>
  <w:style w:type="paragraph" w:customStyle="1" w:styleId="404">
    <w:name w:val="样式 标题 3 + 段前: 0.5 行"/>
    <w:basedOn w:val="4"/>
    <w:qFormat/>
    <w:uiPriority w:val="0"/>
    <w:pPr>
      <w:keepNext w:val="0"/>
      <w:keepLines w:val="0"/>
      <w:widowControl w:val="0"/>
      <w:spacing w:before="0" w:after="0" w:line="240" w:lineRule="exact"/>
      <w:jc w:val="center"/>
      <w:outlineLvl w:val="9"/>
    </w:pPr>
    <w:rPr>
      <w:color w:val="000000"/>
      <w:sz w:val="21"/>
    </w:rPr>
  </w:style>
  <w:style w:type="paragraph" w:customStyle="1" w:styleId="405">
    <w:name w:val="正式表格"/>
    <w:basedOn w:val="406"/>
    <w:qFormat/>
    <w:uiPriority w:val="0"/>
    <w:pPr>
      <w:spacing w:before="60" w:after="60" w:line="240" w:lineRule="auto"/>
      <w:ind w:firstLine="0"/>
      <w:jc w:val="center"/>
      <w:textAlignment w:val="auto"/>
    </w:pPr>
    <w:rPr>
      <w:sz w:val="24"/>
    </w:rPr>
  </w:style>
  <w:style w:type="paragraph" w:customStyle="1" w:styleId="406">
    <w:name w:val="正式文字"/>
    <w:basedOn w:val="40"/>
    <w:qFormat/>
    <w:uiPriority w:val="0"/>
    <w:pPr>
      <w:adjustRightInd w:val="0"/>
      <w:snapToGrid w:val="0"/>
      <w:spacing w:line="312" w:lineRule="auto"/>
      <w:ind w:firstLine="567"/>
      <w:textAlignment w:val="baseline"/>
    </w:pPr>
    <w:rPr>
      <w:rFonts w:eastAsia="宋体"/>
      <w:spacing w:val="6"/>
      <w:sz w:val="28"/>
    </w:rPr>
  </w:style>
  <w:style w:type="paragraph" w:customStyle="1" w:styleId="407">
    <w:name w:val="条题"/>
    <w:basedOn w:val="1"/>
    <w:qFormat/>
    <w:uiPriority w:val="0"/>
    <w:pPr>
      <w:tabs>
        <w:tab w:val="left" w:pos="360"/>
        <w:tab w:val="left" w:pos="720"/>
        <w:tab w:val="left" w:pos="1640"/>
      </w:tabs>
      <w:spacing w:before="156" w:beforeLines="50" w:line="480" w:lineRule="exact"/>
      <w:ind w:left="360" w:hanging="360"/>
    </w:pPr>
    <w:rPr>
      <w:color w:val="000000"/>
      <w:sz w:val="24"/>
      <w:szCs w:val="20"/>
    </w:rPr>
  </w:style>
  <w:style w:type="paragraph" w:customStyle="1" w:styleId="408">
    <w:name w:val="样式 样式 两端对齐 行距: 1.5 倍行距 + 首行缩进:  2 字符"/>
    <w:qFormat/>
    <w:uiPriority w:val="99"/>
    <w:pPr>
      <w:spacing w:line="312" w:lineRule="auto"/>
      <w:ind w:firstLine="560" w:firstLineChars="200"/>
      <w:jc w:val="both"/>
    </w:pPr>
    <w:rPr>
      <w:rFonts w:ascii="Times New Roman" w:hAnsi="Times New Roman" w:eastAsia="宋体" w:cs="宋体"/>
      <w:kern w:val="2"/>
      <w:sz w:val="26"/>
      <w:lang w:val="en-US" w:eastAsia="zh-CN" w:bidi="ar-SA"/>
    </w:rPr>
  </w:style>
  <w:style w:type="paragraph" w:customStyle="1" w:styleId="409">
    <w:name w:val="正文曹"/>
    <w:basedOn w:val="31"/>
    <w:qFormat/>
    <w:uiPriority w:val="99"/>
    <w:pPr>
      <w:spacing w:after="0" w:line="320" w:lineRule="exact"/>
      <w:ind w:left="0" w:leftChars="0"/>
      <w:jc w:val="center"/>
    </w:pPr>
    <w:rPr>
      <w:rFonts w:ascii="ˎ̥" w:hAnsi="ˎ̥"/>
    </w:rPr>
  </w:style>
  <w:style w:type="paragraph" w:customStyle="1" w:styleId="410">
    <w:name w:val="3标题(治)"/>
    <w:basedOn w:val="4"/>
    <w:qFormat/>
    <w:uiPriority w:val="0"/>
    <w:pPr>
      <w:widowControl w:val="0"/>
      <w:tabs>
        <w:tab w:val="left" w:pos="1260"/>
        <w:tab w:val="left" w:pos="1800"/>
      </w:tabs>
      <w:adjustRightInd w:val="0"/>
      <w:spacing w:before="0" w:after="0" w:line="360" w:lineRule="auto"/>
      <w:textAlignment w:val="baseline"/>
    </w:pPr>
    <w:rPr>
      <w:b/>
      <w:sz w:val="28"/>
    </w:rPr>
  </w:style>
  <w:style w:type="paragraph" w:customStyle="1" w:styleId="411">
    <w:name w:val="样式 正文文本缩进 + 小四 非加粗 非倾斜 行距: 固定值 20 磅"/>
    <w:basedOn w:val="31"/>
    <w:qFormat/>
    <w:uiPriority w:val="0"/>
    <w:pPr>
      <w:spacing w:after="0" w:line="440" w:lineRule="exact"/>
      <w:ind w:left="0" w:leftChars="0" w:firstLine="454"/>
    </w:pPr>
    <w:rPr>
      <w:szCs w:val="20"/>
    </w:rPr>
  </w:style>
  <w:style w:type="paragraph" w:customStyle="1" w:styleId="412">
    <w:name w:val="样式节"/>
    <w:basedOn w:val="1"/>
    <w:qFormat/>
    <w:uiPriority w:val="0"/>
    <w:pPr>
      <w:adjustRightInd w:val="0"/>
      <w:snapToGrid w:val="0"/>
      <w:spacing w:before="120" w:after="120" w:line="312" w:lineRule="auto"/>
      <w:ind w:firstLine="567"/>
    </w:pPr>
    <w:rPr>
      <w:rFonts w:ascii="ˎ̥" w:hAnsi="ˎ̥"/>
      <w:b/>
      <w:spacing w:val="6"/>
      <w:sz w:val="32"/>
      <w:szCs w:val="20"/>
    </w:rPr>
  </w:style>
  <w:style w:type="paragraph" w:customStyle="1" w:styleId="413">
    <w:name w:val="xl26"/>
    <w:basedOn w:val="1"/>
    <w:qFormat/>
    <w:uiPriority w:val="0"/>
    <w:pPr>
      <w:widowControl/>
      <w:spacing w:before="100" w:after="100"/>
      <w:jc w:val="center"/>
    </w:pPr>
    <w:rPr>
      <w:kern w:val="0"/>
      <w:szCs w:val="20"/>
    </w:rPr>
  </w:style>
  <w:style w:type="paragraph" w:customStyle="1" w:styleId="414">
    <w:name w:val="基准页眉样式"/>
    <w:basedOn w:val="30"/>
    <w:qFormat/>
    <w:uiPriority w:val="0"/>
    <w:pPr>
      <w:keepLines/>
      <w:tabs>
        <w:tab w:val="center" w:pos="-18551"/>
        <w:tab w:val="right" w:pos="4320"/>
      </w:tabs>
      <w:snapToGrid/>
      <w:spacing w:before="0" w:after="0" w:line="240" w:lineRule="atLeast"/>
      <w:ind w:right="0"/>
      <w:jc w:val="center"/>
    </w:pPr>
    <w:rPr>
      <w:rFonts w:ascii="ˎ̥" w:hAnsi="ˎ̥"/>
      <w:smallCaps/>
      <w:spacing w:val="15"/>
      <w:sz w:val="21"/>
    </w:rPr>
  </w:style>
  <w:style w:type="paragraph" w:customStyle="1" w:styleId="415">
    <w:name w:val="设计文本"/>
    <w:basedOn w:val="1"/>
    <w:qFormat/>
    <w:uiPriority w:val="0"/>
    <w:pPr>
      <w:spacing w:line="300" w:lineRule="exact"/>
      <w:jc w:val="center"/>
    </w:pPr>
    <w:rPr>
      <w:color w:val="FF0000"/>
      <w:spacing w:val="8"/>
      <w:szCs w:val="20"/>
    </w:rPr>
  </w:style>
  <w:style w:type="paragraph" w:customStyle="1" w:styleId="416">
    <w:name w:val="正文+宋体"/>
    <w:basedOn w:val="1"/>
    <w:qFormat/>
    <w:uiPriority w:val="0"/>
    <w:pPr>
      <w:tabs>
        <w:tab w:val="left" w:pos="4680"/>
      </w:tabs>
      <w:jc w:val="center"/>
    </w:pPr>
    <w:rPr>
      <w:rFonts w:ascii="ˎ̥" w:hAnsi="ˎ̥"/>
      <w:color w:val="0000FF"/>
      <w:spacing w:val="-12"/>
      <w:szCs w:val="21"/>
    </w:rPr>
  </w:style>
  <w:style w:type="paragraph" w:customStyle="1" w:styleId="417">
    <w:name w:val="WW-普通文字"/>
    <w:basedOn w:val="1"/>
    <w:qFormat/>
    <w:uiPriority w:val="0"/>
    <w:pPr>
      <w:suppressAutoHyphens/>
    </w:pPr>
    <w:rPr>
      <w:rFonts w:ascii="ˎ̥" w:hAnsi="ˎ̥"/>
      <w:kern w:val="1"/>
      <w:szCs w:val="20"/>
      <w:lang w:eastAsia="ar-SA"/>
    </w:rPr>
  </w:style>
  <w:style w:type="paragraph" w:customStyle="1" w:styleId="418">
    <w:name w:val="1标题3级"/>
    <w:basedOn w:val="1"/>
    <w:qFormat/>
    <w:uiPriority w:val="0"/>
    <w:pPr>
      <w:keepNext/>
      <w:snapToGrid w:val="0"/>
      <w:spacing w:before="156" w:beforeLines="50" w:after="156" w:afterLines="50"/>
      <w:jc w:val="left"/>
      <w:outlineLvl w:val="2"/>
    </w:pPr>
    <w:rPr>
      <w:rFonts w:eastAsia="ˎ̥"/>
      <w:b/>
      <w:sz w:val="24"/>
      <w:szCs w:val="20"/>
    </w:rPr>
  </w:style>
  <w:style w:type="paragraph" w:customStyle="1" w:styleId="419">
    <w:name w:val="样式 题注 + 首行缩进:  2 字符"/>
    <w:basedOn w:val="1"/>
    <w:qFormat/>
    <w:uiPriority w:val="0"/>
    <w:pPr>
      <w:spacing w:before="100" w:beforeAutospacing="1" w:after="100" w:afterAutospacing="1" w:line="360" w:lineRule="auto"/>
      <w:ind w:firstLine="200" w:firstLineChars="200"/>
    </w:pPr>
    <w:rPr>
      <w:rFonts w:ascii="ˎ̥" w:hAnsi="ˎ̥" w:eastAsia="ˎ̥"/>
      <w:sz w:val="24"/>
      <w:szCs w:val="20"/>
    </w:rPr>
  </w:style>
  <w:style w:type="paragraph" w:customStyle="1" w:styleId="420">
    <w:name w:val="Char Char Char3 Char Char Char Char Char Char Char Char Char Char Char Char1 Char Char Char Char"/>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421">
    <w:name w:val="xl44"/>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黑体" w:hAnsi="宋体" w:eastAsia="黑体" w:cs="宋体"/>
      <w:sz w:val="16"/>
      <w:szCs w:val="16"/>
      <w:lang w:val="en-US" w:eastAsia="zh-CN" w:bidi="ar-SA"/>
    </w:rPr>
  </w:style>
  <w:style w:type="paragraph" w:customStyle="1" w:styleId="422">
    <w:name w:val="Char Char Char Char Char Char1"/>
    <w:basedOn w:val="1"/>
    <w:qFormat/>
    <w:uiPriority w:val="0"/>
    <w:pPr>
      <w:widowControl/>
      <w:spacing w:after="160" w:line="240" w:lineRule="exact"/>
      <w:jc w:val="left"/>
    </w:pPr>
    <w:rPr>
      <w:rFonts w:ascii="ˎ̥" w:hAnsi="ˎ̥"/>
      <w:kern w:val="0"/>
      <w:sz w:val="20"/>
      <w:szCs w:val="20"/>
      <w:lang w:eastAsia="en-US"/>
    </w:rPr>
  </w:style>
  <w:style w:type="paragraph" w:customStyle="1" w:styleId="423">
    <w:name w:val="样式 目录 2 + 左侧:  2 字符"/>
    <w:basedOn w:val="65"/>
    <w:qFormat/>
    <w:uiPriority w:val="0"/>
    <w:pPr>
      <w:tabs>
        <w:tab w:val="left" w:pos="1050"/>
        <w:tab w:val="right" w:leader="middleDot" w:pos="8296"/>
      </w:tabs>
      <w:spacing w:line="276" w:lineRule="auto"/>
      <w:ind w:left="420" w:leftChars="200" w:firstLine="0" w:firstLineChars="0"/>
    </w:pPr>
    <w:rPr>
      <w:rFonts w:ascii="ˎ̥" w:hAnsi="ˎ̥" w:eastAsia="ˎ̥"/>
      <w:sz w:val="24"/>
    </w:rPr>
  </w:style>
  <w:style w:type="paragraph" w:customStyle="1" w:styleId="424">
    <w:name w:val="Char2 Char Char Char"/>
    <w:basedOn w:val="1"/>
    <w:qFormat/>
    <w:uiPriority w:val="0"/>
    <w:pPr>
      <w:adjustRightInd w:val="0"/>
      <w:snapToGrid w:val="0"/>
    </w:pPr>
    <w:rPr>
      <w:rFonts w:eastAsia="ˎ̥"/>
      <w:snapToGrid w:val="0"/>
      <w:sz w:val="24"/>
      <w:szCs w:val="20"/>
    </w:rPr>
  </w:style>
  <w:style w:type="paragraph" w:customStyle="1" w:styleId="425">
    <w:name w:val="5文章(治)"/>
    <w:basedOn w:val="1"/>
    <w:qFormat/>
    <w:uiPriority w:val="0"/>
    <w:pPr>
      <w:spacing w:line="360" w:lineRule="auto"/>
      <w:ind w:firstLine="480" w:firstLineChars="200"/>
    </w:pPr>
    <w:rPr>
      <w:sz w:val="24"/>
      <w:szCs w:val="20"/>
    </w:rPr>
  </w:style>
  <w:style w:type="paragraph" w:customStyle="1" w:styleId="426">
    <w:name w:val="样式 样式 标题 3 + 宋体 黑色 首行缩进:  2 字符 段前: 6 磅 段后: 6 磅 行距: 最小值 24 磅 + 首行..."/>
    <w:basedOn w:val="427"/>
    <w:qFormat/>
    <w:uiPriority w:val="0"/>
    <w:pPr>
      <w:ind w:firstLine="562"/>
    </w:pPr>
    <w:rPr>
      <w:rFonts w:ascii="Times New Roman" w:hAnsi="Times New Roman"/>
    </w:rPr>
  </w:style>
  <w:style w:type="paragraph" w:customStyle="1" w:styleId="427">
    <w:name w:val="样式 标题 3 + 宋体 黑色 首行缩进:  2 字符 段前: 6 磅 段后: 6 磅 行距: 最小值 24 磅"/>
    <w:basedOn w:val="4"/>
    <w:qFormat/>
    <w:uiPriority w:val="0"/>
    <w:pPr>
      <w:widowControl w:val="0"/>
      <w:adjustRightInd w:val="0"/>
      <w:snapToGrid w:val="0"/>
      <w:spacing w:line="480" w:lineRule="atLeast"/>
      <w:ind w:firstLine="200" w:firstLineChars="200"/>
    </w:pPr>
    <w:rPr>
      <w:rFonts w:ascii="ˎ̥" w:hAnsi="ˎ̥"/>
      <w:b/>
      <w:color w:val="000000"/>
      <w:sz w:val="28"/>
    </w:rPr>
  </w:style>
  <w:style w:type="paragraph" w:customStyle="1" w:styleId="428">
    <w:name w:val="样式 题注 + 两端对齐"/>
    <w:basedOn w:val="19"/>
    <w:qFormat/>
    <w:uiPriority w:val="0"/>
    <w:pPr>
      <w:keepNext/>
      <w:overflowPunct/>
      <w:topLinePunct w:val="0"/>
      <w:autoSpaceDE/>
      <w:autoSpaceDN/>
      <w:adjustRightInd/>
      <w:snapToGrid/>
      <w:spacing w:before="0" w:line="360" w:lineRule="auto"/>
      <w:textAlignment w:val="auto"/>
    </w:pPr>
    <w:rPr>
      <w:rFonts w:ascii="Times New Roman" w:hAnsi="Times New Roman"/>
      <w:b w:val="0"/>
      <w:spacing w:val="0"/>
      <w:kern w:val="2"/>
      <w:sz w:val="24"/>
    </w:rPr>
  </w:style>
  <w:style w:type="paragraph" w:customStyle="1" w:styleId="429">
    <w:name w:val="样式8"/>
    <w:basedOn w:val="4"/>
    <w:qFormat/>
    <w:uiPriority w:val="0"/>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430">
    <w:name w:val="xl28"/>
    <w:basedOn w:val="1"/>
    <w:qFormat/>
    <w:uiPriority w:val="99"/>
    <w:pPr>
      <w:widowControl/>
      <w:pBdr>
        <w:bottom w:val="single" w:color="auto" w:sz="4" w:space="0"/>
        <w:right w:val="single" w:color="auto" w:sz="4" w:space="0"/>
      </w:pBdr>
      <w:spacing w:before="100" w:beforeAutospacing="1" w:after="100" w:afterAutospacing="1"/>
      <w:jc w:val="center"/>
      <w:textAlignment w:val="top"/>
    </w:pPr>
    <w:rPr>
      <w:kern w:val="0"/>
      <w:szCs w:val="20"/>
    </w:rPr>
  </w:style>
  <w:style w:type="paragraph" w:customStyle="1" w:styleId="431">
    <w:name w:val="1目录"/>
    <w:basedOn w:val="418"/>
    <w:qFormat/>
    <w:uiPriority w:val="0"/>
    <w:pPr>
      <w:keepNext w:val="0"/>
      <w:tabs>
        <w:tab w:val="left" w:leader="middleDot" w:pos="8190"/>
      </w:tabs>
      <w:spacing w:before="120" w:beforeLines="0" w:after="120" w:afterLines="0"/>
      <w:ind w:left="80" w:leftChars="80"/>
      <w:jc w:val="both"/>
      <w:textAlignment w:val="center"/>
    </w:pPr>
    <w:rPr>
      <w:b w:val="0"/>
    </w:rPr>
  </w:style>
  <w:style w:type="paragraph" w:customStyle="1" w:styleId="432">
    <w:name w:val="Char Char2 Char Char Char Char Char Char Char1"/>
    <w:basedOn w:val="4"/>
    <w:qFormat/>
    <w:uiPriority w:val="99"/>
    <w:pPr>
      <w:widowControl w:val="0"/>
      <w:tabs>
        <w:tab w:val="left" w:pos="360"/>
        <w:tab w:val="left" w:pos="900"/>
      </w:tabs>
      <w:snapToGrid w:val="0"/>
      <w:spacing w:line="360" w:lineRule="auto"/>
      <w:ind w:left="542" w:leftChars="-12" w:firstLine="200" w:firstLineChars="200"/>
      <w:jc w:val="left"/>
    </w:pPr>
    <w:rPr>
      <w:rFonts w:eastAsia="黑体"/>
      <w:szCs w:val="24"/>
    </w:rPr>
  </w:style>
  <w:style w:type="paragraph" w:customStyle="1" w:styleId="433">
    <w:name w:val="文章正文"/>
    <w:qFormat/>
    <w:uiPriority w:val="99"/>
    <w:pPr>
      <w:widowControl w:val="0"/>
      <w:spacing w:before="120" w:line="360" w:lineRule="auto"/>
      <w:ind w:firstLine="510"/>
      <w:jc w:val="both"/>
    </w:pPr>
    <w:rPr>
      <w:rFonts w:ascii="Times New Roman" w:hAnsi="Times New Roman" w:eastAsia="宋体" w:cs="Times New Roman"/>
      <w:sz w:val="28"/>
      <w:szCs w:val="28"/>
      <w:lang w:val="en-US" w:eastAsia="zh-CN" w:bidi="ar-SA"/>
    </w:rPr>
  </w:style>
  <w:style w:type="paragraph" w:customStyle="1" w:styleId="434">
    <w:name w:val="样式 首行缩进:  2 字符16"/>
    <w:basedOn w:val="1"/>
    <w:qFormat/>
    <w:uiPriority w:val="0"/>
    <w:pPr>
      <w:spacing w:line="520" w:lineRule="exact"/>
      <w:ind w:firstLine="560" w:firstLineChars="200"/>
    </w:pPr>
    <w:rPr>
      <w:sz w:val="24"/>
      <w:szCs w:val="20"/>
    </w:rPr>
  </w:style>
  <w:style w:type="paragraph" w:customStyle="1" w:styleId="435">
    <w:name w:val="WW-列表 2"/>
    <w:basedOn w:val="1"/>
    <w:qFormat/>
    <w:uiPriority w:val="0"/>
    <w:pPr>
      <w:suppressAutoHyphens/>
      <w:ind w:left="840" w:hanging="420"/>
    </w:pPr>
    <w:rPr>
      <w:rFonts w:ascii="ˎ̥" w:hAnsi="ˎ̥"/>
      <w:kern w:val="1"/>
      <w:szCs w:val="20"/>
      <w:lang w:eastAsia="ar-SA"/>
    </w:rPr>
  </w:style>
  <w:style w:type="paragraph" w:customStyle="1" w:styleId="43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3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38">
    <w:name w:val="题目"/>
    <w:basedOn w:val="2"/>
    <w:next w:val="1"/>
    <w:qFormat/>
    <w:uiPriority w:val="0"/>
    <w:pPr>
      <w:keepLines/>
      <w:overflowPunct/>
      <w:snapToGrid/>
      <w:spacing w:before="100" w:beforeAutospacing="1" w:after="100" w:afterAutospacing="1" w:line="240" w:lineRule="auto"/>
      <w:ind w:left="100" w:leftChars="100" w:right="100" w:rightChars="100" w:firstLine="0"/>
      <w:jc w:val="center"/>
    </w:pPr>
    <w:rPr>
      <w:rFonts w:eastAsia="ˎ̥"/>
      <w:bCs w:val="0"/>
      <w:color w:val="auto"/>
      <w:szCs w:val="20"/>
    </w:rPr>
  </w:style>
  <w:style w:type="paragraph" w:customStyle="1" w:styleId="439">
    <w:name w:val="BIG BOLD"/>
    <w:basedOn w:val="1"/>
    <w:qFormat/>
    <w:uiPriority w:val="0"/>
    <w:pPr>
      <w:tabs>
        <w:tab w:val="left" w:leader="underscore" w:pos="1134"/>
      </w:tabs>
    </w:pPr>
    <w:rPr>
      <w:szCs w:val="20"/>
    </w:rPr>
  </w:style>
  <w:style w:type="paragraph" w:customStyle="1" w:styleId="440">
    <w:name w:val="样式 小四 首行缩进:  1.01 厘米 行距: 1.5 倍行距"/>
    <w:basedOn w:val="1"/>
    <w:qFormat/>
    <w:uiPriority w:val="0"/>
    <w:pPr>
      <w:adjustRightInd w:val="0"/>
      <w:snapToGrid w:val="0"/>
      <w:spacing w:line="360" w:lineRule="auto"/>
      <w:ind w:firstLine="200" w:firstLineChars="200"/>
    </w:pPr>
    <w:rPr>
      <w:snapToGrid w:val="0"/>
      <w:kern w:val="24"/>
      <w:sz w:val="24"/>
      <w:szCs w:val="20"/>
    </w:rPr>
  </w:style>
  <w:style w:type="paragraph" w:customStyle="1" w:styleId="441">
    <w:name w:val="样式 Arial 行距: 多倍行距 1.45 字行"/>
    <w:basedOn w:val="1"/>
    <w:qFormat/>
    <w:uiPriority w:val="0"/>
    <w:pPr>
      <w:spacing w:line="480" w:lineRule="exact"/>
      <w:ind w:firstLine="500"/>
    </w:pPr>
    <w:rPr>
      <w:sz w:val="24"/>
      <w:szCs w:val="20"/>
    </w:rPr>
  </w:style>
  <w:style w:type="paragraph" w:customStyle="1" w:styleId="442">
    <w:name w:val="小四表格"/>
    <w:basedOn w:val="1"/>
    <w:next w:val="1"/>
    <w:qFormat/>
    <w:uiPriority w:val="0"/>
    <w:pPr>
      <w:snapToGrid w:val="0"/>
      <w:jc w:val="center"/>
    </w:pPr>
    <w:rPr>
      <w:rFonts w:ascii="ˎ̥" w:hAnsi="ˎ̥"/>
      <w:snapToGrid w:val="0"/>
      <w:sz w:val="24"/>
      <w:szCs w:val="20"/>
    </w:rPr>
  </w:style>
  <w:style w:type="paragraph" w:customStyle="1" w:styleId="443">
    <w:name w:val="Char Char Char Char Char Char1 Char Char Char Char"/>
    <w:basedOn w:val="1"/>
    <w:qFormat/>
    <w:uiPriority w:val="99"/>
    <w:pPr>
      <w:widowControl/>
      <w:spacing w:after="160" w:line="240" w:lineRule="exact"/>
      <w:jc w:val="left"/>
    </w:pPr>
    <w:rPr>
      <w:rFonts w:ascii="ˎ̥" w:hAnsi="ˎ̥"/>
      <w:kern w:val="0"/>
      <w:sz w:val="20"/>
      <w:szCs w:val="20"/>
      <w:lang w:eastAsia="en-US"/>
    </w:rPr>
  </w:style>
  <w:style w:type="paragraph" w:customStyle="1" w:styleId="444">
    <w:name w:val="大妹正文"/>
    <w:basedOn w:val="2"/>
    <w:qFormat/>
    <w:uiPriority w:val="99"/>
    <w:pPr>
      <w:keepNext w:val="0"/>
      <w:tabs>
        <w:tab w:val="center" w:pos="4396"/>
        <w:tab w:val="left" w:pos="6600"/>
      </w:tabs>
      <w:overflowPunct/>
      <w:adjustRightInd w:val="0"/>
      <w:spacing w:before="0" w:after="0" w:line="360" w:lineRule="auto"/>
      <w:ind w:left="0" w:firstLine="538" w:firstLineChars="230"/>
      <w:outlineLvl w:val="9"/>
    </w:pPr>
    <w:rPr>
      <w:rFonts w:ascii="Arial" w:hAnsi="Arial" w:eastAsia="宋体" w:cs="Arial"/>
      <w:b w:val="0"/>
      <w:bCs w:val="0"/>
      <w:color w:val="auto"/>
      <w:spacing w:val="-3"/>
      <w:kern w:val="2"/>
      <w:sz w:val="24"/>
      <w:szCs w:val="24"/>
    </w:rPr>
  </w:style>
  <w:style w:type="paragraph" w:customStyle="1" w:styleId="445">
    <w:name w:val="Char1"/>
    <w:basedOn w:val="1"/>
    <w:qFormat/>
    <w:uiPriority w:val="99"/>
    <w:pPr>
      <w:spacing w:line="360" w:lineRule="auto"/>
    </w:pPr>
    <w:rPr>
      <w:rFonts w:ascii="ˎ̥" w:hAnsi="ˎ̥"/>
      <w:sz w:val="24"/>
      <w:szCs w:val="20"/>
    </w:rPr>
  </w:style>
  <w:style w:type="paragraph" w:customStyle="1" w:styleId="446">
    <w:name w:val="样式 标题 4 + 宋体 Char"/>
    <w:basedOn w:val="5"/>
    <w:qFormat/>
    <w:uiPriority w:val="0"/>
    <w:pPr>
      <w:tabs>
        <w:tab w:val="left" w:pos="720"/>
      </w:tabs>
      <w:spacing w:before="0" w:after="0" w:line="240" w:lineRule="auto"/>
    </w:pPr>
    <w:rPr>
      <w:b w:val="0"/>
      <w:bCs w:val="0"/>
      <w:szCs w:val="20"/>
    </w:rPr>
  </w:style>
  <w:style w:type="paragraph" w:customStyle="1" w:styleId="447">
    <w:name w:val="table"/>
    <w:basedOn w:val="1"/>
    <w:qFormat/>
    <w:uiPriority w:val="0"/>
    <w:pPr>
      <w:adjustRightInd w:val="0"/>
      <w:spacing w:line="240" w:lineRule="atLeast"/>
      <w:textAlignment w:val="baseline"/>
    </w:pPr>
    <w:rPr>
      <w:rFonts w:ascii="ˎ̥" w:hAnsi="ˎ̥"/>
      <w:spacing w:val="-2"/>
      <w:kern w:val="0"/>
      <w:szCs w:val="20"/>
    </w:rPr>
  </w:style>
  <w:style w:type="paragraph" w:customStyle="1" w:styleId="448">
    <w:name w:val="表、图名"/>
    <w:qFormat/>
    <w:uiPriority w:val="99"/>
    <w:pPr>
      <w:widowControl w:val="0"/>
      <w:spacing w:before="156" w:after="156"/>
      <w:ind w:left="1920" w:firstLine="422" w:firstLineChars="200"/>
      <w:jc w:val="both"/>
    </w:pPr>
    <w:rPr>
      <w:rFonts w:ascii="宋体" w:hAnsi="华文中宋" w:eastAsia="宋体" w:cs="宋体"/>
      <w:b/>
      <w:bCs/>
      <w:kern w:val="2"/>
      <w:sz w:val="21"/>
      <w:szCs w:val="21"/>
      <w:lang w:val="en-US" w:eastAsia="zh-CN" w:bidi="ar-SA"/>
    </w:rPr>
  </w:style>
  <w:style w:type="paragraph" w:customStyle="1" w:styleId="449">
    <w:name w:val="正文缩进2字符"/>
    <w:basedOn w:val="1"/>
    <w:qFormat/>
    <w:uiPriority w:val="0"/>
    <w:pPr>
      <w:spacing w:line="520" w:lineRule="exact"/>
      <w:ind w:firstLine="200" w:firstLineChars="200"/>
    </w:pPr>
    <w:rPr>
      <w:sz w:val="28"/>
      <w:szCs w:val="20"/>
    </w:rPr>
  </w:style>
  <w:style w:type="paragraph" w:customStyle="1" w:styleId="450">
    <w:name w:val="6表(图)头(治)"/>
    <w:next w:val="1"/>
    <w:qFormat/>
    <w:uiPriority w:val="0"/>
    <w:pPr>
      <w:widowControl w:val="0"/>
      <w:jc w:val="center"/>
    </w:pPr>
    <w:rPr>
      <w:rFonts w:ascii="Times New Roman" w:hAnsi="ˎ̥" w:eastAsia="宋体" w:cs="Times New Roman"/>
      <w:sz w:val="24"/>
      <w:lang w:val="en-US" w:eastAsia="zh-CN" w:bidi="ar-SA"/>
    </w:rPr>
  </w:style>
  <w:style w:type="paragraph" w:customStyle="1" w:styleId="451">
    <w:name w:val="xl47"/>
    <w:qFormat/>
    <w:uiPriority w:val="99"/>
    <w:pPr>
      <w:spacing w:before="100" w:beforeAutospacing="1" w:after="100" w:afterAutospacing="1"/>
      <w:jc w:val="center"/>
    </w:pPr>
    <w:rPr>
      <w:rFonts w:ascii="方正超粗黑简体" w:hAnsi="宋体" w:eastAsia="方正超粗黑简体" w:cs="宋体"/>
      <w:sz w:val="52"/>
      <w:szCs w:val="52"/>
      <w:u w:val="single"/>
      <w:lang w:val="en-US" w:eastAsia="zh-CN" w:bidi="ar-SA"/>
    </w:rPr>
  </w:style>
  <w:style w:type="paragraph" w:customStyle="1" w:styleId="452">
    <w:name w:val="表第一列"/>
    <w:basedOn w:val="76"/>
    <w:qFormat/>
    <w:uiPriority w:val="0"/>
    <w:pPr>
      <w:keepNext/>
      <w:keepLines/>
      <w:widowControl w:val="0"/>
      <w:tabs>
        <w:tab w:val="left" w:pos="1727"/>
        <w:tab w:val="left" w:pos="1884"/>
        <w:tab w:val="left" w:pos="2940"/>
      </w:tabs>
      <w:adjustRightInd w:val="0"/>
      <w:snapToGrid w:val="0"/>
      <w:spacing w:line="0" w:lineRule="atLeast"/>
      <w:ind w:firstLine="0"/>
      <w:jc w:val="center"/>
    </w:pPr>
    <w:rPr>
      <w:rFonts w:ascii="ˎ̥" w:hAnsi="ˎ̥"/>
      <w:color w:val="000000"/>
      <w:spacing w:val="-4"/>
      <w:kern w:val="2"/>
      <w:sz w:val="21"/>
    </w:rPr>
  </w:style>
  <w:style w:type="paragraph" w:customStyle="1" w:styleId="453">
    <w:name w:val="附录二级条标题"/>
    <w:basedOn w:val="454"/>
    <w:next w:val="1"/>
    <w:qFormat/>
    <w:uiPriority w:val="99"/>
    <w:pPr>
      <w:tabs>
        <w:tab w:val="left" w:pos="567"/>
        <w:tab w:val="left" w:pos="709"/>
        <w:tab w:val="left" w:pos="851"/>
        <w:tab w:val="left" w:pos="1320"/>
        <w:tab w:val="left" w:pos="1740"/>
        <w:tab w:val="left" w:pos="2160"/>
      </w:tabs>
      <w:ind w:left="851" w:hanging="851"/>
      <w:outlineLvl w:val="3"/>
    </w:pPr>
  </w:style>
  <w:style w:type="paragraph" w:customStyle="1" w:styleId="454">
    <w:name w:val="附录一级条标题"/>
    <w:basedOn w:val="455"/>
    <w:next w:val="1"/>
    <w:qFormat/>
    <w:uiPriority w:val="99"/>
    <w:pPr>
      <w:tabs>
        <w:tab w:val="left" w:pos="567"/>
        <w:tab w:val="left" w:pos="709"/>
        <w:tab w:val="left" w:pos="1320"/>
        <w:tab w:val="left" w:pos="1740"/>
      </w:tabs>
      <w:autoSpaceDN w:val="0"/>
      <w:spacing w:before="0" w:beforeLines="0" w:after="0" w:afterLines="0"/>
      <w:ind w:left="709" w:hanging="709"/>
      <w:outlineLvl w:val="2"/>
    </w:pPr>
  </w:style>
  <w:style w:type="paragraph" w:customStyle="1" w:styleId="455">
    <w:name w:val="附录章标题"/>
    <w:next w:val="1"/>
    <w:qFormat/>
    <w:uiPriority w:val="99"/>
    <w:pPr>
      <w:tabs>
        <w:tab w:val="left" w:pos="567"/>
        <w:tab w:val="left" w:pos="1320"/>
      </w:tabs>
      <w:wordWrap w:val="0"/>
      <w:overflowPunct w:val="0"/>
      <w:autoSpaceDE w:val="0"/>
      <w:spacing w:before="156" w:beforeLines="50" w:after="156" w:afterLines="50"/>
      <w:ind w:left="567" w:hanging="567"/>
      <w:jc w:val="both"/>
      <w:textAlignment w:val="baseline"/>
      <w:outlineLvl w:val="1"/>
    </w:pPr>
    <w:rPr>
      <w:rFonts w:ascii="ˎ̥" w:hAnsi="Times New Roman" w:eastAsia="ˎ̥" w:cs="Times New Roman"/>
      <w:kern w:val="21"/>
      <w:sz w:val="21"/>
      <w:lang w:val="en-US" w:eastAsia="zh-CN" w:bidi="ar-SA"/>
    </w:rPr>
  </w:style>
  <w:style w:type="paragraph" w:customStyle="1" w:styleId="456">
    <w:name w:val="2"/>
    <w:basedOn w:val="1"/>
    <w:qFormat/>
    <w:uiPriority w:val="99"/>
    <w:pPr>
      <w:snapToGrid w:val="0"/>
      <w:spacing w:line="360" w:lineRule="auto"/>
      <w:ind w:firstLine="529" w:firstLineChars="200"/>
    </w:pPr>
    <w:rPr>
      <w:szCs w:val="20"/>
    </w:rPr>
  </w:style>
  <w:style w:type="paragraph" w:customStyle="1" w:styleId="457">
    <w:name w:val="reader-word-layer reader-word-s7-9"/>
    <w:basedOn w:val="1"/>
    <w:qFormat/>
    <w:uiPriority w:val="0"/>
    <w:pPr>
      <w:widowControl/>
      <w:spacing w:before="100" w:beforeAutospacing="1" w:after="100" w:afterAutospacing="1"/>
      <w:jc w:val="left"/>
    </w:pPr>
    <w:rPr>
      <w:rFonts w:ascii="ˎ̥" w:hAnsi="ˎ̥" w:cs="ˎ̥"/>
      <w:kern w:val="0"/>
      <w:sz w:val="24"/>
    </w:rPr>
  </w:style>
  <w:style w:type="paragraph" w:customStyle="1" w:styleId="458">
    <w:name w:val="编号"/>
    <w:next w:val="1"/>
    <w:qFormat/>
    <w:uiPriority w:val="99"/>
    <w:pPr>
      <w:widowControl w:val="0"/>
      <w:tabs>
        <w:tab w:val="left" w:pos="0"/>
      </w:tabs>
      <w:spacing w:line="360" w:lineRule="auto"/>
      <w:jc w:val="both"/>
    </w:pPr>
    <w:rPr>
      <w:rFonts w:ascii="Times New Roman" w:hAnsi="Times New Roman" w:eastAsia="宋体" w:cs="Times New Roman"/>
      <w:kern w:val="2"/>
      <w:sz w:val="24"/>
      <w:szCs w:val="24"/>
      <w:lang w:val="en-US" w:eastAsia="zh-CN" w:bidi="ar-SA"/>
    </w:rPr>
  </w:style>
  <w:style w:type="paragraph" w:customStyle="1" w:styleId="459">
    <w:name w:val="我的表头"/>
    <w:basedOn w:val="1"/>
    <w:qFormat/>
    <w:uiPriority w:val="99"/>
    <w:pPr>
      <w:spacing w:line="440" w:lineRule="exact"/>
      <w:ind w:firstLine="200" w:firstLineChars="200"/>
      <w:jc w:val="left"/>
    </w:pPr>
    <w:rPr>
      <w:b/>
      <w:sz w:val="24"/>
      <w:szCs w:val="20"/>
    </w:rPr>
  </w:style>
  <w:style w:type="paragraph" w:customStyle="1" w:styleId="460">
    <w:name w:val="Char1 Char Char Char"/>
    <w:basedOn w:val="1"/>
    <w:qFormat/>
    <w:uiPriority w:val="0"/>
    <w:pPr>
      <w:snapToGrid w:val="0"/>
      <w:spacing w:line="360" w:lineRule="auto"/>
      <w:ind w:firstLine="529" w:firstLineChars="200"/>
    </w:pPr>
    <w:rPr>
      <w:rFonts w:ascii="ˎ̥" w:hAnsi="ˎ̥"/>
      <w:b/>
      <w:szCs w:val="20"/>
    </w:rPr>
  </w:style>
  <w:style w:type="paragraph" w:customStyle="1" w:styleId="461">
    <w:name w:val="样式 标题 2 + 段前: 6 磅 段后: 6 磅 行距: 最小值 24 磅"/>
    <w:basedOn w:val="3"/>
    <w:qFormat/>
    <w:uiPriority w:val="0"/>
    <w:pPr>
      <w:keepLines/>
      <w:adjustRightInd w:val="0"/>
      <w:snapToGrid w:val="0"/>
      <w:spacing w:before="120" w:after="120" w:line="480" w:lineRule="atLeast"/>
    </w:pPr>
    <w:rPr>
      <w:sz w:val="30"/>
    </w:rPr>
  </w:style>
  <w:style w:type="paragraph" w:customStyle="1" w:styleId="462">
    <w:name w:val="图题注"/>
    <w:basedOn w:val="19"/>
    <w:qFormat/>
    <w:uiPriority w:val="0"/>
    <w:pPr>
      <w:overflowPunct/>
      <w:topLinePunct w:val="0"/>
      <w:autoSpaceDE/>
      <w:autoSpaceDN/>
      <w:adjustRightInd/>
      <w:spacing w:after="240" w:line="240" w:lineRule="auto"/>
      <w:textAlignment w:val="auto"/>
    </w:pPr>
    <w:rPr>
      <w:b w:val="0"/>
      <w:spacing w:val="0"/>
    </w:rPr>
  </w:style>
  <w:style w:type="paragraph" w:customStyle="1" w:styleId="463">
    <w:name w:val="图表头"/>
    <w:qFormat/>
    <w:uiPriority w:val="99"/>
    <w:pPr>
      <w:widowControl w:val="0"/>
      <w:adjustRightInd w:val="0"/>
      <w:spacing w:line="360" w:lineRule="auto"/>
      <w:jc w:val="center"/>
    </w:pPr>
    <w:rPr>
      <w:rFonts w:ascii="黑体" w:hAnsi="Times New Roman" w:eastAsia="黑体" w:cs="Times New Roman"/>
      <w:spacing w:val="5"/>
      <w:sz w:val="21"/>
      <w:lang w:val="en-US" w:eastAsia="zh-CN" w:bidi="ar-SA"/>
    </w:rPr>
  </w:style>
  <w:style w:type="paragraph" w:customStyle="1" w:styleId="464">
    <w:name w:val="编号标题"/>
    <w:basedOn w:val="4"/>
    <w:qFormat/>
    <w:uiPriority w:val="0"/>
    <w:pPr>
      <w:widowControl w:val="0"/>
      <w:spacing w:before="160" w:after="0" w:line="460" w:lineRule="exact"/>
      <w:ind w:firstLine="420" w:firstLineChars="200"/>
      <w:outlineLvl w:val="9"/>
    </w:pPr>
    <w:rPr>
      <w:rFonts w:ascii="ˎ̥" w:hAnsi="ˎ̥"/>
      <w:color w:val="000000"/>
      <w:sz w:val="21"/>
    </w:rPr>
  </w:style>
  <w:style w:type="paragraph" w:customStyle="1" w:styleId="465">
    <w:name w:val="样式 首行缩进:  2 字符8"/>
    <w:qFormat/>
    <w:uiPriority w:val="99"/>
    <w:pPr>
      <w:widowControl w:val="0"/>
      <w:spacing w:line="520" w:lineRule="exact"/>
      <w:ind w:firstLine="560" w:firstLineChars="200"/>
      <w:jc w:val="both"/>
    </w:pPr>
    <w:rPr>
      <w:rFonts w:ascii="Times New Roman" w:hAnsi="Times New Roman" w:eastAsia="宋体" w:cs="宋体"/>
      <w:kern w:val="2"/>
      <w:sz w:val="24"/>
      <w:lang w:val="en-US" w:eastAsia="zh-CN" w:bidi="ar-SA"/>
    </w:rPr>
  </w:style>
  <w:style w:type="paragraph" w:customStyle="1" w:styleId="466">
    <w:name w:val="样式 小四 黑色 首行缩进:  0.74 厘米 行距: 固定值 20 磅"/>
    <w:basedOn w:val="1"/>
    <w:qFormat/>
    <w:uiPriority w:val="0"/>
    <w:pPr>
      <w:spacing w:line="440" w:lineRule="exact"/>
      <w:ind w:firstLine="454"/>
    </w:pPr>
    <w:rPr>
      <w:color w:val="000000"/>
      <w:sz w:val="24"/>
      <w:szCs w:val="20"/>
    </w:rPr>
  </w:style>
  <w:style w:type="paragraph" w:customStyle="1" w:styleId="467">
    <w:name w:val="生物拉丁文名"/>
    <w:basedOn w:val="1"/>
    <w:qFormat/>
    <w:uiPriority w:val="0"/>
    <w:pPr>
      <w:tabs>
        <w:tab w:val="left" w:pos="-120"/>
      </w:tabs>
      <w:overflowPunct w:val="0"/>
      <w:topLinePunct/>
      <w:autoSpaceDE w:val="0"/>
      <w:adjustRightInd w:val="0"/>
      <w:snapToGrid w:val="0"/>
      <w:spacing w:before="60" w:after="156" w:afterLines="50" w:line="0" w:lineRule="atLeast"/>
      <w:ind w:firstLine="454"/>
    </w:pPr>
    <w:rPr>
      <w:i/>
      <w:spacing w:val="20"/>
      <w:sz w:val="24"/>
      <w:szCs w:val="20"/>
    </w:rPr>
  </w:style>
  <w:style w:type="paragraph" w:customStyle="1" w:styleId="468">
    <w:name w:val="1标题1级"/>
    <w:basedOn w:val="1"/>
    <w:qFormat/>
    <w:uiPriority w:val="0"/>
    <w:pPr>
      <w:keepNext/>
      <w:snapToGrid w:val="0"/>
      <w:spacing w:before="312" w:beforeLines="100" w:after="312" w:afterLines="100"/>
      <w:outlineLvl w:val="0"/>
    </w:pPr>
    <w:rPr>
      <w:rFonts w:eastAsia="ˎ̥"/>
      <w:b/>
      <w:sz w:val="30"/>
      <w:szCs w:val="20"/>
    </w:rPr>
  </w:style>
  <w:style w:type="paragraph" w:customStyle="1" w:styleId="469">
    <w:name w:val="1标题4级"/>
    <w:basedOn w:val="418"/>
    <w:qFormat/>
    <w:uiPriority w:val="0"/>
    <w:pPr>
      <w:spacing w:before="120" w:beforeLines="0" w:after="120" w:afterLines="0"/>
      <w:jc w:val="both"/>
      <w:textAlignment w:val="center"/>
    </w:pPr>
  </w:style>
  <w:style w:type="paragraph" w:customStyle="1" w:styleId="470">
    <w:name w:val="标题  1"/>
    <w:basedOn w:val="1"/>
    <w:qFormat/>
    <w:uiPriority w:val="0"/>
    <w:pPr>
      <w:tabs>
        <w:tab w:val="left" w:pos="425"/>
      </w:tabs>
      <w:spacing w:line="360" w:lineRule="auto"/>
      <w:ind w:left="425" w:hanging="425"/>
    </w:pPr>
    <w:rPr>
      <w:rFonts w:ascii="ˎ̥" w:hAnsi="ˎ̥"/>
      <w:sz w:val="24"/>
      <w:szCs w:val="20"/>
    </w:rPr>
  </w:style>
  <w:style w:type="paragraph" w:customStyle="1" w:styleId="471">
    <w:name w:val="块项目"/>
    <w:next w:val="1"/>
    <w:qFormat/>
    <w:uiPriority w:val="0"/>
    <w:pPr>
      <w:tabs>
        <w:tab w:val="left" w:pos="840"/>
      </w:tabs>
      <w:spacing w:before="120" w:after="120"/>
      <w:ind w:firstLine="420"/>
    </w:pPr>
    <w:rPr>
      <w:rFonts w:ascii="Times New Roman" w:hAnsi="Times New Roman" w:eastAsia="宋体" w:cs="Times New Roman"/>
      <w:b/>
      <w:spacing w:val="20"/>
      <w:sz w:val="24"/>
      <w:lang w:val="en-US" w:eastAsia="zh-CN" w:bidi="ar-SA"/>
    </w:rPr>
  </w:style>
  <w:style w:type="paragraph" w:customStyle="1" w:styleId="472">
    <w:name w:val="正式节"/>
    <w:basedOn w:val="40"/>
    <w:qFormat/>
    <w:uiPriority w:val="0"/>
    <w:pPr>
      <w:adjustRightInd w:val="0"/>
      <w:snapToGrid w:val="0"/>
      <w:spacing w:before="120" w:after="120" w:line="312" w:lineRule="auto"/>
      <w:ind w:firstLine="567"/>
      <w:textAlignment w:val="baseline"/>
    </w:pPr>
    <w:rPr>
      <w:rFonts w:eastAsia="宋体"/>
      <w:b/>
      <w:spacing w:val="6"/>
      <w:sz w:val="32"/>
    </w:rPr>
  </w:style>
  <w:style w:type="paragraph" w:customStyle="1" w:styleId="473">
    <w:name w:val="Char Char Char Char Char Char Char Char Char Char Char Char Char Char Char Char"/>
    <w:basedOn w:val="1"/>
    <w:qFormat/>
    <w:uiPriority w:val="0"/>
    <w:rPr>
      <w:sz w:val="28"/>
      <w:szCs w:val="21"/>
    </w:rPr>
  </w:style>
  <w:style w:type="paragraph" w:customStyle="1" w:styleId="474">
    <w:name w:val="A标题"/>
    <w:basedOn w:val="5"/>
    <w:qFormat/>
    <w:uiPriority w:val="0"/>
    <w:pPr>
      <w:tabs>
        <w:tab w:val="left" w:pos="-120"/>
        <w:tab w:val="left" w:pos="625"/>
      </w:tabs>
      <w:spacing w:before="60" w:after="60" w:line="264" w:lineRule="auto"/>
      <w:ind w:left="625" w:hanging="425"/>
      <w:jc w:val="left"/>
    </w:pPr>
    <w:rPr>
      <w:rFonts w:ascii="Times New Roman" w:hAnsi="Times New Roman"/>
      <w:b w:val="0"/>
      <w:bCs w:val="0"/>
      <w:spacing w:val="20"/>
      <w:sz w:val="24"/>
      <w:szCs w:val="20"/>
    </w:rPr>
  </w:style>
  <w:style w:type="paragraph" w:customStyle="1" w:styleId="475">
    <w:name w:val="附录标识"/>
    <w:basedOn w:val="1"/>
    <w:qFormat/>
    <w:uiPriority w:val="99"/>
    <w:pPr>
      <w:widowControl/>
      <w:shd w:val="clear" w:color="FFFFFF" w:fill="FFFFFF"/>
      <w:tabs>
        <w:tab w:val="left" w:pos="425"/>
        <w:tab w:val="left" w:pos="1200"/>
        <w:tab w:val="left" w:pos="1260"/>
        <w:tab w:val="left" w:pos="6405"/>
      </w:tabs>
      <w:spacing w:before="640" w:after="200"/>
      <w:ind w:left="425" w:hanging="425"/>
      <w:jc w:val="center"/>
      <w:outlineLvl w:val="0"/>
    </w:pPr>
    <w:rPr>
      <w:rFonts w:ascii="ˎ̥" w:eastAsia="ˎ̥"/>
      <w:kern w:val="0"/>
      <w:szCs w:val="20"/>
    </w:rPr>
  </w:style>
  <w:style w:type="paragraph" w:customStyle="1" w:styleId="476">
    <w:name w:val="Char Char Char3 Char Char Char"/>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477">
    <w:name w:val="p0"/>
    <w:basedOn w:val="1"/>
    <w:qFormat/>
    <w:uiPriority w:val="0"/>
    <w:pPr>
      <w:widowControl/>
    </w:pPr>
    <w:rPr>
      <w:color w:val="000000"/>
      <w:kern w:val="0"/>
      <w:sz w:val="28"/>
      <w:szCs w:val="28"/>
    </w:rPr>
  </w:style>
  <w:style w:type="paragraph" w:customStyle="1" w:styleId="478">
    <w:name w:val="表格用字 Char1"/>
    <w:basedOn w:val="67"/>
    <w:qFormat/>
    <w:uiPriority w:val="0"/>
    <w:pPr>
      <w:spacing w:after="0" w:line="0" w:lineRule="atLeast"/>
    </w:pPr>
    <w:rPr>
      <w:rFonts w:hint="eastAsia"/>
    </w:rPr>
  </w:style>
  <w:style w:type="paragraph" w:customStyle="1" w:styleId="479">
    <w:name w:val="附录五级条标题"/>
    <w:basedOn w:val="480"/>
    <w:next w:val="1"/>
    <w:qFormat/>
    <w:uiPriority w:val="99"/>
    <w:pPr>
      <w:tabs>
        <w:tab w:val="left" w:pos="567"/>
        <w:tab w:val="left" w:pos="709"/>
        <w:tab w:val="left" w:pos="992"/>
        <w:tab w:val="left" w:pos="1134"/>
        <w:tab w:val="left" w:pos="1276"/>
        <w:tab w:val="left" w:pos="1320"/>
        <w:tab w:val="left" w:pos="1740"/>
        <w:tab w:val="left" w:pos="2580"/>
        <w:tab w:val="left" w:pos="3000"/>
        <w:tab w:val="left" w:pos="3420"/>
      </w:tabs>
      <w:ind w:left="1276" w:hanging="1276"/>
      <w:outlineLvl w:val="6"/>
    </w:pPr>
  </w:style>
  <w:style w:type="paragraph" w:customStyle="1" w:styleId="480">
    <w:name w:val="附录四级条标题"/>
    <w:basedOn w:val="481"/>
    <w:next w:val="1"/>
    <w:qFormat/>
    <w:uiPriority w:val="99"/>
    <w:pPr>
      <w:tabs>
        <w:tab w:val="left" w:pos="567"/>
        <w:tab w:val="left" w:pos="709"/>
        <w:tab w:val="left" w:pos="992"/>
        <w:tab w:val="left" w:pos="1134"/>
        <w:tab w:val="left" w:pos="1320"/>
        <w:tab w:val="left" w:pos="1740"/>
        <w:tab w:val="left" w:pos="2580"/>
        <w:tab w:val="left" w:pos="3000"/>
      </w:tabs>
      <w:ind w:left="1134" w:hanging="1134"/>
      <w:outlineLvl w:val="5"/>
    </w:pPr>
  </w:style>
  <w:style w:type="paragraph" w:customStyle="1" w:styleId="481">
    <w:name w:val="附录三级条标题"/>
    <w:basedOn w:val="453"/>
    <w:next w:val="1"/>
    <w:qFormat/>
    <w:uiPriority w:val="99"/>
    <w:pPr>
      <w:tabs>
        <w:tab w:val="left" w:pos="992"/>
        <w:tab w:val="left" w:pos="2580"/>
        <w:tab w:val="clear" w:pos="851"/>
        <w:tab w:val="clear" w:pos="2160"/>
      </w:tabs>
      <w:ind w:left="992" w:hanging="992"/>
      <w:outlineLvl w:val="4"/>
    </w:pPr>
  </w:style>
  <w:style w:type="paragraph" w:customStyle="1" w:styleId="482">
    <w:name w:val="样式 标题 3 + 首行缩进:  2 字符"/>
    <w:basedOn w:val="4"/>
    <w:qFormat/>
    <w:uiPriority w:val="0"/>
    <w:pPr>
      <w:widowControl w:val="0"/>
      <w:spacing w:before="60" w:after="60" w:line="440" w:lineRule="atLeast"/>
    </w:pPr>
    <w:rPr>
      <w:b/>
    </w:rPr>
  </w:style>
  <w:style w:type="paragraph" w:customStyle="1" w:styleId="483">
    <w:name w:val="样式 行距: 1.5 倍行距"/>
    <w:basedOn w:val="1"/>
    <w:qFormat/>
    <w:uiPriority w:val="0"/>
    <w:pPr>
      <w:spacing w:line="480" w:lineRule="exact"/>
      <w:ind w:firstLine="200" w:firstLineChars="200"/>
    </w:pPr>
    <w:rPr>
      <w:sz w:val="24"/>
      <w:szCs w:val="20"/>
    </w:rPr>
  </w:style>
  <w:style w:type="paragraph" w:customStyle="1" w:styleId="484">
    <w:name w:val="样式"/>
    <w:basedOn w:val="1"/>
    <w:next w:val="31"/>
    <w:qFormat/>
    <w:uiPriority w:val="0"/>
    <w:pPr>
      <w:adjustRightInd w:val="0"/>
      <w:spacing w:line="360" w:lineRule="auto"/>
      <w:ind w:firstLine="480"/>
      <w:textAlignment w:val="baseline"/>
    </w:pPr>
    <w:rPr>
      <w:rFonts w:ascii="ˎ̥"/>
      <w:kern w:val="0"/>
      <w:sz w:val="24"/>
      <w:szCs w:val="20"/>
    </w:rPr>
  </w:style>
  <w:style w:type="paragraph" w:customStyle="1" w:styleId="485">
    <w:name w:val="样式 题注 + 首行缩进:  2 字符1"/>
    <w:basedOn w:val="19"/>
    <w:qFormat/>
    <w:uiPriority w:val="0"/>
    <w:pPr>
      <w:keepNext/>
      <w:overflowPunct/>
      <w:topLinePunct w:val="0"/>
      <w:autoSpaceDE/>
      <w:autoSpaceDN/>
      <w:adjustRightInd/>
      <w:snapToGrid/>
      <w:spacing w:before="152" w:after="160" w:line="360" w:lineRule="auto"/>
      <w:ind w:firstLine="200" w:firstLineChars="200"/>
      <w:jc w:val="both"/>
      <w:textAlignment w:val="auto"/>
    </w:pPr>
    <w:rPr>
      <w:b w:val="0"/>
      <w:spacing w:val="0"/>
      <w:kern w:val="2"/>
    </w:rPr>
  </w:style>
  <w:style w:type="paragraph" w:customStyle="1" w:styleId="486">
    <w:name w:val="Char Char Char1 Char1"/>
    <w:next w:val="1"/>
    <w:qFormat/>
    <w:uiPriority w:val="99"/>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487">
    <w:name w:val="样式 首行缩进:  2 字符10"/>
    <w:basedOn w:val="1"/>
    <w:qFormat/>
    <w:uiPriority w:val="0"/>
    <w:pPr>
      <w:spacing w:line="520" w:lineRule="exact"/>
      <w:ind w:firstLine="560" w:firstLineChars="200"/>
    </w:pPr>
    <w:rPr>
      <w:sz w:val="24"/>
      <w:szCs w:val="20"/>
    </w:rPr>
  </w:style>
  <w:style w:type="paragraph" w:customStyle="1" w:styleId="488">
    <w:name w:val="样式 正文文字 + 首行缩进:  2 字符 行距: 最小值 24 磅"/>
    <w:basedOn w:val="1"/>
    <w:qFormat/>
    <w:uiPriority w:val="0"/>
    <w:pPr>
      <w:adjustRightInd w:val="0"/>
      <w:snapToGrid w:val="0"/>
      <w:spacing w:line="480" w:lineRule="atLeast"/>
      <w:ind w:firstLine="480" w:firstLineChars="200"/>
    </w:pPr>
    <w:rPr>
      <w:sz w:val="24"/>
      <w:szCs w:val="20"/>
    </w:rPr>
  </w:style>
  <w:style w:type="paragraph" w:customStyle="1" w:styleId="489">
    <w:name w:val="xl27"/>
    <w:basedOn w:val="1"/>
    <w:qFormat/>
    <w:uiPriority w:val="99"/>
    <w:pPr>
      <w:widowControl/>
      <w:pBdr>
        <w:bottom w:val="single" w:color="auto" w:sz="4" w:space="0"/>
        <w:right w:val="single" w:color="auto" w:sz="4" w:space="0"/>
      </w:pBdr>
      <w:spacing w:before="100" w:beforeAutospacing="1" w:after="100" w:afterAutospacing="1"/>
      <w:jc w:val="center"/>
    </w:pPr>
    <w:rPr>
      <w:kern w:val="0"/>
      <w:sz w:val="24"/>
      <w:szCs w:val="20"/>
    </w:rPr>
  </w:style>
  <w:style w:type="paragraph" w:customStyle="1" w:styleId="490">
    <w:name w:val="正文（首行缩进两字） Char Char Char Char1 Char11"/>
    <w:basedOn w:val="1"/>
    <w:next w:val="1"/>
    <w:qFormat/>
    <w:uiPriority w:val="0"/>
    <w:pPr>
      <w:spacing w:line="440" w:lineRule="exact"/>
      <w:ind w:firstLine="200" w:firstLineChars="200"/>
    </w:pPr>
    <w:rPr>
      <w:rFonts w:ascii="ˎ̥" w:hAnsi="ˎ̥"/>
      <w:sz w:val="24"/>
      <w:szCs w:val="20"/>
    </w:rPr>
  </w:style>
  <w:style w:type="paragraph" w:customStyle="1" w:styleId="491">
    <w:name w:val="标题一"/>
    <w:basedOn w:val="1"/>
    <w:next w:val="2"/>
    <w:qFormat/>
    <w:uiPriority w:val="0"/>
    <w:pPr>
      <w:tabs>
        <w:tab w:val="left" w:pos="720"/>
        <w:tab w:val="left" w:pos="876"/>
        <w:tab w:val="left" w:pos="1064"/>
      </w:tabs>
      <w:ind w:left="876" w:hanging="360"/>
    </w:pPr>
    <w:rPr>
      <w:sz w:val="28"/>
      <w:szCs w:val="20"/>
    </w:rPr>
  </w:style>
  <w:style w:type="paragraph" w:customStyle="1" w:styleId="492">
    <w:name w:val="xl63"/>
    <w:basedOn w:val="1"/>
    <w:qFormat/>
    <w:uiPriority w:val="0"/>
    <w:pPr>
      <w:widowControl/>
      <w:spacing w:before="100" w:after="100"/>
      <w:jc w:val="center"/>
      <w:textAlignment w:val="center"/>
    </w:pPr>
    <w:rPr>
      <w:rFonts w:hint="eastAsia" w:ascii="ˎ̥" w:hAnsi="ˎ̥" w:eastAsia="ˎ̥"/>
      <w:kern w:val="0"/>
      <w:sz w:val="24"/>
      <w:szCs w:val="20"/>
    </w:rPr>
  </w:style>
  <w:style w:type="paragraph" w:customStyle="1" w:styleId="493">
    <w:name w:val="Char2 Char Char Char Char Char Char Char Char Char Char Char Char Char Char Char"/>
    <w:basedOn w:val="1"/>
    <w:qFormat/>
    <w:uiPriority w:val="0"/>
    <w:pPr>
      <w:autoSpaceDE w:val="0"/>
      <w:autoSpaceDN w:val="0"/>
      <w:adjustRightInd w:val="0"/>
      <w:snapToGrid w:val="0"/>
      <w:spacing w:before="50" w:after="50" w:line="360" w:lineRule="auto"/>
      <w:ind w:firstLine="560" w:firstLineChars="200"/>
    </w:pPr>
    <w:rPr>
      <w:rFonts w:eastAsia="ˎ̥"/>
      <w:color w:val="000000"/>
      <w:sz w:val="24"/>
    </w:rPr>
  </w:style>
  <w:style w:type="paragraph" w:customStyle="1" w:styleId="494">
    <w:name w:val="3级"/>
    <w:basedOn w:val="1"/>
    <w:qFormat/>
    <w:uiPriority w:val="0"/>
    <w:rPr>
      <w:sz w:val="24"/>
      <w:szCs w:val="20"/>
    </w:rPr>
  </w:style>
  <w:style w:type="paragraph" w:customStyle="1" w:styleId="495">
    <w:name w:val="表头6"/>
    <w:basedOn w:val="496"/>
    <w:qFormat/>
    <w:uiPriority w:val="0"/>
    <w:pPr>
      <w:tabs>
        <w:tab w:val="left" w:pos="625"/>
        <w:tab w:val="left" w:pos="843"/>
        <w:tab w:val="left" w:pos="1774"/>
      </w:tabs>
      <w:ind w:left="992" w:leftChars="0" w:hanging="363"/>
    </w:pPr>
  </w:style>
  <w:style w:type="paragraph" w:customStyle="1" w:styleId="496">
    <w:name w:val="表头5"/>
    <w:basedOn w:val="1"/>
    <w:qFormat/>
    <w:uiPriority w:val="0"/>
    <w:pPr>
      <w:tabs>
        <w:tab w:val="left" w:pos="625"/>
      </w:tabs>
      <w:adjustRightInd w:val="0"/>
      <w:snapToGrid w:val="0"/>
      <w:spacing w:before="312" w:beforeLines="100" w:after="156" w:afterLines="50" w:line="240" w:lineRule="atLeast"/>
      <w:ind w:left="950" w:leftChars="250" w:hanging="425"/>
    </w:pPr>
    <w:rPr>
      <w:b/>
      <w:sz w:val="24"/>
      <w:szCs w:val="20"/>
    </w:rPr>
  </w:style>
  <w:style w:type="paragraph" w:customStyle="1" w:styleId="497">
    <w:name w:val="主要行岗位规范"/>
    <w:basedOn w:val="1"/>
    <w:qFormat/>
    <w:uiPriority w:val="0"/>
    <w:pPr>
      <w:widowControl/>
      <w:spacing w:line="280" w:lineRule="atLeast"/>
      <w:jc w:val="center"/>
    </w:pPr>
    <w:rPr>
      <w:kern w:val="0"/>
      <w:sz w:val="24"/>
      <w:szCs w:val="20"/>
    </w:rPr>
  </w:style>
  <w:style w:type="paragraph" w:customStyle="1" w:styleId="498">
    <w:name w:val="样式 生物附录 + 小四 段前: 6 磅 段后: 6 磅 非加宽量 / 紧缩量  行距: 1.5 倍行距"/>
    <w:basedOn w:val="1"/>
    <w:qFormat/>
    <w:uiPriority w:val="0"/>
    <w:pPr>
      <w:widowControl/>
      <w:spacing w:before="100" w:beforeAutospacing="1" w:after="100" w:afterAutospacing="1" w:line="360" w:lineRule="auto"/>
    </w:pPr>
    <w:rPr>
      <w:b/>
      <w:sz w:val="24"/>
      <w:szCs w:val="20"/>
    </w:rPr>
  </w:style>
  <w:style w:type="paragraph" w:customStyle="1" w:styleId="499">
    <w:name w:val="报告书正文 Char Char Char Char"/>
    <w:qFormat/>
    <w:uiPriority w:val="99"/>
    <w:pPr>
      <w:widowControl w:val="0"/>
      <w:spacing w:line="300" w:lineRule="auto"/>
      <w:ind w:firstLine="480" w:firstLineChars="200"/>
      <w:jc w:val="both"/>
    </w:pPr>
    <w:rPr>
      <w:rFonts w:ascii="Times New Roman" w:hAnsi="Times New Roman" w:eastAsia="宋体" w:cs="Times New Roman"/>
      <w:color w:val="000000"/>
      <w:kern w:val="2"/>
      <w:sz w:val="24"/>
      <w:szCs w:val="24"/>
      <w:lang w:val="en-US" w:eastAsia="zh-CN" w:bidi="ar-SA"/>
    </w:rPr>
  </w:style>
  <w:style w:type="paragraph" w:customStyle="1" w:styleId="500">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ˎ̥" w:hAnsi="ˎ̥" w:eastAsia="ˎ̥"/>
      <w:kern w:val="0"/>
      <w:sz w:val="20"/>
      <w:szCs w:val="20"/>
    </w:rPr>
  </w:style>
  <w:style w:type="paragraph" w:customStyle="1" w:styleId="501">
    <w:name w:val="xl48"/>
    <w:basedOn w:val="1"/>
    <w:qFormat/>
    <w:uiPriority w:val="99"/>
    <w:pPr>
      <w:widowControl/>
      <w:pBdr>
        <w:bottom w:val="single" w:color="auto" w:sz="4" w:space="0"/>
        <w:right w:val="single" w:color="auto" w:sz="4" w:space="0"/>
      </w:pBdr>
      <w:spacing w:before="100" w:beforeAutospacing="1" w:after="100" w:afterAutospacing="1"/>
      <w:jc w:val="center"/>
    </w:pPr>
    <w:rPr>
      <w:rFonts w:ascii="ˎ̥" w:hAnsi="ˎ̥"/>
      <w:kern w:val="0"/>
      <w:szCs w:val="20"/>
    </w:rPr>
  </w:style>
  <w:style w:type="paragraph" w:customStyle="1" w:styleId="502">
    <w:name w:val="1文章"/>
    <w:basedOn w:val="1"/>
    <w:qFormat/>
    <w:uiPriority w:val="0"/>
    <w:pPr>
      <w:snapToGrid w:val="0"/>
      <w:spacing w:line="360" w:lineRule="auto"/>
      <w:ind w:firstLine="496" w:firstLineChars="200"/>
      <w:outlineLvl w:val="4"/>
    </w:pPr>
    <w:rPr>
      <w:snapToGrid w:val="0"/>
      <w:spacing w:val="4"/>
      <w:kern w:val="0"/>
      <w:sz w:val="24"/>
      <w:szCs w:val="20"/>
    </w:rPr>
  </w:style>
  <w:style w:type="paragraph" w:customStyle="1" w:styleId="503">
    <w:name w:val="y表格"/>
    <w:basedOn w:val="30"/>
    <w:qFormat/>
    <w:uiPriority w:val="0"/>
    <w:pPr>
      <w:spacing w:before="0" w:after="0" w:line="240" w:lineRule="auto"/>
      <w:ind w:right="0"/>
      <w:jc w:val="center"/>
    </w:pPr>
    <w:rPr>
      <w:sz w:val="21"/>
    </w:rPr>
  </w:style>
  <w:style w:type="paragraph" w:customStyle="1" w:styleId="504">
    <w:name w:val="reader-word-layer reader-word-s7-11"/>
    <w:basedOn w:val="1"/>
    <w:qFormat/>
    <w:uiPriority w:val="0"/>
    <w:pPr>
      <w:widowControl/>
      <w:spacing w:before="100" w:beforeAutospacing="1" w:after="100" w:afterAutospacing="1"/>
      <w:jc w:val="left"/>
    </w:pPr>
    <w:rPr>
      <w:rFonts w:ascii="ˎ̥" w:hAnsi="ˎ̥" w:cs="ˎ̥"/>
      <w:kern w:val="0"/>
      <w:sz w:val="24"/>
    </w:rPr>
  </w:style>
  <w:style w:type="paragraph" w:customStyle="1" w:styleId="505">
    <w:name w:val="表格内正文"/>
    <w:qFormat/>
    <w:uiPriority w:val="0"/>
    <w:pPr>
      <w:widowControl w:val="0"/>
      <w:spacing w:line="360" w:lineRule="exact"/>
      <w:ind w:firstLine="420" w:firstLineChars="200"/>
      <w:jc w:val="both"/>
    </w:pPr>
    <w:rPr>
      <w:rFonts w:ascii="Times New Roman" w:hAnsi="Times New Roman" w:eastAsia="宋体" w:cs="Times New Roman"/>
      <w:kern w:val="2"/>
      <w:sz w:val="21"/>
      <w:lang w:val="en-US" w:eastAsia="zh-CN" w:bidi="ar-SA"/>
    </w:rPr>
  </w:style>
  <w:style w:type="paragraph" w:customStyle="1" w:styleId="506">
    <w:name w:val="样式 标题 1 + 加粗 首行缩进:  0 厘米"/>
    <w:basedOn w:val="2"/>
    <w:qFormat/>
    <w:uiPriority w:val="0"/>
    <w:pPr>
      <w:keepLines/>
      <w:widowControl/>
      <w:overflowPunct/>
      <w:adjustRightInd w:val="0"/>
      <w:spacing w:before="360" w:after="360" w:line="480" w:lineRule="atLeast"/>
      <w:ind w:left="0" w:firstLine="0"/>
    </w:pPr>
    <w:rPr>
      <w:rFonts w:eastAsia="宋体"/>
      <w:bCs w:val="0"/>
      <w:color w:val="auto"/>
      <w:sz w:val="36"/>
      <w:szCs w:val="20"/>
    </w:rPr>
  </w:style>
  <w:style w:type="paragraph" w:customStyle="1" w:styleId="507">
    <w:name w:val="表格新"/>
    <w:basedOn w:val="1"/>
    <w:qFormat/>
    <w:uiPriority w:val="0"/>
    <w:pPr>
      <w:adjustRightInd w:val="0"/>
      <w:snapToGrid w:val="0"/>
      <w:spacing w:before="60" w:after="60"/>
      <w:jc w:val="center"/>
      <w:textAlignment w:val="baseline"/>
    </w:pPr>
    <w:rPr>
      <w:rFonts w:ascii="ˎ̥" w:hAnsi="ˎ̥"/>
      <w:kern w:val="0"/>
      <w:sz w:val="24"/>
      <w:szCs w:val="20"/>
    </w:rPr>
  </w:style>
  <w:style w:type="paragraph" w:customStyle="1" w:styleId="508">
    <w:name w:val="xl33"/>
    <w:basedOn w:val="1"/>
    <w:qFormat/>
    <w:uiPriority w:val="99"/>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textAlignment w:val="center"/>
    </w:pPr>
    <w:rPr>
      <w:rFonts w:eastAsia="ˎ̥"/>
      <w:kern w:val="0"/>
      <w:sz w:val="20"/>
      <w:szCs w:val="20"/>
    </w:rPr>
  </w:style>
  <w:style w:type="paragraph" w:customStyle="1" w:styleId="509">
    <w:name w:val="表格001"/>
    <w:basedOn w:val="1"/>
    <w:qFormat/>
    <w:uiPriority w:val="0"/>
    <w:pPr>
      <w:jc w:val="center"/>
    </w:pPr>
    <w:rPr>
      <w:szCs w:val="20"/>
    </w:rPr>
  </w:style>
  <w:style w:type="paragraph" w:customStyle="1" w:styleId="510">
    <w:name w:val="标准"/>
    <w:basedOn w:val="1"/>
    <w:qFormat/>
    <w:uiPriority w:val="99"/>
    <w:pPr>
      <w:adjustRightInd w:val="0"/>
      <w:spacing w:line="480" w:lineRule="exact"/>
      <w:ind w:firstLine="200" w:firstLineChars="200"/>
      <w:jc w:val="distribute"/>
      <w:textAlignment w:val="baseline"/>
    </w:pPr>
    <w:rPr>
      <w:rFonts w:ascii="ˎ̥" w:eastAsia="ˎ̥"/>
      <w:kern w:val="0"/>
      <w:sz w:val="32"/>
      <w:szCs w:val="20"/>
    </w:rPr>
  </w:style>
  <w:style w:type="paragraph" w:customStyle="1" w:styleId="511">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ˎ̥" w:hAnsi="ˎ̥" w:eastAsia="ˎ̥"/>
      <w:kern w:val="0"/>
      <w:sz w:val="20"/>
      <w:szCs w:val="20"/>
    </w:rPr>
  </w:style>
  <w:style w:type="paragraph" w:customStyle="1" w:styleId="512">
    <w:name w:val="Char Char Char Char Char Char Char2"/>
    <w:basedOn w:val="1"/>
    <w:qFormat/>
    <w:uiPriority w:val="0"/>
    <w:rPr>
      <w:rFonts w:hint="eastAsia"/>
      <w:szCs w:val="20"/>
    </w:rPr>
  </w:style>
  <w:style w:type="paragraph" w:customStyle="1" w:styleId="513">
    <w:name w:val="正文首缩"/>
    <w:basedOn w:val="30"/>
    <w:qFormat/>
    <w:uiPriority w:val="0"/>
    <w:pPr>
      <w:widowControl w:val="0"/>
      <w:spacing w:before="0" w:after="80" w:line="288" w:lineRule="auto"/>
      <w:ind w:right="0" w:firstLine="454"/>
    </w:pPr>
    <w:rPr>
      <w:kern w:val="2"/>
      <w:sz w:val="24"/>
    </w:rPr>
  </w:style>
  <w:style w:type="paragraph" w:customStyle="1" w:styleId="514">
    <w:name w:val="图标题"/>
    <w:basedOn w:val="1"/>
    <w:qFormat/>
    <w:uiPriority w:val="0"/>
    <w:pPr>
      <w:spacing w:line="520" w:lineRule="exact"/>
      <w:jc w:val="center"/>
    </w:pPr>
    <w:rPr>
      <w:rFonts w:ascii="ˎ̥" w:eastAsia="ˎ̥"/>
      <w:sz w:val="24"/>
      <w:szCs w:val="20"/>
    </w:rPr>
  </w:style>
  <w:style w:type="paragraph" w:customStyle="1" w:styleId="515">
    <w:name w:val="默认段落字体 Para Char Char Char Char"/>
    <w:basedOn w:val="1"/>
    <w:qFormat/>
    <w:uiPriority w:val="0"/>
    <w:pPr>
      <w:spacing w:line="360" w:lineRule="auto"/>
      <w:ind w:firstLine="200" w:firstLineChars="200"/>
    </w:pPr>
    <w:rPr>
      <w:rFonts w:ascii="ˎ̥" w:hAnsi="ˎ̥"/>
      <w:sz w:val="24"/>
      <w:szCs w:val="20"/>
    </w:rPr>
  </w:style>
  <w:style w:type="paragraph" w:customStyle="1" w:styleId="516">
    <w:name w:val="封面标准名称"/>
    <w:qFormat/>
    <w:uiPriority w:val="0"/>
    <w:pPr>
      <w:widowControl w:val="0"/>
      <w:spacing w:line="680" w:lineRule="exact"/>
      <w:jc w:val="center"/>
      <w:textAlignment w:val="center"/>
    </w:pPr>
    <w:rPr>
      <w:rFonts w:ascii="ˎ̥" w:hAnsi="Times New Roman" w:eastAsia="ˎ̥" w:cs="Times New Roman"/>
      <w:sz w:val="52"/>
      <w:lang w:val="en-US" w:eastAsia="zh-CN" w:bidi="ar-SA"/>
    </w:rPr>
  </w:style>
  <w:style w:type="paragraph" w:customStyle="1" w:styleId="517">
    <w:name w:val="基准页脚样式"/>
    <w:basedOn w:val="30"/>
    <w:qFormat/>
    <w:uiPriority w:val="0"/>
    <w:pPr>
      <w:widowControl w:val="0"/>
      <w:snapToGrid/>
      <w:spacing w:before="0" w:after="0" w:line="520" w:lineRule="exact"/>
      <w:ind w:right="0"/>
    </w:pPr>
    <w:rPr>
      <w:kern w:val="2"/>
      <w:sz w:val="24"/>
    </w:rPr>
  </w:style>
  <w:style w:type="paragraph" w:customStyle="1" w:styleId="518">
    <w:name w:val="Char Char Char Char Char Char Char Char Char Char Char Char Char Char Char Char Char Char Char1"/>
    <w:basedOn w:val="1"/>
    <w:qFormat/>
    <w:uiPriority w:val="0"/>
    <w:pPr>
      <w:spacing w:line="360" w:lineRule="auto"/>
      <w:ind w:firstLine="200" w:firstLineChars="200"/>
      <w:jc w:val="left"/>
    </w:pPr>
    <w:rPr>
      <w:rFonts w:ascii="ˎ̥" w:hAnsi="ˎ̥"/>
      <w:sz w:val="24"/>
      <w:szCs w:val="20"/>
    </w:rPr>
  </w:style>
  <w:style w:type="paragraph" w:customStyle="1" w:styleId="519">
    <w:name w:val="Table Paragraph"/>
    <w:basedOn w:val="1"/>
    <w:qFormat/>
    <w:uiPriority w:val="1"/>
    <w:pPr>
      <w:autoSpaceDE w:val="0"/>
      <w:autoSpaceDN w:val="0"/>
      <w:adjustRightInd w:val="0"/>
      <w:jc w:val="left"/>
    </w:pPr>
    <w:rPr>
      <w:kern w:val="0"/>
      <w:sz w:val="24"/>
    </w:rPr>
  </w:style>
  <w:style w:type="paragraph" w:customStyle="1" w:styleId="520">
    <w:name w:val="图"/>
    <w:basedOn w:val="514"/>
    <w:qFormat/>
    <w:uiPriority w:val="99"/>
    <w:pPr>
      <w:spacing w:line="240" w:lineRule="auto"/>
    </w:pPr>
  </w:style>
  <w:style w:type="paragraph" w:customStyle="1" w:styleId="521">
    <w:name w:val="样式 标题 3标题 3 Char条标题1.1.13h33rd levelH3l3CT + 段前: 0.5 行 ..."/>
    <w:basedOn w:val="4"/>
    <w:qFormat/>
    <w:uiPriority w:val="0"/>
    <w:pPr>
      <w:widowControl w:val="0"/>
      <w:tabs>
        <w:tab w:val="left" w:pos="720"/>
        <w:tab w:val="left" w:pos="900"/>
        <w:tab w:val="left" w:pos="1260"/>
        <w:tab w:val="left" w:pos="1800"/>
      </w:tabs>
      <w:adjustRightInd w:val="0"/>
      <w:spacing w:before="156" w:beforeLines="50" w:after="156" w:afterLines="50"/>
      <w:ind w:left="1080" w:hanging="1080"/>
      <w:textAlignment w:val="baseline"/>
    </w:pPr>
    <w:rPr>
      <w:rFonts w:ascii="ˎ̥" w:hAnsi="ˎ̥"/>
      <w:sz w:val="28"/>
    </w:rPr>
  </w:style>
  <w:style w:type="paragraph" w:customStyle="1" w:styleId="522">
    <w:name w:val="Char Char Char1 Char Char Char Char Char Char Char Char Char Char Char Char Char Char Char Char Char Char Char"/>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23">
    <w:name w:val="reader-word-layer reader-word-s7-3"/>
    <w:basedOn w:val="1"/>
    <w:qFormat/>
    <w:uiPriority w:val="0"/>
    <w:pPr>
      <w:widowControl/>
      <w:spacing w:before="100" w:beforeAutospacing="1" w:after="100" w:afterAutospacing="1"/>
      <w:jc w:val="left"/>
    </w:pPr>
    <w:rPr>
      <w:rFonts w:ascii="ˎ̥" w:hAnsi="ˎ̥" w:cs="ˎ̥"/>
      <w:kern w:val="0"/>
      <w:sz w:val="24"/>
    </w:rPr>
  </w:style>
  <w:style w:type="paragraph" w:customStyle="1" w:styleId="524">
    <w:name w:val="样式 生物附录 + 小四 段前: 6 磅 段后: 6 磅 非加宽量 / 紧缩量  行距: 1.5 倍行距1"/>
    <w:basedOn w:val="1"/>
    <w:qFormat/>
    <w:uiPriority w:val="0"/>
    <w:pPr>
      <w:widowControl/>
      <w:spacing w:before="120" w:after="120" w:line="360" w:lineRule="auto"/>
    </w:pPr>
    <w:rPr>
      <w:b/>
      <w:sz w:val="24"/>
      <w:szCs w:val="20"/>
    </w:rPr>
  </w:style>
  <w:style w:type="paragraph" w:customStyle="1" w:styleId="525">
    <w:name w:val="font8"/>
    <w:basedOn w:val="1"/>
    <w:qFormat/>
    <w:uiPriority w:val="99"/>
    <w:pPr>
      <w:widowControl/>
      <w:spacing w:before="100" w:beforeAutospacing="1" w:after="100" w:afterAutospacing="1"/>
      <w:jc w:val="left"/>
    </w:pPr>
    <w:rPr>
      <w:rFonts w:hint="eastAsia" w:ascii="ˎ̥" w:hAnsi="ˎ̥"/>
      <w:color w:val="000000"/>
      <w:kern w:val="0"/>
      <w:sz w:val="18"/>
      <w:szCs w:val="20"/>
    </w:rPr>
  </w:style>
  <w:style w:type="paragraph" w:customStyle="1" w:styleId="526">
    <w:name w:val="样式 标题 3标题 3 Char + 小四 黑色"/>
    <w:basedOn w:val="4"/>
    <w:qFormat/>
    <w:uiPriority w:val="0"/>
    <w:pPr>
      <w:widowControl w:val="0"/>
      <w:tabs>
        <w:tab w:val="left" w:pos="720"/>
        <w:tab w:val="left" w:pos="900"/>
        <w:tab w:val="left" w:pos="1260"/>
        <w:tab w:val="left" w:pos="1800"/>
      </w:tabs>
      <w:adjustRightInd w:val="0"/>
      <w:spacing w:before="156" w:beforeLines="50" w:after="156" w:afterLines="50"/>
      <w:ind w:left="-567" w:firstLine="567"/>
      <w:textAlignment w:val="baseline"/>
    </w:pPr>
    <w:rPr>
      <w:rFonts w:ascii="ˎ̥" w:hAnsi="ˎ̥"/>
      <w:color w:val="000000"/>
      <w:sz w:val="28"/>
    </w:rPr>
  </w:style>
  <w:style w:type="paragraph" w:customStyle="1" w:styleId="527">
    <w:name w:val="表中文字"/>
    <w:basedOn w:val="1"/>
    <w:qFormat/>
    <w:uiPriority w:val="0"/>
    <w:pPr>
      <w:spacing w:line="240" w:lineRule="exact"/>
      <w:jc w:val="center"/>
    </w:pPr>
    <w:rPr>
      <w:rFonts w:ascii="ˎ̥" w:hAnsi="ˎ̥"/>
      <w:szCs w:val="20"/>
    </w:rPr>
  </w:style>
  <w:style w:type="paragraph" w:customStyle="1" w:styleId="528">
    <w:name w:val="In Table"/>
    <w:basedOn w:val="1"/>
    <w:qFormat/>
    <w:uiPriority w:val="0"/>
    <w:pPr>
      <w:tabs>
        <w:tab w:val="left" w:pos="2200"/>
        <w:tab w:val="left" w:pos="3960"/>
        <w:tab w:val="left" w:pos="5280"/>
      </w:tabs>
      <w:spacing w:before="96" w:after="96" w:line="0" w:lineRule="atLeast"/>
      <w:jc w:val="center"/>
    </w:pPr>
    <w:rPr>
      <w:rFonts w:ascii="ˎ̥" w:hAnsi="ˎ̥" w:eastAsia="ˎ̥"/>
      <w:szCs w:val="20"/>
    </w:rPr>
  </w:style>
  <w:style w:type="paragraph" w:customStyle="1" w:styleId="529">
    <w:name w:val="标题后正文"/>
    <w:basedOn w:val="1"/>
    <w:qFormat/>
    <w:uiPriority w:val="0"/>
    <w:pPr>
      <w:adjustRightInd w:val="0"/>
      <w:spacing w:line="360" w:lineRule="auto"/>
      <w:ind w:firstLine="200" w:firstLineChars="200"/>
      <w:textAlignment w:val="baseline"/>
    </w:pPr>
    <w:rPr>
      <w:rFonts w:ascii="ˎ̥" w:hAnsi="ˎ̥"/>
      <w:snapToGrid w:val="0"/>
      <w:kern w:val="28"/>
      <w:sz w:val="24"/>
      <w:szCs w:val="20"/>
    </w:rPr>
  </w:style>
  <w:style w:type="paragraph" w:customStyle="1" w:styleId="530">
    <w:name w:val="样式 首行缩进:  2 字符1"/>
    <w:basedOn w:val="1"/>
    <w:qFormat/>
    <w:uiPriority w:val="0"/>
    <w:pPr>
      <w:spacing w:line="480" w:lineRule="exact"/>
      <w:ind w:firstLine="420" w:firstLineChars="200"/>
    </w:pPr>
    <w:rPr>
      <w:rFonts w:ascii="ˎ̥"/>
      <w:kern w:val="0"/>
      <w:sz w:val="24"/>
      <w:szCs w:val="20"/>
    </w:rPr>
  </w:style>
  <w:style w:type="paragraph" w:customStyle="1" w:styleId="531">
    <w:name w:val="默认段落字体 Para Char"/>
    <w:basedOn w:val="1"/>
    <w:next w:val="1"/>
    <w:qFormat/>
    <w:uiPriority w:val="99"/>
    <w:pPr>
      <w:keepNext/>
      <w:keepLines/>
      <w:widowControl/>
      <w:adjustRightInd w:val="0"/>
      <w:spacing w:line="360" w:lineRule="auto"/>
      <w:ind w:firstLine="480" w:firstLineChars="200"/>
      <w:jc w:val="left"/>
      <w:textAlignment w:val="baseline"/>
      <w:outlineLvl w:val="1"/>
    </w:pPr>
    <w:rPr>
      <w:rFonts w:ascii="ˎ̥" w:hAnsi="ˎ̥" w:cs="ˎ̥"/>
      <w:bCs/>
      <w:kern w:val="0"/>
      <w:sz w:val="24"/>
    </w:rPr>
  </w:style>
  <w:style w:type="paragraph" w:customStyle="1" w:styleId="532">
    <w:name w:val="农业部一"/>
    <w:next w:val="30"/>
    <w:qFormat/>
    <w:uiPriority w:val="0"/>
    <w:pPr>
      <w:widowControl w:val="0"/>
      <w:topLinePunct/>
      <w:spacing w:line="360" w:lineRule="atLeast"/>
      <w:jc w:val="center"/>
    </w:pPr>
    <w:rPr>
      <w:rFonts w:ascii="Times New Roman" w:hAnsi="Times New Roman" w:eastAsia="宋体" w:cs="Times New Roman"/>
      <w:kern w:val="2"/>
      <w:sz w:val="24"/>
      <w:lang w:val="en-US" w:eastAsia="zh-CN" w:bidi="ar-SA"/>
    </w:rPr>
  </w:style>
  <w:style w:type="paragraph" w:customStyle="1" w:styleId="533">
    <w:name w:val="样式 首行缩进:  2 字符 行距: 固定值 26 磅"/>
    <w:basedOn w:val="1"/>
    <w:qFormat/>
    <w:uiPriority w:val="0"/>
    <w:pPr>
      <w:spacing w:line="480" w:lineRule="exact"/>
      <w:ind w:firstLine="200" w:firstLineChars="200"/>
    </w:pPr>
    <w:rPr>
      <w:sz w:val="24"/>
      <w:szCs w:val="20"/>
    </w:rPr>
  </w:style>
  <w:style w:type="paragraph" w:customStyle="1" w:styleId="534">
    <w:name w:val="xl3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ˎ̥" w:hAnsi="ˎ̥"/>
      <w:kern w:val="0"/>
      <w:sz w:val="18"/>
      <w:szCs w:val="20"/>
    </w:rPr>
  </w:style>
  <w:style w:type="paragraph" w:customStyle="1" w:styleId="535">
    <w:name w:val="目录"/>
    <w:basedOn w:val="53"/>
    <w:qFormat/>
    <w:uiPriority w:val="99"/>
    <w:pPr>
      <w:spacing w:line="360" w:lineRule="auto"/>
      <w:ind w:left="0" w:leftChars="0" w:right="0" w:rightChars="0"/>
      <w:jc w:val="center"/>
      <w:outlineLvl w:val="0"/>
    </w:pPr>
    <w:rPr>
      <w:rFonts w:eastAsia="黑体"/>
      <w:bCs/>
      <w:sz w:val="32"/>
    </w:rPr>
  </w:style>
  <w:style w:type="paragraph" w:customStyle="1" w:styleId="536">
    <w:name w:val="font6"/>
    <w:basedOn w:val="1"/>
    <w:qFormat/>
    <w:uiPriority w:val="99"/>
    <w:pPr>
      <w:widowControl/>
      <w:spacing w:before="100" w:beforeAutospacing="1" w:after="100" w:afterAutospacing="1"/>
      <w:jc w:val="left"/>
    </w:pPr>
    <w:rPr>
      <w:rFonts w:hint="eastAsia" w:ascii="ˎ̥" w:hAnsi="ˎ̥"/>
      <w:color w:val="000000"/>
      <w:kern w:val="0"/>
      <w:sz w:val="24"/>
      <w:szCs w:val="20"/>
    </w:rPr>
  </w:style>
  <w:style w:type="paragraph" w:customStyle="1" w:styleId="537">
    <w:name w:val="WPS Plain"/>
    <w:qFormat/>
    <w:uiPriority w:val="0"/>
    <w:rPr>
      <w:rFonts w:ascii="Times New Roman" w:hAnsi="Times New Roman" w:eastAsia="宋体" w:cs="ˎ̥"/>
      <w:color w:val="000000"/>
      <w:kern w:val="2"/>
      <w:sz w:val="24"/>
      <w:szCs w:val="24"/>
      <w:lang w:val="en-US" w:eastAsia="zh-CN" w:bidi="ar-SA"/>
    </w:rPr>
  </w:style>
  <w:style w:type="paragraph" w:customStyle="1" w:styleId="538">
    <w:name w:val="Char Char Char Char Char2 Char Char Char Char"/>
    <w:basedOn w:val="1"/>
    <w:qFormat/>
    <w:uiPriority w:val="0"/>
    <w:pPr>
      <w:adjustRightInd w:val="0"/>
      <w:snapToGrid w:val="0"/>
      <w:spacing w:line="360" w:lineRule="auto"/>
      <w:ind w:firstLine="200" w:firstLineChars="200"/>
    </w:pPr>
    <w:rPr>
      <w:rFonts w:ascii="ˎ̥" w:hAnsi="ˎ̥"/>
      <w:sz w:val="24"/>
      <w:szCs w:val="20"/>
    </w:rPr>
  </w:style>
  <w:style w:type="paragraph" w:customStyle="1" w:styleId="539">
    <w:name w:val="编号汉字数字"/>
    <w:basedOn w:val="540"/>
    <w:next w:val="1"/>
    <w:qFormat/>
    <w:uiPriority w:val="0"/>
    <w:pPr>
      <w:tabs>
        <w:tab w:val="left" w:pos="0"/>
        <w:tab w:val="left" w:pos="939"/>
      </w:tabs>
      <w:ind w:left="0" w:firstLine="822"/>
      <w:outlineLvl w:val="9"/>
    </w:pPr>
  </w:style>
  <w:style w:type="paragraph" w:customStyle="1" w:styleId="540">
    <w:name w:val="编号括号数字"/>
    <w:basedOn w:val="1"/>
    <w:qFormat/>
    <w:uiPriority w:val="0"/>
    <w:pPr>
      <w:tabs>
        <w:tab w:val="left" w:pos="939"/>
      </w:tabs>
      <w:spacing w:line="360" w:lineRule="auto"/>
      <w:ind w:left="342" w:firstLine="198"/>
      <w:outlineLvl w:val="4"/>
    </w:pPr>
    <w:rPr>
      <w:sz w:val="24"/>
      <w:szCs w:val="20"/>
    </w:rPr>
  </w:style>
  <w:style w:type="paragraph" w:customStyle="1" w:styleId="541">
    <w:name w:val="xl23"/>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sz w:val="16"/>
      <w:szCs w:val="16"/>
      <w:lang w:val="en-US" w:eastAsia="zh-CN" w:bidi="ar-SA"/>
    </w:rPr>
  </w:style>
  <w:style w:type="paragraph" w:customStyle="1" w:styleId="542">
    <w:name w:val="标记文字"/>
    <w:basedOn w:val="19"/>
    <w:qFormat/>
    <w:uiPriority w:val="0"/>
    <w:pPr>
      <w:overflowPunct/>
      <w:topLinePunct w:val="0"/>
      <w:autoSpaceDE/>
      <w:autoSpaceDN/>
      <w:adjustRightInd/>
      <w:snapToGrid/>
      <w:spacing w:before="0" w:line="240" w:lineRule="auto"/>
      <w:ind w:left="200" w:hanging="200" w:hangingChars="200"/>
      <w:jc w:val="both"/>
      <w:textAlignment w:val="auto"/>
    </w:pPr>
    <w:rPr>
      <w:b w:val="0"/>
      <w:spacing w:val="0"/>
      <w:kern w:val="2"/>
    </w:rPr>
  </w:style>
  <w:style w:type="paragraph" w:customStyle="1" w:styleId="543">
    <w:name w:val="六院表格文字"/>
    <w:basedOn w:val="1"/>
    <w:qFormat/>
    <w:uiPriority w:val="0"/>
    <w:pPr>
      <w:jc w:val="center"/>
    </w:pPr>
    <w:rPr>
      <w:color w:val="000000"/>
      <w:szCs w:val="28"/>
    </w:rPr>
  </w:style>
  <w:style w:type="paragraph" w:customStyle="1" w:styleId="544">
    <w:name w:val="Char"/>
    <w:basedOn w:val="1"/>
    <w:qFormat/>
    <w:uiPriority w:val="99"/>
    <w:pPr>
      <w:snapToGrid w:val="0"/>
      <w:spacing w:line="360" w:lineRule="auto"/>
      <w:ind w:firstLine="529" w:firstLineChars="200"/>
    </w:pPr>
    <w:rPr>
      <w:rFonts w:ascii="ˎ̥" w:hAnsi="ˎ̥"/>
      <w:b/>
      <w:szCs w:val="20"/>
    </w:rPr>
  </w:style>
  <w:style w:type="paragraph" w:customStyle="1" w:styleId="545">
    <w:name w:val="Body Text 21"/>
    <w:basedOn w:val="1"/>
    <w:qFormat/>
    <w:uiPriority w:val="0"/>
    <w:pPr>
      <w:adjustRightInd w:val="0"/>
      <w:textAlignment w:val="baseline"/>
    </w:pPr>
    <w:rPr>
      <w:rFonts w:eastAsia="ˎ̥"/>
      <w:sz w:val="24"/>
      <w:szCs w:val="20"/>
    </w:rPr>
  </w:style>
  <w:style w:type="paragraph" w:customStyle="1" w:styleId="546">
    <w:name w:val="样式 标题 3 + 首行缩进:  2 字符 段前: 6 磅 段后: 6 磅 行距: 最小值 24 磅"/>
    <w:basedOn w:val="4"/>
    <w:qFormat/>
    <w:uiPriority w:val="0"/>
    <w:pPr>
      <w:widowControl w:val="0"/>
      <w:adjustRightInd w:val="0"/>
      <w:snapToGrid w:val="0"/>
      <w:spacing w:line="480" w:lineRule="atLeast"/>
      <w:ind w:firstLine="100" w:firstLineChars="100"/>
    </w:pPr>
    <w:rPr>
      <w:b/>
      <w:sz w:val="28"/>
    </w:rPr>
  </w:style>
  <w:style w:type="paragraph" w:customStyle="1" w:styleId="547">
    <w:name w:val="正文 Char Char Char"/>
    <w:basedOn w:val="1"/>
    <w:qFormat/>
    <w:uiPriority w:val="99"/>
    <w:pPr>
      <w:spacing w:line="520" w:lineRule="exact"/>
      <w:ind w:firstLine="200" w:firstLineChars="200"/>
    </w:pPr>
    <w:rPr>
      <w:sz w:val="24"/>
      <w:szCs w:val="20"/>
    </w:rPr>
  </w:style>
  <w:style w:type="paragraph" w:customStyle="1" w:styleId="548">
    <w:name w:val="xl22"/>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黑体" w:hAnsi="宋体" w:eastAsia="黑体" w:cs="宋体"/>
      <w:sz w:val="16"/>
      <w:szCs w:val="16"/>
      <w:lang w:val="en-US" w:eastAsia="zh-CN" w:bidi="ar-SA"/>
    </w:rPr>
  </w:style>
  <w:style w:type="paragraph" w:customStyle="1" w:styleId="549">
    <w:name w:val="样式 五号 居中 行距: 固定值 20 磅"/>
    <w:basedOn w:val="1"/>
    <w:qFormat/>
    <w:uiPriority w:val="0"/>
    <w:pPr>
      <w:spacing w:line="380" w:lineRule="exact"/>
      <w:jc w:val="center"/>
    </w:pPr>
    <w:rPr>
      <w:szCs w:val="20"/>
    </w:rPr>
  </w:style>
  <w:style w:type="paragraph" w:customStyle="1" w:styleId="550">
    <w:name w:val="段"/>
    <w:qFormat/>
    <w:uiPriority w:val="0"/>
    <w:pPr>
      <w:autoSpaceDE w:val="0"/>
      <w:autoSpaceDN w:val="0"/>
      <w:ind w:firstLine="200" w:firstLineChars="200"/>
      <w:jc w:val="both"/>
    </w:pPr>
    <w:rPr>
      <w:rFonts w:ascii="ˎ̥" w:hAnsi="Times New Roman" w:eastAsia="宋体" w:cs="Times New Roman"/>
      <w:sz w:val="21"/>
      <w:lang w:val="en-US" w:eastAsia="zh-CN" w:bidi="ar-SA"/>
    </w:rPr>
  </w:style>
  <w:style w:type="paragraph" w:customStyle="1" w:styleId="551">
    <w:name w:val="样式 四号 行距: 1.0 倍行距"/>
    <w:basedOn w:val="1"/>
    <w:qFormat/>
    <w:uiPriority w:val="0"/>
    <w:pPr>
      <w:spacing w:line="360" w:lineRule="auto"/>
    </w:pPr>
    <w:rPr>
      <w:sz w:val="28"/>
      <w:szCs w:val="20"/>
    </w:rPr>
  </w:style>
  <w:style w:type="paragraph" w:customStyle="1" w:styleId="552">
    <w:name w:val="Char5"/>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53">
    <w:name w:val="表格右"/>
    <w:basedOn w:val="296"/>
    <w:qFormat/>
    <w:uiPriority w:val="0"/>
    <w:pPr>
      <w:suppressAutoHyphens/>
      <w:adjustRightInd/>
      <w:spacing w:before="20" w:beforeLines="0" w:after="20" w:afterLines="0" w:line="240" w:lineRule="auto"/>
      <w:ind w:firstLine="351" w:firstLineChars="167"/>
      <w:jc w:val="both"/>
    </w:pPr>
    <w:rPr>
      <w:rFonts w:ascii="ˎ̥" w:hAnsi="ˎ̥"/>
      <w:kern w:val="1"/>
      <w:lang w:val="zh-CN"/>
    </w:rPr>
  </w:style>
  <w:style w:type="paragraph" w:customStyle="1" w:styleId="554">
    <w:name w:val="font9"/>
    <w:basedOn w:val="1"/>
    <w:qFormat/>
    <w:uiPriority w:val="99"/>
    <w:pPr>
      <w:widowControl/>
      <w:spacing w:before="100" w:beforeAutospacing="1" w:after="100" w:afterAutospacing="1"/>
      <w:jc w:val="left"/>
    </w:pPr>
    <w:rPr>
      <w:rFonts w:hint="eastAsia" w:ascii="ˎ̥" w:hAnsi="ˎ̥"/>
      <w:b/>
      <w:color w:val="000000"/>
      <w:kern w:val="0"/>
      <w:sz w:val="18"/>
      <w:szCs w:val="20"/>
    </w:rPr>
  </w:style>
  <w:style w:type="paragraph" w:customStyle="1" w:styleId="555">
    <w:name w:val="a)"/>
    <w:basedOn w:val="1"/>
    <w:qFormat/>
    <w:uiPriority w:val="0"/>
    <w:rPr>
      <w:szCs w:val="20"/>
    </w:rPr>
  </w:style>
  <w:style w:type="paragraph" w:customStyle="1" w:styleId="556">
    <w:name w:val="Char3"/>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557">
    <w:name w:val="编号圆圈数字"/>
    <w:basedOn w:val="1"/>
    <w:qFormat/>
    <w:uiPriority w:val="0"/>
    <w:pPr>
      <w:tabs>
        <w:tab w:val="left" w:pos="597"/>
      </w:tabs>
      <w:spacing w:line="360" w:lineRule="auto"/>
      <w:ind w:left="140" w:firstLine="480"/>
    </w:pPr>
    <w:rPr>
      <w:sz w:val="24"/>
      <w:szCs w:val="20"/>
    </w:rPr>
  </w:style>
  <w:style w:type="paragraph" w:customStyle="1" w:styleId="558">
    <w:name w:val="样式 标题 3 + 小三 段前: 6 磅 段后: 6 磅 行距: 多倍行距 1.25 字行"/>
    <w:basedOn w:val="4"/>
    <w:qFormat/>
    <w:uiPriority w:val="99"/>
    <w:pPr>
      <w:widowControl w:val="0"/>
      <w:tabs>
        <w:tab w:val="left" w:pos="1260"/>
      </w:tabs>
      <w:spacing w:before="0" w:after="0" w:line="300" w:lineRule="auto"/>
    </w:pPr>
    <w:rPr>
      <w:rFonts w:eastAsia="宋体" w:cs="宋体"/>
      <w:b/>
      <w:bCs/>
      <w:sz w:val="28"/>
      <w:szCs w:val="28"/>
    </w:rPr>
  </w:style>
  <w:style w:type="paragraph" w:customStyle="1" w:styleId="559">
    <w:name w:val="大题注"/>
    <w:basedOn w:val="1"/>
    <w:qFormat/>
    <w:uiPriority w:val="0"/>
    <w:pPr>
      <w:spacing w:before="100" w:beforeAutospacing="1" w:after="100" w:afterAutospacing="1"/>
      <w:ind w:firstLine="480" w:firstLineChars="200"/>
    </w:pPr>
    <w:rPr>
      <w:rFonts w:ascii="ˎ̥" w:hAnsi="ˎ̥" w:eastAsia="ˎ̥"/>
      <w:sz w:val="24"/>
      <w:szCs w:val="20"/>
    </w:rPr>
  </w:style>
  <w:style w:type="paragraph" w:customStyle="1" w:styleId="560">
    <w:name w:val="样式 标题 3标题 3 Char + 黑色 行距: 固定值 26 磅"/>
    <w:basedOn w:val="4"/>
    <w:qFormat/>
    <w:uiPriority w:val="0"/>
    <w:pPr>
      <w:widowControl w:val="0"/>
      <w:tabs>
        <w:tab w:val="left" w:pos="720"/>
        <w:tab w:val="left" w:pos="900"/>
        <w:tab w:val="left" w:pos="1260"/>
        <w:tab w:val="left" w:pos="1800"/>
      </w:tabs>
      <w:adjustRightInd w:val="0"/>
      <w:spacing w:before="312" w:beforeLines="100" w:after="312" w:afterLines="100" w:line="520" w:lineRule="exact"/>
      <w:ind w:left="1042" w:hanging="1042"/>
      <w:textAlignment w:val="baseline"/>
    </w:pPr>
    <w:rPr>
      <w:rFonts w:ascii="ˎ̥" w:hAnsi="ˎ̥"/>
      <w:sz w:val="30"/>
    </w:rPr>
  </w:style>
  <w:style w:type="paragraph" w:customStyle="1" w:styleId="561">
    <w:name w:val="表格文字2"/>
    <w:basedOn w:val="1"/>
    <w:qFormat/>
    <w:uiPriority w:val="0"/>
    <w:pPr>
      <w:tabs>
        <w:tab w:val="left" w:pos="277"/>
        <w:tab w:val="left" w:pos="600"/>
        <w:tab w:val="left" w:pos="780"/>
        <w:tab w:val="left" w:pos="2517"/>
      </w:tabs>
      <w:adjustRightInd w:val="0"/>
      <w:spacing w:before="60"/>
      <w:jc w:val="center"/>
      <w:textAlignment w:val="baseline"/>
    </w:pPr>
    <w:rPr>
      <w:kern w:val="0"/>
      <w:szCs w:val="20"/>
    </w:rPr>
  </w:style>
  <w:style w:type="paragraph" w:customStyle="1" w:styleId="562">
    <w:name w:val="样式表头"/>
    <w:basedOn w:val="1"/>
    <w:qFormat/>
    <w:uiPriority w:val="0"/>
    <w:pPr>
      <w:snapToGrid w:val="0"/>
      <w:spacing w:line="312" w:lineRule="auto"/>
      <w:jc w:val="center"/>
    </w:pPr>
    <w:rPr>
      <w:rFonts w:ascii="ˎ̥" w:hAnsi="ˎ̥" w:eastAsia="ˎ̥"/>
      <w:b/>
      <w:spacing w:val="6"/>
      <w:sz w:val="32"/>
      <w:szCs w:val="20"/>
    </w:rPr>
  </w:style>
  <w:style w:type="paragraph" w:customStyle="1" w:styleId="563">
    <w:name w:val="正文文本 22"/>
    <w:basedOn w:val="1"/>
    <w:qFormat/>
    <w:uiPriority w:val="0"/>
    <w:pPr>
      <w:adjustRightInd w:val="0"/>
      <w:spacing w:line="432" w:lineRule="auto"/>
      <w:ind w:firstLine="480"/>
    </w:pPr>
    <w:rPr>
      <w:sz w:val="24"/>
      <w:szCs w:val="20"/>
    </w:rPr>
  </w:style>
  <w:style w:type="paragraph" w:customStyle="1" w:styleId="564">
    <w:name w:val="正文（首行缩进两字） Char Char Char Char1"/>
    <w:basedOn w:val="1"/>
    <w:next w:val="1"/>
    <w:qFormat/>
    <w:uiPriority w:val="0"/>
    <w:pPr>
      <w:spacing w:line="440" w:lineRule="exact"/>
      <w:ind w:firstLine="200" w:firstLineChars="200"/>
    </w:pPr>
    <w:rPr>
      <w:rFonts w:ascii="ˎ̥" w:hAnsi="ˎ̥"/>
      <w:sz w:val="24"/>
      <w:szCs w:val="20"/>
    </w:rPr>
  </w:style>
  <w:style w:type="paragraph" w:customStyle="1" w:styleId="565">
    <w:name w:val="样式 样式 四号 首行缩进:  1.92 字符 + 宋体"/>
    <w:basedOn w:val="1"/>
    <w:qFormat/>
    <w:uiPriority w:val="0"/>
    <w:pPr>
      <w:widowControl/>
      <w:ind w:firstLine="560" w:firstLineChars="200"/>
    </w:pPr>
    <w:rPr>
      <w:rFonts w:ascii="ˎ̥" w:hAnsi="ˎ̥"/>
      <w:sz w:val="28"/>
      <w:szCs w:val="20"/>
    </w:rPr>
  </w:style>
  <w:style w:type="paragraph" w:customStyle="1" w:styleId="566">
    <w:name w:val="样式 行距: 固定值 28 磅"/>
    <w:qFormat/>
    <w:uiPriority w:val="99"/>
    <w:pPr>
      <w:widowControl w:val="0"/>
      <w:spacing w:line="540" w:lineRule="exact"/>
      <w:ind w:firstLine="560" w:firstLineChars="200"/>
    </w:pPr>
    <w:rPr>
      <w:rFonts w:ascii="Times New Roman" w:hAnsi="Times New Roman" w:eastAsia="宋体" w:cs="宋体"/>
      <w:kern w:val="2"/>
      <w:sz w:val="28"/>
      <w:szCs w:val="28"/>
      <w:lang w:val="en-US" w:eastAsia="zh-CN" w:bidi="ar-SA"/>
    </w:rPr>
  </w:style>
  <w:style w:type="paragraph" w:customStyle="1" w:styleId="567">
    <w:name w:val="五级条标题"/>
    <w:basedOn w:val="568"/>
    <w:next w:val="1"/>
    <w:qFormat/>
    <w:uiPriority w:val="0"/>
    <w:pPr>
      <w:tabs>
        <w:tab w:val="left" w:pos="567"/>
        <w:tab w:val="left" w:pos="851"/>
        <w:tab w:val="left" w:pos="903"/>
        <w:tab w:val="left" w:pos="992"/>
        <w:tab w:val="left" w:pos="1134"/>
        <w:tab w:val="left" w:pos="1276"/>
        <w:tab w:val="left" w:pos="1320"/>
        <w:tab w:val="left" w:pos="2160"/>
        <w:tab w:val="left" w:pos="2580"/>
        <w:tab w:val="left" w:pos="3000"/>
        <w:tab w:val="left" w:pos="3420"/>
      </w:tabs>
      <w:ind w:left="1276" w:hanging="1276"/>
      <w:outlineLvl w:val="6"/>
    </w:pPr>
  </w:style>
  <w:style w:type="paragraph" w:customStyle="1" w:styleId="568">
    <w:name w:val="四级条标题"/>
    <w:basedOn w:val="569"/>
    <w:next w:val="1"/>
    <w:qFormat/>
    <w:uiPriority w:val="0"/>
    <w:pPr>
      <w:tabs>
        <w:tab w:val="left" w:pos="567"/>
        <w:tab w:val="left" w:pos="851"/>
        <w:tab w:val="left" w:pos="903"/>
        <w:tab w:val="left" w:pos="992"/>
        <w:tab w:val="left" w:pos="1134"/>
        <w:tab w:val="left" w:pos="1320"/>
        <w:tab w:val="left" w:pos="2160"/>
        <w:tab w:val="left" w:pos="2580"/>
        <w:tab w:val="left" w:pos="3000"/>
      </w:tabs>
      <w:ind w:left="1134" w:hanging="1134"/>
      <w:outlineLvl w:val="5"/>
    </w:pPr>
  </w:style>
  <w:style w:type="paragraph" w:customStyle="1" w:styleId="569">
    <w:name w:val="三级条标题"/>
    <w:basedOn w:val="570"/>
    <w:next w:val="1"/>
    <w:qFormat/>
    <w:uiPriority w:val="0"/>
    <w:pPr>
      <w:tabs>
        <w:tab w:val="left" w:pos="567"/>
        <w:tab w:val="left" w:pos="851"/>
        <w:tab w:val="left" w:pos="903"/>
        <w:tab w:val="left" w:pos="992"/>
        <w:tab w:val="left" w:pos="1320"/>
        <w:tab w:val="left" w:pos="2160"/>
        <w:tab w:val="left" w:pos="2580"/>
      </w:tabs>
      <w:ind w:left="992" w:hanging="992"/>
      <w:outlineLvl w:val="4"/>
    </w:pPr>
  </w:style>
  <w:style w:type="paragraph" w:customStyle="1" w:styleId="570">
    <w:name w:val="二级条标题"/>
    <w:basedOn w:val="396"/>
    <w:next w:val="1"/>
    <w:qFormat/>
    <w:uiPriority w:val="0"/>
    <w:pPr>
      <w:tabs>
        <w:tab w:val="left" w:pos="851"/>
        <w:tab w:val="left" w:pos="2160"/>
        <w:tab w:val="clear" w:pos="360"/>
        <w:tab w:val="clear" w:pos="709"/>
        <w:tab w:val="clear" w:pos="1740"/>
      </w:tabs>
      <w:ind w:left="851" w:hanging="851"/>
      <w:outlineLvl w:val="3"/>
    </w:pPr>
  </w:style>
  <w:style w:type="paragraph" w:customStyle="1" w:styleId="571">
    <w:name w:val="font5"/>
    <w:basedOn w:val="1"/>
    <w:qFormat/>
    <w:uiPriority w:val="99"/>
    <w:pPr>
      <w:widowControl/>
      <w:spacing w:before="100" w:beforeAutospacing="1" w:after="100" w:afterAutospacing="1"/>
      <w:jc w:val="left"/>
    </w:pPr>
    <w:rPr>
      <w:rFonts w:hint="eastAsia" w:ascii="ˎ̥" w:hAnsi="ˎ̥"/>
      <w:kern w:val="0"/>
      <w:sz w:val="18"/>
      <w:szCs w:val="20"/>
    </w:rPr>
  </w:style>
  <w:style w:type="paragraph" w:customStyle="1" w:styleId="572">
    <w:name w:val="样式 小四 行距: 1.5 倍行距 首行缩进:  2 字符"/>
    <w:basedOn w:val="1"/>
    <w:qFormat/>
    <w:uiPriority w:val="0"/>
    <w:pPr>
      <w:spacing w:line="360" w:lineRule="auto"/>
      <w:ind w:firstLine="480" w:firstLineChars="200"/>
    </w:pPr>
    <w:rPr>
      <w:sz w:val="24"/>
      <w:szCs w:val="20"/>
    </w:rPr>
  </w:style>
  <w:style w:type="paragraph" w:customStyle="1" w:styleId="573">
    <w:name w:val="说明-正文"/>
    <w:qFormat/>
    <w:uiPriority w:val="99"/>
    <w:pPr>
      <w:widowControl w:val="0"/>
      <w:spacing w:line="440" w:lineRule="exact"/>
      <w:ind w:firstLine="480" w:firstLineChars="200"/>
      <w:jc w:val="both"/>
    </w:pPr>
    <w:rPr>
      <w:rFonts w:ascii="Times New Roman" w:hAnsi="Times New Roman" w:eastAsia="宋体" w:cs="Times New Roman"/>
      <w:bCs/>
      <w:kern w:val="2"/>
      <w:sz w:val="24"/>
      <w:szCs w:val="24"/>
      <w:lang w:val="en-US" w:eastAsia="zh-CN" w:bidi="ar-SA"/>
    </w:rPr>
  </w:style>
  <w:style w:type="paragraph" w:customStyle="1" w:styleId="574">
    <w:name w:val="表头居右"/>
    <w:basedOn w:val="305"/>
    <w:qFormat/>
    <w:uiPriority w:val="0"/>
    <w:pPr>
      <w:widowControl/>
      <w:adjustRightInd/>
      <w:snapToGrid/>
      <w:spacing w:before="312" w:beforeLines="100" w:line="240" w:lineRule="auto"/>
      <w:ind w:firstLine="240" w:firstLineChars="100"/>
    </w:pPr>
    <w:rPr>
      <w:b w:val="0"/>
      <w:kern w:val="0"/>
      <w:szCs w:val="20"/>
    </w:rPr>
  </w:style>
  <w:style w:type="paragraph" w:customStyle="1" w:styleId="575">
    <w:name w:val="Char Char Char Char Char Char Char Char Char Char"/>
    <w:basedOn w:val="1"/>
    <w:qFormat/>
    <w:uiPriority w:val="0"/>
    <w:pPr>
      <w:spacing w:line="240" w:lineRule="exact"/>
      <w:ind w:firstLine="200" w:firstLineChars="200"/>
    </w:pPr>
    <w:rPr>
      <w:snapToGrid w:val="0"/>
      <w:color w:val="000000"/>
      <w:sz w:val="24"/>
      <w:szCs w:val="20"/>
    </w:rPr>
  </w:style>
  <w:style w:type="paragraph" w:customStyle="1" w:styleId="576">
    <w:name w:val="段落"/>
    <w:basedOn w:val="1"/>
    <w:qFormat/>
    <w:uiPriority w:val="0"/>
    <w:pPr>
      <w:widowControl/>
      <w:spacing w:before="312" w:beforeLines="100" w:line="288" w:lineRule="auto"/>
      <w:ind w:firstLine="420" w:firstLineChars="200"/>
      <w:jc w:val="left"/>
    </w:pPr>
    <w:rPr>
      <w:rFonts w:ascii="ˎ̥"/>
      <w:kern w:val="0"/>
      <w:szCs w:val="20"/>
    </w:rPr>
  </w:style>
  <w:style w:type="paragraph" w:customStyle="1" w:styleId="577">
    <w:name w:val="xl37"/>
    <w:basedOn w:val="1"/>
    <w:qFormat/>
    <w:uiPriority w:val="99"/>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eastAsia="ˎ̥"/>
      <w:kern w:val="0"/>
      <w:sz w:val="20"/>
      <w:szCs w:val="20"/>
    </w:rPr>
  </w:style>
  <w:style w:type="paragraph" w:customStyle="1" w:styleId="578">
    <w:name w:val="a样式 普通(网站) + 行距: 最小值 24 磅"/>
    <w:basedOn w:val="72"/>
    <w:qFormat/>
    <w:uiPriority w:val="99"/>
    <w:pPr>
      <w:spacing w:line="480" w:lineRule="atLeast"/>
    </w:pPr>
    <w:rPr>
      <w:rFonts w:cs="宋体"/>
    </w:rPr>
  </w:style>
  <w:style w:type="paragraph" w:customStyle="1" w:styleId="579">
    <w:name w:val="五号表格"/>
    <w:basedOn w:val="1"/>
    <w:qFormat/>
    <w:uiPriority w:val="99"/>
    <w:pPr>
      <w:spacing w:line="240" w:lineRule="atLeast"/>
      <w:jc w:val="center"/>
    </w:pPr>
  </w:style>
  <w:style w:type="paragraph" w:customStyle="1" w:styleId="580">
    <w:name w:val="4"/>
    <w:basedOn w:val="1"/>
    <w:next w:val="27"/>
    <w:qFormat/>
    <w:uiPriority w:val="99"/>
    <w:pPr>
      <w:spacing w:line="240" w:lineRule="atLeast"/>
    </w:pPr>
    <w:rPr>
      <w:sz w:val="28"/>
      <w:szCs w:val="20"/>
    </w:rPr>
  </w:style>
  <w:style w:type="paragraph" w:customStyle="1" w:styleId="581">
    <w:name w:val="Char1 Char Char Char2"/>
    <w:basedOn w:val="1"/>
    <w:qFormat/>
    <w:uiPriority w:val="0"/>
    <w:pPr>
      <w:snapToGrid w:val="0"/>
      <w:spacing w:line="360" w:lineRule="auto"/>
      <w:ind w:firstLine="529" w:firstLineChars="200"/>
    </w:pPr>
    <w:rPr>
      <w:rFonts w:ascii="ˎ̥" w:hAnsi="ˎ̥"/>
      <w:b/>
      <w:szCs w:val="20"/>
    </w:rPr>
  </w:style>
  <w:style w:type="paragraph" w:customStyle="1" w:styleId="582">
    <w:name w:val="样式 首行缩进:  2 字符2"/>
    <w:basedOn w:val="1"/>
    <w:qFormat/>
    <w:uiPriority w:val="0"/>
    <w:pPr>
      <w:spacing w:line="520" w:lineRule="exact"/>
      <w:ind w:firstLine="560" w:firstLineChars="200"/>
    </w:pPr>
    <w:rPr>
      <w:sz w:val="24"/>
      <w:szCs w:val="20"/>
    </w:rPr>
  </w:style>
  <w:style w:type="paragraph" w:customStyle="1" w:styleId="583">
    <w:name w:val="T正文"/>
    <w:qFormat/>
    <w:uiPriority w:val="0"/>
    <w:pPr>
      <w:widowControl w:val="0"/>
      <w:adjustRightInd w:val="0"/>
      <w:snapToGrid w:val="0"/>
      <w:spacing w:line="360" w:lineRule="auto"/>
      <w:ind w:firstLine="200" w:firstLineChars="200"/>
      <w:jc w:val="both"/>
    </w:pPr>
    <w:rPr>
      <w:rFonts w:ascii="Times New Roman" w:hAnsi="Times New Roman" w:eastAsia="ˎ̥" w:cs="Times New Roman"/>
      <w:sz w:val="28"/>
      <w:lang w:val="en-US" w:eastAsia="zh-CN" w:bidi="ar-SA"/>
    </w:rPr>
  </w:style>
  <w:style w:type="paragraph" w:customStyle="1" w:styleId="584">
    <w:name w:val="表文"/>
    <w:basedOn w:val="1"/>
    <w:qFormat/>
    <w:uiPriority w:val="99"/>
    <w:pPr>
      <w:ind w:firstLine="497" w:firstLineChars="200"/>
      <w:jc w:val="center"/>
    </w:pPr>
    <w:rPr>
      <w:rFonts w:ascii="ˎ̥" w:hAnsi="ˎ̥" w:eastAsia="ˎ̥"/>
      <w:spacing w:val="-8"/>
      <w:sz w:val="24"/>
      <w:szCs w:val="20"/>
      <w:lang w:val="zh-CN"/>
    </w:rPr>
  </w:style>
  <w:style w:type="paragraph" w:customStyle="1" w:styleId="585">
    <w:name w:val="Char Char Char Char Char Char Char Char Char"/>
    <w:basedOn w:val="1"/>
    <w:qFormat/>
    <w:uiPriority w:val="99"/>
    <w:rPr>
      <w:sz w:val="24"/>
      <w:szCs w:val="20"/>
    </w:rPr>
  </w:style>
  <w:style w:type="paragraph" w:customStyle="1" w:styleId="586">
    <w:name w:val="zhang正文"/>
    <w:basedOn w:val="31"/>
    <w:qFormat/>
    <w:uiPriority w:val="0"/>
    <w:pPr>
      <w:autoSpaceDE w:val="0"/>
      <w:autoSpaceDN w:val="0"/>
      <w:adjustRightInd w:val="0"/>
      <w:snapToGrid w:val="0"/>
      <w:spacing w:after="0" w:line="360" w:lineRule="auto"/>
      <w:ind w:left="0" w:leftChars="0" w:firstLine="539"/>
      <w:textAlignment w:val="baseline"/>
    </w:pPr>
    <w:rPr>
      <w:rFonts w:eastAsia="ˎ̥"/>
      <w:sz w:val="28"/>
      <w:szCs w:val="20"/>
    </w:rPr>
  </w:style>
  <w:style w:type="paragraph" w:customStyle="1" w:styleId="587">
    <w:name w:val="样式 标题 4 + 四号"/>
    <w:basedOn w:val="5"/>
    <w:qFormat/>
    <w:uiPriority w:val="0"/>
    <w:pPr>
      <w:widowControl/>
      <w:snapToGrid w:val="0"/>
      <w:spacing w:before="60" w:after="60" w:line="480" w:lineRule="atLeast"/>
      <w:ind w:firstLine="200" w:firstLineChars="200"/>
    </w:pPr>
    <w:rPr>
      <w:rFonts w:ascii="Times New Roman" w:hAnsi="Times New Roman"/>
      <w:b w:val="0"/>
      <w:bCs w:val="0"/>
      <w:sz w:val="24"/>
      <w:szCs w:val="20"/>
    </w:rPr>
  </w:style>
  <w:style w:type="paragraph" w:customStyle="1" w:styleId="588">
    <w:name w:val="xl38"/>
    <w:basedOn w:val="1"/>
    <w:qFormat/>
    <w:uiPriority w:val="99"/>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left"/>
      <w:textAlignment w:val="center"/>
    </w:pPr>
    <w:rPr>
      <w:rFonts w:eastAsia="ˎ̥"/>
      <w:kern w:val="0"/>
      <w:sz w:val="20"/>
      <w:szCs w:val="20"/>
    </w:rPr>
  </w:style>
  <w:style w:type="paragraph" w:customStyle="1" w:styleId="589">
    <w:name w:val="样式 五号 居中 行距: 最小值 18 磅"/>
    <w:basedOn w:val="1"/>
    <w:qFormat/>
    <w:uiPriority w:val="0"/>
    <w:pPr>
      <w:spacing w:line="360" w:lineRule="atLeast"/>
      <w:jc w:val="center"/>
    </w:pPr>
    <w:rPr>
      <w:szCs w:val="20"/>
    </w:rPr>
  </w:style>
  <w:style w:type="paragraph" w:customStyle="1" w:styleId="590">
    <w:name w:val="样式 正文（首行缩进两字） + 宋体 小四 加粗 首行缩进:  0.85 厘米 行距: 固定值 24 磅"/>
    <w:basedOn w:val="1"/>
    <w:qFormat/>
    <w:uiPriority w:val="0"/>
    <w:pPr>
      <w:adjustRightInd w:val="0"/>
      <w:spacing w:line="480" w:lineRule="exact"/>
      <w:ind w:firstLine="482"/>
      <w:textAlignment w:val="baseline"/>
    </w:pPr>
    <w:rPr>
      <w:rFonts w:ascii="ˎ̥" w:hAnsi="ˎ̥"/>
      <w:sz w:val="24"/>
      <w:szCs w:val="20"/>
    </w:rPr>
  </w:style>
  <w:style w:type="paragraph" w:customStyle="1" w:styleId="591">
    <w:name w:val="a"/>
    <w:basedOn w:val="1"/>
    <w:qFormat/>
    <w:uiPriority w:val="0"/>
    <w:pPr>
      <w:widowControl/>
      <w:spacing w:before="100" w:beforeAutospacing="1" w:after="100" w:afterAutospacing="1"/>
      <w:jc w:val="left"/>
    </w:pPr>
    <w:rPr>
      <w:rFonts w:ascii="ˎ̥" w:hAnsi="ˎ̥"/>
      <w:kern w:val="0"/>
      <w:sz w:val="24"/>
      <w:szCs w:val="20"/>
    </w:rPr>
  </w:style>
  <w:style w:type="paragraph" w:customStyle="1" w:styleId="592">
    <w:name w:val="默认段落字体 Para Char Char Char Char Char Char Char Char Char Char"/>
    <w:basedOn w:val="4"/>
    <w:qFormat/>
    <w:uiPriority w:val="99"/>
    <w:pPr>
      <w:widowControl w:val="0"/>
      <w:tabs>
        <w:tab w:val="left" w:pos="360"/>
        <w:tab w:val="left" w:pos="900"/>
      </w:tabs>
      <w:snapToGrid w:val="0"/>
      <w:spacing w:line="360" w:lineRule="auto"/>
      <w:ind w:left="542" w:leftChars="-12" w:firstLine="200" w:firstLineChars="200"/>
      <w:jc w:val="left"/>
    </w:pPr>
    <w:rPr>
      <w:snapToGrid w:val="0"/>
      <w:szCs w:val="24"/>
    </w:rPr>
  </w:style>
  <w:style w:type="paragraph" w:customStyle="1" w:styleId="593">
    <w:name w:val="6"/>
    <w:basedOn w:val="4"/>
    <w:qFormat/>
    <w:uiPriority w:val="0"/>
    <w:pPr>
      <w:widowControl w:val="0"/>
      <w:tabs>
        <w:tab w:val="left" w:pos="360"/>
        <w:tab w:val="left" w:pos="900"/>
      </w:tabs>
      <w:snapToGrid w:val="0"/>
      <w:spacing w:line="360" w:lineRule="auto"/>
      <w:ind w:left="542" w:leftChars="-12" w:firstLine="200" w:firstLineChars="200"/>
      <w:jc w:val="left"/>
    </w:pPr>
    <w:rPr>
      <w:rFonts w:ascii="ˎ̥" w:hAnsi="ˎ̥"/>
      <w:b/>
      <w:sz w:val="28"/>
    </w:rPr>
  </w:style>
  <w:style w:type="paragraph" w:customStyle="1" w:styleId="594">
    <w:name w:val="navitext"/>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595">
    <w:name w:val="正文文本缩进1"/>
    <w:basedOn w:val="1"/>
    <w:qFormat/>
    <w:uiPriority w:val="0"/>
    <w:pPr>
      <w:spacing w:line="360" w:lineRule="exact"/>
      <w:ind w:firstLine="480" w:firstLineChars="200"/>
    </w:pPr>
    <w:rPr>
      <w:sz w:val="24"/>
    </w:rPr>
  </w:style>
  <w:style w:type="paragraph" w:customStyle="1" w:styleId="596">
    <w:name w:val="样式 首行缩进:  2.25 字符"/>
    <w:qFormat/>
    <w:uiPriority w:val="99"/>
    <w:pPr>
      <w:widowControl w:val="0"/>
      <w:spacing w:line="360" w:lineRule="auto"/>
      <w:ind w:firstLine="540" w:firstLineChars="225"/>
    </w:pPr>
    <w:rPr>
      <w:rFonts w:ascii="Times New Roman" w:hAnsi="Times New Roman" w:eastAsia="宋体" w:cs="Times New Roman"/>
      <w:kern w:val="2"/>
      <w:sz w:val="24"/>
      <w:lang w:val="en-US" w:eastAsia="zh-CN" w:bidi="ar-SA"/>
    </w:rPr>
  </w:style>
  <w:style w:type="paragraph" w:customStyle="1" w:styleId="597">
    <w:name w:val="Char Char5 Char Char Char Char Char Char Char Char Char2 Char"/>
    <w:basedOn w:val="4"/>
    <w:qFormat/>
    <w:uiPriority w:val="0"/>
    <w:pPr>
      <w:widowControl w:val="0"/>
      <w:tabs>
        <w:tab w:val="left" w:pos="360"/>
        <w:tab w:val="left" w:pos="900"/>
      </w:tabs>
      <w:snapToGrid w:val="0"/>
      <w:spacing w:line="360" w:lineRule="auto"/>
      <w:ind w:left="542" w:leftChars="-12" w:firstLine="200" w:firstLineChars="200"/>
      <w:jc w:val="left"/>
    </w:pPr>
    <w:rPr>
      <w:snapToGrid w:val="0"/>
    </w:rPr>
  </w:style>
  <w:style w:type="paragraph" w:customStyle="1" w:styleId="598">
    <w:name w:val="二级无标题条"/>
    <w:basedOn w:val="1"/>
    <w:qFormat/>
    <w:uiPriority w:val="0"/>
    <w:rPr>
      <w:szCs w:val="20"/>
    </w:rPr>
  </w:style>
  <w:style w:type="paragraph" w:customStyle="1" w:styleId="599">
    <w:name w:val="样式 四号 黑色 首行缩进:  2 字符"/>
    <w:basedOn w:val="1"/>
    <w:qFormat/>
    <w:uiPriority w:val="0"/>
    <w:pPr>
      <w:spacing w:line="480" w:lineRule="atLeast"/>
      <w:ind w:firstLine="200" w:firstLineChars="200"/>
    </w:pPr>
    <w:rPr>
      <w:color w:val="000000"/>
      <w:sz w:val="24"/>
      <w:szCs w:val="20"/>
    </w:rPr>
  </w:style>
  <w:style w:type="paragraph" w:customStyle="1" w:styleId="600">
    <w:name w:val="报告书正文 Char Char"/>
    <w:qFormat/>
    <w:uiPriority w:val="99"/>
    <w:pPr>
      <w:widowControl w:val="0"/>
      <w:spacing w:line="300" w:lineRule="auto"/>
      <w:ind w:firstLine="480" w:firstLineChars="200"/>
      <w:jc w:val="both"/>
    </w:pPr>
    <w:rPr>
      <w:rFonts w:ascii="Times New Roman" w:hAnsi="Times New Roman" w:eastAsia="宋体" w:cs="Times New Roman"/>
      <w:color w:val="000000"/>
      <w:kern w:val="2"/>
      <w:sz w:val="24"/>
      <w:szCs w:val="24"/>
      <w:lang w:val="en-US" w:eastAsia="zh-CN" w:bidi="ar-SA"/>
    </w:rPr>
  </w:style>
  <w:style w:type="paragraph" w:customStyle="1" w:styleId="601">
    <w:name w:val="表名称"/>
    <w:basedOn w:val="1"/>
    <w:qFormat/>
    <w:uiPriority w:val="0"/>
    <w:pPr>
      <w:tabs>
        <w:tab w:val="left" w:pos="-120"/>
      </w:tabs>
      <w:overflowPunct w:val="0"/>
      <w:topLinePunct/>
      <w:autoSpaceDE w:val="0"/>
      <w:adjustRightInd w:val="0"/>
      <w:snapToGrid w:val="0"/>
      <w:spacing w:after="240"/>
      <w:jc w:val="center"/>
      <w:textAlignment w:val="baseline"/>
    </w:pPr>
    <w:rPr>
      <w:spacing w:val="16"/>
      <w:kern w:val="0"/>
      <w:sz w:val="24"/>
      <w:szCs w:val="20"/>
    </w:rPr>
  </w:style>
  <w:style w:type="paragraph" w:customStyle="1" w:styleId="602">
    <w:name w:val="样式 样式 首行缩进:  2 字符 + 首行缩进:  2 字符 段前: 0.5 行 段后: 0.5 行"/>
    <w:basedOn w:val="1"/>
    <w:qFormat/>
    <w:uiPriority w:val="0"/>
    <w:pPr>
      <w:spacing w:before="156" w:beforeLines="50" w:after="156" w:afterLines="50" w:line="400" w:lineRule="atLeast"/>
      <w:ind w:firstLine="200" w:firstLineChars="200"/>
    </w:pPr>
    <w:rPr>
      <w:sz w:val="24"/>
      <w:szCs w:val="20"/>
    </w:rPr>
  </w:style>
  <w:style w:type="paragraph" w:customStyle="1" w:styleId="603">
    <w:name w:val="样式 题目 + 左侧:  1 字符 右侧:  1 字符"/>
    <w:basedOn w:val="2"/>
    <w:qFormat/>
    <w:uiPriority w:val="0"/>
    <w:pPr>
      <w:keepLines/>
      <w:overflowPunct/>
      <w:adjustRightInd w:val="0"/>
      <w:spacing w:before="100" w:beforeAutospacing="1" w:after="100" w:afterAutospacing="1" w:line="360" w:lineRule="auto"/>
      <w:ind w:left="0" w:right="238" w:firstLine="0"/>
      <w:jc w:val="center"/>
    </w:pPr>
    <w:rPr>
      <w:rFonts w:eastAsia="ˎ̥"/>
      <w:bCs w:val="0"/>
      <w:snapToGrid w:val="0"/>
      <w:color w:val="auto"/>
      <w:kern w:val="0"/>
      <w:sz w:val="24"/>
      <w:szCs w:val="20"/>
    </w:rPr>
  </w:style>
  <w:style w:type="paragraph" w:customStyle="1" w:styleId="604">
    <w:name w:val="Char Char Char1"/>
    <w:basedOn w:val="1"/>
    <w:qFormat/>
    <w:uiPriority w:val="0"/>
    <w:rPr>
      <w:szCs w:val="20"/>
    </w:rPr>
  </w:style>
  <w:style w:type="paragraph" w:customStyle="1" w:styleId="605">
    <w:name w:val="流程图"/>
    <w:basedOn w:val="30"/>
    <w:qFormat/>
    <w:uiPriority w:val="0"/>
    <w:pPr>
      <w:widowControl w:val="0"/>
      <w:snapToGrid/>
      <w:spacing w:before="0" w:after="120" w:line="360" w:lineRule="auto"/>
      <w:ind w:right="0" w:firstLine="480" w:firstLineChars="200"/>
    </w:pPr>
    <w:rPr>
      <w:kern w:val="2"/>
    </w:rPr>
  </w:style>
  <w:style w:type="paragraph" w:customStyle="1" w:styleId="606">
    <w:name w:val="公式"/>
    <w:basedOn w:val="1"/>
    <w:qFormat/>
    <w:uiPriority w:val="99"/>
    <w:pPr>
      <w:adjustRightInd w:val="0"/>
      <w:spacing w:before="50" w:after="50" w:line="440" w:lineRule="exact"/>
      <w:ind w:firstLine="200"/>
      <w:textAlignment w:val="baseline"/>
    </w:pPr>
    <w:rPr>
      <w:sz w:val="28"/>
      <w:szCs w:val="20"/>
    </w:rPr>
  </w:style>
  <w:style w:type="paragraph" w:customStyle="1" w:styleId="607">
    <w:name w:val="正文表格"/>
    <w:basedOn w:val="1"/>
    <w:qFormat/>
    <w:uiPriority w:val="0"/>
    <w:pPr>
      <w:keepNext/>
      <w:keepLines/>
      <w:overflowPunct w:val="0"/>
      <w:adjustRightInd w:val="0"/>
      <w:spacing w:before="80"/>
      <w:jc w:val="center"/>
      <w:textAlignment w:val="bottom"/>
    </w:pPr>
    <w:rPr>
      <w:kern w:val="0"/>
      <w:sz w:val="28"/>
      <w:szCs w:val="20"/>
    </w:rPr>
  </w:style>
  <w:style w:type="paragraph" w:customStyle="1" w:styleId="608">
    <w:name w:val="样式 标题 3标题 3 Char + 段前: 0 磅 段后: 0 磅 行距: 最小值 24 磅"/>
    <w:basedOn w:val="4"/>
    <w:qFormat/>
    <w:uiPriority w:val="0"/>
    <w:pPr>
      <w:widowControl w:val="0"/>
      <w:tabs>
        <w:tab w:val="left" w:pos="720"/>
        <w:tab w:val="left" w:pos="900"/>
        <w:tab w:val="left" w:pos="1260"/>
        <w:tab w:val="left" w:pos="1800"/>
      </w:tabs>
      <w:adjustRightInd w:val="0"/>
      <w:spacing w:before="156" w:beforeLines="50" w:after="156" w:afterLines="50"/>
      <w:ind w:left="-567" w:firstLine="567"/>
      <w:textAlignment w:val="baseline"/>
    </w:pPr>
    <w:rPr>
      <w:rFonts w:ascii="ˎ̥" w:hAnsi="ˎ̥"/>
      <w:sz w:val="30"/>
    </w:rPr>
  </w:style>
  <w:style w:type="paragraph" w:customStyle="1" w:styleId="609">
    <w:name w:val="WW-纯文本"/>
    <w:basedOn w:val="1"/>
    <w:qFormat/>
    <w:uiPriority w:val="0"/>
    <w:pPr>
      <w:suppressAutoHyphens/>
      <w:spacing w:line="360" w:lineRule="auto"/>
    </w:pPr>
    <w:rPr>
      <w:rFonts w:ascii="ˎ̥" w:hAnsi="ˎ̥"/>
      <w:kern w:val="1"/>
      <w:sz w:val="24"/>
      <w:szCs w:val="20"/>
      <w:lang w:eastAsia="ar-SA"/>
    </w:rPr>
  </w:style>
  <w:style w:type="paragraph" w:customStyle="1" w:styleId="610">
    <w:name w:val="1表格"/>
    <w:basedOn w:val="502"/>
    <w:qFormat/>
    <w:uiPriority w:val="99"/>
    <w:pPr>
      <w:spacing w:line="360" w:lineRule="exact"/>
      <w:ind w:firstLine="0" w:firstLineChars="0"/>
      <w:jc w:val="center"/>
      <w:textAlignment w:val="center"/>
    </w:pPr>
    <w:rPr>
      <w:snapToGrid/>
      <w:kern w:val="2"/>
      <w:sz w:val="21"/>
    </w:rPr>
  </w:style>
  <w:style w:type="paragraph" w:customStyle="1" w:styleId="611">
    <w:name w:val="样式 首行缩进:  2 字符14"/>
    <w:basedOn w:val="1"/>
    <w:qFormat/>
    <w:uiPriority w:val="0"/>
    <w:pPr>
      <w:spacing w:line="520" w:lineRule="exact"/>
      <w:ind w:firstLine="560" w:firstLineChars="200"/>
    </w:pPr>
    <w:rPr>
      <w:sz w:val="24"/>
      <w:szCs w:val="20"/>
    </w:rPr>
  </w:style>
  <w:style w:type="paragraph" w:customStyle="1" w:styleId="612">
    <w:name w:val="表格标题（左对齐）"/>
    <w:qFormat/>
    <w:uiPriority w:val="99"/>
    <w:pPr>
      <w:widowControl w:val="0"/>
      <w:snapToGrid w:val="0"/>
      <w:spacing w:before="120" w:after="120" w:line="400" w:lineRule="atLeast"/>
      <w:ind w:left="425"/>
      <w:jc w:val="center"/>
    </w:pPr>
    <w:rPr>
      <w:rFonts w:ascii="Times New Roman" w:hAnsi="Times New Roman" w:eastAsia="黑体" w:cs="Times New Roman"/>
      <w:b/>
      <w:kern w:val="2"/>
      <w:sz w:val="28"/>
      <w:lang w:val="en-US" w:eastAsia="zh-CN" w:bidi="ar-SA"/>
    </w:rPr>
  </w:style>
  <w:style w:type="paragraph" w:customStyle="1" w:styleId="613">
    <w:name w:val="封皮字体3"/>
    <w:basedOn w:val="614"/>
    <w:qFormat/>
    <w:uiPriority w:val="0"/>
    <w:pPr>
      <w:spacing w:line="720" w:lineRule="auto"/>
    </w:pPr>
    <w:rPr>
      <w:sz w:val="30"/>
    </w:rPr>
  </w:style>
  <w:style w:type="paragraph" w:customStyle="1" w:styleId="614">
    <w:name w:val="封皮字体1"/>
    <w:basedOn w:val="1"/>
    <w:qFormat/>
    <w:uiPriority w:val="0"/>
    <w:pPr>
      <w:spacing w:line="360" w:lineRule="auto"/>
      <w:jc w:val="center"/>
    </w:pPr>
    <w:rPr>
      <w:rFonts w:ascii="ˎ̥" w:eastAsia="ˎ̥"/>
      <w:sz w:val="44"/>
      <w:szCs w:val="20"/>
    </w:rPr>
  </w:style>
  <w:style w:type="paragraph" w:customStyle="1" w:styleId="615">
    <w:name w:val="1 Char Char Char"/>
    <w:next w:val="77"/>
    <w:qFormat/>
    <w:uiPriority w:val="99"/>
    <w:pPr>
      <w:snapToGrid w:val="0"/>
      <w:spacing w:line="360" w:lineRule="auto"/>
      <w:ind w:firstLine="200" w:firstLineChars="200"/>
    </w:pPr>
    <w:rPr>
      <w:rFonts w:ascii="Times New Roman" w:hAnsi="Times New Roman" w:eastAsia="仿宋_GB2312" w:cs="Times New Roman"/>
      <w:kern w:val="2"/>
      <w:sz w:val="24"/>
      <w:szCs w:val="24"/>
      <w:lang w:val="en-US" w:eastAsia="zh-CN" w:bidi="ar-SA"/>
    </w:rPr>
  </w:style>
  <w:style w:type="paragraph" w:customStyle="1" w:styleId="616">
    <w:name w:val="Char Char Char Char"/>
    <w:basedOn w:val="1"/>
    <w:qFormat/>
    <w:uiPriority w:val="0"/>
    <w:rPr>
      <w:szCs w:val="20"/>
    </w:rPr>
  </w:style>
  <w:style w:type="paragraph" w:customStyle="1" w:styleId="617">
    <w:name w:val="表注-西江"/>
    <w:basedOn w:val="601"/>
    <w:qFormat/>
    <w:uiPriority w:val="0"/>
    <w:pPr>
      <w:spacing w:before="120"/>
      <w:jc w:val="both"/>
    </w:pPr>
    <w:rPr>
      <w:rFonts w:ascii="ˎ̥" w:hAnsi="ˎ̥"/>
      <w:sz w:val="21"/>
    </w:rPr>
  </w:style>
  <w:style w:type="paragraph" w:customStyle="1" w:styleId="618">
    <w:name w:val="样式 样式 样式 样式 样式 样式 样式 正文缩进 + 首行缩进:  2 字符1 + 首行缩进:  2 字符1 + 四号 + 首..."/>
    <w:basedOn w:val="1"/>
    <w:qFormat/>
    <w:uiPriority w:val="0"/>
    <w:pPr>
      <w:spacing w:line="520" w:lineRule="exact"/>
      <w:ind w:firstLine="592" w:firstLineChars="200"/>
    </w:pPr>
    <w:rPr>
      <w:rFonts w:ascii="ˎ̥" w:eastAsia="ˎ̥"/>
      <w:kern w:val="0"/>
      <w:sz w:val="28"/>
      <w:szCs w:val="20"/>
    </w:rPr>
  </w:style>
  <w:style w:type="paragraph" w:customStyle="1" w:styleId="619">
    <w:name w:val="样式 黑体 首行缩进:  2 字符 行距: 最小值 24 磅"/>
    <w:basedOn w:val="1"/>
    <w:qFormat/>
    <w:uiPriority w:val="0"/>
    <w:pPr>
      <w:spacing w:line="480" w:lineRule="atLeast"/>
      <w:ind w:firstLine="480" w:firstLineChars="200"/>
    </w:pPr>
    <w:rPr>
      <w:rFonts w:ascii="ˎ̥" w:eastAsia="ˎ̥"/>
      <w:sz w:val="24"/>
      <w:szCs w:val="20"/>
    </w:rPr>
  </w:style>
  <w:style w:type="paragraph" w:customStyle="1" w:styleId="620">
    <w:name w:val="Char2 Char Char Char Char Char Char"/>
    <w:basedOn w:val="1"/>
    <w:qFormat/>
    <w:uiPriority w:val="0"/>
    <w:rPr>
      <w:szCs w:val="20"/>
    </w:rPr>
  </w:style>
  <w:style w:type="paragraph" w:customStyle="1" w:styleId="621">
    <w:name w:val="表头样式1"/>
    <w:basedOn w:val="1"/>
    <w:qFormat/>
    <w:uiPriority w:val="0"/>
    <w:pPr>
      <w:autoSpaceDE w:val="0"/>
      <w:autoSpaceDN w:val="0"/>
      <w:adjustRightInd w:val="0"/>
      <w:spacing w:before="93" w:beforeLines="30"/>
      <w:jc w:val="center"/>
    </w:pPr>
    <w:rPr>
      <w:rFonts w:ascii="ˎ̥" w:hAnsi="ˎ̥" w:eastAsia="ˎ̥"/>
      <w:color w:val="000000"/>
      <w:kern w:val="0"/>
      <w:sz w:val="24"/>
      <w:szCs w:val="20"/>
    </w:rPr>
  </w:style>
  <w:style w:type="paragraph" w:customStyle="1" w:styleId="622">
    <w:name w:val="表头居左"/>
    <w:basedOn w:val="574"/>
    <w:qFormat/>
    <w:uiPriority w:val="0"/>
    <w:pPr>
      <w:spacing w:before="326" w:beforeLines="0" w:line="260" w:lineRule="exact"/>
      <w:ind w:firstLine="254"/>
      <w:jc w:val="both"/>
    </w:pPr>
  </w:style>
  <w:style w:type="paragraph" w:customStyle="1" w:styleId="623">
    <w:name w:val="低节标题"/>
    <w:next w:val="18"/>
    <w:qFormat/>
    <w:uiPriority w:val="99"/>
    <w:pPr>
      <w:widowControl w:val="0"/>
      <w:spacing w:before="100" w:beforeAutospacing="1" w:afterLines="50" w:line="360" w:lineRule="auto"/>
      <w:ind w:firstLine="482" w:firstLineChars="200"/>
      <w:outlineLvl w:val="2"/>
    </w:pPr>
    <w:rPr>
      <w:rFonts w:ascii="黑体" w:hAnsi="Times New Roman" w:eastAsia="黑体" w:cs="Times New Roman"/>
      <w:bCs/>
      <w:kern w:val="2"/>
      <w:sz w:val="24"/>
      <w:szCs w:val="32"/>
      <w:lang w:val="en-US" w:eastAsia="zh-CN" w:bidi="ar-SA"/>
    </w:rPr>
  </w:style>
  <w:style w:type="paragraph" w:customStyle="1" w:styleId="624">
    <w:name w:val="正文首行缩进 2 + Times New Roman"/>
    <w:basedOn w:val="1"/>
    <w:qFormat/>
    <w:uiPriority w:val="0"/>
    <w:pPr>
      <w:tabs>
        <w:tab w:val="left" w:pos="0"/>
        <w:tab w:val="left" w:pos="870"/>
        <w:tab w:val="left" w:pos="3150"/>
      </w:tabs>
      <w:autoSpaceDE w:val="0"/>
      <w:autoSpaceDN w:val="0"/>
      <w:spacing w:line="360" w:lineRule="auto"/>
      <w:ind w:firstLine="200" w:firstLineChars="200"/>
    </w:pPr>
    <w:rPr>
      <w:kern w:val="0"/>
      <w:sz w:val="24"/>
      <w:szCs w:val="20"/>
    </w:rPr>
  </w:style>
  <w:style w:type="paragraph" w:customStyle="1" w:styleId="625">
    <w:name w:val="xl31"/>
    <w:basedOn w:val="1"/>
    <w:qFormat/>
    <w:uiPriority w:val="99"/>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textAlignment w:val="center"/>
    </w:pPr>
    <w:rPr>
      <w:rFonts w:ascii="ˎ̥" w:hAnsi="ˎ̥" w:eastAsia="ˎ̥"/>
      <w:kern w:val="0"/>
      <w:sz w:val="20"/>
      <w:szCs w:val="20"/>
    </w:rPr>
  </w:style>
  <w:style w:type="paragraph" w:customStyle="1" w:styleId="626">
    <w:name w:val="标题3"/>
    <w:basedOn w:val="4"/>
    <w:qFormat/>
    <w:uiPriority w:val="0"/>
    <w:pPr>
      <w:widowControl w:val="0"/>
      <w:adjustRightInd w:val="0"/>
      <w:snapToGrid w:val="0"/>
      <w:spacing w:before="0" w:after="0" w:line="440" w:lineRule="exact"/>
      <w:textAlignment w:val="baseline"/>
    </w:pPr>
    <w:rPr>
      <w:color w:val="000000"/>
      <w:sz w:val="28"/>
    </w:rPr>
  </w:style>
  <w:style w:type="paragraph" w:customStyle="1" w:styleId="627">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ˎ̥" w:hAnsi="ˎ̥"/>
      <w:kern w:val="0"/>
      <w:sz w:val="18"/>
      <w:szCs w:val="20"/>
    </w:rPr>
  </w:style>
  <w:style w:type="paragraph" w:customStyle="1" w:styleId="628">
    <w:name w:val="俺的正文"/>
    <w:qFormat/>
    <w:uiPriority w:val="99"/>
    <w:pPr>
      <w:widowControl w:val="0"/>
      <w:spacing w:line="46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629">
    <w:name w:val="样式 首行缩进:  2 字符5"/>
    <w:basedOn w:val="1"/>
    <w:qFormat/>
    <w:uiPriority w:val="0"/>
    <w:pPr>
      <w:spacing w:line="520" w:lineRule="exact"/>
      <w:ind w:firstLine="560" w:firstLineChars="200"/>
    </w:pPr>
    <w:rPr>
      <w:sz w:val="24"/>
      <w:szCs w:val="20"/>
    </w:rPr>
  </w:style>
  <w:style w:type="paragraph" w:customStyle="1" w:styleId="630">
    <w:name w:val="Char Char Char Char Char Char Char Char Char Char Char Char Char Char Char Char Char Char1 Char Char Char Char"/>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631">
    <w:name w:val="样式 热电厂正文 + 首行缩进:  2 字符"/>
    <w:basedOn w:val="1"/>
    <w:qFormat/>
    <w:uiPriority w:val="0"/>
    <w:pPr>
      <w:spacing w:line="480" w:lineRule="exact"/>
      <w:ind w:firstLine="480" w:firstLineChars="200"/>
    </w:pPr>
    <w:rPr>
      <w:sz w:val="24"/>
      <w:szCs w:val="20"/>
    </w:rPr>
  </w:style>
  <w:style w:type="paragraph" w:customStyle="1" w:styleId="632">
    <w:name w:val="中文报告书样式"/>
    <w:basedOn w:val="1"/>
    <w:qFormat/>
    <w:uiPriority w:val="99"/>
    <w:pPr>
      <w:adjustRightInd w:val="0"/>
      <w:spacing w:line="520" w:lineRule="exact"/>
      <w:ind w:firstLine="578"/>
      <w:textAlignment w:val="baseline"/>
    </w:pPr>
    <w:rPr>
      <w:kern w:val="24"/>
      <w:sz w:val="28"/>
      <w:szCs w:val="20"/>
    </w:rPr>
  </w:style>
  <w:style w:type="paragraph" w:customStyle="1" w:styleId="633">
    <w:name w:val="我的表格格子"/>
    <w:basedOn w:val="1"/>
    <w:qFormat/>
    <w:uiPriority w:val="99"/>
    <w:pPr>
      <w:spacing w:line="360" w:lineRule="exact"/>
      <w:jc w:val="center"/>
    </w:pPr>
    <w:rPr>
      <w:rFonts w:hAnsi="ˎ̥"/>
      <w:color w:val="000000"/>
      <w:szCs w:val="20"/>
    </w:rPr>
  </w:style>
  <w:style w:type="paragraph" w:customStyle="1" w:styleId="634">
    <w:name w:val="样式 小四 首行缩进:  2 字符"/>
    <w:basedOn w:val="1"/>
    <w:next w:val="1"/>
    <w:qFormat/>
    <w:uiPriority w:val="0"/>
    <w:pPr>
      <w:adjustRightInd w:val="0"/>
      <w:spacing w:line="480" w:lineRule="atLeast"/>
      <w:ind w:firstLine="180" w:firstLineChars="180"/>
      <w:textAlignment w:val="baseline"/>
    </w:pPr>
    <w:rPr>
      <w:kern w:val="0"/>
      <w:sz w:val="24"/>
      <w:szCs w:val="20"/>
    </w:rPr>
  </w:style>
  <w:style w:type="paragraph" w:customStyle="1" w:styleId="635">
    <w:name w:val="正文首行缩进1"/>
    <w:basedOn w:val="30"/>
    <w:qFormat/>
    <w:uiPriority w:val="0"/>
    <w:pPr>
      <w:widowControl w:val="0"/>
      <w:adjustRightInd w:val="0"/>
      <w:snapToGrid/>
      <w:spacing w:before="0" w:after="0" w:line="312" w:lineRule="auto"/>
      <w:ind w:right="0" w:firstLine="567"/>
      <w:textAlignment w:val="baseline"/>
    </w:pPr>
    <w:rPr>
      <w:sz w:val="28"/>
    </w:rPr>
  </w:style>
  <w:style w:type="paragraph" w:customStyle="1" w:styleId="636">
    <w:name w:val="Char Char37"/>
    <w:next w:val="1"/>
    <w:qFormat/>
    <w:uiPriority w:val="99"/>
    <w:pPr>
      <w:widowControl w:val="0"/>
      <w:spacing w:line="529" w:lineRule="exact"/>
      <w:ind w:firstLine="200" w:firstLineChars="200"/>
      <w:jc w:val="both"/>
    </w:pPr>
    <w:rPr>
      <w:rFonts w:ascii="宋体" w:hAnsi="宋体" w:eastAsia="宋体" w:cs="宋体"/>
      <w:kern w:val="2"/>
      <w:sz w:val="24"/>
      <w:szCs w:val="24"/>
      <w:lang w:val="en-US" w:eastAsia="zh-CN" w:bidi="ar-SA"/>
    </w:rPr>
  </w:style>
  <w:style w:type="paragraph" w:customStyle="1" w:styleId="637">
    <w:name w:val="xl40"/>
    <w:basedOn w:val="1"/>
    <w:qFormat/>
    <w:uiPriority w:val="99"/>
    <w:pPr>
      <w:widowControl/>
      <w:pBdr>
        <w:left w:val="single" w:color="auto" w:sz="4" w:space="0"/>
        <w:right w:val="single" w:color="auto" w:sz="4" w:space="0"/>
      </w:pBdr>
      <w:spacing w:before="100" w:beforeAutospacing="1" w:after="100" w:afterAutospacing="1"/>
      <w:jc w:val="left"/>
      <w:textAlignment w:val="center"/>
    </w:pPr>
    <w:rPr>
      <w:kern w:val="0"/>
      <w:sz w:val="18"/>
      <w:szCs w:val="20"/>
    </w:rPr>
  </w:style>
  <w:style w:type="paragraph" w:customStyle="1" w:styleId="638">
    <w:name w:val="1说明"/>
    <w:basedOn w:val="502"/>
    <w:qFormat/>
    <w:uiPriority w:val="0"/>
    <w:rPr>
      <w:snapToGrid/>
      <w:kern w:val="2"/>
      <w:sz w:val="21"/>
    </w:rPr>
  </w:style>
  <w:style w:type="paragraph" w:customStyle="1" w:styleId="639">
    <w:name w:val="修订1"/>
    <w:qFormat/>
    <w:uiPriority w:val="0"/>
    <w:rPr>
      <w:rFonts w:ascii="Times New Roman" w:hAnsi="Times New Roman" w:eastAsia="宋体" w:cs="Times New Roman"/>
      <w:kern w:val="2"/>
      <w:sz w:val="24"/>
      <w:lang w:val="en-US" w:eastAsia="zh-CN" w:bidi="ar-SA"/>
    </w:rPr>
  </w:style>
  <w:style w:type="paragraph" w:customStyle="1" w:styleId="640">
    <w:name w:val="安庆江堤报告正文"/>
    <w:qFormat/>
    <w:uiPriority w:val="99"/>
    <w:pPr>
      <w:widowControl w:val="0"/>
      <w:tabs>
        <w:tab w:val="left" w:pos="902"/>
      </w:tabs>
      <w:snapToGrid w:val="0"/>
      <w:spacing w:beforeLines="50"/>
      <w:ind w:firstLine="539"/>
      <w:jc w:val="both"/>
    </w:pPr>
    <w:rPr>
      <w:rFonts w:ascii="宋体" w:hAnsi="宋体" w:eastAsia="宋体" w:cs="Times New Roman"/>
      <w:kern w:val="2"/>
      <w:sz w:val="24"/>
      <w:lang w:val="en-US" w:eastAsia="zh-CN" w:bidi="ar-SA"/>
    </w:rPr>
  </w:style>
  <w:style w:type="paragraph" w:customStyle="1" w:styleId="641">
    <w:name w:val="正文内容"/>
    <w:basedOn w:val="1"/>
    <w:qFormat/>
    <w:uiPriority w:val="0"/>
    <w:pPr>
      <w:spacing w:line="360" w:lineRule="auto"/>
      <w:ind w:firstLine="200" w:firstLineChars="200"/>
    </w:pPr>
    <w:rPr>
      <w:rFonts w:ascii="ˎ̥"/>
      <w:sz w:val="24"/>
      <w:szCs w:val="20"/>
    </w:rPr>
  </w:style>
  <w:style w:type="paragraph" w:customStyle="1" w:styleId="642">
    <w:name w:val="样式 (中文) 黑体"/>
    <w:basedOn w:val="1"/>
    <w:qFormat/>
    <w:uiPriority w:val="0"/>
    <w:pPr>
      <w:spacing w:line="480" w:lineRule="exact"/>
      <w:ind w:firstLine="567"/>
    </w:pPr>
    <w:rPr>
      <w:rFonts w:eastAsia="ˎ̥"/>
      <w:kern w:val="0"/>
      <w:sz w:val="24"/>
      <w:szCs w:val="20"/>
    </w:rPr>
  </w:style>
  <w:style w:type="paragraph" w:customStyle="1" w:styleId="643">
    <w:name w:val="gb1"/>
    <w:basedOn w:val="1"/>
    <w:qFormat/>
    <w:uiPriority w:val="0"/>
    <w:pPr>
      <w:widowControl/>
      <w:tabs>
        <w:tab w:val="left" w:pos="227"/>
      </w:tabs>
      <w:overflowPunct w:val="0"/>
      <w:autoSpaceDE w:val="0"/>
      <w:autoSpaceDN w:val="0"/>
      <w:adjustRightInd w:val="0"/>
      <w:spacing w:before="120" w:after="120"/>
      <w:textAlignment w:val="baseline"/>
    </w:pPr>
    <w:rPr>
      <w:rFonts w:ascii="ˎ̥" w:hAnsi="ˎ̥" w:eastAsia="ˎ̥"/>
      <w:kern w:val="0"/>
      <w:szCs w:val="20"/>
    </w:rPr>
  </w:style>
  <w:style w:type="paragraph" w:customStyle="1" w:styleId="644">
    <w:name w:val="样式 宋体 小四 行距: 固定值 25 磅"/>
    <w:qFormat/>
    <w:uiPriority w:val="99"/>
    <w:pPr>
      <w:widowControl w:val="0"/>
      <w:spacing w:line="360" w:lineRule="auto"/>
      <w:ind w:firstLine="540" w:firstLineChars="225"/>
      <w:jc w:val="both"/>
    </w:pPr>
    <w:rPr>
      <w:rFonts w:ascii="宋体" w:hAnsi="宋体" w:eastAsia="宋体" w:cs="宋体"/>
      <w:kern w:val="2"/>
      <w:sz w:val="24"/>
      <w:lang w:val="en-US" w:eastAsia="zh-CN" w:bidi="ar-SA"/>
    </w:rPr>
  </w:style>
  <w:style w:type="paragraph" w:customStyle="1" w:styleId="645">
    <w:name w:val="wtext"/>
    <w:basedOn w:val="1"/>
    <w:qFormat/>
    <w:uiPriority w:val="0"/>
    <w:pPr>
      <w:widowControl/>
      <w:spacing w:before="100" w:beforeAutospacing="1" w:after="100" w:afterAutospacing="1"/>
      <w:ind w:firstLine="480"/>
      <w:jc w:val="left"/>
    </w:pPr>
    <w:rPr>
      <w:color w:val="000000"/>
      <w:kern w:val="0"/>
      <w:sz w:val="22"/>
      <w:szCs w:val="20"/>
    </w:rPr>
  </w:style>
  <w:style w:type="paragraph" w:customStyle="1" w:styleId="646">
    <w:name w:val="样式 正文首行缩进 2 + 首行缩进:  2 字符"/>
    <w:basedOn w:val="77"/>
    <w:qFormat/>
    <w:uiPriority w:val="0"/>
    <w:pPr>
      <w:ind w:left="0" w:leftChars="0" w:firstLine="480"/>
    </w:pPr>
  </w:style>
  <w:style w:type="paragraph" w:customStyle="1" w:styleId="647">
    <w:name w:val="xl41"/>
    <w:basedOn w:val="1"/>
    <w:qFormat/>
    <w:uiPriority w:val="99"/>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eastAsia="ˎ̥"/>
      <w:color w:val="008000"/>
      <w:kern w:val="0"/>
      <w:sz w:val="20"/>
      <w:szCs w:val="20"/>
    </w:rPr>
  </w:style>
  <w:style w:type="paragraph" w:customStyle="1" w:styleId="648">
    <w:name w:val="1.1.1"/>
    <w:basedOn w:val="1"/>
    <w:qFormat/>
    <w:uiPriority w:val="0"/>
    <w:rPr>
      <w:rFonts w:ascii="ˎ̥"/>
      <w:sz w:val="24"/>
      <w:szCs w:val="20"/>
    </w:rPr>
  </w:style>
  <w:style w:type="paragraph" w:customStyle="1" w:styleId="649">
    <w:name w:val="zxz5"/>
    <w:next w:val="1"/>
    <w:qFormat/>
    <w:uiPriority w:val="0"/>
    <w:pPr>
      <w:tabs>
        <w:tab w:val="left" w:pos="0"/>
      </w:tabs>
      <w:jc w:val="center"/>
    </w:pPr>
    <w:rPr>
      <w:rFonts w:ascii="ˎ̥" w:hAnsi="ˎ̥" w:eastAsia="Times New Roman" w:cs="Times New Roman"/>
      <w:kern w:val="2"/>
      <w:sz w:val="18"/>
      <w:lang w:val="en-US" w:eastAsia="zh-CN" w:bidi="ar-SA"/>
    </w:rPr>
  </w:style>
  <w:style w:type="paragraph" w:customStyle="1" w:styleId="650">
    <w:name w:val="111"/>
    <w:qFormat/>
    <w:uiPriority w:val="99"/>
    <w:pPr>
      <w:widowControl w:val="0"/>
      <w:spacing w:line="375" w:lineRule="atLeast"/>
      <w:ind w:firstLine="128" w:firstLineChars="50"/>
    </w:pPr>
    <w:rPr>
      <w:rFonts w:ascii="Times New Roman" w:hAnsi="Times New Roman" w:eastAsia="宋体" w:cs="Times New Roman"/>
      <w:kern w:val="2"/>
      <w:sz w:val="24"/>
      <w:lang w:val="en-US" w:eastAsia="zh-CN" w:bidi="ar-SA"/>
    </w:rPr>
  </w:style>
  <w:style w:type="paragraph" w:customStyle="1" w:styleId="651">
    <w:name w:val="前言、引言标题"/>
    <w:next w:val="1"/>
    <w:qFormat/>
    <w:uiPriority w:val="0"/>
    <w:pPr>
      <w:shd w:val="clear" w:color="FFFFFF" w:fill="FFFFFF"/>
      <w:tabs>
        <w:tab w:val="left" w:pos="425"/>
        <w:tab w:val="left" w:pos="903"/>
        <w:tab w:val="left" w:pos="1200"/>
        <w:tab w:val="left" w:pos="1260"/>
      </w:tabs>
      <w:spacing w:before="640" w:after="560"/>
      <w:ind w:left="903" w:hanging="315"/>
      <w:jc w:val="center"/>
      <w:outlineLvl w:val="0"/>
    </w:pPr>
    <w:rPr>
      <w:rFonts w:ascii="ˎ̥" w:hAnsi="Times New Roman" w:eastAsia="ˎ̥" w:cs="Times New Roman"/>
      <w:sz w:val="32"/>
      <w:lang w:val="en-US" w:eastAsia="zh-CN" w:bidi="ar-SA"/>
    </w:rPr>
  </w:style>
  <w:style w:type="paragraph" w:customStyle="1" w:styleId="652">
    <w:name w:val="样式 标题 2 + 首行缩进:  2 字符"/>
    <w:basedOn w:val="3"/>
    <w:qFormat/>
    <w:uiPriority w:val="0"/>
    <w:pPr>
      <w:keepLines/>
      <w:spacing w:before="120" w:after="120" w:line="440" w:lineRule="atLeast"/>
    </w:pPr>
    <w:rPr>
      <w:rFonts w:ascii="ˎ̥" w:hAnsi="ˎ̥"/>
      <w:b/>
    </w:rPr>
  </w:style>
  <w:style w:type="paragraph" w:customStyle="1" w:styleId="653">
    <w:name w:val="样式 样式 标题 3 + 首行缩进:  2 字符 段前: 6 磅 段后: 6 磅 行距: 最小值 24 磅 + 首行缩进:  1..."/>
    <w:basedOn w:val="546"/>
    <w:qFormat/>
    <w:uiPriority w:val="0"/>
    <w:pPr>
      <w:ind w:firstLine="280"/>
    </w:pPr>
    <w:rPr>
      <w:b w:val="0"/>
    </w:rPr>
  </w:style>
  <w:style w:type="paragraph" w:customStyle="1" w:styleId="654">
    <w:name w:val="Char Char Char1 Char"/>
    <w:basedOn w:val="1"/>
    <w:next w:val="1"/>
    <w:qFormat/>
    <w:uiPriority w:val="0"/>
    <w:pPr>
      <w:spacing w:line="360" w:lineRule="auto"/>
      <w:ind w:firstLine="200" w:firstLineChars="200"/>
    </w:pPr>
    <w:rPr>
      <w:rFonts w:ascii="ˎ̥" w:hAnsi="ˎ̥" w:eastAsia="ˎ̥" w:cs="ˎ̥"/>
      <w:sz w:val="24"/>
    </w:rPr>
  </w:style>
  <w:style w:type="paragraph" w:customStyle="1" w:styleId="655">
    <w:name w:val="样式 正文文本缩进 2正文文字缩进 2 + 四号 蓝色"/>
    <w:basedOn w:val="45"/>
    <w:qFormat/>
    <w:uiPriority w:val="0"/>
    <w:pPr>
      <w:adjustRightInd w:val="0"/>
      <w:spacing w:line="480" w:lineRule="exact"/>
      <w:ind w:firstLine="709" w:firstLineChars="0"/>
      <w:textAlignment w:val="baseline"/>
    </w:pPr>
    <w:rPr>
      <w:rFonts w:hAnsi="Times New Roman"/>
      <w:color w:val="0000FF"/>
    </w:rPr>
  </w:style>
  <w:style w:type="paragraph" w:customStyle="1" w:styleId="656">
    <w:name w:val="编号1"/>
    <w:basedOn w:val="1"/>
    <w:qFormat/>
    <w:uiPriority w:val="0"/>
    <w:pPr>
      <w:tabs>
        <w:tab w:val="left" w:pos="1200"/>
        <w:tab w:val="left" w:pos="1260"/>
      </w:tabs>
    </w:pPr>
    <w:rPr>
      <w:szCs w:val="20"/>
    </w:rPr>
  </w:style>
  <w:style w:type="paragraph" w:customStyle="1" w:styleId="657">
    <w:name w:val="样式 居中"/>
    <w:basedOn w:val="1"/>
    <w:qFormat/>
    <w:uiPriority w:val="0"/>
    <w:pPr>
      <w:adjustRightInd w:val="0"/>
      <w:snapToGrid w:val="0"/>
      <w:spacing w:line="440" w:lineRule="atLeast"/>
      <w:ind w:firstLine="200" w:firstLineChars="200"/>
      <w:jc w:val="center"/>
    </w:pPr>
    <w:rPr>
      <w:sz w:val="24"/>
      <w:szCs w:val="20"/>
    </w:rPr>
  </w:style>
  <w:style w:type="paragraph" w:customStyle="1" w:styleId="658">
    <w:name w:val="xl32"/>
    <w:basedOn w:val="1"/>
    <w:qFormat/>
    <w:uiPriority w:val="99"/>
    <w:pPr>
      <w:widowControl/>
      <w:spacing w:before="100" w:beforeAutospacing="1" w:after="100" w:afterAutospacing="1"/>
      <w:jc w:val="center"/>
      <w:textAlignment w:val="top"/>
    </w:pPr>
    <w:rPr>
      <w:rFonts w:ascii="ˎ̥" w:hAnsi="ˎ̥" w:eastAsia="ˎ̥"/>
      <w:b/>
      <w:kern w:val="0"/>
      <w:sz w:val="32"/>
      <w:szCs w:val="20"/>
    </w:rPr>
  </w:style>
  <w:style w:type="paragraph" w:customStyle="1" w:styleId="659">
    <w:name w:val="标题5"/>
    <w:basedOn w:val="1"/>
    <w:qFormat/>
    <w:uiPriority w:val="99"/>
    <w:pPr>
      <w:spacing w:line="480" w:lineRule="exact"/>
      <w:ind w:firstLine="480" w:firstLineChars="200"/>
    </w:pPr>
    <w:rPr>
      <w:rFonts w:ascii="ˎ̥" w:hAnsi="ˎ̥"/>
      <w:sz w:val="24"/>
      <w:szCs w:val="20"/>
    </w:rPr>
  </w:style>
  <w:style w:type="paragraph" w:customStyle="1" w:styleId="660">
    <w:name w:val="表名"/>
    <w:basedOn w:val="1"/>
    <w:qFormat/>
    <w:uiPriority w:val="99"/>
    <w:pPr>
      <w:spacing w:line="360" w:lineRule="exact"/>
      <w:jc w:val="center"/>
    </w:pPr>
    <w:rPr>
      <w:rFonts w:ascii="ˎ̥" w:hAnsi="ˎ̥"/>
      <w:b/>
      <w:sz w:val="24"/>
      <w:szCs w:val="20"/>
    </w:rPr>
  </w:style>
  <w:style w:type="paragraph" w:customStyle="1" w:styleId="661">
    <w:name w:val="新正文"/>
    <w:basedOn w:val="1"/>
    <w:qFormat/>
    <w:uiPriority w:val="0"/>
    <w:pPr>
      <w:spacing w:line="480" w:lineRule="exact"/>
      <w:ind w:firstLine="482"/>
    </w:pPr>
    <w:rPr>
      <w:rFonts w:hint="eastAsia" w:ascii="ˎ̥" w:eastAsia="ˎ̥"/>
      <w:kern w:val="0"/>
      <w:sz w:val="28"/>
      <w:szCs w:val="20"/>
    </w:rPr>
  </w:style>
  <w:style w:type="paragraph" w:customStyle="1" w:styleId="662">
    <w:name w:val="样式 首行缩进:  2 字符17"/>
    <w:basedOn w:val="1"/>
    <w:qFormat/>
    <w:uiPriority w:val="0"/>
    <w:pPr>
      <w:spacing w:line="520" w:lineRule="exact"/>
      <w:ind w:firstLine="560" w:firstLineChars="200"/>
    </w:pPr>
    <w:rPr>
      <w:sz w:val="24"/>
      <w:szCs w:val="20"/>
    </w:rPr>
  </w:style>
  <w:style w:type="paragraph" w:customStyle="1" w:styleId="663">
    <w:name w:val="样式 热电厂正文 + 四号 首行缩进:  2 字符"/>
    <w:basedOn w:val="219"/>
    <w:qFormat/>
    <w:uiPriority w:val="0"/>
    <w:pPr>
      <w:spacing w:line="480" w:lineRule="exact"/>
      <w:ind w:firstLine="200"/>
    </w:pPr>
  </w:style>
  <w:style w:type="paragraph" w:customStyle="1" w:styleId="664">
    <w:name w:val="表头4"/>
    <w:basedOn w:val="496"/>
    <w:qFormat/>
    <w:uiPriority w:val="0"/>
    <w:pPr>
      <w:tabs>
        <w:tab w:val="left" w:pos="360"/>
        <w:tab w:val="clear" w:pos="625"/>
      </w:tabs>
      <w:ind w:left="0" w:firstLine="0"/>
    </w:pPr>
  </w:style>
  <w:style w:type="paragraph" w:customStyle="1" w:styleId="665">
    <w:name w:val="样式 样式 标题 3标题 3 Char + 黑色 行距: 固定值 26 磅 + 段前: 1 行 段后: 1 行"/>
    <w:basedOn w:val="560"/>
    <w:qFormat/>
    <w:uiPriority w:val="0"/>
    <w:pPr>
      <w:spacing w:before="156" w:beforeLines="50" w:after="156" w:afterLines="50"/>
    </w:pPr>
  </w:style>
  <w:style w:type="paragraph" w:customStyle="1" w:styleId="666">
    <w:name w:val="表头8"/>
    <w:basedOn w:val="495"/>
    <w:qFormat/>
    <w:uiPriority w:val="0"/>
    <w:pPr>
      <w:tabs>
        <w:tab w:val="left" w:pos="903"/>
        <w:tab w:val="left" w:pos="1728"/>
        <w:tab w:val="clear" w:pos="843"/>
        <w:tab w:val="clear" w:pos="1774"/>
      </w:tabs>
      <w:ind w:left="845"/>
    </w:pPr>
  </w:style>
  <w:style w:type="paragraph" w:customStyle="1" w:styleId="667">
    <w:name w:val="正文-中宋 小4"/>
    <w:qFormat/>
    <w:uiPriority w:val="0"/>
    <w:pPr>
      <w:overflowPunct w:val="0"/>
      <w:autoSpaceDE w:val="0"/>
      <w:autoSpaceDN w:val="0"/>
      <w:adjustRightInd w:val="0"/>
      <w:snapToGrid w:val="0"/>
      <w:spacing w:line="500" w:lineRule="exact"/>
      <w:ind w:firstLine="480" w:firstLineChars="200"/>
      <w:textAlignment w:val="center"/>
    </w:pPr>
    <w:rPr>
      <w:rFonts w:ascii="Times New Roman" w:hAnsi="Times New Roman" w:eastAsia="ˎ̥" w:cs="Times New Roman"/>
      <w:sz w:val="24"/>
      <w:lang w:val="en-US" w:eastAsia="zh-CN" w:bidi="ar-SA"/>
    </w:rPr>
  </w:style>
  <w:style w:type="paragraph" w:customStyle="1" w:styleId="668">
    <w:name w:val="font7"/>
    <w:basedOn w:val="1"/>
    <w:qFormat/>
    <w:uiPriority w:val="99"/>
    <w:pPr>
      <w:widowControl/>
      <w:spacing w:before="100" w:beforeAutospacing="1" w:after="100" w:afterAutospacing="1"/>
      <w:jc w:val="left"/>
    </w:pPr>
    <w:rPr>
      <w:rFonts w:eastAsia="ˎ̥"/>
      <w:kern w:val="0"/>
      <w:sz w:val="20"/>
      <w:szCs w:val="20"/>
    </w:rPr>
  </w:style>
  <w:style w:type="paragraph" w:customStyle="1" w:styleId="669">
    <w:name w:val="样式 (西文) Times New Roman (中文) 宋体 五号 加粗 居中 行距: 单倍行距2"/>
    <w:qFormat/>
    <w:uiPriority w:val="99"/>
    <w:pPr>
      <w:widowControl w:val="0"/>
      <w:adjustRightInd w:val="0"/>
      <w:snapToGrid w:val="0"/>
      <w:jc w:val="center"/>
    </w:pPr>
    <w:rPr>
      <w:rFonts w:ascii="Times New Roman" w:hAnsi="Times New Roman" w:eastAsia="宋体" w:cs="Times New Roman"/>
      <w:b/>
      <w:kern w:val="2"/>
      <w:sz w:val="21"/>
      <w:lang w:val="en-US" w:eastAsia="zh-CN" w:bidi="ar-SA"/>
    </w:rPr>
  </w:style>
  <w:style w:type="paragraph" w:customStyle="1" w:styleId="670">
    <w:name w:val="三级标题"/>
    <w:basedOn w:val="1"/>
    <w:qFormat/>
    <w:uiPriority w:val="0"/>
    <w:pPr>
      <w:spacing w:line="360" w:lineRule="auto"/>
    </w:pPr>
    <w:rPr>
      <w:rFonts w:ascii="ˎ̥" w:hAnsi="ˎ̥"/>
      <w:sz w:val="24"/>
      <w:szCs w:val="20"/>
    </w:rPr>
  </w:style>
  <w:style w:type="paragraph" w:customStyle="1" w:styleId="671">
    <w:name w:val="表头文字"/>
    <w:basedOn w:val="1"/>
    <w:qFormat/>
    <w:uiPriority w:val="0"/>
    <w:pPr>
      <w:jc w:val="center"/>
    </w:pPr>
    <w:rPr>
      <w:rFonts w:eastAsia="ˎ̥"/>
      <w:sz w:val="24"/>
      <w:szCs w:val="20"/>
    </w:rPr>
  </w:style>
  <w:style w:type="paragraph" w:customStyle="1" w:styleId="672">
    <w:name w:val="reader-word-layer reader-word-s7-14"/>
    <w:basedOn w:val="1"/>
    <w:qFormat/>
    <w:uiPriority w:val="0"/>
    <w:pPr>
      <w:widowControl/>
      <w:spacing w:before="100" w:beforeAutospacing="1" w:after="100" w:afterAutospacing="1"/>
      <w:jc w:val="left"/>
    </w:pPr>
    <w:rPr>
      <w:rFonts w:ascii="ˎ̥" w:hAnsi="ˎ̥" w:cs="ˎ̥"/>
      <w:kern w:val="0"/>
      <w:sz w:val="24"/>
    </w:rPr>
  </w:style>
  <w:style w:type="paragraph" w:customStyle="1" w:styleId="673">
    <w:name w:val="正文宋体四号字"/>
    <w:basedOn w:val="1"/>
    <w:qFormat/>
    <w:uiPriority w:val="0"/>
    <w:pPr>
      <w:adjustRightInd w:val="0"/>
      <w:spacing w:line="560" w:lineRule="exact"/>
      <w:ind w:firstLine="567"/>
      <w:textAlignment w:val="baseline"/>
    </w:pPr>
    <w:rPr>
      <w:rFonts w:ascii="ˎ̥" w:hAnsi="ˎ̥"/>
      <w:spacing w:val="2"/>
      <w:kern w:val="0"/>
      <w:sz w:val="28"/>
      <w:szCs w:val="20"/>
    </w:rPr>
  </w:style>
  <w:style w:type="paragraph" w:customStyle="1" w:styleId="674">
    <w:name w:val="xl43"/>
    <w:qFormat/>
    <w:uiPriority w:val="99"/>
    <w:pPr>
      <w:pBdr>
        <w:bottom w:val="single" w:color="auto" w:sz="8" w:space="0"/>
      </w:pBdr>
      <w:spacing w:before="100" w:beforeAutospacing="1" w:after="100" w:afterAutospacing="1"/>
    </w:pPr>
    <w:rPr>
      <w:rFonts w:ascii="Arial Unicode MS" w:hAnsi="Arial Unicode MS" w:eastAsia="Arial Unicode MS" w:cs="Arial Unicode MS"/>
      <w:sz w:val="24"/>
      <w:szCs w:val="24"/>
      <w:lang w:val="en-US" w:eastAsia="zh-CN" w:bidi="ar-SA"/>
    </w:rPr>
  </w:style>
  <w:style w:type="paragraph" w:customStyle="1" w:styleId="675">
    <w:name w:val="0"/>
    <w:basedOn w:val="1"/>
    <w:qFormat/>
    <w:uiPriority w:val="0"/>
    <w:pPr>
      <w:widowControl/>
      <w:snapToGrid w:val="0"/>
    </w:pPr>
    <w:rPr>
      <w:kern w:val="0"/>
      <w:szCs w:val="20"/>
    </w:rPr>
  </w:style>
  <w:style w:type="paragraph" w:customStyle="1" w:styleId="676">
    <w:name w:val="WW-表格1"/>
    <w:basedOn w:val="1"/>
    <w:qFormat/>
    <w:uiPriority w:val="0"/>
    <w:pPr>
      <w:suppressAutoHyphens/>
      <w:snapToGrid w:val="0"/>
      <w:spacing w:before="20" w:after="20"/>
      <w:jc w:val="center"/>
    </w:pPr>
    <w:rPr>
      <w:kern w:val="1"/>
      <w:szCs w:val="20"/>
      <w:lang w:eastAsia="ar-SA"/>
    </w:rPr>
  </w:style>
  <w:style w:type="paragraph" w:customStyle="1" w:styleId="677">
    <w:name w:val="样式 样式 四号 非加粗 两端对齐 行距: 1.5 倍行距 + 首行缩进:  2 字符"/>
    <w:qFormat/>
    <w:uiPriority w:val="99"/>
    <w:pPr>
      <w:spacing w:line="360" w:lineRule="auto"/>
      <w:ind w:firstLine="482" w:firstLineChars="200"/>
      <w:jc w:val="both"/>
    </w:pPr>
    <w:rPr>
      <w:rFonts w:ascii="Times New Roman" w:hAnsi="Times New Roman" w:eastAsia="仿宋_GB2312" w:cs="宋体"/>
      <w:b/>
      <w:bCs/>
      <w:kern w:val="2"/>
      <w:sz w:val="28"/>
      <w:lang w:val="en-US" w:eastAsia="zh-CN" w:bidi="ar-SA"/>
    </w:rPr>
  </w:style>
  <w:style w:type="paragraph" w:customStyle="1" w:styleId="678">
    <w:name w:val="列表段落1"/>
    <w:qFormat/>
    <w:uiPriority w:val="99"/>
    <w:pPr>
      <w:spacing w:before="100" w:beforeAutospacing="1" w:after="100" w:afterAutospacing="1" w:line="60" w:lineRule="auto"/>
      <w:ind w:firstLine="420" w:firstLineChars="200"/>
    </w:pPr>
    <w:rPr>
      <w:rFonts w:ascii="Calibri" w:hAnsi="Calibri" w:eastAsia="宋体" w:cs="Times New Roman"/>
      <w:bCs/>
      <w:sz w:val="21"/>
      <w:szCs w:val="22"/>
      <w:lang w:val="en-US" w:eastAsia="zh-CN" w:bidi="ar-SA"/>
    </w:rPr>
  </w:style>
  <w:style w:type="paragraph" w:customStyle="1" w:styleId="679">
    <w:name w:val="reader-word-layer reader-word-s7-5"/>
    <w:basedOn w:val="1"/>
    <w:qFormat/>
    <w:uiPriority w:val="0"/>
    <w:pPr>
      <w:widowControl/>
      <w:spacing w:before="100" w:beforeAutospacing="1" w:after="100" w:afterAutospacing="1"/>
      <w:jc w:val="left"/>
    </w:pPr>
    <w:rPr>
      <w:rFonts w:ascii="ˎ̥" w:hAnsi="ˎ̥" w:cs="ˎ̥"/>
      <w:kern w:val="0"/>
      <w:sz w:val="24"/>
    </w:rPr>
  </w:style>
  <w:style w:type="paragraph" w:customStyle="1" w:styleId="680">
    <w:name w:val="表注"/>
    <w:basedOn w:val="1"/>
    <w:qFormat/>
    <w:uiPriority w:val="99"/>
    <w:pPr>
      <w:tabs>
        <w:tab w:val="left" w:pos="625"/>
      </w:tabs>
      <w:overflowPunct w:val="0"/>
      <w:topLinePunct/>
      <w:autoSpaceDE w:val="0"/>
      <w:adjustRightInd w:val="0"/>
      <w:snapToGrid w:val="0"/>
      <w:spacing w:before="120" w:after="156" w:afterLines="50" w:line="288" w:lineRule="auto"/>
      <w:ind w:left="625" w:hanging="425"/>
      <w:jc w:val="center"/>
      <w:textAlignment w:val="baseline"/>
    </w:pPr>
    <w:rPr>
      <w:b/>
      <w:spacing w:val="20"/>
      <w:kern w:val="0"/>
      <w:sz w:val="28"/>
      <w:szCs w:val="20"/>
    </w:rPr>
  </w:style>
  <w:style w:type="paragraph" w:customStyle="1" w:styleId="681">
    <w:name w:val="样式 小四 行距: 固定值 24 磅 首行缩进:  2 字符"/>
    <w:basedOn w:val="1"/>
    <w:qFormat/>
    <w:uiPriority w:val="0"/>
    <w:pPr>
      <w:spacing w:line="440" w:lineRule="exact"/>
      <w:ind w:firstLine="200" w:firstLineChars="200"/>
    </w:pPr>
    <w:rPr>
      <w:sz w:val="24"/>
      <w:szCs w:val="20"/>
    </w:rPr>
  </w:style>
  <w:style w:type="paragraph" w:customStyle="1" w:styleId="682">
    <w:name w:val="xl45"/>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黑体" w:hAnsi="宋体" w:eastAsia="黑体" w:cs="宋体"/>
      <w:sz w:val="16"/>
      <w:szCs w:val="16"/>
      <w:lang w:val="en-US" w:eastAsia="zh-CN" w:bidi="ar-SA"/>
    </w:rPr>
  </w:style>
  <w:style w:type="paragraph" w:customStyle="1" w:styleId="683">
    <w:name w:val="正文文本 21"/>
    <w:basedOn w:val="1"/>
    <w:qFormat/>
    <w:uiPriority w:val="0"/>
    <w:pPr>
      <w:adjustRightInd w:val="0"/>
      <w:spacing w:line="432" w:lineRule="auto"/>
      <w:ind w:firstLine="480"/>
    </w:pPr>
    <w:rPr>
      <w:sz w:val="24"/>
      <w:szCs w:val="20"/>
    </w:rPr>
  </w:style>
  <w:style w:type="paragraph" w:customStyle="1" w:styleId="684">
    <w:name w:val="样式 首行缩进:  1 厘米 行距: 固定值 25 磅"/>
    <w:qFormat/>
    <w:uiPriority w:val="99"/>
    <w:pPr>
      <w:widowControl w:val="0"/>
      <w:adjustRightInd w:val="0"/>
      <w:snapToGrid w:val="0"/>
      <w:spacing w:line="360" w:lineRule="auto"/>
      <w:ind w:firstLine="480" w:firstLineChars="200"/>
      <w:jc w:val="both"/>
    </w:pPr>
    <w:rPr>
      <w:rFonts w:ascii="Times New Roman" w:hAnsi="Arial" w:eastAsia="宋体" w:cs="Times New Roman"/>
      <w:sz w:val="24"/>
      <w:lang w:val="en-US" w:eastAsia="zh-CN" w:bidi="ar-SA"/>
    </w:rPr>
  </w:style>
  <w:style w:type="paragraph" w:customStyle="1" w:styleId="685">
    <w:name w:val="样式4"/>
    <w:basedOn w:val="1"/>
    <w:qFormat/>
    <w:uiPriority w:val="0"/>
    <w:pPr>
      <w:snapToGrid w:val="0"/>
      <w:spacing w:line="460" w:lineRule="exact"/>
      <w:ind w:firstLine="420"/>
    </w:pPr>
    <w:rPr>
      <w:rFonts w:ascii="ˎ̥" w:hAnsi="ˎ̥"/>
      <w:sz w:val="24"/>
      <w:szCs w:val="20"/>
    </w:rPr>
  </w:style>
  <w:style w:type="paragraph" w:customStyle="1" w:styleId="686">
    <w:name w:val="7表格(治)"/>
    <w:qFormat/>
    <w:uiPriority w:val="0"/>
    <w:pPr>
      <w:widowControl w:val="0"/>
      <w:spacing w:line="320" w:lineRule="exact"/>
      <w:jc w:val="center"/>
    </w:pPr>
    <w:rPr>
      <w:rFonts w:ascii="ˎ̥" w:hAnsi="ˎ̥" w:eastAsia="宋体" w:cs="Times New Roman"/>
      <w:sz w:val="21"/>
      <w:lang w:val="en-US" w:eastAsia="zh-CN" w:bidi="ar-SA"/>
    </w:rPr>
  </w:style>
  <w:style w:type="paragraph" w:customStyle="1" w:styleId="687">
    <w:name w:val="TOC 标题1"/>
    <w:basedOn w:val="2"/>
    <w:next w:val="1"/>
    <w:qFormat/>
    <w:uiPriority w:val="0"/>
    <w:pPr>
      <w:keepLines/>
      <w:widowControl/>
      <w:overflowPunct/>
      <w:snapToGrid/>
      <w:spacing w:before="480" w:after="0" w:line="276" w:lineRule="auto"/>
      <w:ind w:left="0" w:firstLine="0"/>
      <w:jc w:val="left"/>
      <w:outlineLvl w:val="9"/>
    </w:pPr>
    <w:rPr>
      <w:rFonts w:ascii="ˎ̥" w:hAnsi="ˎ̥" w:eastAsia="宋体"/>
      <w:bCs w:val="0"/>
      <w:color w:val="365F91"/>
      <w:kern w:val="2"/>
      <w:sz w:val="28"/>
      <w:szCs w:val="20"/>
    </w:rPr>
  </w:style>
  <w:style w:type="paragraph" w:customStyle="1" w:styleId="688">
    <w:name w:val="简单回函地址"/>
    <w:basedOn w:val="1"/>
    <w:qFormat/>
    <w:uiPriority w:val="0"/>
    <w:pPr>
      <w:keepNext/>
      <w:spacing w:line="400" w:lineRule="exact"/>
    </w:pPr>
    <w:rPr>
      <w:spacing w:val="8"/>
      <w:kern w:val="28"/>
      <w:sz w:val="24"/>
      <w:szCs w:val="20"/>
    </w:rPr>
  </w:style>
  <w:style w:type="paragraph" w:customStyle="1" w:styleId="689">
    <w:name w:val="Char Char5 Char Char Char Char Char Char Char Char Char Char Char Char Char Char Char1 Char"/>
    <w:basedOn w:val="4"/>
    <w:qFormat/>
    <w:uiPriority w:val="0"/>
    <w:pPr>
      <w:widowControl w:val="0"/>
      <w:tabs>
        <w:tab w:val="left" w:pos="360"/>
        <w:tab w:val="left" w:pos="900"/>
      </w:tabs>
      <w:snapToGrid w:val="0"/>
      <w:spacing w:line="360" w:lineRule="auto"/>
      <w:ind w:left="542" w:leftChars="-12" w:firstLine="200" w:firstLineChars="200"/>
      <w:jc w:val="left"/>
    </w:pPr>
    <w:rPr>
      <w:snapToGrid w:val="0"/>
    </w:rPr>
  </w:style>
  <w:style w:type="paragraph" w:customStyle="1" w:styleId="690">
    <w:name w:val="大妹正文 Char"/>
    <w:basedOn w:val="2"/>
    <w:qFormat/>
    <w:uiPriority w:val="0"/>
    <w:pPr>
      <w:keepNext w:val="0"/>
      <w:overflowPunct/>
      <w:snapToGrid/>
      <w:spacing w:before="0" w:after="312" w:afterLines="100" w:line="240" w:lineRule="exact"/>
      <w:ind w:left="-126" w:leftChars="-60" w:right="-54" w:rightChars="-54" w:firstLine="0"/>
      <w:jc w:val="left"/>
      <w:outlineLvl w:val="9"/>
    </w:pPr>
    <w:rPr>
      <w:rFonts w:ascii="ˎ̥" w:eastAsia="宋体"/>
      <w:b w:val="0"/>
      <w:bCs w:val="0"/>
      <w:color w:val="auto"/>
      <w:sz w:val="24"/>
      <w:szCs w:val="20"/>
    </w:rPr>
  </w:style>
  <w:style w:type="paragraph" w:customStyle="1" w:styleId="691">
    <w:name w:val="8说明(治)"/>
    <w:basedOn w:val="1"/>
    <w:next w:val="425"/>
    <w:qFormat/>
    <w:uiPriority w:val="0"/>
    <w:pPr>
      <w:ind w:firstLine="480" w:firstLineChars="200"/>
    </w:pPr>
    <w:rPr>
      <w:rFonts w:ascii="ˎ̥" w:hAnsi="ˎ̥"/>
      <w:sz w:val="24"/>
      <w:szCs w:val="20"/>
    </w:rPr>
  </w:style>
  <w:style w:type="paragraph" w:customStyle="1" w:styleId="692">
    <w:name w:val="Char Char Char Char Char Char Char"/>
    <w:basedOn w:val="1"/>
    <w:qFormat/>
    <w:uiPriority w:val="0"/>
    <w:rPr>
      <w:szCs w:val="20"/>
    </w:rPr>
  </w:style>
  <w:style w:type="paragraph" w:customStyle="1" w:styleId="693">
    <w:name w:val="生物拉丁文"/>
    <w:basedOn w:val="1"/>
    <w:qFormat/>
    <w:uiPriority w:val="0"/>
    <w:pPr>
      <w:tabs>
        <w:tab w:val="left" w:pos="-120"/>
        <w:tab w:val="left" w:pos="625"/>
      </w:tabs>
      <w:overflowPunct w:val="0"/>
      <w:topLinePunct/>
      <w:autoSpaceDE w:val="0"/>
      <w:adjustRightInd w:val="0"/>
      <w:snapToGrid w:val="0"/>
      <w:spacing w:before="60" w:after="156" w:afterLines="50" w:line="0" w:lineRule="atLeast"/>
      <w:ind w:firstLine="454"/>
    </w:pPr>
    <w:rPr>
      <w:i/>
      <w:spacing w:val="20"/>
      <w:sz w:val="24"/>
      <w:szCs w:val="20"/>
    </w:rPr>
  </w:style>
  <w:style w:type="paragraph" w:customStyle="1" w:styleId="694">
    <w:name w:val="_Style 4"/>
    <w:qFormat/>
    <w:uiPriority w:val="99"/>
    <w:pPr>
      <w:widowControl w:val="0"/>
      <w:spacing w:line="360" w:lineRule="auto"/>
      <w:ind w:firstLine="200" w:firstLineChars="200"/>
      <w:jc w:val="both"/>
    </w:pPr>
    <w:rPr>
      <w:rFonts w:ascii="Times New Roman" w:hAnsi="Times New Roman" w:eastAsia="宋体" w:cs="Times New Roman"/>
      <w:kern w:val="2"/>
      <w:sz w:val="21"/>
      <w:lang w:val="en-US" w:eastAsia="zh-CN" w:bidi="ar-SA"/>
    </w:rPr>
  </w:style>
  <w:style w:type="paragraph" w:customStyle="1" w:styleId="695">
    <w:name w:val="xl39"/>
    <w:basedOn w:val="1"/>
    <w:qFormat/>
    <w:uiPriority w:val="99"/>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ascii="ˎ̥" w:hAnsi="ˎ̥" w:eastAsia="ˎ̥"/>
      <w:color w:val="008000"/>
      <w:kern w:val="0"/>
      <w:sz w:val="20"/>
      <w:szCs w:val="20"/>
    </w:rPr>
  </w:style>
  <w:style w:type="paragraph" w:customStyle="1" w:styleId="696">
    <w:name w:val="正文正1"/>
    <w:basedOn w:val="1"/>
    <w:qFormat/>
    <w:uiPriority w:val="0"/>
    <w:pPr>
      <w:tabs>
        <w:tab w:val="left" w:pos="0"/>
      </w:tabs>
      <w:spacing w:line="280" w:lineRule="exact"/>
      <w:ind w:left="-105" w:leftChars="-50" w:right="-50" w:rightChars="-50"/>
      <w:jc w:val="center"/>
    </w:pPr>
    <w:rPr>
      <w:kern w:val="0"/>
      <w:sz w:val="24"/>
      <w:szCs w:val="20"/>
    </w:rPr>
  </w:style>
  <w:style w:type="paragraph" w:customStyle="1" w:styleId="697">
    <w:name w:val="图例"/>
    <w:qFormat/>
    <w:uiPriority w:val="0"/>
    <w:pPr>
      <w:autoSpaceDE w:val="0"/>
      <w:autoSpaceDN w:val="0"/>
      <w:adjustRightInd w:val="0"/>
      <w:jc w:val="center"/>
    </w:pPr>
    <w:rPr>
      <w:rFonts w:ascii="ˎ̥" w:hAnsi="ˎ̥" w:eastAsia="ˎ̥" w:cs="Times New Roman"/>
      <w:b/>
      <w:spacing w:val="12"/>
      <w:sz w:val="24"/>
      <w:lang w:val="en-US" w:eastAsia="zh-CN" w:bidi="ar-SA"/>
    </w:rPr>
  </w:style>
  <w:style w:type="paragraph" w:customStyle="1" w:styleId="698">
    <w:name w:val="表"/>
    <w:basedOn w:val="1"/>
    <w:qFormat/>
    <w:uiPriority w:val="99"/>
    <w:pPr>
      <w:tabs>
        <w:tab w:val="left" w:pos="5040"/>
      </w:tabs>
      <w:spacing w:line="240" w:lineRule="exact"/>
      <w:ind w:left="-31" w:leftChars="-15" w:firstLine="31" w:firstLineChars="15"/>
      <w:jc w:val="center"/>
      <w:outlineLvl w:val="0"/>
    </w:pPr>
    <w:rPr>
      <w:szCs w:val="20"/>
    </w:rPr>
  </w:style>
  <w:style w:type="paragraph" w:customStyle="1" w:styleId="699">
    <w:name w:val="样式7"/>
    <w:basedOn w:val="4"/>
    <w:qFormat/>
    <w:uiPriority w:val="0"/>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700">
    <w:name w:val="样式 标题 1 + 首行缩进:  2 字符 段前: 12 磅 段后: 12 磅 行距: 最小值 24 磅"/>
    <w:basedOn w:val="2"/>
    <w:qFormat/>
    <w:uiPriority w:val="0"/>
    <w:pPr>
      <w:keepLines/>
      <w:overflowPunct/>
      <w:adjustRightInd w:val="0"/>
      <w:spacing w:before="240" w:after="240" w:line="480" w:lineRule="atLeast"/>
      <w:ind w:left="0" w:firstLine="0"/>
    </w:pPr>
    <w:rPr>
      <w:rFonts w:eastAsia="宋体"/>
      <w:bCs w:val="0"/>
      <w:color w:val="auto"/>
      <w:sz w:val="32"/>
      <w:szCs w:val="20"/>
    </w:rPr>
  </w:style>
  <w:style w:type="paragraph" w:customStyle="1" w:styleId="701">
    <w:name w:val="c"/>
    <w:qFormat/>
    <w:uiPriority w:val="0"/>
    <w:pPr>
      <w:widowControl w:val="0"/>
      <w:autoSpaceDE w:val="0"/>
      <w:autoSpaceDN w:val="0"/>
      <w:adjustRightInd w:val="0"/>
      <w:jc w:val="both"/>
    </w:pPr>
    <w:rPr>
      <w:rFonts w:ascii="ˎ̥" w:hAnsi="ˎ̥" w:eastAsia="宋体" w:cs="Times New Roman"/>
      <w:sz w:val="24"/>
      <w:lang w:val="en-US" w:eastAsia="zh-CN" w:bidi="ar-SA"/>
    </w:rPr>
  </w:style>
  <w:style w:type="paragraph" w:customStyle="1" w:styleId="702">
    <w:name w:val="表内五中"/>
    <w:basedOn w:val="1"/>
    <w:qFormat/>
    <w:uiPriority w:val="0"/>
    <w:pPr>
      <w:tabs>
        <w:tab w:val="left" w:pos="-120"/>
      </w:tabs>
      <w:spacing w:before="60" w:line="310" w:lineRule="atLeast"/>
      <w:jc w:val="center"/>
    </w:pPr>
    <w:rPr>
      <w:szCs w:val="20"/>
    </w:rPr>
  </w:style>
  <w:style w:type="paragraph" w:customStyle="1" w:styleId="703">
    <w:name w:val="表格2"/>
    <w:basedOn w:val="1"/>
    <w:qFormat/>
    <w:uiPriority w:val="99"/>
    <w:pPr>
      <w:spacing w:before="15" w:beforeLines="5"/>
      <w:jc w:val="center"/>
    </w:pPr>
    <w:rPr>
      <w:rFonts w:ascii="ˎ̥"/>
      <w:szCs w:val="20"/>
    </w:rPr>
  </w:style>
  <w:style w:type="paragraph" w:customStyle="1" w:styleId="704">
    <w:name w:val="style4"/>
    <w:basedOn w:val="1"/>
    <w:qFormat/>
    <w:uiPriority w:val="0"/>
    <w:pPr>
      <w:widowControl/>
      <w:spacing w:before="100" w:beforeAutospacing="1" w:after="100" w:afterAutospacing="1" w:line="450" w:lineRule="atLeast"/>
      <w:jc w:val="left"/>
    </w:pPr>
    <w:rPr>
      <w:rFonts w:ascii="ˎ̥" w:hAnsi="ˎ̥" w:eastAsia="ˎ̥"/>
      <w:kern w:val="0"/>
      <w:szCs w:val="20"/>
    </w:rPr>
  </w:style>
  <w:style w:type="paragraph" w:customStyle="1" w:styleId="705">
    <w:name w:val="样式 标题 1 + 首行缩进:  2 字符"/>
    <w:basedOn w:val="2"/>
    <w:qFormat/>
    <w:uiPriority w:val="99"/>
    <w:pPr>
      <w:keepLines/>
      <w:overflowPunct/>
      <w:snapToGrid/>
      <w:spacing w:before="240" w:after="240" w:line="440" w:lineRule="atLeast"/>
      <w:ind w:left="0" w:firstLine="0"/>
    </w:pPr>
    <w:rPr>
      <w:rFonts w:eastAsia="宋体"/>
      <w:bCs w:val="0"/>
      <w:color w:val="auto"/>
      <w:szCs w:val="20"/>
    </w:rPr>
  </w:style>
  <w:style w:type="paragraph" w:customStyle="1" w:styleId="706">
    <w:name w:val="样式 正文（首行缩进两字） + 宋体 小四 加粗 行距: 固定值 24 磅"/>
    <w:basedOn w:val="1"/>
    <w:qFormat/>
    <w:uiPriority w:val="0"/>
    <w:pPr>
      <w:adjustRightInd w:val="0"/>
      <w:spacing w:line="480" w:lineRule="exact"/>
      <w:ind w:firstLine="480" w:firstLineChars="200"/>
      <w:textAlignment w:val="baseline"/>
    </w:pPr>
    <w:rPr>
      <w:sz w:val="24"/>
      <w:szCs w:val="20"/>
      <w:lang w:val="en-GB"/>
    </w:rPr>
  </w:style>
  <w:style w:type="paragraph" w:customStyle="1" w:styleId="707">
    <w:name w:val="默认段落字体 Para Char Char Char Char Char Char Char"/>
    <w:basedOn w:val="1"/>
    <w:qFormat/>
    <w:uiPriority w:val="99"/>
    <w:pPr>
      <w:adjustRightInd w:val="0"/>
      <w:spacing w:line="360" w:lineRule="auto"/>
      <w:textAlignment w:val="baseline"/>
    </w:pPr>
    <w:rPr>
      <w:kern w:val="0"/>
      <w:sz w:val="24"/>
      <w:szCs w:val="20"/>
    </w:rPr>
  </w:style>
  <w:style w:type="paragraph" w:styleId="708">
    <w:name w:val="List Paragraph"/>
    <w:basedOn w:val="1"/>
    <w:qFormat/>
    <w:uiPriority w:val="0"/>
    <w:pPr>
      <w:ind w:firstLine="420" w:firstLineChars="200"/>
    </w:pPr>
    <w:rPr>
      <w:rFonts w:ascii="ˎ̥" w:hAnsi="ˎ̥"/>
      <w:szCs w:val="20"/>
    </w:rPr>
  </w:style>
  <w:style w:type="paragraph" w:customStyle="1" w:styleId="709">
    <w:name w:val="样式 行距: 固定值 24 磅"/>
    <w:basedOn w:val="1"/>
    <w:qFormat/>
    <w:uiPriority w:val="0"/>
    <w:pPr>
      <w:spacing w:line="480" w:lineRule="exact"/>
      <w:ind w:firstLine="200" w:firstLineChars="200"/>
    </w:pPr>
    <w:rPr>
      <w:sz w:val="24"/>
      <w:szCs w:val="20"/>
    </w:rPr>
  </w:style>
  <w:style w:type="paragraph" w:customStyle="1" w:styleId="710">
    <w:name w:val="Char1 Char Char Char1"/>
    <w:basedOn w:val="1"/>
    <w:qFormat/>
    <w:uiPriority w:val="0"/>
    <w:pPr>
      <w:snapToGrid w:val="0"/>
      <w:spacing w:line="360" w:lineRule="auto"/>
      <w:ind w:firstLine="529" w:firstLineChars="200"/>
    </w:pPr>
    <w:rPr>
      <w:rFonts w:ascii="ˎ̥" w:hAnsi="ˎ̥"/>
      <w:b/>
      <w:szCs w:val="20"/>
    </w:rPr>
  </w:style>
  <w:style w:type="paragraph" w:customStyle="1" w:styleId="711">
    <w:name w:val="666666-表中文字"/>
    <w:basedOn w:val="1"/>
    <w:qFormat/>
    <w:uiPriority w:val="0"/>
    <w:pPr>
      <w:jc w:val="center"/>
    </w:pPr>
    <w:rPr>
      <w:szCs w:val="20"/>
    </w:rPr>
  </w:style>
  <w:style w:type="paragraph" w:customStyle="1" w:styleId="712">
    <w:name w:val="表格文字1"/>
    <w:next w:val="1"/>
    <w:qFormat/>
    <w:uiPriority w:val="99"/>
    <w:pPr>
      <w:widowControl w:val="0"/>
      <w:adjustRightInd w:val="0"/>
      <w:snapToGrid w:val="0"/>
      <w:jc w:val="center"/>
    </w:pPr>
    <w:rPr>
      <w:rFonts w:ascii="黑体" w:hAnsi="宋体" w:eastAsia="宋体" w:cs="Times New Roman"/>
      <w:sz w:val="18"/>
      <w:szCs w:val="24"/>
      <w:lang w:val="en-US" w:eastAsia="zh-CN" w:bidi="ar-SA"/>
    </w:rPr>
  </w:style>
  <w:style w:type="paragraph" w:customStyle="1" w:styleId="713">
    <w:name w:val="样式 样式 四号 首行缩进:  2 字符 + 首行缩进:  2 字符"/>
    <w:basedOn w:val="1"/>
    <w:qFormat/>
    <w:uiPriority w:val="0"/>
    <w:pPr>
      <w:spacing w:line="480" w:lineRule="atLeast"/>
      <w:ind w:firstLine="480" w:firstLineChars="200"/>
    </w:pPr>
    <w:rPr>
      <w:sz w:val="24"/>
      <w:szCs w:val="20"/>
    </w:rPr>
  </w:style>
  <w:style w:type="paragraph" w:customStyle="1" w:styleId="714">
    <w:name w:val="1标题2级"/>
    <w:basedOn w:val="1"/>
    <w:qFormat/>
    <w:uiPriority w:val="0"/>
    <w:pPr>
      <w:keepNext/>
      <w:snapToGrid w:val="0"/>
      <w:spacing w:before="156" w:beforeLines="50" w:after="156" w:afterLines="50"/>
      <w:outlineLvl w:val="1"/>
    </w:pPr>
    <w:rPr>
      <w:rFonts w:eastAsia="ˎ̥"/>
      <w:b/>
      <w:sz w:val="28"/>
      <w:szCs w:val="20"/>
    </w:rPr>
  </w:style>
  <w:style w:type="paragraph" w:customStyle="1" w:styleId="715">
    <w:name w:val="b"/>
    <w:qFormat/>
    <w:uiPriority w:val="99"/>
    <w:pPr>
      <w:spacing w:before="100" w:beforeAutospacing="1" w:after="100" w:afterAutospacing="1"/>
    </w:pPr>
    <w:rPr>
      <w:rFonts w:ascii="宋体" w:hAnsi="宋体" w:eastAsia="宋体" w:cs="宋体"/>
      <w:sz w:val="24"/>
      <w:szCs w:val="24"/>
      <w:lang w:val="en-US" w:eastAsia="zh-CN" w:bidi="ar-SA"/>
    </w:rPr>
  </w:style>
  <w:style w:type="paragraph" w:customStyle="1" w:styleId="716">
    <w:name w:val="正文样式1"/>
    <w:basedOn w:val="1"/>
    <w:qFormat/>
    <w:uiPriority w:val="0"/>
    <w:pPr>
      <w:adjustRightInd w:val="0"/>
      <w:snapToGrid w:val="0"/>
      <w:spacing w:line="360" w:lineRule="auto"/>
      <w:ind w:firstLine="510"/>
      <w:textAlignment w:val="baseline"/>
    </w:pPr>
    <w:rPr>
      <w:kern w:val="24"/>
      <w:sz w:val="24"/>
      <w:szCs w:val="20"/>
    </w:rPr>
  </w:style>
  <w:style w:type="paragraph" w:customStyle="1" w:styleId="717">
    <w:name w:val="图名"/>
    <w:basedOn w:val="1"/>
    <w:next w:val="1"/>
    <w:qFormat/>
    <w:uiPriority w:val="0"/>
    <w:pPr>
      <w:tabs>
        <w:tab w:val="left" w:pos="360"/>
        <w:tab w:val="left" w:pos="3780"/>
        <w:tab w:val="left" w:pos="4680"/>
      </w:tabs>
      <w:jc w:val="center"/>
    </w:pPr>
    <w:rPr>
      <w:b/>
      <w:sz w:val="24"/>
      <w:szCs w:val="20"/>
    </w:rPr>
  </w:style>
  <w:style w:type="paragraph" w:customStyle="1" w:styleId="718">
    <w:name w:val="样式 样式 标题 4 + 四号 + 首行缩进:  2 字符"/>
    <w:basedOn w:val="587"/>
    <w:qFormat/>
    <w:uiPriority w:val="0"/>
  </w:style>
  <w:style w:type="paragraph" w:customStyle="1" w:styleId="719">
    <w:name w:val="font10"/>
    <w:basedOn w:val="1"/>
    <w:qFormat/>
    <w:uiPriority w:val="99"/>
    <w:pPr>
      <w:widowControl/>
      <w:spacing w:before="100" w:beforeAutospacing="1" w:after="100" w:afterAutospacing="1"/>
      <w:jc w:val="left"/>
    </w:pPr>
    <w:rPr>
      <w:rFonts w:eastAsia="ˎ̥"/>
      <w:b/>
      <w:color w:val="000000"/>
      <w:kern w:val="0"/>
      <w:sz w:val="18"/>
      <w:szCs w:val="20"/>
    </w:rPr>
  </w:style>
  <w:style w:type="paragraph" w:customStyle="1" w:styleId="720">
    <w:name w:val="项目符号1"/>
    <w:basedOn w:val="1"/>
    <w:qFormat/>
    <w:uiPriority w:val="0"/>
    <w:pPr>
      <w:tabs>
        <w:tab w:val="left" w:pos="1200"/>
      </w:tabs>
      <w:overflowPunct w:val="0"/>
      <w:snapToGrid w:val="0"/>
      <w:spacing w:line="480" w:lineRule="exact"/>
      <w:ind w:left="1200" w:firstLine="567"/>
    </w:pPr>
    <w:rPr>
      <w:rFonts w:ascii="ˎ̥" w:hAnsi="ˎ̥" w:eastAsia="ˎ̥"/>
      <w:sz w:val="28"/>
      <w:szCs w:val="20"/>
    </w:rPr>
  </w:style>
  <w:style w:type="paragraph" w:customStyle="1" w:styleId="721">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ˎ̥" w:hAnsi="ˎ̥" w:eastAsia="ˎ̥"/>
      <w:color w:val="008000"/>
      <w:kern w:val="0"/>
      <w:sz w:val="20"/>
      <w:szCs w:val="20"/>
    </w:rPr>
  </w:style>
  <w:style w:type="paragraph" w:customStyle="1" w:styleId="722">
    <w:name w:val="正文-第几条"/>
    <w:qFormat/>
    <w:uiPriority w:val="99"/>
    <w:pPr>
      <w:widowControl w:val="0"/>
      <w:tabs>
        <w:tab w:val="left" w:pos="1440"/>
      </w:tabs>
      <w:spacing w:line="360" w:lineRule="auto"/>
      <w:ind w:left="1440" w:hanging="720"/>
      <w:jc w:val="both"/>
    </w:pPr>
    <w:rPr>
      <w:rFonts w:ascii="Times New Roman" w:hAnsi="Times New Roman" w:eastAsia="宋体" w:cs="Times New Roman"/>
      <w:kern w:val="2"/>
      <w:sz w:val="24"/>
      <w:szCs w:val="24"/>
      <w:lang w:val="en-US" w:eastAsia="zh-CN" w:bidi="ar-SA"/>
    </w:rPr>
  </w:style>
  <w:style w:type="paragraph" w:customStyle="1" w:styleId="723">
    <w:name w:val="样式 首行缩进:  0.80 厘米 段前: 7.8 磅"/>
    <w:basedOn w:val="1"/>
    <w:qFormat/>
    <w:uiPriority w:val="0"/>
    <w:pPr>
      <w:adjustRightInd w:val="0"/>
      <w:snapToGrid w:val="0"/>
      <w:spacing w:before="156" w:line="312" w:lineRule="auto"/>
      <w:ind w:firstLine="480"/>
    </w:pPr>
    <w:rPr>
      <w:sz w:val="24"/>
      <w:szCs w:val="20"/>
    </w:rPr>
  </w:style>
  <w:style w:type="paragraph" w:customStyle="1" w:styleId="724">
    <w:name w:val="表格居中"/>
    <w:basedOn w:val="1"/>
    <w:qFormat/>
    <w:uiPriority w:val="0"/>
    <w:pPr>
      <w:jc w:val="center"/>
    </w:pPr>
    <w:rPr>
      <w:sz w:val="24"/>
      <w:szCs w:val="20"/>
    </w:rPr>
  </w:style>
  <w:style w:type="paragraph" w:customStyle="1" w:styleId="725">
    <w:name w:val="表格内文字"/>
    <w:basedOn w:val="30"/>
    <w:qFormat/>
    <w:uiPriority w:val="99"/>
    <w:pPr>
      <w:widowControl w:val="0"/>
      <w:snapToGrid/>
      <w:spacing w:before="0" w:after="0" w:line="320" w:lineRule="exact"/>
      <w:ind w:right="0"/>
      <w:jc w:val="center"/>
    </w:pPr>
    <w:rPr>
      <w:spacing w:val="10"/>
      <w:kern w:val="2"/>
      <w:sz w:val="24"/>
    </w:rPr>
  </w:style>
  <w:style w:type="paragraph" w:customStyle="1" w:styleId="726">
    <w:name w:val="样式 粉红 首行缩进:  2 字符"/>
    <w:basedOn w:val="1"/>
    <w:qFormat/>
    <w:uiPriority w:val="0"/>
    <w:pPr>
      <w:spacing w:line="480" w:lineRule="exact"/>
      <w:ind w:firstLine="480" w:firstLineChars="200"/>
    </w:pPr>
    <w:rPr>
      <w:color w:val="FF0000"/>
      <w:sz w:val="24"/>
      <w:szCs w:val="20"/>
    </w:rPr>
  </w:style>
  <w:style w:type="paragraph" w:customStyle="1" w:styleId="727">
    <w:name w:val="文"/>
    <w:basedOn w:val="1"/>
    <w:qFormat/>
    <w:uiPriority w:val="0"/>
    <w:pPr>
      <w:spacing w:line="360" w:lineRule="auto"/>
      <w:ind w:firstLine="480" w:firstLineChars="200"/>
    </w:pPr>
    <w:rPr>
      <w:sz w:val="24"/>
      <w:szCs w:val="20"/>
    </w:rPr>
  </w:style>
  <w:style w:type="paragraph" w:customStyle="1" w:styleId="728">
    <w:name w:val="reader-word-layer reader-word-s7-15"/>
    <w:basedOn w:val="1"/>
    <w:qFormat/>
    <w:uiPriority w:val="0"/>
    <w:pPr>
      <w:widowControl/>
      <w:spacing w:before="100" w:beforeAutospacing="1" w:after="100" w:afterAutospacing="1"/>
      <w:jc w:val="left"/>
    </w:pPr>
    <w:rPr>
      <w:rFonts w:ascii="ˎ̥" w:hAnsi="ˎ̥" w:cs="ˎ̥"/>
      <w:kern w:val="0"/>
      <w:sz w:val="24"/>
    </w:rPr>
  </w:style>
  <w:style w:type="paragraph" w:customStyle="1" w:styleId="729">
    <w:name w:val="Char Char Char Char Char Char Char Char Char Char Char Char Char Char Char Char Char Char Char Char Char Char Char Char"/>
    <w:basedOn w:val="1"/>
    <w:qFormat/>
    <w:uiPriority w:val="0"/>
  </w:style>
  <w:style w:type="paragraph" w:customStyle="1" w:styleId="730">
    <w:name w:val="生物中文类名"/>
    <w:basedOn w:val="1"/>
    <w:qFormat/>
    <w:uiPriority w:val="0"/>
    <w:pPr>
      <w:tabs>
        <w:tab w:val="left" w:pos="-120"/>
      </w:tabs>
      <w:overflowPunct w:val="0"/>
      <w:topLinePunct/>
      <w:autoSpaceDE w:val="0"/>
      <w:adjustRightInd w:val="0"/>
      <w:snapToGrid w:val="0"/>
      <w:spacing w:before="60" w:after="156" w:afterLines="50" w:line="310" w:lineRule="atLeast"/>
      <w:ind w:firstLine="454"/>
    </w:pPr>
    <w:rPr>
      <w:b/>
      <w:spacing w:val="20"/>
      <w:sz w:val="24"/>
      <w:szCs w:val="20"/>
    </w:rPr>
  </w:style>
  <w:style w:type="paragraph" w:customStyle="1" w:styleId="731">
    <w:name w:val="标题4"/>
    <w:basedOn w:val="74"/>
    <w:next w:val="159"/>
    <w:qFormat/>
    <w:uiPriority w:val="99"/>
    <w:pPr>
      <w:spacing w:before="0" w:after="0" w:line="480" w:lineRule="exact"/>
      <w:jc w:val="left"/>
      <w:outlineLvl w:val="3"/>
    </w:pPr>
    <w:rPr>
      <w:rFonts w:ascii="Times New Roman" w:hAnsi="Times New Roman"/>
      <w:sz w:val="24"/>
      <w:szCs w:val="24"/>
    </w:rPr>
  </w:style>
  <w:style w:type="paragraph" w:customStyle="1" w:styleId="732">
    <w:name w:val="样式 标题 1 + 加粗"/>
    <w:basedOn w:val="2"/>
    <w:qFormat/>
    <w:uiPriority w:val="0"/>
    <w:pPr>
      <w:keepLines/>
      <w:widowControl/>
      <w:overflowPunct/>
      <w:adjustRightInd w:val="0"/>
      <w:spacing w:before="360" w:after="360" w:line="480" w:lineRule="atLeast"/>
      <w:ind w:left="0" w:firstLine="0"/>
    </w:pPr>
    <w:rPr>
      <w:rFonts w:eastAsia="ˎ̥"/>
      <w:bCs w:val="0"/>
      <w:color w:val="auto"/>
      <w:sz w:val="36"/>
      <w:szCs w:val="20"/>
    </w:rPr>
  </w:style>
  <w:style w:type="paragraph" w:customStyle="1" w:styleId="733">
    <w:name w:val="图名称"/>
    <w:basedOn w:val="1"/>
    <w:qFormat/>
    <w:uiPriority w:val="0"/>
    <w:pPr>
      <w:tabs>
        <w:tab w:val="left" w:pos="2600"/>
        <w:tab w:val="center" w:pos="6622"/>
      </w:tabs>
      <w:adjustRightInd w:val="0"/>
      <w:snapToGrid w:val="0"/>
      <w:spacing w:before="50" w:line="312" w:lineRule="auto"/>
      <w:ind w:firstLine="178" w:firstLineChars="74"/>
      <w:jc w:val="center"/>
    </w:pPr>
    <w:rPr>
      <w:b/>
      <w:sz w:val="24"/>
      <w:szCs w:val="20"/>
    </w:rPr>
  </w:style>
  <w:style w:type="paragraph" w:customStyle="1" w:styleId="734">
    <w:name w:val="样式 (中文) 仿宋_GB2312 四号 加粗 行距: 1.5 倍行距"/>
    <w:qFormat/>
    <w:uiPriority w:val="99"/>
    <w:pPr>
      <w:widowControl w:val="0"/>
      <w:spacing w:line="360" w:lineRule="auto"/>
      <w:ind w:firstLine="561" w:firstLineChars="200"/>
      <w:jc w:val="both"/>
    </w:pPr>
    <w:rPr>
      <w:rFonts w:ascii="Times New Roman" w:hAnsi="Times New Roman" w:eastAsia="宋体" w:cs="宋体"/>
      <w:bCs/>
      <w:kern w:val="2"/>
      <w:sz w:val="26"/>
      <w:lang w:val="en-US" w:eastAsia="zh-CN" w:bidi="ar-SA"/>
    </w:rPr>
  </w:style>
  <w:style w:type="paragraph" w:customStyle="1" w:styleId="735">
    <w:name w:val="生物中文名"/>
    <w:basedOn w:val="1"/>
    <w:qFormat/>
    <w:uiPriority w:val="0"/>
    <w:pPr>
      <w:tabs>
        <w:tab w:val="left" w:pos="-120"/>
      </w:tabs>
      <w:overflowPunct w:val="0"/>
      <w:topLinePunct/>
      <w:autoSpaceDE w:val="0"/>
      <w:adjustRightInd w:val="0"/>
      <w:snapToGrid w:val="0"/>
      <w:spacing w:before="60" w:after="156" w:afterLines="50" w:line="0" w:lineRule="atLeast"/>
      <w:ind w:firstLine="454"/>
    </w:pPr>
    <w:rPr>
      <w:spacing w:val="20"/>
      <w:sz w:val="24"/>
      <w:szCs w:val="20"/>
    </w:rPr>
  </w:style>
  <w:style w:type="paragraph" w:customStyle="1" w:styleId="736">
    <w:name w:val="main"/>
    <w:basedOn w:val="1"/>
    <w:qFormat/>
    <w:uiPriority w:val="0"/>
    <w:pPr>
      <w:widowControl/>
      <w:spacing w:before="100" w:beforeAutospacing="1" w:after="100" w:afterAutospacing="1"/>
      <w:ind w:firstLine="400"/>
      <w:jc w:val="left"/>
    </w:pPr>
    <w:rPr>
      <w:rFonts w:eastAsia="ˎ̥"/>
      <w:color w:val="0033CC"/>
      <w:kern w:val="0"/>
      <w:sz w:val="18"/>
      <w:szCs w:val="20"/>
    </w:rPr>
  </w:style>
  <w:style w:type="paragraph" w:customStyle="1" w:styleId="737">
    <w:name w:val="表格文字"/>
    <w:basedOn w:val="1"/>
    <w:next w:val="1"/>
    <w:qFormat/>
    <w:uiPriority w:val="99"/>
    <w:pPr>
      <w:snapToGrid w:val="0"/>
      <w:spacing w:line="360" w:lineRule="exact"/>
      <w:jc w:val="center"/>
    </w:pPr>
    <w:rPr>
      <w:kern w:val="0"/>
      <w:sz w:val="24"/>
      <w:szCs w:val="20"/>
    </w:rPr>
  </w:style>
  <w:style w:type="paragraph" w:customStyle="1" w:styleId="738">
    <w:name w:val="样式 四号 首行缩进:  2 字符"/>
    <w:basedOn w:val="1"/>
    <w:qFormat/>
    <w:uiPriority w:val="99"/>
    <w:pPr>
      <w:spacing w:line="480" w:lineRule="atLeast"/>
      <w:ind w:firstLine="200" w:firstLineChars="200"/>
    </w:pPr>
    <w:rPr>
      <w:sz w:val="24"/>
      <w:szCs w:val="20"/>
    </w:rPr>
  </w:style>
  <w:style w:type="paragraph" w:customStyle="1" w:styleId="739">
    <w:name w:val="Char Char Char1 Char Char Char Char Char Char Char Char Char Char Char Char Char Char Char Char Char Char Char Char Char Char Char Char Char"/>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740">
    <w:name w:val="表格下注"/>
    <w:qFormat/>
    <w:uiPriority w:val="0"/>
    <w:pPr>
      <w:autoSpaceDE w:val="0"/>
      <w:autoSpaceDN w:val="0"/>
      <w:ind w:firstLine="200" w:firstLineChars="200"/>
      <w:jc w:val="both"/>
    </w:pPr>
    <w:rPr>
      <w:rFonts w:ascii="Times New Roman" w:hAnsi="Times New Roman" w:eastAsia="ˎ̥" w:cs="Times New Roman"/>
      <w:sz w:val="21"/>
      <w:lang w:val="en-US" w:eastAsia="zh-CN" w:bidi="ar-SA"/>
    </w:rPr>
  </w:style>
  <w:style w:type="paragraph" w:customStyle="1" w:styleId="741">
    <w:name w:val="wb"/>
    <w:qFormat/>
    <w:uiPriority w:val="99"/>
    <w:pPr>
      <w:spacing w:before="100" w:beforeAutospacing="1" w:after="100" w:afterAutospacing="1"/>
    </w:pPr>
    <w:rPr>
      <w:rFonts w:ascii="ˎ̥" w:hAnsi="ˎ̥" w:eastAsia="宋体" w:cs="宋体"/>
      <w:color w:val="000000"/>
      <w:sz w:val="24"/>
      <w:szCs w:val="24"/>
      <w:lang w:val="en-US" w:eastAsia="zh-CN" w:bidi="ar-SA"/>
    </w:rPr>
  </w:style>
  <w:style w:type="paragraph" w:customStyle="1" w:styleId="742">
    <w:name w:val="样式 小四 首行缩进:  0.74 厘米 行距: 固定值 20 磅"/>
    <w:basedOn w:val="1"/>
    <w:qFormat/>
    <w:uiPriority w:val="0"/>
    <w:pPr>
      <w:spacing w:line="440" w:lineRule="exact"/>
      <w:ind w:firstLine="454"/>
    </w:pPr>
    <w:rPr>
      <w:sz w:val="24"/>
      <w:szCs w:val="20"/>
    </w:rPr>
  </w:style>
  <w:style w:type="paragraph" w:customStyle="1" w:styleId="743">
    <w:name w:val="Char Char Char1 Char Char Char Char"/>
    <w:next w:val="1"/>
    <w:qFormat/>
    <w:uiPriority w:val="99"/>
    <w:pPr>
      <w:widowControl w:val="0"/>
      <w:spacing w:line="360" w:lineRule="auto"/>
      <w:ind w:firstLine="200" w:firstLineChars="200"/>
      <w:jc w:val="both"/>
    </w:pPr>
    <w:rPr>
      <w:rFonts w:ascii="宋体" w:hAnsi="宋体" w:eastAsia="汉鼎简书宋" w:cs="宋体"/>
      <w:kern w:val="2"/>
      <w:sz w:val="24"/>
      <w:szCs w:val="24"/>
      <w:lang w:val="en-US" w:eastAsia="zh-CN" w:bidi="ar-SA"/>
    </w:rPr>
  </w:style>
  <w:style w:type="paragraph" w:customStyle="1" w:styleId="744">
    <w:name w:val="reader-word-layer reader-word-s7-7"/>
    <w:basedOn w:val="1"/>
    <w:qFormat/>
    <w:uiPriority w:val="0"/>
    <w:pPr>
      <w:widowControl/>
      <w:spacing w:before="100" w:beforeAutospacing="1" w:after="100" w:afterAutospacing="1"/>
      <w:jc w:val="left"/>
    </w:pPr>
    <w:rPr>
      <w:rFonts w:ascii="ˎ̥" w:hAnsi="ˎ̥" w:cs="ˎ̥"/>
      <w:kern w:val="0"/>
      <w:sz w:val="24"/>
    </w:rPr>
  </w:style>
  <w:style w:type="paragraph" w:customStyle="1" w:styleId="745">
    <w:name w:val="表头右"/>
    <w:basedOn w:val="1"/>
    <w:qFormat/>
    <w:uiPriority w:val="0"/>
    <w:pPr>
      <w:spacing w:line="360" w:lineRule="auto"/>
      <w:ind w:firstLine="448" w:firstLineChars="200"/>
      <w:jc w:val="right"/>
    </w:pPr>
    <w:rPr>
      <w:szCs w:val="20"/>
    </w:rPr>
  </w:style>
  <w:style w:type="paragraph" w:customStyle="1" w:styleId="746">
    <w:name w:val="样式9"/>
    <w:basedOn w:val="4"/>
    <w:qFormat/>
    <w:uiPriority w:val="0"/>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747">
    <w:name w:val="样式 首行缩进:  2 字符6"/>
    <w:basedOn w:val="1"/>
    <w:qFormat/>
    <w:uiPriority w:val="0"/>
    <w:pPr>
      <w:spacing w:line="520" w:lineRule="exact"/>
      <w:ind w:firstLine="560" w:firstLineChars="200"/>
    </w:pPr>
    <w:rPr>
      <w:sz w:val="24"/>
      <w:szCs w:val="20"/>
    </w:rPr>
  </w:style>
  <w:style w:type="paragraph" w:customStyle="1" w:styleId="748">
    <w:name w:val="Char1 Char Char Char3"/>
    <w:basedOn w:val="1"/>
    <w:qFormat/>
    <w:uiPriority w:val="0"/>
    <w:pPr>
      <w:snapToGrid w:val="0"/>
      <w:spacing w:line="360" w:lineRule="auto"/>
      <w:ind w:firstLine="529" w:firstLineChars="200"/>
    </w:pPr>
    <w:rPr>
      <w:rFonts w:ascii="ˎ̥" w:hAnsi="ˎ̥"/>
      <w:b/>
      <w:szCs w:val="20"/>
    </w:rPr>
  </w:style>
  <w:style w:type="paragraph" w:customStyle="1" w:styleId="749">
    <w:name w:val="xl30"/>
    <w:basedOn w:val="1"/>
    <w:qFormat/>
    <w:uiPriority w:val="99"/>
    <w:pPr>
      <w:keepNext/>
      <w:widowControl/>
      <w:pBdr>
        <w:bottom w:val="single" w:color="auto" w:sz="4" w:space="0"/>
        <w:right w:val="single" w:color="auto" w:sz="4" w:space="0"/>
      </w:pBdr>
      <w:spacing w:before="100" w:beforeAutospacing="1" w:after="100" w:afterAutospacing="1" w:line="400" w:lineRule="exact"/>
      <w:jc w:val="center"/>
      <w:textAlignment w:val="center"/>
    </w:pPr>
    <w:rPr>
      <w:rFonts w:ascii="ˎ̥" w:hAnsi="ˎ̥"/>
      <w:spacing w:val="8"/>
      <w:kern w:val="0"/>
      <w:sz w:val="24"/>
      <w:szCs w:val="20"/>
    </w:rPr>
  </w:style>
  <w:style w:type="paragraph" w:customStyle="1" w:styleId="750">
    <w:name w:val="项目符号2"/>
    <w:basedOn w:val="1"/>
    <w:qFormat/>
    <w:uiPriority w:val="0"/>
    <w:pPr>
      <w:tabs>
        <w:tab w:val="left" w:pos="720"/>
      </w:tabs>
      <w:overflowPunct w:val="0"/>
      <w:snapToGrid w:val="0"/>
      <w:spacing w:line="480" w:lineRule="exact"/>
      <w:ind w:left="720" w:hanging="720"/>
    </w:pPr>
    <w:rPr>
      <w:rFonts w:ascii="ˎ̥" w:hAnsi="ˎ̥" w:eastAsia="ˎ̥"/>
      <w:sz w:val="28"/>
      <w:szCs w:val="20"/>
    </w:rPr>
  </w:style>
  <w:style w:type="paragraph" w:customStyle="1" w:styleId="751">
    <w:name w:val="正文正"/>
    <w:basedOn w:val="1"/>
    <w:qFormat/>
    <w:uiPriority w:val="0"/>
    <w:pPr>
      <w:ind w:firstLine="560" w:firstLineChars="200"/>
    </w:pPr>
    <w:rPr>
      <w:sz w:val="28"/>
      <w:szCs w:val="20"/>
    </w:rPr>
  </w:style>
  <w:style w:type="paragraph" w:customStyle="1" w:styleId="752">
    <w:name w:val="1表格头"/>
    <w:basedOn w:val="1"/>
    <w:qFormat/>
    <w:uiPriority w:val="0"/>
    <w:pPr>
      <w:snapToGrid w:val="0"/>
      <w:spacing w:line="300" w:lineRule="auto"/>
      <w:jc w:val="center"/>
      <w:outlineLvl w:val="3"/>
    </w:pPr>
    <w:rPr>
      <w:rFonts w:eastAsia="ˎ̥"/>
      <w:b/>
      <w:spacing w:val="4"/>
      <w:sz w:val="24"/>
      <w:szCs w:val="20"/>
    </w:rPr>
  </w:style>
  <w:style w:type="paragraph" w:customStyle="1" w:styleId="753">
    <w:name w:val="表格左对齐"/>
    <w:basedOn w:val="1"/>
    <w:qFormat/>
    <w:uiPriority w:val="0"/>
    <w:pPr>
      <w:spacing w:line="264" w:lineRule="auto"/>
      <w:jc w:val="center"/>
    </w:pPr>
    <w:rPr>
      <w:rFonts w:eastAsia="ˎ̥"/>
      <w:szCs w:val="20"/>
    </w:rPr>
  </w:style>
  <w:style w:type="paragraph" w:customStyle="1" w:styleId="754">
    <w:name w:val="Char Char Char Char Char Char Char1"/>
    <w:basedOn w:val="1"/>
    <w:qFormat/>
    <w:uiPriority w:val="0"/>
    <w:rPr>
      <w:szCs w:val="20"/>
    </w:rPr>
  </w:style>
  <w:style w:type="paragraph" w:customStyle="1" w:styleId="755">
    <w:name w:val="正文表标题"/>
    <w:next w:val="550"/>
    <w:qFormat/>
    <w:uiPriority w:val="0"/>
    <w:pPr>
      <w:jc w:val="center"/>
    </w:pPr>
    <w:rPr>
      <w:rFonts w:ascii="ˎ̥" w:hAnsi="Times New Roman" w:eastAsia="ˎ̥" w:cs="Times New Roman"/>
      <w:sz w:val="21"/>
      <w:lang w:val="en-US" w:eastAsia="zh-CN" w:bidi="ar-SA"/>
    </w:rPr>
  </w:style>
  <w:style w:type="paragraph" w:customStyle="1" w:styleId="756">
    <w:name w:val="font11"/>
    <w:basedOn w:val="1"/>
    <w:qFormat/>
    <w:uiPriority w:val="0"/>
    <w:pPr>
      <w:widowControl/>
      <w:spacing w:before="100" w:beforeAutospacing="1" w:after="100" w:afterAutospacing="1"/>
      <w:jc w:val="left"/>
    </w:pPr>
    <w:rPr>
      <w:rFonts w:eastAsia="ˎ̥"/>
      <w:color w:val="000000"/>
      <w:kern w:val="0"/>
      <w:sz w:val="18"/>
      <w:szCs w:val="20"/>
    </w:rPr>
  </w:style>
  <w:style w:type="paragraph" w:customStyle="1" w:styleId="757">
    <w:name w:val="样式 首行缩进:  2 字符9"/>
    <w:basedOn w:val="1"/>
    <w:qFormat/>
    <w:uiPriority w:val="0"/>
    <w:pPr>
      <w:spacing w:line="520" w:lineRule="exact"/>
      <w:ind w:firstLine="560" w:firstLineChars="200"/>
    </w:pPr>
    <w:rPr>
      <w:sz w:val="24"/>
      <w:szCs w:val="20"/>
    </w:rPr>
  </w:style>
  <w:style w:type="paragraph" w:customStyle="1" w:styleId="758">
    <w:name w:val="关键词"/>
    <w:qFormat/>
    <w:uiPriority w:val="99"/>
    <w:pPr>
      <w:widowControl w:val="0"/>
      <w:spacing w:before="120" w:after="200"/>
      <w:ind w:firstLine="369"/>
      <w:jc w:val="both"/>
    </w:pPr>
    <w:rPr>
      <w:rFonts w:ascii="Times New Roman" w:hAnsi="Times New Roman" w:eastAsia="黑体" w:cs="Times New Roman"/>
      <w:sz w:val="18"/>
      <w:lang w:val="en-US" w:eastAsia="zh-CN" w:bidi="ar-SA"/>
    </w:rPr>
  </w:style>
  <w:style w:type="paragraph" w:customStyle="1" w:styleId="759">
    <w:name w:val="样式 行距: 固定值 25 磅1"/>
    <w:qFormat/>
    <w:uiPriority w:val="99"/>
    <w:pPr>
      <w:widowControl w:val="0"/>
      <w:adjustRightInd w:val="0"/>
      <w:snapToGrid w:val="0"/>
      <w:spacing w:line="360" w:lineRule="auto"/>
      <w:ind w:firstLine="1476" w:firstLineChars="700"/>
      <w:jc w:val="both"/>
    </w:pPr>
    <w:rPr>
      <w:rFonts w:ascii="Times New Roman" w:hAnsi="Times New Roman" w:eastAsia="宋体" w:cs="Times New Roman"/>
      <w:b/>
      <w:kern w:val="2"/>
      <w:sz w:val="21"/>
      <w:szCs w:val="21"/>
      <w:lang w:val="en-US" w:eastAsia="zh-CN" w:bidi="ar-SA"/>
    </w:rPr>
  </w:style>
  <w:style w:type="paragraph" w:customStyle="1" w:styleId="760">
    <w:name w:val="Char Char2 Char"/>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761">
    <w:name w:val="样式 小四"/>
    <w:qFormat/>
    <w:uiPriority w:val="99"/>
    <w:pPr>
      <w:widowControl w:val="0"/>
      <w:adjustRightInd w:val="0"/>
      <w:spacing w:line="480" w:lineRule="atLeast"/>
      <w:ind w:firstLine="510"/>
      <w:jc w:val="both"/>
    </w:pPr>
    <w:rPr>
      <w:rFonts w:ascii="Times New Roman" w:hAnsi="Times New Roman" w:eastAsia="宋体" w:cs="Times New Roman"/>
      <w:sz w:val="24"/>
      <w:lang w:val="en-US" w:eastAsia="zh-CN" w:bidi="ar-SA"/>
    </w:rPr>
  </w:style>
  <w:style w:type="paragraph" w:customStyle="1" w:styleId="762">
    <w:name w:val="图号"/>
    <w:qFormat/>
    <w:uiPriority w:val="99"/>
    <w:pPr>
      <w:widowControl w:val="0"/>
      <w:spacing w:after="120" w:line="460" w:lineRule="exact"/>
      <w:jc w:val="center"/>
      <w:outlineLvl w:val="0"/>
    </w:pPr>
    <w:rPr>
      <w:rFonts w:ascii="Times New Roman" w:hAnsi="Times New Roman" w:eastAsia="黑体" w:cs="Times New Roman"/>
      <w:kern w:val="2"/>
      <w:sz w:val="24"/>
      <w:lang w:val="en-US" w:eastAsia="zh-CN" w:bidi="ar-SA"/>
    </w:rPr>
  </w:style>
  <w:style w:type="paragraph" w:customStyle="1" w:styleId="763">
    <w:name w:val="my t－title  题注"/>
    <w:qFormat/>
    <w:uiPriority w:val="99"/>
    <w:pPr>
      <w:keepNext/>
      <w:widowControl w:val="0"/>
      <w:suppressAutoHyphens/>
      <w:spacing w:before="152" w:after="160"/>
      <w:jc w:val="center"/>
    </w:pPr>
    <w:rPr>
      <w:rFonts w:ascii="Arial" w:hAnsi="Arial" w:eastAsia="黑体" w:cs="Times New Roman"/>
      <w:kern w:val="2"/>
      <w:sz w:val="24"/>
      <w:lang w:val="en-US" w:eastAsia="zh-CN" w:bidi="ar-SA"/>
    </w:rPr>
  </w:style>
  <w:style w:type="paragraph" w:customStyle="1" w:styleId="764">
    <w:name w:val="reader-word-layer reader-word-s2-2"/>
    <w:qFormat/>
    <w:uiPriority w:val="99"/>
    <w:pPr>
      <w:spacing w:before="100" w:beforeAutospacing="1" w:after="100" w:afterAutospacing="1"/>
    </w:pPr>
    <w:rPr>
      <w:rFonts w:ascii="宋体" w:hAnsi="宋体" w:eastAsia="宋体" w:cs="宋体"/>
      <w:sz w:val="24"/>
      <w:szCs w:val="24"/>
      <w:lang w:val="en-US" w:eastAsia="zh-CN" w:bidi="ar-SA"/>
    </w:rPr>
  </w:style>
  <w:style w:type="paragraph" w:customStyle="1" w:styleId="765">
    <w:name w:val="reader-word-layer reader-word-s2-3"/>
    <w:qFormat/>
    <w:uiPriority w:val="99"/>
    <w:pPr>
      <w:spacing w:before="100" w:beforeAutospacing="1" w:after="100" w:afterAutospacing="1"/>
    </w:pPr>
    <w:rPr>
      <w:rFonts w:ascii="宋体" w:hAnsi="宋体" w:eastAsia="宋体" w:cs="宋体"/>
      <w:sz w:val="24"/>
      <w:szCs w:val="24"/>
      <w:lang w:val="en-US" w:eastAsia="zh-CN" w:bidi="ar-SA"/>
    </w:rPr>
  </w:style>
  <w:style w:type="paragraph" w:customStyle="1" w:styleId="766">
    <w:name w:val="0表格内容"/>
    <w:qFormat/>
    <w:uiPriority w:val="99"/>
    <w:pPr>
      <w:tabs>
        <w:tab w:val="left" w:pos="0"/>
      </w:tabs>
      <w:spacing w:line="240" w:lineRule="atLeast"/>
      <w:jc w:val="center"/>
    </w:pPr>
    <w:rPr>
      <w:rFonts w:ascii="Times New Roman" w:hAnsi="Times New Roman" w:eastAsia="宋体" w:cs="Times New Roman"/>
      <w:kern w:val="2"/>
      <w:sz w:val="21"/>
      <w:szCs w:val="21"/>
      <w:lang w:val="en-US" w:eastAsia="zh-CN" w:bidi="ar-SA"/>
    </w:rPr>
  </w:style>
  <w:style w:type="paragraph" w:customStyle="1" w:styleId="767">
    <w:name w:val="CM8"/>
    <w:next w:val="1"/>
    <w:qFormat/>
    <w:uiPriority w:val="99"/>
    <w:pPr>
      <w:widowControl w:val="0"/>
      <w:autoSpaceDE w:val="0"/>
      <w:autoSpaceDN w:val="0"/>
      <w:adjustRightInd w:val="0"/>
      <w:spacing w:line="476" w:lineRule="atLeast"/>
    </w:pPr>
    <w:rPr>
      <w:rFonts w:ascii="Sim Hei" w:hAnsi="Calibri" w:eastAsia="Sim Hei" w:cs="Times New Roman"/>
      <w:sz w:val="24"/>
      <w:szCs w:val="24"/>
      <w:lang w:val="en-US" w:eastAsia="zh-CN" w:bidi="ar-SA"/>
    </w:rPr>
  </w:style>
  <w:style w:type="paragraph" w:customStyle="1" w:styleId="768">
    <w:name w:val="Char Char11 Char Char"/>
    <w:next w:val="1"/>
    <w:qFormat/>
    <w:uiPriority w:val="99"/>
    <w:pPr>
      <w:widowControl w:val="0"/>
      <w:spacing w:line="360" w:lineRule="auto"/>
      <w:ind w:firstLine="200" w:firstLineChars="200"/>
      <w:jc w:val="both"/>
    </w:pPr>
    <w:rPr>
      <w:rFonts w:ascii="宋体" w:hAnsi="宋体" w:eastAsia="宋体" w:cs="宋体"/>
      <w:kern w:val="2"/>
      <w:sz w:val="24"/>
      <w:szCs w:val="24"/>
      <w:lang w:val="en-US" w:eastAsia="zh-CN" w:bidi="ar-SA"/>
    </w:rPr>
  </w:style>
  <w:style w:type="paragraph" w:customStyle="1" w:styleId="769">
    <w:name w:val="六院正文"/>
    <w:basedOn w:val="1"/>
    <w:qFormat/>
    <w:uiPriority w:val="0"/>
    <w:pPr>
      <w:spacing w:line="500" w:lineRule="exact"/>
      <w:ind w:firstLine="200" w:firstLineChars="200"/>
    </w:pPr>
    <w:rPr>
      <w:color w:val="000000"/>
      <w:sz w:val="28"/>
      <w:szCs w:val="28"/>
    </w:rPr>
  </w:style>
  <w:style w:type="paragraph" w:customStyle="1" w:styleId="770">
    <w:name w:val="集团-表格头"/>
    <w:qFormat/>
    <w:uiPriority w:val="0"/>
    <w:pPr>
      <w:jc w:val="center"/>
    </w:pPr>
    <w:rPr>
      <w:rFonts w:ascii="黑体" w:hAnsi="Times New Roman" w:eastAsia="黑体" w:cs="Times New Roman"/>
      <w:kern w:val="2"/>
      <w:sz w:val="28"/>
      <w:szCs w:val="32"/>
      <w:lang w:val="en-US" w:eastAsia="zh-CN" w:bidi="ar-SA"/>
    </w:rPr>
  </w:style>
  <w:style w:type="table" w:customStyle="1" w:styleId="771">
    <w:name w:val="灰度表格1"/>
    <w:basedOn w:val="7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2">
    <w:name w:val="Body Text Indent1"/>
    <w:basedOn w:val="1"/>
    <w:qFormat/>
    <w:uiPriority w:val="0"/>
    <w:pPr>
      <w:ind w:firstLine="570"/>
    </w:pPr>
  </w:style>
  <w:style w:type="paragraph" w:customStyle="1" w:styleId="773">
    <w:name w:val="报告表"/>
    <w:basedOn w:val="1"/>
    <w:qFormat/>
    <w:uiPriority w:val="0"/>
    <w:pPr>
      <w:adjustRightInd w:val="0"/>
      <w:snapToGrid w:val="0"/>
      <w:jc w:val="center"/>
      <w:outlineLvl w:val="0"/>
    </w:pPr>
    <w:rPr>
      <w:rFonts w:ascii="方正小标宋_GBK" w:eastAsia="方正小标宋_GBK"/>
      <w:bCs/>
      <w:sz w:val="72"/>
      <w:szCs w:val="72"/>
    </w:rPr>
  </w:style>
  <w:style w:type="paragraph" w:customStyle="1" w:styleId="774">
    <w:name w:val="正文吴昊"/>
    <w:basedOn w:val="1"/>
    <w:qFormat/>
    <w:uiPriority w:val="0"/>
    <w:pPr>
      <w:spacing w:line="500" w:lineRule="exact"/>
      <w:ind w:firstLine="640" w:firstLineChars="200"/>
    </w:pPr>
    <w:rPr>
      <w:rFonts w:hint="eastAsia"/>
      <w:sz w:val="24"/>
    </w:rPr>
  </w:style>
  <w:style w:type="paragraph" w:customStyle="1" w:styleId="775">
    <w:name w:val="A表名称"/>
    <w:basedOn w:val="776"/>
    <w:qFormat/>
    <w:uiPriority w:val="0"/>
    <w:pPr>
      <w:ind w:firstLine="200"/>
    </w:pPr>
    <w:rPr>
      <w:b/>
    </w:rPr>
  </w:style>
  <w:style w:type="paragraph" w:customStyle="1" w:styleId="776">
    <w:name w:val="A正文"/>
    <w:basedOn w:val="1"/>
    <w:qFormat/>
    <w:uiPriority w:val="0"/>
    <w:pPr>
      <w:spacing w:line="440" w:lineRule="exact"/>
      <w:ind w:firstLine="480" w:firstLineChars="200"/>
    </w:pPr>
    <w:rPr>
      <w:color w:val="000000"/>
      <w:sz w:val="24"/>
    </w:rPr>
  </w:style>
  <w:style w:type="paragraph" w:customStyle="1" w:styleId="777">
    <w:name w:val="11111"/>
    <w:basedOn w:val="1"/>
    <w:qFormat/>
    <w:uiPriority w:val="0"/>
    <w:pPr>
      <w:adjustRightInd w:val="0"/>
      <w:snapToGrid w:val="0"/>
      <w:spacing w:line="500" w:lineRule="exact"/>
      <w:ind w:firstLine="480" w:firstLineChars="200"/>
    </w:pPr>
    <w:rPr>
      <w:rFonts w:cs="宋体"/>
      <w:kern w:val="0"/>
      <w:sz w:val="24"/>
    </w:rPr>
  </w:style>
  <w:style w:type="paragraph" w:customStyle="1" w:styleId="778">
    <w:name w:val="题注吴昊"/>
    <w:basedOn w:val="19"/>
    <w:qFormat/>
    <w:uiPriority w:val="0"/>
    <w:pPr>
      <w:overflowPunct/>
      <w:topLinePunct w:val="0"/>
      <w:autoSpaceDE/>
      <w:autoSpaceDN/>
      <w:adjustRightInd/>
      <w:snapToGrid/>
      <w:spacing w:before="0" w:line="360" w:lineRule="auto"/>
      <w:textAlignment w:val="auto"/>
    </w:pPr>
    <w:rPr>
      <w:rFonts w:hint="eastAsia" w:ascii="Times New Roman" w:hAnsi="Times New Roman" w:eastAsia="宋体"/>
      <w:spacing w:val="0"/>
      <w:kern w:val="2"/>
      <w:szCs w:val="24"/>
    </w:rPr>
  </w:style>
  <w:style w:type="character" w:customStyle="1" w:styleId="779">
    <w:name w:val="font61"/>
    <w:qFormat/>
    <w:uiPriority w:val="0"/>
    <w:rPr>
      <w:rFonts w:hint="default" w:ascii="Times New Roman" w:hAnsi="Times New Roman" w:cs="Times New Roman"/>
      <w:color w:val="000000"/>
      <w:sz w:val="21"/>
      <w:szCs w:val="21"/>
      <w:u w:val="none"/>
    </w:rPr>
  </w:style>
  <w:style w:type="character" w:customStyle="1" w:styleId="780">
    <w:name w:val="font71"/>
    <w:qFormat/>
    <w:uiPriority w:val="0"/>
    <w:rPr>
      <w:rFonts w:hint="eastAsia" w:ascii="宋体" w:hAnsi="宋体" w:eastAsia="宋体" w:cs="宋体"/>
      <w:color w:val="000000"/>
      <w:sz w:val="21"/>
      <w:szCs w:val="21"/>
      <w:u w:val="none"/>
    </w:rPr>
  </w:style>
  <w:style w:type="character" w:customStyle="1" w:styleId="781">
    <w:name w:val="font101"/>
    <w:qFormat/>
    <w:uiPriority w:val="0"/>
    <w:rPr>
      <w:rFonts w:hint="default" w:ascii="Times New Roman" w:hAnsi="Times New Roman" w:cs="Times New Roman"/>
      <w:color w:val="000000"/>
      <w:sz w:val="21"/>
      <w:szCs w:val="21"/>
      <w:u w:val="none"/>
    </w:rPr>
  </w:style>
  <w:style w:type="character" w:customStyle="1" w:styleId="782">
    <w:name w:val="font111"/>
    <w:qFormat/>
    <w:uiPriority w:val="0"/>
    <w:rPr>
      <w:rFonts w:hint="eastAsia" w:ascii="宋体" w:hAnsi="宋体" w:eastAsia="宋体" w:cs="宋体"/>
      <w:color w:val="000000"/>
      <w:sz w:val="21"/>
      <w:szCs w:val="21"/>
      <w:u w:val="none"/>
    </w:rPr>
  </w:style>
  <w:style w:type="character" w:customStyle="1" w:styleId="783">
    <w:name w:val="font131"/>
    <w:qFormat/>
    <w:uiPriority w:val="0"/>
    <w:rPr>
      <w:rFonts w:hint="eastAsia" w:ascii="宋体" w:hAnsi="宋体" w:eastAsia="宋体" w:cs="宋体"/>
      <w:color w:val="000000"/>
      <w:sz w:val="20"/>
      <w:szCs w:val="20"/>
      <w:u w:val="none"/>
    </w:rPr>
  </w:style>
  <w:style w:type="character" w:customStyle="1" w:styleId="784">
    <w:name w:val="font141"/>
    <w:qFormat/>
    <w:uiPriority w:val="0"/>
    <w:rPr>
      <w:rFonts w:hint="eastAsia" w:ascii="宋体" w:hAnsi="宋体" w:eastAsia="宋体" w:cs="宋体"/>
      <w:color w:val="000000"/>
      <w:sz w:val="21"/>
      <w:szCs w:val="21"/>
      <w:u w:val="none"/>
    </w:rPr>
  </w:style>
  <w:style w:type="paragraph" w:customStyle="1" w:styleId="785">
    <w:name w:val="Table Text"/>
    <w:basedOn w:val="1"/>
    <w:semiHidden/>
    <w:qFormat/>
    <w:uiPriority w:val="0"/>
    <w:rPr>
      <w:rFonts w:ascii="Arial" w:hAnsi="Arial" w:eastAsia="Arial" w:cs="Arial"/>
      <w:lang w:eastAsia="en-US"/>
    </w:rPr>
  </w:style>
  <w:style w:type="character" w:customStyle="1" w:styleId="786">
    <w:name w:val="font121"/>
    <w:qFormat/>
    <w:uiPriority w:val="0"/>
    <w:rPr>
      <w:rFonts w:hint="eastAsia" w:ascii="宋体" w:hAnsi="宋体" w:eastAsia="宋体" w:cs="宋体"/>
      <w:color w:val="000000"/>
      <w:sz w:val="21"/>
      <w:szCs w:val="21"/>
      <w:u w:val="none"/>
    </w:rPr>
  </w:style>
  <w:style w:type="character" w:customStyle="1" w:styleId="787">
    <w:name w:val="fontstyle01"/>
    <w:qFormat/>
    <w:uiPriority w:val="0"/>
    <w:rPr>
      <w:rFonts w:hint="eastAsia" w:ascii="宋体" w:hAnsi="宋体" w:eastAsia="宋体"/>
      <w:color w:val="000000"/>
      <w:sz w:val="24"/>
      <w:szCs w:val="24"/>
    </w:rPr>
  </w:style>
  <w:style w:type="paragraph" w:customStyle="1" w:styleId="788">
    <w:name w:val="本文正文"/>
    <w:basedOn w:val="1"/>
    <w:qFormat/>
    <w:uiPriority w:val="0"/>
    <w:pPr>
      <w:spacing w:line="360" w:lineRule="auto"/>
      <w:ind w:firstLine="200" w:firstLineChars="200"/>
    </w:pPr>
    <w:rPr>
      <w:kern w:val="0"/>
      <w:sz w:val="24"/>
    </w:rPr>
  </w:style>
  <w:style w:type="paragraph" w:customStyle="1" w:styleId="789">
    <w:name w:val="标题3x"/>
    <w:basedOn w:val="1"/>
    <w:qFormat/>
    <w:uiPriority w:val="0"/>
    <w:pPr>
      <w:keepLines/>
      <w:spacing w:line="360" w:lineRule="auto"/>
    </w:pPr>
    <w:rPr>
      <w:sz w:val="28"/>
    </w:rPr>
  </w:style>
  <w:style w:type="paragraph" w:customStyle="1" w:styleId="790">
    <w:name w:val="本文图表标题"/>
    <w:basedOn w:val="1"/>
    <w:qFormat/>
    <w:uiPriority w:val="0"/>
    <w:pPr>
      <w:spacing w:before="50" w:beforeLines="50" w:after="50" w:afterLines="50"/>
      <w:jc w:val="center"/>
    </w:pPr>
    <w:rPr>
      <w:b/>
    </w:rPr>
  </w:style>
  <w:style w:type="character" w:customStyle="1" w:styleId="791">
    <w:name w:val="文章正文 Char Char"/>
    <w:qFormat/>
    <w:uiPriority w:val="0"/>
    <w:rPr>
      <w:rFonts w:ascii="Times New Roman" w:hAnsi="Times New Roman" w:eastAsia="宋体"/>
      <w:sz w:val="24"/>
    </w:rPr>
  </w:style>
  <w:style w:type="paragraph" w:customStyle="1" w:styleId="792">
    <w:name w:val="环评正文"/>
    <w:basedOn w:val="1"/>
    <w:qFormat/>
    <w:uiPriority w:val="0"/>
    <w:rPr>
      <w:rFonts w:cs="Courier New"/>
      <w:snapToGrid w:val="0"/>
      <w:szCs w:val="20"/>
    </w:rPr>
  </w:style>
  <w:style w:type="paragraph" w:customStyle="1" w:styleId="793">
    <w:name w:val="[1]正文"/>
    <w:basedOn w:val="1"/>
    <w:autoRedefine/>
    <w:qFormat/>
    <w:uiPriority w:val="0"/>
    <w:rPr>
      <w:lang w:val="zh-CN"/>
    </w:rPr>
  </w:style>
  <w:style w:type="paragraph" w:customStyle="1" w:styleId="794">
    <w:name w:val="1-1 正文－WHHK"/>
    <w:basedOn w:val="1"/>
    <w:qFormat/>
    <w:uiPriority w:val="0"/>
    <w:pPr>
      <w:overflowPunct w:val="0"/>
      <w:ind w:left="8" w:leftChars="8" w:right="8" w:rightChars="8"/>
    </w:pPr>
    <w:rPr>
      <w:color w:val="000000"/>
      <w:szCs w:val="28"/>
      <w:lang w:bidi="en-US"/>
    </w:rPr>
  </w:style>
  <w:style w:type="paragraph" w:customStyle="1" w:styleId="795">
    <w:name w:val="表头2"/>
    <w:basedOn w:val="793"/>
    <w:qFormat/>
    <w:uiPriority w:val="0"/>
    <w:pPr>
      <w:jc w:val="center"/>
    </w:pPr>
    <w:rPr>
      <w:rFonts w:eastAsia="Times New Roman"/>
      <w:b/>
    </w:rPr>
  </w:style>
  <w:style w:type="paragraph" w:customStyle="1" w:styleId="796">
    <w:name w:val="表格内容1"/>
    <w:basedOn w:val="793"/>
    <w:qFormat/>
    <w:uiPriority w:val="0"/>
    <w:pPr>
      <w:jc w:val="center"/>
    </w:pPr>
    <w:rPr>
      <w:color w:val="000000"/>
      <w:szCs w:val="21"/>
    </w:rPr>
  </w:style>
  <w:style w:type="paragraph" w:customStyle="1" w:styleId="797">
    <w:name w:val="1-2 正文无缩进-WHHK"/>
    <w:basedOn w:val="1"/>
    <w:qFormat/>
    <w:uiPriority w:val="0"/>
    <w:pPr>
      <w:ind w:left="48" w:leftChars="8" w:right="48" w:rightChars="8"/>
    </w:pPr>
    <w:rPr>
      <w:rFonts w:cs="Arial"/>
      <w:lang w:val="sq-AL" w:bidi="en-US"/>
    </w:rPr>
  </w:style>
  <w:style w:type="paragraph" w:customStyle="1" w:styleId="798">
    <w:name w:val="楷体三号"/>
    <w:basedOn w:val="1"/>
    <w:qFormat/>
    <w:uiPriority w:val="0"/>
    <w:pPr>
      <w:shd w:val="clear" w:color="auto" w:fill="FFFFFF"/>
      <w:spacing w:line="300" w:lineRule="auto"/>
      <w:outlineLvl w:val="1"/>
    </w:pPr>
    <w:rPr>
      <w:rFonts w:ascii="楷体_GB2312" w:hAnsi="宋体" w:eastAsia="楷体_GB2312"/>
      <w:b/>
      <w:sz w:val="32"/>
      <w:szCs w:val="28"/>
    </w:rPr>
  </w:style>
  <w:style w:type="table" w:customStyle="1" w:styleId="799">
    <w:name w:val="Table Normal"/>
    <w:basedOn w:val="78"/>
    <w:unhideWhenUsed/>
    <w:qFormat/>
    <w:uiPriority w:val="0"/>
    <w:tblPr>
      <w:tblCellMar>
        <w:left w:w="0" w:type="dxa"/>
        <w:right w:w="0" w:type="dxa"/>
      </w:tblCellMar>
    </w:tblPr>
  </w:style>
  <w:style w:type="paragraph" w:customStyle="1" w:styleId="800">
    <w:name w:val="3环评报告三级标题"/>
    <w:basedOn w:val="4"/>
    <w:next w:val="1"/>
    <w:qFormat/>
    <w:uiPriority w:val="0"/>
    <w:pPr>
      <w:widowControl w:val="0"/>
      <w:numPr>
        <w:ilvl w:val="2"/>
        <w:numId w:val="1"/>
      </w:numPr>
      <w:wordWrap w:val="0"/>
      <w:adjustRightInd w:val="0"/>
      <w:snapToGrid w:val="0"/>
      <w:spacing w:line="360" w:lineRule="auto"/>
    </w:pPr>
    <w:rPr>
      <w:rFonts w:ascii="Arial" w:hAnsi="Arial" w:eastAsia="黑体"/>
      <w:b/>
      <w:bCs/>
      <w:snapToGrid w:val="0"/>
      <w:color w:val="000000"/>
      <w:kern w:val="0"/>
      <w:sz w:val="28"/>
      <w:szCs w:val="21"/>
      <w:lang w:eastAsia="en-US"/>
    </w:rPr>
  </w:style>
  <w:style w:type="paragraph" w:customStyle="1" w:styleId="80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802">
    <w:name w:val="font21"/>
    <w:basedOn w:val="80"/>
    <w:qFormat/>
    <w:uiPriority w:val="0"/>
    <w:rPr>
      <w:rFonts w:hint="default" w:ascii="Times New Roman" w:hAnsi="Times New Roman" w:cs="Times New Roman"/>
      <w:color w:val="000000"/>
      <w:sz w:val="21"/>
      <w:szCs w:val="21"/>
      <w:u w:val="none"/>
    </w:rPr>
  </w:style>
  <w:style w:type="paragraph" w:customStyle="1" w:styleId="803">
    <w:name w:val="样式 正文1 + 首行缩进:  2 字符"/>
    <w:basedOn w:val="1"/>
    <w:qFormat/>
    <w:uiPriority w:val="0"/>
    <w:pPr>
      <w:keepNext/>
      <w:spacing w:line="360" w:lineRule="auto"/>
      <w:ind w:firstLine="200" w:firstLineChars="200"/>
    </w:pPr>
    <w:rPr>
      <w:rFonts w:ascii="Calibri" w:hAnsi="Calibri" w:cs="宋体"/>
      <w:sz w:val="24"/>
      <w:szCs w:val="20"/>
    </w:rPr>
  </w:style>
  <w:style w:type="paragraph" w:customStyle="1" w:styleId="804">
    <w:name w:val="0表格格式"/>
    <w:basedOn w:val="1"/>
    <w:qFormat/>
    <w:uiPriority w:val="0"/>
    <w:pPr>
      <w:jc w:val="center"/>
    </w:pPr>
    <w:rPr>
      <w:szCs w:val="21"/>
    </w:rPr>
  </w:style>
  <w:style w:type="character" w:customStyle="1" w:styleId="805">
    <w:name w:val="font41"/>
    <w:basedOn w:val="80"/>
    <w:qFormat/>
    <w:uiPriority w:val="0"/>
    <w:rPr>
      <w:rFonts w:hint="default" w:ascii="Times New Roman" w:hAnsi="Times New Roman" w:cs="Times New Roman"/>
      <w:color w:val="000000"/>
      <w:sz w:val="20"/>
      <w:szCs w:val="20"/>
      <w:u w:val="none"/>
    </w:rPr>
  </w:style>
  <w:style w:type="character" w:customStyle="1" w:styleId="806">
    <w:name w:val="font31"/>
    <w:basedOn w:val="80"/>
    <w:qFormat/>
    <w:uiPriority w:val="0"/>
    <w:rPr>
      <w:rFonts w:hint="default" w:ascii="Times New Roman" w:hAnsi="Times New Roman" w:cs="Times New Roman"/>
      <w:color w:val="000000"/>
      <w:sz w:val="20"/>
      <w:szCs w:val="20"/>
      <w:u w:val="none"/>
    </w:rPr>
  </w:style>
  <w:style w:type="paragraph" w:customStyle="1" w:styleId="807">
    <w:name w:val="02表格文字-环评报告"/>
    <w:basedOn w:val="1"/>
    <w:qFormat/>
    <w:uiPriority w:val="0"/>
    <w:pPr>
      <w:adjustRightInd w:val="0"/>
      <w:snapToGrid w:val="0"/>
      <w:jc w:val="center"/>
    </w:pPr>
    <w:rPr>
      <w:szCs w:val="21"/>
    </w:rPr>
  </w:style>
  <w:style w:type="paragraph" w:customStyle="1" w:styleId="808">
    <w:name w:val="9环评报告图"/>
    <w:basedOn w:val="1"/>
    <w:next w:val="1"/>
    <w:autoRedefine/>
    <w:qFormat/>
    <w:uiPriority w:val="0"/>
    <w:pPr>
      <w:numPr>
        <w:ilvl w:val="8"/>
        <w:numId w:val="2"/>
      </w:numPr>
      <w:adjustRightInd w:val="0"/>
      <w:snapToGrid w:val="0"/>
      <w:jc w:val="center"/>
      <w:outlineLvl w:val="8"/>
    </w:pPr>
  </w:style>
  <w:style w:type="table" w:customStyle="1" w:styleId="809">
    <w:name w:val="环评报告表格样式1"/>
    <w:basedOn w:val="78"/>
    <w:qFormat/>
    <w:uiPriority w:val="99"/>
    <w:pPr>
      <w:jc w:val="center"/>
    </w:pPr>
    <w:rPr>
      <w:sz w:val="21"/>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58491365-1d84-454d-97a7-dcdbeb9eac09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33127AC3</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6906d0bb-17f1-414a-ae72-c90b83a7802f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66FC4D86</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1b2caf18-4422-4461-be78-98bee96894ab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3CECCD47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af472d81-c8c0-4b1b-9c3f-8705a25393a8</errorID>
      <errorWord xmlns="http://schemas.wps.cn/vas-ai-hub/contract-review">为到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item>
      </candidateList>
      <explain xmlns="http://schemas.wps.cn/vas-ai-hub/contract-review">（爲、為）wèi❶〈书〉帮助；卫护：～吕氏者右袒，～刘氏者左袒。❷〈介〉表示行为的对象；替：～你庆幸｜～人民服务｜～这本书写一篇序。❸〈介〉表示原因、目的：大家都～这件事高兴｜～建设伟大祖国而奋斗。❹〈书〉〈介〉对；向：不足～外人道。</explain>
      <paraID xmlns="http://schemas.wps.cn/vas-ai-hub/contract-review">433FD75E</paraID>
      <start xmlns="http://schemas.wps.cn/vas-ai-hub/contract-review">45</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147823db-10e6-4a10-965f-deba11115399</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于内</item>
      </candidateList>
      <explain xmlns="http://schemas.wps.cn/vas-ai-hub/contract-review"/>
      <paraID xmlns="http://schemas.wps.cn/vas-ai-hub/contract-review">19136B31</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dc629c85-c557-483a-afae-ca5c9556ab68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6A5124FB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036c8687-8ce4-4ee3-9711-ffa3a88f79cb</errorID>
      <errorWord xmlns="http://schemas.wps.cn/vas-ai-hub/contract-review">属于其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322B59CE</paraID>
      <start xmlns="http://schemas.wps.cn/vas-ai-hub/contract-review">35</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73267637-ec54-453f-aa56-6ce515c3ef37</errorID>
      <errorWord xmlns="http://schemas.wps.cn/vas-ai-hub/contract-review">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性地</item>
      </candidateList>
      <explain xmlns="http://schemas.wps.cn/vas-ai-hub/contract-review"/>
      <paraID xmlns="http://schemas.wps.cn/vas-ai-hub/contract-review">59316276</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805679d4-75c8-48e3-bcf2-b929a26703dc</errorID>
      <errorWord xmlns="http://schemas.wps.cn/vas-ai-hub/contract-review">或在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1CAE3BF7</paraID>
      <start xmlns="http://schemas.wps.cn/vas-ai-hub/contract-review">47</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4c53e82d-3c73-4d99-b091-124641096ae5</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（舆）yù参与：～会。</explain>
      <paraID xmlns="http://schemas.wps.cn/vas-ai-hub/contract-review">78B67141</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48258942-c069-47af-a4f6-d3b163c07174</errorID>
      <errorWord xmlns="http://schemas.wps.cn/vas-ai-hub/contract-review">上线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上限</item>
      </candidateList>
      <explain xmlns="http://schemas.wps.cn/vas-ai-hub/contract-review"/>
      <paraID xmlns="http://schemas.wps.cn/vas-ai-hub/contract-review">666AB54C</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4a4a20f3-a26a-4902-bed7-7b10420cb4f8</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17FF1AEE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23e179d7-8af0-46d1-aa6e-e4bd74b7c703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B8191AC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0564763c-9d42-4a97-be1d-16fb5d3bec6e</errorID>
      <errorWord xmlns="http://schemas.wps.cn/vas-ai-hub/contract-review">当地其它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当地其他</item>
      </candidateList>
      <explain xmlns="http://schemas.wps.cn/vas-ai-hub/contract-review">词汇[当地其它]为不规范表述或旧称，其规范书面表述为[当地其他]。</explain>
      <paraID xmlns="http://schemas.wps.cn/vas-ai-hub/contract-review">683A257C</paraID>
      <start xmlns="http://schemas.wps.cn/vas-ai-hub/contract-review">64</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07721145-2e64-4d97-ac56-eda63eb3222c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683A257C</paraID>
      <start xmlns="http://schemas.wps.cn/vas-ai-hub/contract-review">117</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5a3ca4b8-4b96-40b4-8299-9834d9235df6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683A257C</paraID>
      <start xmlns="http://schemas.wps.cn/vas-ai-hub/contract-review">177</start>
      <end xmlns="http://schemas.wps.cn/vas-ai-hub/contract-review">178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42b00325-1431-4956-841e-b108c475e0ee</errorID>
      <errorWord xmlns="http://schemas.wps.cn/vas-ai-hub/contract-review">临近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邻近</item>
      </candidateList>
      <explain xmlns="http://schemas.wps.cn/vas-ai-hub/contract-review">存在发音相同字词的误用。</explain>
      <paraID xmlns="http://schemas.wps.cn/vas-ai-hub/contract-review">1353ED9F</paraID>
      <start xmlns="http://schemas.wps.cn/vas-ai-hub/contract-review">17</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be3bba52-02b1-423b-95d1-e77fce07d1b4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2555B34C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7c75274a-b775-4bdc-9311-245b2b6064ce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4CC14620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754bf176-c437-4662-becc-4affe185b6f4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60869C66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e8354e74-8bee-4629-bddc-43f26ac44d62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313734F0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2d76c2b5-3091-4bd6-bf79-52ccfcb1ca4e</errorID>
      <errorWord xmlns="http://schemas.wps.cn/vas-ai-hub/contract-review">上线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上限</item>
      </candidateList>
      <explain xmlns="http://schemas.wps.cn/vas-ai-hub/contract-review">存在发音相同字词的误用。</explain>
      <paraID xmlns="http://schemas.wps.cn/vas-ai-hub/contract-review">7212009C</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7cffe115-c80d-45b6-87e8-f8d2b2ef9628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17BAF15D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dcaffeab-5e42-4b1f-924c-ab0e2a624ba5</errorID>
      <errorWord xmlns="http://schemas.wps.cn/vas-ai-hub/contract-review">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12959049</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82f1289c-d039-480b-b58a-9b583b4cf38d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41F1AC80</paraID>
      <start xmlns="http://schemas.wps.cn/vas-ai-hub/contract-review">162</start>
      <end xmlns="http://schemas.wps.cn/vas-ai-hub/contract-review">163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d292de68-1ff0-4bae-a168-e96d5a7d9b83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4F7548EA</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b9d33440-3e38-47ce-a87c-aa16597a33f7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5052299A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fe43c26a-491d-4687-9402-abf9f55a2c54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1D218FB3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b76122cf-24d8-4914-a871-b208c4d1a006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323CE2A2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58e87200-72fc-4b53-979d-bf62047a3005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7B733C55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bbc911ab-fa79-4f2f-8b04-1eec8d65ed32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BA22C58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227c6ab4-bbdc-4746-a890-39b891de9717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7B2A940A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f9cfc9a2-16f3-4db4-9cc7-a95195236f46</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37CA6913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5be65436-6e58-4d91-a83d-7ba757fb99e6</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2A759547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da634fdc-1f1e-4509-9c80-a793e812494e</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24F32FF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2475e0f1-8d8e-42a8-81aa-eb734f1fc4bb</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1E8A4F0F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b864e10b-f906-47c1-968e-8ae2a3f88a3e</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347A2CF6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8928eeb6-5969-4209-9295-250777ad6ad6</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3E99CC00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4dbece7c-d365-42d6-9eed-40f5b485dcc2</errorID>
      <errorWord xmlns="http://schemas.wps.cn/vas-ai-hub/contract-review">要能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要</item>
      </candidateList>
      <explain xmlns="http://schemas.wps.cn/vas-ai-hub/contract-review">〈连〉❶如果：明天～下雨，我就不去了。❷要么：～就去打球，～就去溜冰，别再犹豫了。</explain>
      <paraID xmlns="http://schemas.wps.cn/vas-ai-hub/contract-review">5A396D84</paraID>
      <start xmlns="http://schemas.wps.cn/vas-ai-hub/contract-review">74</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550abc45-80db-44b9-aa6a-0d513ccd805e</errorID>
      <errorWord xmlns="http://schemas.wps.cn/vas-ai-hub/contract-review">发挥到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发挥</item>
      </candidateList>
      <explain xmlns="http://schemas.wps.cn/vas-ai-hub/contract-review"/>
      <paraID xmlns="http://schemas.wps.cn/vas-ai-hub/contract-review">682B3C10</paraID>
      <start xmlns="http://schemas.wps.cn/vas-ai-hub/contract-review">55</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4551aacf-f199-4356-8823-b741fcff63e7</errorID>
      <errorWord xmlns="http://schemas.wps.cn/vas-ai-hub/contract-review">不在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不再</item>
      </candidateList>
      <explain xmlns="http://schemas.wps.cn/vas-ai-hub/contract-review"/>
      <paraID xmlns="http://schemas.wps.cn/vas-ai-hub/contract-review">1D0784F0</paraID>
      <start xmlns="http://schemas.wps.cn/vas-ai-hub/contract-review">114</start>
      <end xmlns="http://schemas.wps.cn/vas-ai-hub/contract-review">116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d4a9d379-f804-4203-9712-d8243b4242d6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B89CD7B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a133936e-946f-4ecd-8917-73de31baaf3c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6BDB05B2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152315a8-cd1b-4aca-a513-dc1f9f2eebf1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3518B97D</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026b07c3-8787-4af9-be23-b64821f7c40d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75270917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2d9e454c-1a97-4971-bbc7-31d5ef0b720a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3BF1720F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dfbece8c-cbcb-41ff-a16a-d9b6bb1c547d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6E8E703B</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556c12bc-d71c-473c-94e9-f16349a6cda2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7F254FA8</paraID>
      <start xmlns="http://schemas.wps.cn/vas-ai-hub/contract-review">162</start>
      <end xmlns="http://schemas.wps.cn/vas-ai-hub/contract-review">163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8ffb1225-b959-463e-ba87-b38ffc64acb2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7F6DD8E3</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07775e36-ebe8-4e30-9486-08b68c2c2701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7F6DD8E3</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d4f78a05-7344-40c4-9909-fe91a35c27d4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3A5D7D0F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bffa54c4-7c22-4f19-bf19-20d4ebdb00d3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49FCD6EA</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e87ce1b0-b484-44a1-9211-559377a67318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49FCD6EA</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62a6590d-f0c6-49cc-a3aa-051287115fbb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5508ACC7</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f42c8e7e-42f5-4837-921f-5a08d2e1fa3d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5508ACC7</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0c11c04e-fd5d-4a9a-b7c5-5512b0602b42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99C8CAA</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356157ad-8841-4700-909b-30b6f0b0a394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99C8CAA</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ec07668a-fddb-4c82-a797-e068940c065e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5232A489</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399b7c33-8620-4fb9-b786-c4186e77efb3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3738C3A5</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0d77ef2f-afee-49c7-bf52-91428113fe3e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3738C3A5</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bcf93042-e24d-4971-ab48-36e7c2bc86b1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2DAD9BE2</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c51bd362-ef21-4d85-9a16-0fe266368d84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2DAD9BE2</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2d33ad6b-e267-4285-b1e6-32ecbb9cccfa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5A411C94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9be72fb2-1906-45a9-837c-5e48292be7ad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D38BD98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6686273f-5359-4959-849e-8eb570bf3242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379BE921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9981d910-006e-4f67-98bd-ede67118a469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1A7EE2FE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9b493e3e-1ab4-4cce-bcad-99fbee0f3106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73E2389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a3c8bf94-ce7c-426f-b1ba-f79daa86da82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ED98584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ab90ba73-1927-481b-bcfe-7662924f6ec2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2B1DFEB3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1c86ebcd-16b9-4e2f-8fbe-cb6f672118bf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38112882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a4359208-21eb-4d06-ab2d-1c7d046db2dd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4FE38D73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2bd8e163-cf59-4035-b692-d59eff381600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2FC2900F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54fea2a2-3774-44e5-b4ca-94174e9212af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1355C0D5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d519c816-a9e5-4e1d-a367-a6a15c937b7f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3E022959</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21a62067-67c2-4a21-ae45-8cea79aa1f90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5981F95B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b5a79dd8-5084-4eae-9f2d-8fb374bb1395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641C817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ef9f5232-e243-48dc-a831-a6afcadf12bf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21561F69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dca25659-6bd1-4e78-a58c-d292d6e1a6ea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4A1420C7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ec843879-718a-43a3-9105-8512a3b3a715</errorID>
      <errorWord xmlns="http://schemas.wps.cn/vas-ai-hub/contract-review">撒水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洒水</item>
      </candidateList>
      <explain xmlns="http://schemas.wps.cn/vas-ai-hub/contract-review"/>
      <paraID xmlns="http://schemas.wps.cn/vas-ai-hub/contract-review"> 7226577</paraID>
      <start xmlns="http://schemas.wps.cn/vas-ai-hub/contract-review">178</start>
      <end xmlns="http://schemas.wps.cn/vas-ai-hub/contract-review">180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3b2cd066-3e84-49d3-9f66-4d02bfdf1a82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6F3D414C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fd9c86c3-1c8f-433c-bedd-a9048969ba43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46281D5B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0e146b18-ddc0-426e-b4ab-e6b1ba55dd93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618F55A6</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fe6695ed-851c-40f8-8011-ea3454d40307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52D5B9DD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a7af00bc-5456-4778-a01b-ffb784d7335f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1641EA26</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b26595f6-3c83-465f-8eb8-a3372fd7729a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1641EA26</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d51734bb-49ce-430d-9f41-55ece7d2ae9c</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3A2942B1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7bbe23a6-569a-4ec7-bb58-6a2121ab1d05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3081C5E0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ccdfbf0b-7be0-4fc3-8f55-e3f745e9b66a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3E1D1C2C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0e17aabb-0267-4fcc-8071-4c1d5fb70c69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3732C2EE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00b2a64e-b1b6-4193-94a4-220e06481db4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595CF0F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bf36f72a-b8a2-4a8e-a4a6-315cf500283d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3D258D69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41736298-7238-47d9-b9e0-957ca9d795cd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20A95255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b0ca9bee-7f5f-4c11-b46f-d808754261e1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736C35E6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6664a491-ab01-4224-953c-3bb5ab916537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44DCDE9F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6684bb35-cffb-48ce-8d92-9f315efa615b</errorID>
      <errorWord xmlns="http://schemas.wps.cn/vas-ai-hub/contract-review">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限制</item>
      </candidateList>
      <explain xmlns="http://schemas.wps.cn/vas-ai-hub/contract-review"/>
      <paraID xmlns="http://schemas.wps.cn/vas-ai-hub/contract-review">1F51C91C</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bdd9799a-1fb6-4c37-af7d-9096f35e402a</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616727EC</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1993f900-da9b-471c-83e5-0f6cfd92864c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7A2B8A6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35c8f01e-a44a-49d3-8bfd-2441340a9edf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74220BFA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5583245c-b760-40f0-9ce6-793b11d94047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245BC132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597fa420-afe0-4032-94be-a8cc24dc2ba8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61F638DC</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0494c1e8-dbfa-42e6-ada1-9aa3b37bacb3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22489171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def2a671-cb46-4c4b-93ec-63fe526469db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7D19DAD5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850c86a0-546c-4992-b3c8-2f6c038db178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11EC61AE</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dbd9a768-7a04-4d87-b677-8398007596f9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11EC61AE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2f610673-c490-4462-b21b-10a873987b55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140D1914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facf8509-c3d2-410c-b365-d389d9039121</errorID>
      <errorWord xmlns="http://schemas.wps.cn/vas-ai-hub/contract-review">《建设项目环境影响评价分类管理名录》（2021年本）</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《建设项目环境影响评价分类管理名录（2021年本）》</item>
      </candidateList>
      <explain xmlns="http://schemas.wps.cn/vas-ai-hub/contract-review">疑似政策文件、法律法规名称等书写不规范，请注意检查。</explain>
      <paraID xmlns="http://schemas.wps.cn/vas-ai-hub/contract-review">6C6A3040</paraID>
      <start xmlns="http://schemas.wps.cn/vas-ai-hub/contract-review">2</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66a07fb3-1024-4446-ae0e-a230bb67a1ad</errorID>
      <errorWord xmlns="http://schemas.wps.cn/vas-ai-hub/contract-review">输运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运输</item>
      </candidateList>
      <explain xmlns="http://schemas.wps.cn/vas-ai-hub/contract-review"/>
      <paraID xmlns="http://schemas.wps.cn/vas-ai-hub/contract-review">1511AFA8</paraID>
      <start xmlns="http://schemas.wps.cn/vas-ai-hub/contract-review">73</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1cb1f9f6-94d9-4557-afd8-33d63722e881</errorID>
      <errorWord xmlns="http://schemas.wps.cn/vas-ai-hub/contract-review">年1月1日施行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年1月1日起施行</item>
      </candidateList>
      <explain xmlns="http://schemas.wps.cn/vas-ai-hub/contract-review"/>
      <paraID xmlns="http://schemas.wps.cn/vas-ai-hub/contract-review">7DE7B0F8</paraID>
      <start xmlns="http://schemas.wps.cn/vas-ai-hub/contract-review">22</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63737fab-6f58-42d0-94e3-5174a9ba4827</errorID>
      <errorWord xmlns="http://schemas.wps.cn/vas-ai-hub/contract-review">年1月1日施行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年1月1日起施行</item>
      </candidateList>
      <explain xmlns="http://schemas.wps.cn/vas-ai-hub/contract-review"/>
      <paraID xmlns="http://schemas.wps.cn/vas-ai-hub/contract-review">1BAC944C</paraID>
      <start xmlns="http://schemas.wps.cn/vas-ai-hub/contract-review">23</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f7403cdb-d3ed-4506-8830-a843d628860b</errorID>
      <errorWord xmlns="http://schemas.wps.cn/vas-ai-hub/contract-review">月1日施行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月1日起施行</item>
      </candidateList>
      <explain xmlns="http://schemas.wps.cn/vas-ai-hub/contract-review"/>
      <paraID xmlns="http://schemas.wps.cn/vas-ai-hub/contract-review">46C1DB4F</paraID>
      <start xmlns="http://schemas.wps.cn/vas-ai-hub/contract-review">30</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45b40b35-8a21-4a6f-8b11-90c2da8eb1be</errorID>
      <errorWord xmlns="http://schemas.wps.cn/vas-ai-hub/contract-review">年1月1日施行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年1月1日起施行</item>
      </candidateList>
      <explain xmlns="http://schemas.wps.cn/vas-ai-hub/contract-review"/>
      <paraID xmlns="http://schemas.wps.cn/vas-ai-hub/contract-review">16074C47</paraID>
      <start xmlns="http://schemas.wps.cn/vas-ai-hub/contract-review">24</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a0572d21-7b68-4441-a00c-2e07a921a440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626F8DEE</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bf59e2b6-b915-4be0-9b11-f12312e4288f</errorID>
      <errorWord xmlns="http://schemas.wps.cn/vas-ai-hub/contract-review">年1月1日施行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年1月1日起施行</item>
      </candidateList>
      <explain xmlns="http://schemas.wps.cn/vas-ai-hub/contract-review"/>
      <paraID xmlns="http://schemas.wps.cn/vas-ai-hub/contract-review">626F8DEE</paraID>
      <start xmlns="http://schemas.wps.cn/vas-ai-hub/contract-review">58</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616cf406-2e73-4677-acc8-10dbbc0615ab</errorID>
      <errorWord xmlns="http://schemas.wps.cn/vas-ai-hub/contract-review">的对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“的”常用于连接修饰语与名词性中心语，表示属性、所属或描述。</explain>
      <paraID xmlns="http://schemas.wps.cn/vas-ai-hub/contract-review">52F6A310</paraID>
      <start xmlns="http://schemas.wps.cn/vas-ai-hub/contract-review">74</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cf80ba60-941e-4799-b6fa-6d3e203763eb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1AA091CA</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be50a50e-51a0-42ae-80d3-63c2e2e2575b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1AA091CA</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80ad5fca-43a1-459b-99c4-d3c72fc23789</errorID>
      <errorWord xmlns="http://schemas.wps.cn/vas-ai-hub/contract-review">并且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xmlns="http://schemas.wps.cn/vas-ai-hub/contract-review">394AE12E</paraID>
      <start xmlns="http://schemas.wps.cn/vas-ai-hub/contract-review">122</start>
      <end xmlns="http://schemas.wps.cn/vas-ai-hub/contract-review">124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335b4881-2c2a-46e9-8858-9078752706a3</errorID>
      <errorWord xmlns="http://schemas.wps.cn/vas-ai-hub/contract-review">应急物资准备</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应急物资储备</item>
      </candidateList>
      <explain xmlns="http://schemas.wps.cn/vas-ai-hub/contract-review">词汇“应急物资储备”在特定场景下为固定表述形式，请确认此处的“应急物资准备”是否存在不当。</explain>
      <paraID xmlns="http://schemas.wps.cn/vas-ai-hub/contract-review">639D5567</paraID>
      <start xmlns="http://schemas.wps.cn/vas-ai-hub/contract-review">5</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b4de2d99-c3ff-46d8-8405-c35e114796f0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7AAB6AD4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667b0a5d-2f17-492e-bdf9-dc3f6b57093c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7AAB6AD4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73d27b6c-11a5-462a-9154-433b8a78522b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1D2E4473</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b02e2d3d-27a3-4738-80a7-12c415b77c87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1D2E4473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4a74b0cc-ee65-43e7-b9d2-d0b1889dca2c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1304A5F4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7f2517b5-a757-4af8-9121-6cedee493688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1304A5F4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ed513a55-1fa8-4831-9110-442c76f78a0f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30C4649B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f32d1717-68ac-4aeb-9c53-28138688940c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33153158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eac9a00f-4d38-4a73-9eb6-b8f19234a44b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33153158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39e6d82b-7a83-45d0-a16e-acd0cc7ef17e</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69DFEF20</paraID>
      <start xmlns="http://schemas.wps.cn/vas-ai-hub/contract-review">8</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c76d2ed6-90e0-4e5e-a530-30d9547a48b4</errorID>
      <errorWord xmlns="http://schemas.wps.cn/vas-ai-hub/contract-review">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赶到</item>
      </candidateList>
      <explain xmlns="http://schemas.wps.cn/vas-ai-hub/contract-review"/>
      <paraID xmlns="http://schemas.wps.cn/vas-ai-hub/contract-review">4EE59D54</paraID>
      <start xmlns="http://schemas.wps.cn/vas-ai-hub/contract-review">122</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26bf34bc-4e8b-490b-9dc4-564682831f1d</errorID>
      <errorWord xmlns="http://schemas.wps.cn/vas-ai-hub/contract-review">市市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市</item>
      </candidateList>
      <explain xmlns="http://schemas.wps.cn/vas-ai-hub/contract-review"/>
      <paraID xmlns="http://schemas.wps.cn/vas-ai-hub/contract-review">7871B7AA</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257d6a48-781c-47cd-80a7-22b7c2940e08</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64161190</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85d55a08-ca4b-4707-807d-211eaaa0fc5b</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32EEA66D</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87f7d231-ad23-4244-91bd-4a60f7b5e938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6DA80B6D</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43878351-e265-40e0-abb5-3818db227f4d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6DA80B6D</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2a7d82c6-14fa-4f59-a4ca-50338e3451ac</errorID>
      <errorWord xmlns="http://schemas.wps.cn/vas-ai-hub/contract-review">和警戒标志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和警示标志</item>
      </candidateList>
      <explain xmlns="http://schemas.wps.cn/vas-ai-hub/contract-review"/>
      <paraID xmlns="http://schemas.wps.cn/vas-ai-hub/contract-review">62AB8403</paraID>
      <start xmlns="http://schemas.wps.cn/vas-ai-hub/contract-review">94</start>
      <end xmlns="http://schemas.wps.cn/vas-ai-hub/contract-review">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20ab711b-1aea-4190-9a39-dbfee4aa5fc9</errorID>
      <errorWord xmlns="http://schemas.wps.cn/vas-ai-hub/contract-review">提高</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增强</item>
      </candidateList>
      <explain xmlns="http://schemas.wps.cn/vas-ai-hub/contract-review">“提高～意识”搭配不当，建议修改为“增强～意识”。</explain>
      <paraID xmlns="http://schemas.wps.cn/vas-ai-hub/contract-review">68F4615F</paraID>
      <start xmlns="http://schemas.wps.cn/vas-ai-hub/contract-review">106</start>
      <end xmlns="http://schemas.wps.cn/vas-ai-hub/contract-review">108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a772bdf4-dceb-4bba-b6ea-04b81df3f48b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）建</item>
      </candidateList>
      <explain xmlns="http://schemas.wps.cn/vas-ai-hub/contract-review"/>
      <paraID xmlns="http://schemas.wps.cn/vas-ai-hub/contract-review"> 2486424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23304287-4ce9-43ab-abfb-3030089b920e</errorID>
      <errorWord xmlns="http://schemas.wps.cn/vas-ai-hub/contract-review">出供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item>
      </candidateList>
      <explain xmlns="http://schemas.wps.cn/vas-ai-hub/contract-review">〈动〉趋向动词。用在动词后表示向外、显露或完成：看得～｜看不～｜拿～一张纸｜跑～大门｜看～问题｜做～成绩。</explain>
      <paraID xmlns="http://schemas.wps.cn/vas-ai-hub/contract-review">2E365866</paraID>
      <start xmlns="http://schemas.wps.cn/vas-ai-hub/contract-review">29</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9b6d9233-c1ec-4982-b5ea-a93584aa98f0</errorID>
      <errorWord xmlns="http://schemas.wps.cn/vas-ai-hub/contract-review">临近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邻近</item>
      </candidateList>
      <explain xmlns="http://schemas.wps.cn/vas-ai-hub/contract-review">存在发音相同字词的误用。</explain>
      <paraID xmlns="http://schemas.wps.cn/vas-ai-hub/contract-review">  E3AAB7</paraID>
      <start xmlns="http://schemas.wps.cn/vas-ai-hub/contract-review">59</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b9eb2462-8690-4147-b156-d0a761536579</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（鬚）xū❶原来指长在下巴上的胡子，后来泛指胡须：～发｜～眉。❷须子：触～｜花～。</explain>
      <paraID xmlns="http://schemas.wps.cn/vas-ai-hub/contract-review">1F9874A3</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bbdc6cf5-1aa3-4dc6-8054-870f422a334f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53967647</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6c966c04-c7c1-457a-99e3-da398ef2523a</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2D86B69A</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148e788b-ad61-41d0-9b6c-0ff5f383db7c</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2D86B69A</paraID>
      <start xmlns="http://schemas.wps.cn/vas-ai-hub/contract-review">65</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d8226b5a-e4b4-483d-af7f-6d748a380713</errorID>
      <errorWord xmlns="http://schemas.wps.cn/vas-ai-hub/contract-review">转达移至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转移至</item>
      </candidateList>
      <explain xmlns="http://schemas.wps.cn/vas-ai-hub/contract-review"/>
      <paraID xmlns="http://schemas.wps.cn/vas-ai-hub/contract-review">2D86B69A</paraID>
      <start xmlns="http://schemas.wps.cn/vas-ai-hub/contract-review">92</start>
      <end xmlns="http://schemas.wps.cn/vas-ai-hub/contract-review">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5fc588b5-eaf1-48de-b301-2722b25c4a0f</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 BE640E3</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f1d92e03-8ad1-4031-8e9c-03ac7bd39a47</errorID>
      <errorWord xmlns="http://schemas.wps.cn/vas-ai-hub/contract-review">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伍在</item>
      </candidateList>
      <explain xmlns="http://schemas.wps.cn/vas-ai-hub/contract-review"/>
      <paraID xmlns="http://schemas.wps.cn/vas-ai-hub/contract-review"> BE640E3</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dff2fa54-f5c5-441b-b4d2-b208ec17d109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74446012</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7d7c3431-9309-41f6-b3a2-36cf54aa67ff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74446012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ff4f64e3-dc10-4016-acf5-70c2c4e1cef1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353828B1</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6649e630-7e57-46e9-b54f-4342c6a004ec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353828B1</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786568c7-85c8-40dd-aeb4-9c1d7d9eeafb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1BF6BE03</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afeb3942-a8a1-4ac2-aa74-eb4ab09c925d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1BF6BE03</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6ed836e0-6719-4e58-a564-7b9214dbc75d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6241D589</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938ea4f9-b922-4363-bda6-19cbcf352ef1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6241D589</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0D3B0-8D89-4259-91DF-4316ED91DFB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83</Pages>
  <Words>104</Words>
  <Characters>104</Characters>
  <Lines>349</Lines>
  <Paragraphs>98</Paragraphs>
  <TotalTime>31</TotalTime>
  <ScaleCrop>false</ScaleCrop>
  <LinksUpToDate>false</LinksUpToDate>
  <CharactersWithSpaces>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2026-05-18T18:42:00Z</dcterms:created>
  <dc:creator>lhj</dc:creator>
  <cp:lastModifiedBy>田丽芳</cp:lastModifiedBy>
  <cp:lastPrinted>2022-06-21T08:13:00Z</cp:lastPrinted>
  <dcterms:modified xsi:type="dcterms:W3CDTF">2026-09-08T03:17:41Z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3D89AB9A15654E399D8F2CC1B3CC2F15_13</vt:lpwstr>
  </property>
  <property fmtid="{D5CDD505-2E9C-101B-9397-08002B2CF9AE}" pid="4" name="KSOTemplateDocerSaveRecord">
    <vt:lpwstr>eyJoZGlkIjoiYjg0OTRiMzkxOTU3MDQ3YjAzOWQxYmNhMzkzNmNhNWEiLCJ1c2VySWQiOiI2MDEyMTE3NDEifQ==</vt:lpwstr>
  </property>
</Properties>
</file>